
<file path=[Content_Types].xml><?xml version="1.0" encoding="utf-8"?>
<Types xmlns="http://schemas.openxmlformats.org/package/2006/content-types">
  <Default Extension="png" ContentType="image/png"/>
  <Default Extension="jpeg" ContentType="image/jpeg"/>
  <Default Extension="JPG" ContentType="image/.jpg"/>
  <Default Extension="gif" ContentType="image/gi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A4AE24D">
      <w:pPr>
        <w:pStyle w:val="5"/>
        <w:keepNext w:val="0"/>
        <w:keepLines w:val="0"/>
        <w:widowControl/>
        <w:suppressLineNumbers w:val="0"/>
        <w:spacing w:before="0" w:beforeAutospacing="0" w:after="0" w:afterAutospacing="0"/>
        <w:ind w:left="0" w:right="0"/>
        <w:jc w:val="center"/>
        <w:rPr>
          <w:rFonts w:hint="default" w:ascii="Times New Roman" w:hAnsi="Times New Roman" w:cs="Times New Roman"/>
          <w:sz w:val="21"/>
          <w:szCs w:val="21"/>
        </w:rPr>
      </w:pPr>
      <w:r>
        <w:rPr>
          <w:rFonts w:hint="default" w:ascii="Times New Roman" w:hAnsi="Times New Roman" w:eastAsia="宋体" w:cs="Times New Roman"/>
          <w:sz w:val="21"/>
          <w:szCs w:val="21"/>
        </w:rPr>
        <w:t> </w:t>
      </w:r>
    </w:p>
    <w:p w14:paraId="33B088B8">
      <w:pPr>
        <w:pStyle w:val="5"/>
        <w:keepNext w:val="0"/>
        <w:keepLines w:val="0"/>
        <w:widowControl/>
        <w:suppressLineNumbers w:val="0"/>
        <w:spacing w:before="93" w:beforeAutospacing="0"/>
        <w:jc w:val="center"/>
        <w:rPr>
          <w:rFonts w:ascii="仿宋" w:hAnsi="仿宋" w:eastAsia="仿宋" w:cs="仿宋"/>
          <w:sz w:val="28"/>
          <w:szCs w:val="28"/>
        </w:rPr>
      </w:pPr>
      <w:r>
        <w:rPr>
          <w:rFonts w:hint="eastAsia" w:ascii="仿宋" w:hAnsi="仿宋" w:eastAsia="仿宋" w:cs="仿宋"/>
          <w:sz w:val="28"/>
          <w:szCs w:val="28"/>
          <w:bdr w:val="none" w:color="auto" w:sz="0" w:space="0"/>
        </w:rPr>
        <w:t>公开时间：2020年10月30日</w:t>
      </w:r>
    </w:p>
    <w:p w14:paraId="585D7E03">
      <w:pPr>
        <w:pStyle w:val="5"/>
        <w:keepNext w:val="0"/>
        <w:keepLines w:val="0"/>
        <w:widowControl/>
        <w:suppressLineNumbers w:val="0"/>
        <w:spacing w:before="0" w:beforeAutospacing="0" w:after="0" w:afterAutospacing="0"/>
        <w:ind w:left="0" w:right="0"/>
        <w:jc w:val="both"/>
        <w:rPr>
          <w:rFonts w:hint="default" w:ascii="Times New Roman" w:hAnsi="Times New Roman" w:cs="Times New Roman"/>
          <w:sz w:val="21"/>
          <w:szCs w:val="21"/>
        </w:rPr>
      </w:pPr>
      <w:r>
        <w:rPr>
          <w:rFonts w:hint="default" w:ascii="Times New Roman" w:hAnsi="Times New Roman" w:eastAsia="宋体" w:cs="Times New Roman"/>
          <w:sz w:val="21"/>
          <w:szCs w:val="21"/>
        </w:rPr>
        <w:t> </w:t>
      </w:r>
    </w:p>
    <w:p w14:paraId="269EE595">
      <w:pPr>
        <w:pStyle w:val="5"/>
        <w:keepNext w:val="0"/>
        <w:keepLines w:val="0"/>
        <w:widowControl/>
        <w:suppressLineNumbers w:val="0"/>
        <w:spacing w:before="0" w:beforeAutospacing="0" w:after="0" w:afterAutospacing="0"/>
        <w:ind w:left="0" w:right="0"/>
        <w:jc w:val="both"/>
        <w:rPr>
          <w:rFonts w:hint="default" w:ascii="Times New Roman" w:hAnsi="Times New Roman" w:cs="Times New Roman"/>
          <w:sz w:val="21"/>
          <w:szCs w:val="21"/>
        </w:rPr>
      </w:pPr>
      <w:r>
        <w:rPr>
          <w:rFonts w:hint="eastAsia" w:ascii="宋体" w:hAnsi="宋体" w:eastAsia="宋体" w:cs="宋体"/>
          <w:sz w:val="21"/>
          <w:szCs w:val="21"/>
        </w:rPr>
        <w:t>第一部分部门概况</w:t>
      </w:r>
    </w:p>
    <w:p w14:paraId="216D3552">
      <w:pPr>
        <w:pStyle w:val="5"/>
        <w:keepNext w:val="0"/>
        <w:keepLines w:val="0"/>
        <w:widowControl/>
        <w:suppressLineNumbers w:val="0"/>
        <w:spacing w:before="0" w:beforeAutospacing="0" w:after="0" w:afterAutospacing="0"/>
        <w:ind w:left="0" w:right="0"/>
        <w:jc w:val="both"/>
        <w:rPr>
          <w:rFonts w:hint="default" w:ascii="Times New Roman" w:hAnsi="Times New Roman" w:cs="Times New Roman"/>
          <w:sz w:val="21"/>
          <w:szCs w:val="21"/>
        </w:rPr>
      </w:pPr>
      <w:r>
        <w:rPr>
          <w:rFonts w:hint="eastAsia" w:ascii="宋体" w:hAnsi="宋体" w:eastAsia="宋体" w:cs="宋体"/>
          <w:sz w:val="21"/>
          <w:szCs w:val="21"/>
        </w:rPr>
        <w:t>一、基本职能及主要工作</w:t>
      </w:r>
      <w:r>
        <w:rPr>
          <w:rFonts w:hint="default" w:ascii="Times New Roman" w:hAnsi="Times New Roman" w:eastAsia="宋体" w:cs="Times New Roman"/>
          <w:sz w:val="21"/>
          <w:szCs w:val="21"/>
        </w:rPr>
        <w:t xml:space="preserve"> 4</w:t>
      </w:r>
    </w:p>
    <w:p w14:paraId="2C3FAF1C">
      <w:pPr>
        <w:pStyle w:val="5"/>
        <w:keepNext w:val="0"/>
        <w:keepLines w:val="0"/>
        <w:widowControl/>
        <w:suppressLineNumbers w:val="0"/>
        <w:spacing w:before="0" w:beforeAutospacing="0" w:after="0" w:afterAutospacing="0"/>
        <w:ind w:left="0" w:right="0"/>
        <w:jc w:val="both"/>
        <w:rPr>
          <w:rFonts w:hint="default" w:ascii="Times New Roman" w:hAnsi="Times New Roman" w:cs="Times New Roman"/>
          <w:sz w:val="21"/>
          <w:szCs w:val="21"/>
        </w:rPr>
      </w:pPr>
      <w:r>
        <w:rPr>
          <w:rFonts w:hint="eastAsia" w:ascii="宋体" w:hAnsi="宋体" w:eastAsia="宋体" w:cs="宋体"/>
          <w:sz w:val="21"/>
          <w:szCs w:val="21"/>
        </w:rPr>
        <w:t>二、机构设置</w:t>
      </w:r>
      <w:r>
        <w:rPr>
          <w:rFonts w:hint="default" w:ascii="Times New Roman" w:hAnsi="Times New Roman" w:eastAsia="宋体" w:cs="Times New Roman"/>
          <w:sz w:val="21"/>
          <w:szCs w:val="21"/>
        </w:rPr>
        <w:t xml:space="preserve"> 5</w:t>
      </w:r>
    </w:p>
    <w:p w14:paraId="1C77ABA0">
      <w:pPr>
        <w:pStyle w:val="5"/>
        <w:keepNext w:val="0"/>
        <w:keepLines w:val="0"/>
        <w:widowControl/>
        <w:suppressLineNumbers w:val="0"/>
        <w:spacing w:before="0" w:beforeAutospacing="0" w:after="0" w:afterAutospacing="0"/>
        <w:ind w:left="0" w:right="0"/>
        <w:jc w:val="both"/>
        <w:rPr>
          <w:rFonts w:hint="default" w:ascii="Times New Roman" w:hAnsi="Times New Roman" w:cs="Times New Roman"/>
          <w:sz w:val="21"/>
          <w:szCs w:val="21"/>
        </w:rPr>
      </w:pPr>
      <w:r>
        <w:rPr>
          <w:rFonts w:hint="eastAsia" w:ascii="宋体" w:hAnsi="宋体" w:eastAsia="宋体" w:cs="宋体"/>
          <w:sz w:val="21"/>
          <w:szCs w:val="21"/>
        </w:rPr>
        <w:t>第二部分度部门决算情况说明</w:t>
      </w:r>
    </w:p>
    <w:p w14:paraId="1EFDE087">
      <w:pPr>
        <w:pStyle w:val="5"/>
        <w:keepNext w:val="0"/>
        <w:keepLines w:val="0"/>
        <w:widowControl/>
        <w:suppressLineNumbers w:val="0"/>
        <w:spacing w:before="0" w:beforeAutospacing="0" w:after="0" w:afterAutospacing="0"/>
        <w:ind w:left="0" w:right="0"/>
        <w:jc w:val="both"/>
        <w:rPr>
          <w:rFonts w:hint="default" w:ascii="Times New Roman" w:hAnsi="Times New Roman" w:cs="Times New Roman"/>
          <w:sz w:val="21"/>
          <w:szCs w:val="21"/>
        </w:rPr>
      </w:pPr>
      <w:r>
        <w:rPr>
          <w:rFonts w:hint="eastAsia" w:ascii="宋体" w:hAnsi="宋体" w:eastAsia="宋体" w:cs="宋体"/>
          <w:sz w:val="21"/>
          <w:szCs w:val="21"/>
        </w:rPr>
        <w:t>一、收入支出决算总体情况说明</w:t>
      </w:r>
      <w:r>
        <w:rPr>
          <w:rFonts w:hint="default" w:ascii="Times New Roman" w:hAnsi="Times New Roman" w:eastAsia="宋体" w:cs="Times New Roman"/>
          <w:sz w:val="21"/>
          <w:szCs w:val="21"/>
        </w:rPr>
        <w:t xml:space="preserve"> 6</w:t>
      </w:r>
    </w:p>
    <w:p w14:paraId="564D7325">
      <w:pPr>
        <w:pStyle w:val="5"/>
        <w:keepNext w:val="0"/>
        <w:keepLines w:val="0"/>
        <w:widowControl/>
        <w:suppressLineNumbers w:val="0"/>
        <w:spacing w:before="0" w:beforeAutospacing="0" w:after="0" w:afterAutospacing="0"/>
        <w:ind w:left="0" w:right="0"/>
        <w:jc w:val="both"/>
        <w:rPr>
          <w:rFonts w:hint="default" w:ascii="Times New Roman" w:hAnsi="Times New Roman" w:cs="Times New Roman"/>
          <w:sz w:val="21"/>
          <w:szCs w:val="21"/>
        </w:rPr>
      </w:pPr>
      <w:r>
        <w:rPr>
          <w:rFonts w:hint="eastAsia" w:ascii="宋体" w:hAnsi="宋体" w:eastAsia="宋体" w:cs="宋体"/>
          <w:sz w:val="21"/>
          <w:szCs w:val="21"/>
        </w:rPr>
        <w:t>二、收入决算情况说明</w:t>
      </w:r>
      <w:r>
        <w:rPr>
          <w:rFonts w:hint="default" w:ascii="Times New Roman" w:hAnsi="Times New Roman" w:eastAsia="宋体" w:cs="Times New Roman"/>
          <w:sz w:val="21"/>
          <w:szCs w:val="21"/>
        </w:rPr>
        <w:t xml:space="preserve"> 7</w:t>
      </w:r>
    </w:p>
    <w:p w14:paraId="758C3C52">
      <w:pPr>
        <w:pStyle w:val="5"/>
        <w:keepNext w:val="0"/>
        <w:keepLines w:val="0"/>
        <w:widowControl/>
        <w:suppressLineNumbers w:val="0"/>
        <w:spacing w:before="0" w:beforeAutospacing="0" w:after="0" w:afterAutospacing="0"/>
        <w:ind w:left="0" w:right="0"/>
        <w:jc w:val="both"/>
        <w:rPr>
          <w:rFonts w:hint="default" w:ascii="Times New Roman" w:hAnsi="Times New Roman" w:cs="Times New Roman"/>
          <w:sz w:val="21"/>
          <w:szCs w:val="21"/>
        </w:rPr>
      </w:pPr>
      <w:r>
        <w:rPr>
          <w:rFonts w:hint="eastAsia" w:ascii="宋体" w:hAnsi="宋体" w:eastAsia="宋体" w:cs="宋体"/>
          <w:sz w:val="21"/>
          <w:szCs w:val="21"/>
        </w:rPr>
        <w:t>三、支出决算情况说明</w:t>
      </w:r>
      <w:r>
        <w:rPr>
          <w:rFonts w:hint="default" w:ascii="Times New Roman" w:hAnsi="Times New Roman" w:eastAsia="宋体" w:cs="Times New Roman"/>
          <w:sz w:val="21"/>
          <w:szCs w:val="21"/>
        </w:rPr>
        <w:t xml:space="preserve"> 7</w:t>
      </w:r>
    </w:p>
    <w:p w14:paraId="1DBC3D42">
      <w:pPr>
        <w:pStyle w:val="5"/>
        <w:keepNext w:val="0"/>
        <w:keepLines w:val="0"/>
        <w:widowControl/>
        <w:suppressLineNumbers w:val="0"/>
        <w:spacing w:before="0" w:beforeAutospacing="0" w:after="0" w:afterAutospacing="0"/>
        <w:ind w:left="0" w:right="0"/>
        <w:jc w:val="both"/>
        <w:rPr>
          <w:rFonts w:hint="default" w:ascii="Times New Roman" w:hAnsi="Times New Roman" w:cs="Times New Roman"/>
          <w:sz w:val="21"/>
          <w:szCs w:val="21"/>
        </w:rPr>
      </w:pPr>
      <w:r>
        <w:rPr>
          <w:rFonts w:hint="eastAsia" w:ascii="宋体" w:hAnsi="宋体" w:eastAsia="宋体" w:cs="宋体"/>
          <w:sz w:val="21"/>
          <w:szCs w:val="21"/>
        </w:rPr>
        <w:t>四、财政拨款收入支出决算总体情况说明</w:t>
      </w:r>
      <w:r>
        <w:rPr>
          <w:rFonts w:hint="default" w:ascii="Times New Roman" w:hAnsi="Times New Roman" w:eastAsia="宋体" w:cs="Times New Roman"/>
          <w:sz w:val="21"/>
          <w:szCs w:val="21"/>
        </w:rPr>
        <w:t xml:space="preserve"> 8</w:t>
      </w:r>
    </w:p>
    <w:p w14:paraId="3ACABA15">
      <w:pPr>
        <w:pStyle w:val="5"/>
        <w:keepNext w:val="0"/>
        <w:keepLines w:val="0"/>
        <w:widowControl/>
        <w:suppressLineNumbers w:val="0"/>
        <w:spacing w:before="0" w:beforeAutospacing="0" w:after="0" w:afterAutospacing="0"/>
        <w:ind w:left="0" w:right="0"/>
        <w:jc w:val="both"/>
        <w:rPr>
          <w:rFonts w:hint="default" w:ascii="Times New Roman" w:hAnsi="Times New Roman" w:cs="Times New Roman"/>
          <w:sz w:val="21"/>
          <w:szCs w:val="21"/>
        </w:rPr>
      </w:pPr>
      <w:r>
        <w:rPr>
          <w:rFonts w:hint="eastAsia" w:ascii="宋体" w:hAnsi="宋体" w:eastAsia="宋体" w:cs="宋体"/>
          <w:sz w:val="21"/>
          <w:szCs w:val="21"/>
        </w:rPr>
        <w:t>五、一般公共预算财政拨款支出决算情况说明</w:t>
      </w:r>
      <w:r>
        <w:rPr>
          <w:rFonts w:hint="default" w:ascii="Times New Roman" w:hAnsi="Times New Roman" w:eastAsia="宋体" w:cs="Times New Roman"/>
          <w:sz w:val="21"/>
          <w:szCs w:val="21"/>
        </w:rPr>
        <w:t xml:space="preserve"> 9</w:t>
      </w:r>
    </w:p>
    <w:p w14:paraId="30C618B0">
      <w:pPr>
        <w:pStyle w:val="5"/>
        <w:keepNext w:val="0"/>
        <w:keepLines w:val="0"/>
        <w:widowControl/>
        <w:suppressLineNumbers w:val="0"/>
        <w:spacing w:before="0" w:beforeAutospacing="0" w:after="0" w:afterAutospacing="0"/>
        <w:ind w:left="0" w:right="0"/>
        <w:jc w:val="both"/>
        <w:rPr>
          <w:rFonts w:hint="default" w:ascii="Times New Roman" w:hAnsi="Times New Roman" w:cs="Times New Roman"/>
          <w:sz w:val="21"/>
          <w:szCs w:val="21"/>
        </w:rPr>
      </w:pPr>
      <w:r>
        <w:rPr>
          <w:rFonts w:hint="eastAsia" w:ascii="宋体" w:hAnsi="宋体" w:eastAsia="宋体" w:cs="宋体"/>
          <w:sz w:val="21"/>
          <w:szCs w:val="21"/>
        </w:rPr>
        <w:t>六、一般公共预算财政拨款基本支出决算情况说明</w:t>
      </w:r>
      <w:r>
        <w:rPr>
          <w:rFonts w:hint="default" w:ascii="Times New Roman" w:hAnsi="Times New Roman" w:eastAsia="宋体" w:cs="Times New Roman"/>
          <w:sz w:val="21"/>
          <w:szCs w:val="21"/>
        </w:rPr>
        <w:t xml:space="preserve"> 11</w:t>
      </w:r>
    </w:p>
    <w:p w14:paraId="45E8FCAC">
      <w:pPr>
        <w:pStyle w:val="5"/>
        <w:keepNext w:val="0"/>
        <w:keepLines w:val="0"/>
        <w:widowControl/>
        <w:suppressLineNumbers w:val="0"/>
        <w:spacing w:before="0" w:beforeAutospacing="0" w:after="0" w:afterAutospacing="0"/>
        <w:ind w:left="0" w:right="0"/>
        <w:jc w:val="both"/>
        <w:rPr>
          <w:rFonts w:hint="default" w:ascii="Times New Roman" w:hAnsi="Times New Roman" w:cs="Times New Roman"/>
          <w:sz w:val="21"/>
          <w:szCs w:val="21"/>
        </w:rPr>
      </w:pPr>
      <w:r>
        <w:rPr>
          <w:rFonts w:hint="eastAsia" w:ascii="宋体" w:hAnsi="宋体" w:eastAsia="宋体" w:cs="宋体"/>
          <w:sz w:val="21"/>
          <w:szCs w:val="21"/>
        </w:rPr>
        <w:t>七、</w:t>
      </w:r>
      <w:r>
        <w:rPr>
          <w:rFonts w:hint="default" w:ascii="Times New Roman" w:hAnsi="Times New Roman" w:eastAsia="宋体" w:cs="Times New Roman"/>
          <w:sz w:val="21"/>
          <w:szCs w:val="21"/>
        </w:rPr>
        <w:t>“</w:t>
      </w:r>
      <w:r>
        <w:rPr>
          <w:rFonts w:hint="eastAsia" w:ascii="宋体" w:hAnsi="宋体" w:eastAsia="宋体" w:cs="宋体"/>
          <w:sz w:val="21"/>
          <w:szCs w:val="21"/>
        </w:rPr>
        <w:t>三公”经费财政拨款支出决算情况说明</w:t>
      </w:r>
      <w:r>
        <w:rPr>
          <w:rFonts w:hint="default" w:ascii="Times New Roman" w:hAnsi="Times New Roman" w:eastAsia="宋体" w:cs="Times New Roman"/>
          <w:sz w:val="21"/>
          <w:szCs w:val="21"/>
        </w:rPr>
        <w:t xml:space="preserve"> 12</w:t>
      </w:r>
    </w:p>
    <w:p w14:paraId="6B27C1BB">
      <w:pPr>
        <w:pStyle w:val="5"/>
        <w:keepNext w:val="0"/>
        <w:keepLines w:val="0"/>
        <w:widowControl/>
        <w:suppressLineNumbers w:val="0"/>
        <w:spacing w:before="0" w:beforeAutospacing="0" w:after="0" w:afterAutospacing="0"/>
        <w:ind w:left="0" w:right="0"/>
        <w:jc w:val="both"/>
        <w:rPr>
          <w:rFonts w:hint="default" w:ascii="Times New Roman" w:hAnsi="Times New Roman" w:cs="Times New Roman"/>
          <w:sz w:val="21"/>
          <w:szCs w:val="21"/>
        </w:rPr>
      </w:pPr>
      <w:r>
        <w:rPr>
          <w:rFonts w:hint="eastAsia" w:ascii="宋体" w:hAnsi="宋体" w:eastAsia="宋体" w:cs="宋体"/>
          <w:sz w:val="21"/>
          <w:szCs w:val="21"/>
        </w:rPr>
        <w:t>八、政府性基金预算支出决算情况说明</w:t>
      </w:r>
      <w:r>
        <w:rPr>
          <w:rFonts w:hint="default" w:ascii="Times New Roman" w:hAnsi="Times New Roman" w:eastAsia="宋体" w:cs="Times New Roman"/>
          <w:sz w:val="21"/>
          <w:szCs w:val="21"/>
        </w:rPr>
        <w:t xml:space="preserve"> 14</w:t>
      </w:r>
    </w:p>
    <w:p w14:paraId="2A8A1D10">
      <w:pPr>
        <w:pStyle w:val="5"/>
        <w:keepNext w:val="0"/>
        <w:keepLines w:val="0"/>
        <w:widowControl/>
        <w:suppressLineNumbers w:val="0"/>
        <w:spacing w:before="0" w:beforeAutospacing="0" w:after="0" w:afterAutospacing="0"/>
        <w:ind w:left="0" w:right="0"/>
        <w:jc w:val="both"/>
        <w:rPr>
          <w:rFonts w:hint="default" w:ascii="Times New Roman" w:hAnsi="Times New Roman" w:cs="Times New Roman"/>
          <w:sz w:val="21"/>
          <w:szCs w:val="21"/>
        </w:rPr>
      </w:pPr>
      <w:r>
        <w:rPr>
          <w:rFonts w:hint="eastAsia" w:ascii="宋体" w:hAnsi="宋体" w:eastAsia="宋体" w:cs="宋体"/>
          <w:sz w:val="21"/>
          <w:szCs w:val="21"/>
        </w:rPr>
        <w:t>九、国有资本经营预算支出决算情况说明</w:t>
      </w:r>
      <w:r>
        <w:rPr>
          <w:rFonts w:hint="default" w:ascii="Times New Roman" w:hAnsi="Times New Roman" w:eastAsia="宋体" w:cs="Times New Roman"/>
          <w:sz w:val="21"/>
          <w:szCs w:val="21"/>
        </w:rPr>
        <w:t xml:space="preserve"> 14</w:t>
      </w:r>
    </w:p>
    <w:p w14:paraId="3EA9C394">
      <w:pPr>
        <w:pStyle w:val="5"/>
        <w:keepNext w:val="0"/>
        <w:keepLines w:val="0"/>
        <w:widowControl/>
        <w:suppressLineNumbers w:val="0"/>
        <w:spacing w:before="0" w:beforeAutospacing="0" w:after="0" w:afterAutospacing="0"/>
        <w:ind w:left="0" w:right="0"/>
        <w:jc w:val="both"/>
        <w:rPr>
          <w:rFonts w:hint="default" w:ascii="Times New Roman" w:hAnsi="Times New Roman" w:cs="Times New Roman"/>
          <w:sz w:val="21"/>
          <w:szCs w:val="21"/>
        </w:rPr>
      </w:pPr>
      <w:r>
        <w:rPr>
          <w:rFonts w:hint="eastAsia" w:ascii="宋体" w:hAnsi="宋体" w:eastAsia="宋体" w:cs="宋体"/>
          <w:sz w:val="21"/>
          <w:szCs w:val="21"/>
        </w:rPr>
        <w:t>十、其他重要事项的情况说明</w:t>
      </w:r>
      <w:r>
        <w:rPr>
          <w:rFonts w:hint="default" w:ascii="Times New Roman" w:hAnsi="Times New Roman" w:eastAsia="宋体" w:cs="Times New Roman"/>
          <w:sz w:val="21"/>
          <w:szCs w:val="21"/>
        </w:rPr>
        <w:t xml:space="preserve"> 14</w:t>
      </w:r>
    </w:p>
    <w:p w14:paraId="74C408E0">
      <w:pPr>
        <w:pStyle w:val="5"/>
        <w:keepNext w:val="0"/>
        <w:keepLines w:val="0"/>
        <w:widowControl/>
        <w:suppressLineNumbers w:val="0"/>
        <w:spacing w:before="0" w:beforeAutospacing="0" w:after="0" w:afterAutospacing="0"/>
        <w:ind w:left="0" w:right="0"/>
        <w:jc w:val="both"/>
        <w:rPr>
          <w:rFonts w:hint="default" w:ascii="Times New Roman" w:hAnsi="Times New Roman" w:cs="Times New Roman"/>
          <w:sz w:val="21"/>
          <w:szCs w:val="21"/>
        </w:rPr>
      </w:pPr>
      <w:r>
        <w:rPr>
          <w:rFonts w:hint="default" w:ascii="Times New Roman" w:hAnsi="Times New Roman" w:eastAsia="宋体" w:cs="Times New Roman"/>
          <w:sz w:val="21"/>
          <w:szCs w:val="21"/>
        </w:rPr>
        <w:t> </w:t>
      </w:r>
    </w:p>
    <w:p w14:paraId="5D67752C">
      <w:pPr>
        <w:pStyle w:val="5"/>
        <w:keepNext w:val="0"/>
        <w:keepLines w:val="0"/>
        <w:widowControl/>
        <w:suppressLineNumbers w:val="0"/>
        <w:spacing w:before="0" w:beforeAutospacing="0" w:after="0" w:afterAutospacing="0"/>
        <w:ind w:left="0" w:right="0"/>
        <w:jc w:val="both"/>
        <w:rPr>
          <w:rFonts w:hint="default" w:ascii="Times New Roman" w:hAnsi="Times New Roman" w:cs="Times New Roman"/>
          <w:sz w:val="21"/>
          <w:szCs w:val="21"/>
        </w:rPr>
      </w:pPr>
      <w:r>
        <w:rPr>
          <w:rFonts w:hint="eastAsia" w:ascii="宋体" w:hAnsi="宋体" w:eastAsia="宋体" w:cs="宋体"/>
          <w:sz w:val="21"/>
          <w:szCs w:val="21"/>
        </w:rPr>
        <w:t>第三部分名词解释</w:t>
      </w:r>
      <w:r>
        <w:rPr>
          <w:rFonts w:hint="default" w:ascii="Times New Roman" w:hAnsi="Times New Roman" w:eastAsia="宋体" w:cs="Times New Roman"/>
          <w:sz w:val="21"/>
          <w:szCs w:val="21"/>
        </w:rPr>
        <w:t xml:space="preserve"> 20</w:t>
      </w:r>
    </w:p>
    <w:p w14:paraId="50FB519B">
      <w:pPr>
        <w:pStyle w:val="5"/>
        <w:keepNext w:val="0"/>
        <w:keepLines w:val="0"/>
        <w:widowControl/>
        <w:suppressLineNumbers w:val="0"/>
        <w:spacing w:before="0" w:beforeAutospacing="0" w:after="0" w:afterAutospacing="0"/>
        <w:ind w:left="0" w:right="0"/>
        <w:jc w:val="both"/>
        <w:rPr>
          <w:rFonts w:hint="default" w:ascii="Times New Roman" w:hAnsi="Times New Roman" w:cs="Times New Roman"/>
          <w:sz w:val="21"/>
          <w:szCs w:val="21"/>
        </w:rPr>
      </w:pPr>
      <w:r>
        <w:rPr>
          <w:rFonts w:hint="eastAsia" w:ascii="宋体" w:hAnsi="宋体" w:eastAsia="宋体" w:cs="宋体"/>
          <w:sz w:val="21"/>
          <w:szCs w:val="21"/>
        </w:rPr>
        <w:t>第四部分附件</w:t>
      </w:r>
    </w:p>
    <w:p w14:paraId="749A3B9A">
      <w:pPr>
        <w:pStyle w:val="5"/>
        <w:keepNext w:val="0"/>
        <w:keepLines w:val="0"/>
        <w:widowControl/>
        <w:suppressLineNumbers w:val="0"/>
        <w:spacing w:before="0" w:beforeAutospacing="0" w:after="0" w:afterAutospacing="0"/>
        <w:ind w:left="0" w:right="0"/>
        <w:jc w:val="both"/>
        <w:rPr>
          <w:rFonts w:hint="default" w:ascii="Times New Roman" w:hAnsi="Times New Roman" w:cs="Times New Roman"/>
          <w:sz w:val="21"/>
          <w:szCs w:val="21"/>
        </w:rPr>
      </w:pPr>
      <w:r>
        <w:rPr>
          <w:rFonts w:hint="eastAsia" w:ascii="宋体" w:hAnsi="宋体" w:eastAsia="宋体" w:cs="宋体"/>
          <w:sz w:val="21"/>
          <w:szCs w:val="21"/>
        </w:rPr>
        <w:t>附件</w:t>
      </w:r>
      <w:r>
        <w:rPr>
          <w:rFonts w:hint="default" w:ascii="Times New Roman" w:hAnsi="Times New Roman" w:eastAsia="宋体" w:cs="Times New Roman"/>
          <w:sz w:val="21"/>
          <w:szCs w:val="21"/>
        </w:rPr>
        <w:t>1 23</w:t>
      </w:r>
    </w:p>
    <w:p w14:paraId="00D7050C">
      <w:pPr>
        <w:pStyle w:val="5"/>
        <w:keepNext w:val="0"/>
        <w:keepLines w:val="0"/>
        <w:widowControl/>
        <w:suppressLineNumbers w:val="0"/>
        <w:spacing w:before="0" w:beforeAutospacing="0" w:after="0" w:afterAutospacing="0"/>
        <w:ind w:left="0" w:right="0"/>
        <w:jc w:val="both"/>
        <w:rPr>
          <w:rFonts w:hint="default" w:ascii="Times New Roman" w:hAnsi="Times New Roman" w:cs="Times New Roman"/>
          <w:sz w:val="21"/>
          <w:szCs w:val="21"/>
        </w:rPr>
      </w:pPr>
      <w:r>
        <w:rPr>
          <w:rFonts w:hint="eastAsia" w:ascii="宋体" w:hAnsi="宋体" w:eastAsia="宋体" w:cs="宋体"/>
          <w:sz w:val="21"/>
          <w:szCs w:val="21"/>
        </w:rPr>
        <w:t>附件</w:t>
      </w:r>
      <w:r>
        <w:rPr>
          <w:rFonts w:hint="default" w:ascii="Times New Roman" w:hAnsi="Times New Roman" w:eastAsia="宋体" w:cs="Times New Roman"/>
          <w:sz w:val="21"/>
          <w:szCs w:val="21"/>
        </w:rPr>
        <w:t>2 30</w:t>
      </w:r>
    </w:p>
    <w:p w14:paraId="2668C4FD">
      <w:pPr>
        <w:pStyle w:val="5"/>
        <w:keepNext w:val="0"/>
        <w:keepLines w:val="0"/>
        <w:widowControl/>
        <w:suppressLineNumbers w:val="0"/>
        <w:spacing w:before="0" w:beforeAutospacing="0" w:after="0" w:afterAutospacing="0"/>
        <w:ind w:left="0" w:right="0"/>
        <w:jc w:val="both"/>
        <w:rPr>
          <w:rFonts w:hint="default" w:ascii="Times New Roman" w:hAnsi="Times New Roman" w:cs="Times New Roman"/>
          <w:sz w:val="21"/>
          <w:szCs w:val="21"/>
        </w:rPr>
      </w:pPr>
      <w:r>
        <w:rPr>
          <w:rFonts w:hint="eastAsia" w:ascii="宋体" w:hAnsi="宋体" w:eastAsia="宋体" w:cs="宋体"/>
          <w:sz w:val="21"/>
          <w:szCs w:val="21"/>
        </w:rPr>
        <w:t>第五部分附表</w:t>
      </w:r>
    </w:p>
    <w:p w14:paraId="160F40AB">
      <w:pPr>
        <w:pStyle w:val="5"/>
        <w:keepNext w:val="0"/>
        <w:keepLines w:val="0"/>
        <w:widowControl/>
        <w:suppressLineNumbers w:val="0"/>
        <w:spacing w:before="0" w:beforeAutospacing="0" w:after="0" w:afterAutospacing="0"/>
        <w:ind w:left="0" w:right="0"/>
        <w:jc w:val="both"/>
        <w:rPr>
          <w:rFonts w:hint="default" w:ascii="Times New Roman" w:hAnsi="Times New Roman" w:cs="Times New Roman"/>
          <w:sz w:val="21"/>
          <w:szCs w:val="21"/>
        </w:rPr>
      </w:pPr>
      <w:r>
        <w:rPr>
          <w:rFonts w:hint="eastAsia" w:ascii="宋体" w:hAnsi="宋体" w:eastAsia="宋体" w:cs="宋体"/>
          <w:sz w:val="21"/>
          <w:szCs w:val="21"/>
        </w:rPr>
        <w:t>一、收入支出决算总表</w:t>
      </w:r>
    </w:p>
    <w:p w14:paraId="266CDA5E">
      <w:pPr>
        <w:pStyle w:val="5"/>
        <w:keepNext w:val="0"/>
        <w:keepLines w:val="0"/>
        <w:widowControl/>
        <w:suppressLineNumbers w:val="0"/>
        <w:spacing w:before="0" w:beforeAutospacing="0" w:after="0" w:afterAutospacing="0"/>
        <w:ind w:left="0" w:right="0"/>
        <w:jc w:val="both"/>
        <w:rPr>
          <w:rFonts w:hint="default" w:ascii="Times New Roman" w:hAnsi="Times New Roman" w:cs="Times New Roman"/>
          <w:sz w:val="21"/>
          <w:szCs w:val="21"/>
        </w:rPr>
      </w:pPr>
      <w:r>
        <w:rPr>
          <w:rFonts w:hint="eastAsia" w:ascii="宋体" w:hAnsi="宋体" w:eastAsia="宋体" w:cs="宋体"/>
          <w:sz w:val="21"/>
          <w:szCs w:val="21"/>
        </w:rPr>
        <w:t>二、收入决算表</w:t>
      </w:r>
    </w:p>
    <w:p w14:paraId="78DEAC28">
      <w:pPr>
        <w:pStyle w:val="5"/>
        <w:keepNext w:val="0"/>
        <w:keepLines w:val="0"/>
        <w:widowControl/>
        <w:suppressLineNumbers w:val="0"/>
        <w:spacing w:before="0" w:beforeAutospacing="0" w:after="0" w:afterAutospacing="0"/>
        <w:ind w:left="0" w:right="0"/>
        <w:jc w:val="both"/>
        <w:rPr>
          <w:rFonts w:hint="default" w:ascii="Times New Roman" w:hAnsi="Times New Roman" w:cs="Times New Roman"/>
          <w:sz w:val="21"/>
          <w:szCs w:val="21"/>
        </w:rPr>
      </w:pPr>
      <w:r>
        <w:rPr>
          <w:rFonts w:hint="eastAsia" w:ascii="宋体" w:hAnsi="宋体" w:eastAsia="宋体" w:cs="宋体"/>
          <w:sz w:val="21"/>
          <w:szCs w:val="21"/>
        </w:rPr>
        <w:t>三、支出决算表</w:t>
      </w:r>
    </w:p>
    <w:p w14:paraId="3354FF1F">
      <w:pPr>
        <w:pStyle w:val="5"/>
        <w:keepNext w:val="0"/>
        <w:keepLines w:val="0"/>
        <w:widowControl/>
        <w:suppressLineNumbers w:val="0"/>
        <w:spacing w:before="0" w:beforeAutospacing="0" w:after="0" w:afterAutospacing="0"/>
        <w:ind w:left="0" w:right="0"/>
        <w:jc w:val="both"/>
        <w:rPr>
          <w:rFonts w:hint="default" w:ascii="Times New Roman" w:hAnsi="Times New Roman" w:cs="Times New Roman"/>
          <w:sz w:val="21"/>
          <w:szCs w:val="21"/>
        </w:rPr>
      </w:pPr>
      <w:r>
        <w:rPr>
          <w:rFonts w:hint="eastAsia" w:ascii="宋体" w:hAnsi="宋体" w:eastAsia="宋体" w:cs="宋体"/>
          <w:sz w:val="21"/>
          <w:szCs w:val="21"/>
        </w:rPr>
        <w:t>四、财政拨款收入支出决算总表</w:t>
      </w:r>
    </w:p>
    <w:p w14:paraId="27782B9E">
      <w:pPr>
        <w:pStyle w:val="5"/>
        <w:keepNext w:val="0"/>
        <w:keepLines w:val="0"/>
        <w:widowControl/>
        <w:suppressLineNumbers w:val="0"/>
        <w:spacing w:before="0" w:beforeAutospacing="0" w:after="0" w:afterAutospacing="0"/>
        <w:ind w:left="0" w:right="0"/>
        <w:jc w:val="both"/>
        <w:rPr>
          <w:rFonts w:hint="default" w:ascii="Times New Roman" w:hAnsi="Times New Roman" w:cs="Times New Roman"/>
          <w:sz w:val="21"/>
          <w:szCs w:val="21"/>
        </w:rPr>
      </w:pPr>
      <w:r>
        <w:rPr>
          <w:rFonts w:hint="eastAsia" w:ascii="宋体" w:hAnsi="宋体" w:eastAsia="宋体" w:cs="宋体"/>
          <w:sz w:val="21"/>
          <w:szCs w:val="21"/>
        </w:rPr>
        <w:t>五、财政拨款支出决算明细表</w:t>
      </w:r>
    </w:p>
    <w:p w14:paraId="1B8B45F7">
      <w:pPr>
        <w:pStyle w:val="5"/>
        <w:keepNext w:val="0"/>
        <w:keepLines w:val="0"/>
        <w:widowControl/>
        <w:suppressLineNumbers w:val="0"/>
        <w:spacing w:before="0" w:beforeAutospacing="0" w:after="0" w:afterAutospacing="0"/>
        <w:ind w:left="0" w:right="0"/>
        <w:jc w:val="both"/>
        <w:rPr>
          <w:rFonts w:hint="default" w:ascii="Times New Roman" w:hAnsi="Times New Roman" w:cs="Times New Roman"/>
          <w:sz w:val="21"/>
          <w:szCs w:val="21"/>
        </w:rPr>
      </w:pPr>
      <w:r>
        <w:rPr>
          <w:rFonts w:hint="eastAsia" w:ascii="宋体" w:hAnsi="宋体" w:eastAsia="宋体" w:cs="宋体"/>
          <w:sz w:val="21"/>
          <w:szCs w:val="21"/>
        </w:rPr>
        <w:t>六、一般公共预算财政拨款支出决算表</w:t>
      </w:r>
    </w:p>
    <w:p w14:paraId="073DF374">
      <w:pPr>
        <w:pStyle w:val="5"/>
        <w:keepNext w:val="0"/>
        <w:keepLines w:val="0"/>
        <w:widowControl/>
        <w:suppressLineNumbers w:val="0"/>
        <w:spacing w:before="0" w:beforeAutospacing="0" w:after="0" w:afterAutospacing="0"/>
        <w:ind w:left="0" w:right="0"/>
        <w:jc w:val="both"/>
        <w:rPr>
          <w:rFonts w:hint="default" w:ascii="Times New Roman" w:hAnsi="Times New Roman" w:cs="Times New Roman"/>
          <w:sz w:val="21"/>
          <w:szCs w:val="21"/>
        </w:rPr>
      </w:pPr>
      <w:r>
        <w:rPr>
          <w:rFonts w:hint="eastAsia" w:ascii="宋体" w:hAnsi="宋体" w:eastAsia="宋体" w:cs="宋体"/>
          <w:sz w:val="21"/>
          <w:szCs w:val="21"/>
        </w:rPr>
        <w:t>七、一般公共预算财政拨款支出决算明细表</w:t>
      </w:r>
    </w:p>
    <w:p w14:paraId="3B9A7E8E">
      <w:pPr>
        <w:pStyle w:val="5"/>
        <w:keepNext w:val="0"/>
        <w:keepLines w:val="0"/>
        <w:widowControl/>
        <w:suppressLineNumbers w:val="0"/>
        <w:spacing w:before="0" w:beforeAutospacing="0" w:after="0" w:afterAutospacing="0"/>
        <w:ind w:left="0" w:right="0"/>
        <w:jc w:val="both"/>
        <w:rPr>
          <w:rFonts w:hint="default" w:ascii="Times New Roman" w:hAnsi="Times New Roman" w:cs="Times New Roman"/>
          <w:sz w:val="21"/>
          <w:szCs w:val="21"/>
        </w:rPr>
      </w:pPr>
      <w:r>
        <w:rPr>
          <w:rFonts w:hint="eastAsia" w:ascii="宋体" w:hAnsi="宋体" w:eastAsia="宋体" w:cs="宋体"/>
          <w:sz w:val="21"/>
          <w:szCs w:val="21"/>
        </w:rPr>
        <w:t>八、一般公共预算财政拨款基本支出决算表</w:t>
      </w:r>
    </w:p>
    <w:p w14:paraId="74683E13">
      <w:pPr>
        <w:pStyle w:val="5"/>
        <w:keepNext w:val="0"/>
        <w:keepLines w:val="0"/>
        <w:widowControl/>
        <w:suppressLineNumbers w:val="0"/>
        <w:spacing w:before="0" w:beforeAutospacing="0" w:after="0" w:afterAutospacing="0"/>
        <w:ind w:left="0" w:right="0"/>
        <w:jc w:val="both"/>
        <w:rPr>
          <w:rFonts w:hint="default" w:ascii="Times New Roman" w:hAnsi="Times New Roman" w:cs="Times New Roman"/>
          <w:sz w:val="21"/>
          <w:szCs w:val="21"/>
        </w:rPr>
      </w:pPr>
      <w:r>
        <w:rPr>
          <w:rFonts w:hint="eastAsia" w:ascii="宋体" w:hAnsi="宋体" w:eastAsia="宋体" w:cs="宋体"/>
          <w:sz w:val="21"/>
          <w:szCs w:val="21"/>
        </w:rPr>
        <w:t>九、一般公共预算财政拨款项目支出决算表</w:t>
      </w:r>
    </w:p>
    <w:p w14:paraId="4784137F">
      <w:pPr>
        <w:pStyle w:val="5"/>
        <w:keepNext w:val="0"/>
        <w:keepLines w:val="0"/>
        <w:widowControl/>
        <w:suppressLineNumbers w:val="0"/>
        <w:spacing w:before="0" w:beforeAutospacing="0" w:after="0" w:afterAutospacing="0"/>
        <w:ind w:left="0" w:right="0"/>
        <w:jc w:val="both"/>
        <w:rPr>
          <w:rFonts w:hint="default" w:ascii="Times New Roman" w:hAnsi="Times New Roman" w:cs="Times New Roman"/>
          <w:sz w:val="21"/>
          <w:szCs w:val="21"/>
        </w:rPr>
      </w:pPr>
      <w:r>
        <w:rPr>
          <w:rFonts w:hint="eastAsia" w:ascii="宋体" w:hAnsi="宋体" w:eastAsia="宋体" w:cs="宋体"/>
          <w:sz w:val="21"/>
          <w:szCs w:val="21"/>
        </w:rPr>
        <w:t>十、一般公共预算财政拨款“三公”经费支出决算表</w:t>
      </w:r>
    </w:p>
    <w:p w14:paraId="31FAFB00">
      <w:pPr>
        <w:pStyle w:val="5"/>
        <w:keepNext w:val="0"/>
        <w:keepLines w:val="0"/>
        <w:widowControl/>
        <w:suppressLineNumbers w:val="0"/>
        <w:spacing w:before="0" w:beforeAutospacing="0" w:after="0" w:afterAutospacing="0"/>
        <w:ind w:left="0" w:right="0"/>
        <w:jc w:val="both"/>
        <w:rPr>
          <w:rFonts w:hint="default" w:ascii="Times New Roman" w:hAnsi="Times New Roman" w:cs="Times New Roman"/>
          <w:sz w:val="21"/>
          <w:szCs w:val="21"/>
        </w:rPr>
      </w:pPr>
      <w:r>
        <w:rPr>
          <w:rFonts w:hint="eastAsia" w:ascii="宋体" w:hAnsi="宋体" w:eastAsia="宋体" w:cs="宋体"/>
          <w:sz w:val="21"/>
          <w:szCs w:val="21"/>
        </w:rPr>
        <w:t>十一、政府性基金预算财政拨款收入支出决算表</w:t>
      </w:r>
    </w:p>
    <w:p w14:paraId="031ACE34">
      <w:pPr>
        <w:pStyle w:val="5"/>
        <w:keepNext w:val="0"/>
        <w:keepLines w:val="0"/>
        <w:widowControl/>
        <w:suppressLineNumbers w:val="0"/>
        <w:spacing w:before="0" w:beforeAutospacing="0" w:after="0" w:afterAutospacing="0"/>
        <w:ind w:left="0" w:right="0"/>
        <w:jc w:val="both"/>
        <w:rPr>
          <w:rFonts w:hint="default" w:ascii="Times New Roman" w:hAnsi="Times New Roman" w:cs="Times New Roman"/>
          <w:sz w:val="21"/>
          <w:szCs w:val="21"/>
        </w:rPr>
      </w:pPr>
      <w:r>
        <w:rPr>
          <w:rFonts w:hint="eastAsia" w:ascii="宋体" w:hAnsi="宋体" w:eastAsia="宋体" w:cs="宋体"/>
          <w:sz w:val="21"/>
          <w:szCs w:val="21"/>
        </w:rPr>
        <w:t>十二、政府性基金预算财政拨款“三公”经费支出决算表</w:t>
      </w:r>
    </w:p>
    <w:p w14:paraId="73222953">
      <w:pPr>
        <w:pStyle w:val="5"/>
        <w:keepNext w:val="0"/>
        <w:keepLines w:val="0"/>
        <w:widowControl/>
        <w:suppressLineNumbers w:val="0"/>
        <w:spacing w:before="0" w:beforeAutospacing="0" w:after="0" w:afterAutospacing="0"/>
        <w:ind w:left="0" w:right="0"/>
        <w:jc w:val="both"/>
        <w:rPr>
          <w:rFonts w:hint="default" w:ascii="Times New Roman" w:hAnsi="Times New Roman" w:cs="Times New Roman"/>
          <w:sz w:val="21"/>
          <w:szCs w:val="21"/>
        </w:rPr>
      </w:pPr>
      <w:r>
        <w:rPr>
          <w:rFonts w:hint="eastAsia" w:ascii="宋体" w:hAnsi="宋体" w:eastAsia="宋体" w:cs="宋体"/>
          <w:sz w:val="21"/>
          <w:szCs w:val="21"/>
        </w:rPr>
        <w:t>十三、国有资本经营预算支出决算表</w:t>
      </w:r>
    </w:p>
    <w:p w14:paraId="52D3272F">
      <w:pPr>
        <w:pStyle w:val="3"/>
        <w:keepNext w:val="0"/>
        <w:keepLines w:val="0"/>
        <w:widowControl/>
        <w:suppressLineNumbers w:val="0"/>
        <w:jc w:val="center"/>
      </w:pPr>
      <w:r>
        <w:rPr>
          <w:rFonts w:hint="eastAsia" w:ascii="仿宋" w:hAnsi="仿宋" w:eastAsia="仿宋" w:cs="仿宋"/>
          <w:b/>
          <w:bCs/>
          <w:sz w:val="24"/>
          <w:szCs w:val="24"/>
        </w:rPr>
        <w:br w:type="page"/>
      </w:r>
      <w:r>
        <w:rPr>
          <w:rFonts w:ascii="黑体" w:hAnsi="宋体" w:eastAsia="黑体" w:cs="黑体"/>
          <w:b w:val="0"/>
          <w:bCs w:val="0"/>
          <w:sz w:val="44"/>
          <w:szCs w:val="44"/>
          <w:bdr w:val="none" w:color="auto" w:sz="0" w:space="0"/>
        </w:rPr>
        <w:t>第一部分</w:t>
      </w:r>
      <w:r>
        <w:rPr>
          <w:rFonts w:hint="eastAsia" w:ascii="黑体" w:hAnsi="宋体" w:eastAsia="黑体" w:cs="黑体"/>
          <w:b w:val="0"/>
          <w:bCs w:val="0"/>
          <w:sz w:val="44"/>
          <w:szCs w:val="44"/>
          <w:bdr w:val="none" w:color="auto" w:sz="0" w:space="0"/>
        </w:rPr>
        <w:t>部门概况</w:t>
      </w:r>
    </w:p>
    <w:p w14:paraId="068B4B33">
      <w:pPr>
        <w:pStyle w:val="5"/>
        <w:keepNext w:val="0"/>
        <w:keepLines w:val="0"/>
        <w:widowControl/>
        <w:suppressLineNumbers w:val="0"/>
        <w:spacing w:before="0" w:beforeAutospacing="0" w:after="0" w:afterAutospacing="0"/>
        <w:ind w:left="0" w:right="0"/>
        <w:jc w:val="left"/>
        <w:rPr>
          <w:rFonts w:hint="default" w:ascii="Times New Roman" w:hAnsi="Times New Roman" w:cs="Times New Roman"/>
          <w:sz w:val="21"/>
          <w:szCs w:val="21"/>
        </w:rPr>
      </w:pPr>
      <w:r>
        <w:rPr>
          <w:rFonts w:hint="default" w:ascii="Times New Roman" w:hAnsi="Times New Roman" w:eastAsia="宋体" w:cs="Times New Roman"/>
          <w:sz w:val="21"/>
          <w:szCs w:val="21"/>
        </w:rPr>
        <w:t> </w:t>
      </w:r>
    </w:p>
    <w:p w14:paraId="608ABCA8">
      <w:pPr>
        <w:pStyle w:val="4"/>
        <w:keepNext w:val="0"/>
        <w:keepLines w:val="0"/>
        <w:widowControl/>
        <w:suppressLineNumbers w:val="0"/>
      </w:pPr>
      <w:r>
        <w:rPr>
          <w:rFonts w:hint="eastAsia" w:ascii="黑体" w:hAnsi="宋体" w:eastAsia="黑体" w:cs="黑体"/>
          <w:b w:val="0"/>
          <w:bCs w:val="0"/>
          <w:color w:val="000000"/>
          <w:sz w:val="32"/>
          <w:szCs w:val="32"/>
          <w:bdr w:val="none" w:color="auto" w:sz="0" w:space="0"/>
        </w:rPr>
        <w:t>一、基</w:t>
      </w:r>
      <w:r>
        <w:rPr>
          <w:rFonts w:hint="eastAsia" w:ascii="黑体" w:hAnsi="宋体" w:eastAsia="黑体" w:cs="黑体"/>
          <w:b w:val="0"/>
          <w:bCs w:val="0"/>
          <w:sz w:val="32"/>
          <w:szCs w:val="32"/>
          <w:bdr w:val="none" w:color="auto" w:sz="0" w:space="0"/>
        </w:rPr>
        <w:t>本职能及主要工作</w:t>
      </w:r>
    </w:p>
    <w:p w14:paraId="65C1A3CB">
      <w:pPr>
        <w:pStyle w:val="5"/>
        <w:keepNext w:val="0"/>
        <w:keepLines w:val="0"/>
        <w:widowControl/>
        <w:suppressLineNumbers w:val="0"/>
        <w:spacing w:before="93" w:beforeAutospacing="0" w:line="600" w:lineRule="atLeast"/>
        <w:ind w:left="0" w:firstLine="672"/>
        <w:jc w:val="both"/>
        <w:rPr>
          <w:sz w:val="24"/>
          <w:szCs w:val="24"/>
        </w:rPr>
      </w:pPr>
      <w:r>
        <w:rPr>
          <w:rFonts w:hint="default" w:ascii="Times New Roman" w:hAnsi="Times New Roman" w:eastAsia="宋体" w:cs="Times New Roman"/>
          <w:color w:val="000000"/>
          <w:sz w:val="32"/>
          <w:szCs w:val="32"/>
          <w:bdr w:val="none" w:color="auto" w:sz="0" w:space="0"/>
        </w:rPr>
        <w:t>（一）主要职能。县委党校主要职能是：</w:t>
      </w:r>
      <w:r>
        <w:rPr>
          <w:rFonts w:hint="eastAsia" w:ascii="宋体" w:hAnsi="宋体" w:eastAsia="宋体" w:cs="宋体"/>
          <w:color w:val="000000"/>
          <w:sz w:val="32"/>
          <w:szCs w:val="32"/>
          <w:bdr w:val="none" w:color="auto" w:sz="0" w:space="0"/>
        </w:rPr>
        <w:t>1.</w:t>
      </w:r>
      <w:r>
        <w:rPr>
          <w:rFonts w:hint="default" w:ascii="Times New Roman" w:hAnsi="Times New Roman" w:eastAsia="宋体" w:cs="Times New Roman"/>
          <w:color w:val="000000"/>
          <w:sz w:val="32"/>
          <w:szCs w:val="32"/>
          <w:bdr w:val="none" w:color="auto" w:sz="0" w:space="0"/>
        </w:rPr>
        <w:t>培训轮训全县科级干部、中青年后备干部、基层党员干部和少数民族干部，开展专业技术人员继续教育，负责县级有关部门和企事业单位的委托培训，围绕县委、县政府工作大局和干部培训所需开展科学研究。</w:t>
      </w:r>
      <w:r>
        <w:rPr>
          <w:rFonts w:ascii="??_GB2312" w:hAnsi="??_GB2312" w:eastAsia="??_GB2312" w:cs="??_GB2312"/>
          <w:color w:val="000000"/>
          <w:sz w:val="32"/>
          <w:szCs w:val="32"/>
          <w:bdr w:val="none" w:color="auto" w:sz="0" w:space="0"/>
        </w:rPr>
        <w:t>2.</w:t>
      </w:r>
      <w:r>
        <w:rPr>
          <w:rFonts w:hint="default" w:ascii="Times New Roman" w:hAnsi="Times New Roman" w:eastAsia="宋体" w:cs="Times New Roman"/>
          <w:color w:val="000000"/>
          <w:sz w:val="32"/>
          <w:szCs w:val="32"/>
          <w:bdr w:val="none" w:color="auto" w:sz="0" w:space="0"/>
        </w:rPr>
        <w:t>研究、宣传马列主义、毛泽东思想、邓小平理论、“三个代表”重要思想、科学发展观、习近平新时代中国特色社会主义思想等党的理论和党的路线政策方针。</w:t>
      </w:r>
      <w:r>
        <w:rPr>
          <w:rFonts w:hint="default" w:ascii="??_GB2312" w:hAnsi="??_GB2312" w:eastAsia="??_GB2312" w:cs="??_GB2312"/>
          <w:color w:val="000000"/>
          <w:sz w:val="32"/>
          <w:szCs w:val="32"/>
          <w:bdr w:val="none" w:color="auto" w:sz="0" w:space="0"/>
        </w:rPr>
        <w:t>3.</w:t>
      </w:r>
      <w:r>
        <w:rPr>
          <w:rFonts w:hint="default" w:ascii="Times New Roman" w:hAnsi="Times New Roman" w:eastAsia="宋体" w:cs="Times New Roman"/>
          <w:color w:val="000000"/>
          <w:sz w:val="32"/>
          <w:szCs w:val="32"/>
          <w:bdr w:val="none" w:color="auto" w:sz="0" w:space="0"/>
        </w:rPr>
        <w:t>围绕党的中心任务和县委的决策部署，对全县重大现实问题开展理论研究，将研究成果直接为教学服务，并为县委决策咨询提供参考。</w:t>
      </w:r>
      <w:r>
        <w:rPr>
          <w:rFonts w:hint="default" w:ascii="??_GB2312" w:hAnsi="??_GB2312" w:eastAsia="??_GB2312" w:cs="??_GB2312"/>
          <w:color w:val="000000"/>
          <w:sz w:val="32"/>
          <w:szCs w:val="32"/>
          <w:bdr w:val="none" w:color="auto" w:sz="0" w:space="0"/>
        </w:rPr>
        <w:t>4.</w:t>
      </w:r>
      <w:r>
        <w:rPr>
          <w:rFonts w:hint="default" w:ascii="Times New Roman" w:hAnsi="Times New Roman" w:eastAsia="宋体" w:cs="Times New Roman"/>
          <w:color w:val="000000"/>
          <w:sz w:val="32"/>
          <w:szCs w:val="32"/>
          <w:bdr w:val="none" w:color="auto" w:sz="0" w:space="0"/>
        </w:rPr>
        <w:t>协助县级各部门、各乡镇、县境内各企事业单位完成干部</w:t>
      </w:r>
      <w:r>
        <w:rPr>
          <w:rFonts w:hint="eastAsia" w:ascii="Times New Roman" w:hAnsi="Times New Roman" w:eastAsia="宋体" w:cs="Times New Roman"/>
          <w:color w:val="000000"/>
          <w:sz w:val="32"/>
          <w:szCs w:val="32"/>
          <w:bdr w:val="none" w:color="auto" w:sz="0" w:space="0"/>
          <w:lang w:eastAsia="zh-CN"/>
        </w:rPr>
        <w:t>人才</w:t>
      </w:r>
      <w:r>
        <w:rPr>
          <w:rFonts w:hint="default" w:ascii="Times New Roman" w:hAnsi="Times New Roman" w:eastAsia="宋体" w:cs="Times New Roman"/>
          <w:color w:val="000000"/>
          <w:sz w:val="32"/>
          <w:szCs w:val="32"/>
          <w:bdr w:val="none" w:color="auto" w:sz="0" w:space="0"/>
        </w:rPr>
        <w:t>培训任务。</w:t>
      </w:r>
      <w:r>
        <w:rPr>
          <w:rFonts w:hint="default" w:ascii="??_GB2312" w:hAnsi="??_GB2312" w:eastAsia="??_GB2312" w:cs="??_GB2312"/>
          <w:color w:val="000000"/>
          <w:sz w:val="32"/>
          <w:szCs w:val="32"/>
          <w:bdr w:val="none" w:color="auto" w:sz="0" w:space="0"/>
        </w:rPr>
        <w:t>5.</w:t>
      </w:r>
      <w:r>
        <w:rPr>
          <w:rFonts w:hint="default" w:ascii="Times New Roman" w:hAnsi="Times New Roman" w:eastAsia="宋体" w:cs="Times New Roman"/>
          <w:color w:val="000000"/>
          <w:sz w:val="32"/>
          <w:szCs w:val="32"/>
          <w:bdr w:val="none" w:color="auto" w:sz="0" w:space="0"/>
        </w:rPr>
        <w:t>负责对全县乡镇党校进行业务指导。</w:t>
      </w:r>
      <w:r>
        <w:rPr>
          <w:rFonts w:hint="default" w:ascii="??_GB2312" w:hAnsi="??_GB2312" w:eastAsia="??_GB2312" w:cs="??_GB2312"/>
          <w:color w:val="000000"/>
          <w:sz w:val="32"/>
          <w:szCs w:val="32"/>
          <w:bdr w:val="none" w:color="auto" w:sz="0" w:space="0"/>
        </w:rPr>
        <w:t>6.</w:t>
      </w:r>
      <w:r>
        <w:rPr>
          <w:rFonts w:hint="default" w:ascii="Times New Roman" w:hAnsi="Times New Roman" w:eastAsia="宋体" w:cs="Times New Roman"/>
          <w:color w:val="000000"/>
          <w:sz w:val="32"/>
          <w:szCs w:val="32"/>
          <w:bdr w:val="none" w:color="auto" w:sz="0" w:space="0"/>
        </w:rPr>
        <w:t>负责对全县公务员培训，晋升职务任前培训、新录用公务员岗</w:t>
      </w:r>
      <w:r>
        <w:rPr>
          <w:rFonts w:hint="eastAsia" w:ascii="Times New Roman" w:hAnsi="Times New Roman" w:eastAsia="宋体" w:cs="Times New Roman"/>
          <w:color w:val="000000"/>
          <w:sz w:val="32"/>
          <w:szCs w:val="32"/>
          <w:bdr w:val="none" w:color="auto" w:sz="0" w:space="0"/>
          <w:lang w:eastAsia="zh-CN"/>
        </w:rPr>
        <w:t>前</w:t>
      </w:r>
      <w:r>
        <w:rPr>
          <w:rFonts w:hint="default" w:ascii="Times New Roman" w:hAnsi="Times New Roman" w:eastAsia="宋体" w:cs="Times New Roman"/>
          <w:color w:val="000000"/>
          <w:sz w:val="32"/>
          <w:szCs w:val="32"/>
          <w:bdr w:val="none" w:color="auto" w:sz="0" w:space="0"/>
        </w:rPr>
        <w:t>培训、知识更新培训等；开展劳务输出和劳动技能培训；负责企、事业单位或部门的委托培训。</w:t>
      </w:r>
      <w:r>
        <w:rPr>
          <w:rFonts w:hint="default" w:ascii="??_GB2312" w:hAnsi="??_GB2312" w:eastAsia="??_GB2312" w:cs="??_GB2312"/>
          <w:color w:val="000000"/>
          <w:sz w:val="32"/>
          <w:szCs w:val="32"/>
          <w:bdr w:val="none" w:color="auto" w:sz="0" w:space="0"/>
        </w:rPr>
        <w:t>7.</w:t>
      </w:r>
      <w:r>
        <w:rPr>
          <w:rFonts w:hint="default" w:ascii="Times New Roman" w:hAnsi="Times New Roman" w:eastAsia="宋体" w:cs="Times New Roman"/>
          <w:color w:val="000000"/>
          <w:sz w:val="32"/>
          <w:szCs w:val="32"/>
          <w:bdr w:val="none" w:color="auto" w:sz="0" w:space="0"/>
        </w:rPr>
        <w:t>承办县委、县政府和上级党校交办的其他事项。</w:t>
      </w:r>
    </w:p>
    <w:p w14:paraId="23F6B466">
      <w:pPr>
        <w:pStyle w:val="5"/>
        <w:keepNext w:val="0"/>
        <w:keepLines w:val="0"/>
        <w:widowControl/>
        <w:suppressLineNumbers w:val="0"/>
        <w:spacing w:before="0" w:beforeAutospacing="0" w:after="0" w:afterAutospacing="0" w:line="600" w:lineRule="atLeast"/>
        <w:ind w:left="0" w:right="0" w:firstLine="640"/>
        <w:jc w:val="left"/>
        <w:rPr>
          <w:rFonts w:hint="default" w:ascii="Times New Roman" w:hAnsi="Times New Roman" w:cs="Times New Roman"/>
          <w:sz w:val="21"/>
          <w:szCs w:val="21"/>
        </w:rPr>
      </w:pPr>
      <w:r>
        <w:rPr>
          <w:rFonts w:hint="eastAsia" w:ascii="仿宋" w:hAnsi="仿宋" w:eastAsia="仿宋" w:cs="仿宋"/>
          <w:color w:val="000000"/>
          <w:sz w:val="32"/>
          <w:szCs w:val="32"/>
        </w:rPr>
        <w:t>（二）2019年重点工作完成情况。</w:t>
      </w:r>
      <w:r>
        <w:rPr>
          <w:rFonts w:hint="eastAsia" w:ascii="宋体" w:hAnsi="宋体" w:eastAsia="宋体" w:cs="宋体"/>
          <w:sz w:val="32"/>
          <w:szCs w:val="32"/>
        </w:rPr>
        <w:t>年初以来，围绕</w:t>
      </w:r>
      <w:r>
        <w:rPr>
          <w:rFonts w:hint="eastAsia" w:ascii="宋体" w:hAnsi="宋体" w:eastAsia="宋体" w:cs="宋体"/>
          <w:sz w:val="32"/>
          <w:szCs w:val="32"/>
          <w:lang w:eastAsia="zh-CN"/>
        </w:rPr>
        <w:t>县委、县政府</w:t>
      </w:r>
      <w:r>
        <w:rPr>
          <w:rFonts w:hint="eastAsia" w:ascii="宋体" w:hAnsi="宋体" w:eastAsia="宋体" w:cs="宋体"/>
          <w:sz w:val="32"/>
          <w:szCs w:val="32"/>
        </w:rPr>
        <w:t>工作重点，在抓好主体班次培训的基础上，与县委组织部、县教育局、县自然资源局等部门通力配合，举办党支部书记、党务干部、村干部业务能力提升培训、脱贫攻坚专题培训等培训班，截至目前，共举办县乡村振兴人才培训班</w:t>
      </w:r>
      <w:r>
        <w:rPr>
          <w:rFonts w:hint="default" w:ascii="Times New Roman" w:hAnsi="Times New Roman" w:eastAsia="宋体" w:cs="Times New Roman"/>
          <w:sz w:val="32"/>
          <w:szCs w:val="32"/>
        </w:rPr>
        <w:t>2</w:t>
      </w:r>
      <w:r>
        <w:rPr>
          <w:rFonts w:hint="eastAsia" w:ascii="宋体" w:hAnsi="宋体" w:eastAsia="宋体" w:cs="宋体"/>
          <w:sz w:val="32"/>
          <w:szCs w:val="32"/>
        </w:rPr>
        <w:t>期，</w:t>
      </w:r>
      <w:r>
        <w:rPr>
          <w:rFonts w:hint="default" w:ascii="Times New Roman" w:hAnsi="Times New Roman" w:eastAsia="宋体" w:cs="Times New Roman"/>
          <w:sz w:val="32"/>
          <w:szCs w:val="32"/>
        </w:rPr>
        <w:t>40</w:t>
      </w:r>
      <w:r>
        <w:rPr>
          <w:rFonts w:hint="eastAsia" w:ascii="宋体" w:hAnsi="宋体" w:eastAsia="宋体" w:cs="宋体"/>
          <w:sz w:val="32"/>
          <w:szCs w:val="32"/>
        </w:rPr>
        <w:t>学时；举办入党积极分子培训班</w:t>
      </w:r>
      <w:r>
        <w:rPr>
          <w:rFonts w:hint="default" w:ascii="Times New Roman" w:hAnsi="Times New Roman" w:eastAsia="宋体" w:cs="Times New Roman"/>
          <w:sz w:val="32"/>
          <w:szCs w:val="32"/>
        </w:rPr>
        <w:t>1</w:t>
      </w:r>
      <w:r>
        <w:rPr>
          <w:rFonts w:hint="eastAsia" w:ascii="宋体" w:hAnsi="宋体" w:eastAsia="宋体" w:cs="宋体"/>
          <w:sz w:val="32"/>
          <w:szCs w:val="32"/>
        </w:rPr>
        <w:t>期，</w:t>
      </w:r>
      <w:r>
        <w:rPr>
          <w:rFonts w:hint="default" w:ascii="Times New Roman" w:hAnsi="Times New Roman" w:eastAsia="宋体" w:cs="Times New Roman"/>
          <w:sz w:val="32"/>
          <w:szCs w:val="32"/>
        </w:rPr>
        <w:t>16</w:t>
      </w:r>
      <w:r>
        <w:rPr>
          <w:rFonts w:hint="eastAsia" w:ascii="宋体" w:hAnsi="宋体" w:eastAsia="宋体" w:cs="宋体"/>
          <w:sz w:val="32"/>
          <w:szCs w:val="32"/>
        </w:rPr>
        <w:t>学时；协助举办全县高质量脱贫摘帽培训班</w:t>
      </w:r>
      <w:r>
        <w:rPr>
          <w:rFonts w:hint="default" w:ascii="Times New Roman" w:hAnsi="Times New Roman" w:eastAsia="宋体" w:cs="Times New Roman"/>
          <w:sz w:val="32"/>
          <w:szCs w:val="32"/>
        </w:rPr>
        <w:t>3</w:t>
      </w:r>
      <w:r>
        <w:rPr>
          <w:rFonts w:hint="eastAsia" w:ascii="宋体" w:hAnsi="宋体" w:eastAsia="宋体" w:cs="宋体"/>
          <w:sz w:val="32"/>
          <w:szCs w:val="32"/>
        </w:rPr>
        <w:t>期，</w:t>
      </w:r>
      <w:r>
        <w:rPr>
          <w:rFonts w:hint="default" w:ascii="Times New Roman" w:hAnsi="Times New Roman" w:eastAsia="宋体" w:cs="Times New Roman"/>
          <w:sz w:val="32"/>
          <w:szCs w:val="32"/>
        </w:rPr>
        <w:t>24</w:t>
      </w:r>
      <w:r>
        <w:rPr>
          <w:rFonts w:hint="eastAsia" w:ascii="宋体" w:hAnsi="宋体" w:eastAsia="宋体" w:cs="宋体"/>
          <w:sz w:val="32"/>
          <w:szCs w:val="32"/>
        </w:rPr>
        <w:t>学时；协助举办教育系统党组织书记培训班</w:t>
      </w:r>
      <w:r>
        <w:rPr>
          <w:rFonts w:hint="default" w:ascii="Times New Roman" w:hAnsi="Times New Roman" w:eastAsia="宋体" w:cs="Times New Roman"/>
          <w:sz w:val="32"/>
          <w:szCs w:val="32"/>
        </w:rPr>
        <w:t>1</w:t>
      </w:r>
      <w:r>
        <w:rPr>
          <w:rFonts w:hint="eastAsia" w:ascii="宋体" w:hAnsi="宋体" w:eastAsia="宋体" w:cs="宋体"/>
          <w:sz w:val="32"/>
          <w:szCs w:val="32"/>
        </w:rPr>
        <w:t>期，</w:t>
      </w:r>
      <w:r>
        <w:rPr>
          <w:rFonts w:hint="default" w:ascii="Times New Roman" w:hAnsi="Times New Roman" w:eastAsia="宋体" w:cs="Times New Roman"/>
          <w:sz w:val="32"/>
          <w:szCs w:val="32"/>
        </w:rPr>
        <w:t>24</w:t>
      </w:r>
      <w:r>
        <w:rPr>
          <w:rFonts w:hint="eastAsia" w:ascii="宋体" w:hAnsi="宋体" w:eastAsia="宋体" w:cs="宋体"/>
          <w:sz w:val="32"/>
          <w:szCs w:val="32"/>
        </w:rPr>
        <w:t>学时；党务干事培训班</w:t>
      </w:r>
      <w:r>
        <w:rPr>
          <w:rFonts w:hint="default" w:ascii="Times New Roman" w:hAnsi="Times New Roman" w:eastAsia="宋体" w:cs="Times New Roman"/>
          <w:sz w:val="32"/>
          <w:szCs w:val="32"/>
        </w:rPr>
        <w:t>1</w:t>
      </w:r>
      <w:r>
        <w:rPr>
          <w:rFonts w:hint="eastAsia" w:ascii="宋体" w:hAnsi="宋体" w:eastAsia="宋体" w:cs="宋体"/>
          <w:sz w:val="32"/>
          <w:szCs w:val="32"/>
        </w:rPr>
        <w:t>期，</w:t>
      </w:r>
      <w:r>
        <w:rPr>
          <w:rFonts w:hint="default" w:ascii="Times New Roman" w:hAnsi="Times New Roman" w:eastAsia="宋体" w:cs="Times New Roman"/>
          <w:sz w:val="32"/>
          <w:szCs w:val="32"/>
        </w:rPr>
        <w:t>24</w:t>
      </w:r>
      <w:r>
        <w:rPr>
          <w:rFonts w:hint="eastAsia" w:ascii="宋体" w:hAnsi="宋体" w:eastAsia="宋体" w:cs="宋体"/>
          <w:sz w:val="32"/>
          <w:szCs w:val="32"/>
        </w:rPr>
        <w:t>学时。总课时</w:t>
      </w:r>
      <w:r>
        <w:rPr>
          <w:rFonts w:hint="default" w:ascii="Times New Roman" w:hAnsi="Times New Roman" w:eastAsia="宋体" w:cs="Times New Roman"/>
          <w:sz w:val="32"/>
          <w:szCs w:val="32"/>
        </w:rPr>
        <w:t>128</w:t>
      </w:r>
      <w:r>
        <w:rPr>
          <w:rFonts w:hint="eastAsia" w:ascii="宋体" w:hAnsi="宋体" w:eastAsia="宋体" w:cs="宋体"/>
          <w:sz w:val="32"/>
          <w:szCs w:val="32"/>
        </w:rPr>
        <w:t>课时，其中党性教育课时为</w:t>
      </w:r>
      <w:r>
        <w:rPr>
          <w:rFonts w:hint="default" w:ascii="Times New Roman" w:hAnsi="Times New Roman" w:eastAsia="宋体" w:cs="Times New Roman"/>
          <w:sz w:val="32"/>
          <w:szCs w:val="32"/>
        </w:rPr>
        <w:t>32</w:t>
      </w:r>
      <w:r>
        <w:rPr>
          <w:rFonts w:hint="eastAsia" w:ascii="宋体" w:hAnsi="宋体" w:eastAsia="宋体" w:cs="宋体"/>
          <w:sz w:val="32"/>
          <w:szCs w:val="32"/>
        </w:rPr>
        <w:t>课时，占总课时的</w:t>
      </w:r>
      <w:r>
        <w:rPr>
          <w:rFonts w:hint="default" w:ascii="Times New Roman" w:hAnsi="Times New Roman" w:eastAsia="宋体" w:cs="Times New Roman"/>
          <w:sz w:val="32"/>
          <w:szCs w:val="32"/>
        </w:rPr>
        <w:t>25%</w:t>
      </w:r>
      <w:r>
        <w:rPr>
          <w:rFonts w:hint="eastAsia" w:ascii="宋体" w:hAnsi="宋体" w:eastAsia="宋体" w:cs="宋体"/>
          <w:sz w:val="32"/>
          <w:szCs w:val="32"/>
        </w:rPr>
        <w:t>。</w:t>
      </w:r>
    </w:p>
    <w:p w14:paraId="375B290B">
      <w:pPr>
        <w:pStyle w:val="5"/>
        <w:keepNext w:val="0"/>
        <w:keepLines w:val="0"/>
        <w:widowControl/>
        <w:suppressLineNumbers w:val="0"/>
        <w:spacing w:before="0" w:beforeAutospacing="0" w:after="0" w:afterAutospacing="0"/>
        <w:ind w:left="0" w:right="0" w:firstLine="640"/>
        <w:jc w:val="both"/>
        <w:rPr>
          <w:rFonts w:hint="default" w:ascii="Times New Roman" w:hAnsi="Times New Roman" w:cs="Times New Roman"/>
          <w:sz w:val="21"/>
          <w:szCs w:val="21"/>
        </w:rPr>
      </w:pPr>
      <w:r>
        <w:rPr>
          <w:rFonts w:hint="eastAsia" w:ascii="宋体" w:hAnsi="宋体" w:eastAsia="宋体" w:cs="宋体"/>
          <w:sz w:val="32"/>
          <w:szCs w:val="32"/>
        </w:rPr>
        <w:t>聚焦峨边经济社会发展，组织骨干教师深入基层一线开展调查研究。</w:t>
      </w:r>
      <w:r>
        <w:rPr>
          <w:rFonts w:hint="default" w:ascii="Times New Roman" w:hAnsi="Times New Roman" w:eastAsia="宋体" w:cs="Times New Roman"/>
          <w:sz w:val="32"/>
          <w:szCs w:val="32"/>
        </w:rPr>
        <w:t>2019</w:t>
      </w:r>
      <w:r>
        <w:rPr>
          <w:rFonts w:hint="eastAsia" w:ascii="宋体" w:hAnsi="宋体" w:eastAsia="宋体" w:cs="宋体"/>
          <w:sz w:val="32"/>
          <w:szCs w:val="32"/>
        </w:rPr>
        <w:t>年向邓小平理论研究会提交论文《实现伟大理想必须进行伟大斗争的基层视角》</w:t>
      </w:r>
      <w:r>
        <w:rPr>
          <w:rFonts w:hint="default" w:ascii="Times New Roman" w:hAnsi="Times New Roman" w:eastAsia="宋体" w:cs="Times New Roman"/>
          <w:sz w:val="32"/>
          <w:szCs w:val="32"/>
        </w:rPr>
        <w:t>1</w:t>
      </w:r>
      <w:r>
        <w:rPr>
          <w:rFonts w:hint="eastAsia" w:ascii="宋体" w:hAnsi="宋体" w:eastAsia="宋体" w:cs="宋体"/>
          <w:sz w:val="32"/>
          <w:szCs w:val="32"/>
        </w:rPr>
        <w:t>篇；向市委党校提交《峨边人居环境整治与提升移风易俗策略探讨》课题</w:t>
      </w:r>
      <w:r>
        <w:rPr>
          <w:rFonts w:hint="default" w:ascii="Times New Roman" w:hAnsi="Times New Roman" w:eastAsia="宋体" w:cs="Times New Roman"/>
          <w:sz w:val="32"/>
          <w:szCs w:val="32"/>
        </w:rPr>
        <w:t>1</w:t>
      </w:r>
      <w:r>
        <w:rPr>
          <w:rFonts w:hint="eastAsia" w:ascii="宋体" w:hAnsi="宋体" w:eastAsia="宋体" w:cs="宋体"/>
          <w:sz w:val="32"/>
          <w:szCs w:val="32"/>
        </w:rPr>
        <w:t>个；向乐山市社科联提交《峨边民宿旅游发展探讨》课题</w:t>
      </w:r>
      <w:r>
        <w:rPr>
          <w:rFonts w:hint="default" w:ascii="Times New Roman" w:hAnsi="Times New Roman" w:eastAsia="宋体" w:cs="Times New Roman"/>
          <w:sz w:val="32"/>
          <w:szCs w:val="32"/>
        </w:rPr>
        <w:t>1</w:t>
      </w:r>
      <w:r>
        <w:rPr>
          <w:rFonts w:hint="eastAsia" w:ascii="宋体" w:hAnsi="宋体" w:eastAsia="宋体" w:cs="宋体"/>
          <w:sz w:val="32"/>
          <w:szCs w:val="32"/>
        </w:rPr>
        <w:t>个，并参加乐山市社科联第十八届社科成果评奖。</w:t>
      </w:r>
    </w:p>
    <w:p w14:paraId="183AAFF5">
      <w:pPr>
        <w:pStyle w:val="5"/>
        <w:keepNext w:val="0"/>
        <w:keepLines w:val="0"/>
        <w:widowControl/>
        <w:suppressLineNumbers w:val="0"/>
        <w:spacing w:before="0" w:beforeAutospacing="0" w:after="0" w:afterAutospacing="0"/>
        <w:ind w:left="0" w:right="0" w:firstLine="640"/>
        <w:jc w:val="both"/>
        <w:rPr>
          <w:rFonts w:hint="default" w:ascii="Times New Roman" w:hAnsi="Times New Roman" w:cs="Times New Roman"/>
          <w:sz w:val="21"/>
          <w:szCs w:val="21"/>
        </w:rPr>
      </w:pPr>
      <w:r>
        <w:rPr>
          <w:rFonts w:hint="eastAsia" w:ascii="宋体" w:hAnsi="宋体" w:eastAsia="宋体" w:cs="宋体"/>
          <w:sz w:val="32"/>
          <w:szCs w:val="32"/>
        </w:rPr>
        <w:t>为适应新形势下的党校工作，按照《全省县级党校（行政学校）办学质量评估体系》文件要求，开展办学质量自查，针对基础建设方面存在的短板，积极对标补短，建设新形势下的民族地区新党校。目前，党校建设新建项目已纳入</w:t>
      </w:r>
      <w:r>
        <w:rPr>
          <w:rFonts w:hint="default" w:ascii="Times New Roman" w:hAnsi="Times New Roman" w:eastAsia="宋体" w:cs="Times New Roman"/>
          <w:sz w:val="32"/>
          <w:szCs w:val="32"/>
        </w:rPr>
        <w:t>“</w:t>
      </w:r>
      <w:r>
        <w:rPr>
          <w:rFonts w:hint="eastAsia" w:ascii="宋体" w:hAnsi="宋体" w:eastAsia="宋体" w:cs="宋体"/>
          <w:sz w:val="32"/>
          <w:szCs w:val="32"/>
        </w:rPr>
        <w:t>十四五</w:t>
      </w:r>
      <w:r>
        <w:rPr>
          <w:rFonts w:hint="default" w:ascii="Times New Roman" w:hAnsi="Times New Roman" w:eastAsia="宋体" w:cs="Times New Roman"/>
          <w:sz w:val="32"/>
          <w:szCs w:val="32"/>
        </w:rPr>
        <w:t>”</w:t>
      </w:r>
      <w:r>
        <w:rPr>
          <w:rFonts w:hint="eastAsia" w:ascii="宋体" w:hAnsi="宋体" w:eastAsia="宋体" w:cs="宋体"/>
          <w:sz w:val="32"/>
          <w:szCs w:val="32"/>
        </w:rPr>
        <w:t>规划，党校新校区选址</w:t>
      </w:r>
      <w:r>
        <w:rPr>
          <w:rFonts w:hint="eastAsia" w:ascii="宋体" w:hAnsi="宋体" w:eastAsia="宋体" w:cs="宋体"/>
          <w:sz w:val="32"/>
          <w:szCs w:val="32"/>
          <w:lang w:eastAsia="zh-CN"/>
        </w:rPr>
        <w:t>峨边彝族自治县</w:t>
      </w:r>
      <w:r>
        <w:rPr>
          <w:rFonts w:hint="eastAsia" w:ascii="宋体" w:hAnsi="宋体" w:eastAsia="宋体" w:cs="宋体"/>
          <w:sz w:val="32"/>
          <w:szCs w:val="32"/>
        </w:rPr>
        <w:t>沙坪茶场片区，已进行控制性规划，纳入</w:t>
      </w:r>
      <w:r>
        <w:rPr>
          <w:rFonts w:hint="default" w:ascii="Times New Roman" w:hAnsi="Times New Roman" w:eastAsia="宋体" w:cs="Times New Roman"/>
          <w:sz w:val="32"/>
          <w:szCs w:val="32"/>
        </w:rPr>
        <w:t>2019</w:t>
      </w:r>
      <w:r>
        <w:rPr>
          <w:rFonts w:hint="eastAsia" w:ascii="宋体" w:hAnsi="宋体" w:eastAsia="宋体" w:cs="宋体"/>
          <w:sz w:val="32"/>
          <w:szCs w:val="32"/>
        </w:rPr>
        <w:t>年项目储备库。</w:t>
      </w:r>
    </w:p>
    <w:p w14:paraId="7FF5074B">
      <w:pPr>
        <w:pStyle w:val="5"/>
        <w:keepNext w:val="0"/>
        <w:keepLines w:val="0"/>
        <w:widowControl/>
        <w:suppressLineNumbers w:val="0"/>
        <w:spacing w:before="0" w:beforeAutospacing="0" w:after="0" w:afterAutospacing="0"/>
        <w:ind w:left="0" w:right="0" w:firstLine="640"/>
        <w:jc w:val="both"/>
        <w:rPr>
          <w:rFonts w:hint="default" w:ascii="Times New Roman" w:hAnsi="Times New Roman" w:cs="Times New Roman"/>
          <w:sz w:val="21"/>
          <w:szCs w:val="21"/>
        </w:rPr>
      </w:pPr>
      <w:r>
        <w:rPr>
          <w:rFonts w:hint="eastAsia" w:ascii="黑体" w:hAnsi="宋体" w:eastAsia="黑体" w:cs="黑体"/>
          <w:b w:val="0"/>
          <w:bCs w:val="0"/>
          <w:sz w:val="32"/>
          <w:szCs w:val="32"/>
        </w:rPr>
        <w:t>二、机构设置</w:t>
      </w:r>
    </w:p>
    <w:p w14:paraId="148ED270">
      <w:pPr>
        <w:pStyle w:val="5"/>
        <w:keepNext w:val="0"/>
        <w:keepLines w:val="0"/>
        <w:widowControl/>
        <w:suppressLineNumbers w:val="0"/>
        <w:spacing w:before="0" w:beforeAutospacing="0" w:after="0" w:afterAutospacing="0"/>
        <w:ind w:left="0" w:right="0" w:firstLine="640"/>
        <w:jc w:val="both"/>
        <w:rPr>
          <w:rFonts w:hint="default" w:ascii="Times New Roman" w:hAnsi="Times New Roman" w:cs="Times New Roman"/>
          <w:sz w:val="21"/>
          <w:szCs w:val="21"/>
        </w:rPr>
      </w:pPr>
      <w:r>
        <w:rPr>
          <w:rFonts w:hint="default" w:ascii="Times New Roman" w:hAnsi="Times New Roman" w:eastAsia="宋体" w:cs="Times New Roman"/>
          <w:color w:val="000000"/>
          <w:sz w:val="32"/>
          <w:szCs w:val="32"/>
        </w:rPr>
        <w:t>县委党校属参照公务员法管理的事业单位，无下属二级决算单位，部门现有编制10人，在岗在编</w:t>
      </w:r>
      <w:r>
        <w:rPr>
          <w:rFonts w:hint="default" w:ascii="??_GB2312" w:hAnsi="??_GB2312" w:eastAsia="??_GB2312" w:cs="??_GB2312"/>
          <w:color w:val="000000"/>
          <w:sz w:val="32"/>
          <w:szCs w:val="32"/>
        </w:rPr>
        <w:t>10</w:t>
      </w:r>
      <w:r>
        <w:rPr>
          <w:rFonts w:hint="default" w:ascii="Times New Roman" w:hAnsi="Times New Roman" w:eastAsia="宋体" w:cs="Times New Roman"/>
          <w:color w:val="000000"/>
          <w:sz w:val="32"/>
          <w:szCs w:val="32"/>
        </w:rPr>
        <w:t>人，离休人员</w:t>
      </w:r>
      <w:r>
        <w:rPr>
          <w:rFonts w:hint="default" w:ascii="??_GB2312" w:hAnsi="??_GB2312" w:eastAsia="??_GB2312" w:cs="??_GB2312"/>
          <w:color w:val="000000"/>
          <w:sz w:val="32"/>
          <w:szCs w:val="32"/>
        </w:rPr>
        <w:t>1</w:t>
      </w:r>
      <w:r>
        <w:rPr>
          <w:rFonts w:hint="default" w:ascii="Times New Roman" w:hAnsi="Times New Roman" w:eastAsia="宋体" w:cs="Times New Roman"/>
          <w:color w:val="000000"/>
          <w:sz w:val="32"/>
          <w:szCs w:val="32"/>
        </w:rPr>
        <w:t>名，退休人员</w:t>
      </w:r>
      <w:r>
        <w:rPr>
          <w:rFonts w:hint="default" w:ascii="??_GB2312" w:hAnsi="??_GB2312" w:eastAsia="??_GB2312" w:cs="??_GB2312"/>
          <w:color w:val="000000"/>
          <w:sz w:val="32"/>
          <w:szCs w:val="32"/>
        </w:rPr>
        <w:t>10</w:t>
      </w:r>
      <w:r>
        <w:rPr>
          <w:rFonts w:hint="default" w:ascii="Times New Roman" w:hAnsi="Times New Roman" w:eastAsia="宋体" w:cs="Times New Roman"/>
          <w:color w:val="000000"/>
          <w:sz w:val="32"/>
          <w:szCs w:val="32"/>
        </w:rPr>
        <w:t>名。</w:t>
      </w:r>
    </w:p>
    <w:p w14:paraId="4E8ECEA6">
      <w:pPr>
        <w:pStyle w:val="5"/>
        <w:keepNext w:val="0"/>
        <w:keepLines w:val="0"/>
        <w:widowControl/>
        <w:suppressLineNumbers w:val="0"/>
        <w:spacing w:before="0" w:beforeAutospacing="0" w:after="0" w:afterAutospacing="0"/>
        <w:ind w:left="0" w:right="0" w:firstLine="640"/>
        <w:jc w:val="both"/>
        <w:rPr>
          <w:rFonts w:hint="default" w:ascii="Times New Roman" w:hAnsi="Times New Roman" w:cs="Times New Roman"/>
          <w:sz w:val="21"/>
          <w:szCs w:val="21"/>
        </w:rPr>
      </w:pPr>
      <w:r>
        <w:rPr>
          <w:rFonts w:hint="default" w:ascii="Times New Roman" w:hAnsi="Times New Roman" w:eastAsia="宋体" w:cs="Times New Roman"/>
          <w:sz w:val="21"/>
          <w:szCs w:val="21"/>
        </w:rPr>
        <w:t> </w:t>
      </w:r>
    </w:p>
    <w:p w14:paraId="5649BB74">
      <w:pPr>
        <w:pStyle w:val="5"/>
        <w:keepNext w:val="0"/>
        <w:keepLines w:val="0"/>
        <w:widowControl/>
        <w:suppressLineNumbers w:val="0"/>
        <w:spacing w:before="0" w:beforeAutospacing="0" w:after="0" w:afterAutospacing="0"/>
        <w:ind w:left="0" w:right="0" w:firstLine="880"/>
        <w:jc w:val="both"/>
        <w:rPr>
          <w:rFonts w:hint="default" w:ascii="Times New Roman" w:hAnsi="Times New Roman" w:cs="Times New Roman"/>
          <w:sz w:val="21"/>
          <w:szCs w:val="21"/>
        </w:rPr>
      </w:pPr>
      <w:r>
        <w:rPr>
          <w:rFonts w:hint="eastAsia" w:ascii="黑体" w:hAnsi="宋体" w:eastAsia="黑体" w:cs="黑体"/>
          <w:b w:val="0"/>
          <w:bCs w:val="0"/>
          <w:sz w:val="44"/>
          <w:szCs w:val="44"/>
        </w:rPr>
        <w:t>第二部分 2019年度部门决算情况说明</w:t>
      </w:r>
    </w:p>
    <w:p w14:paraId="7736BCA7">
      <w:pPr>
        <w:pStyle w:val="5"/>
        <w:keepNext w:val="0"/>
        <w:keepLines w:val="0"/>
        <w:widowControl/>
        <w:suppressLineNumbers w:val="0"/>
        <w:spacing w:before="0" w:beforeAutospacing="0" w:after="0" w:afterAutospacing="0"/>
        <w:ind w:left="0" w:right="0"/>
        <w:jc w:val="both"/>
        <w:rPr>
          <w:rFonts w:hint="default" w:ascii="Times New Roman" w:hAnsi="Times New Roman" w:cs="Times New Roman"/>
          <w:sz w:val="21"/>
          <w:szCs w:val="21"/>
        </w:rPr>
      </w:pPr>
      <w:r>
        <w:rPr>
          <w:rFonts w:hint="default" w:ascii="Times New Roman" w:hAnsi="Times New Roman" w:eastAsia="宋体" w:cs="Times New Roman"/>
          <w:sz w:val="21"/>
          <w:szCs w:val="21"/>
        </w:rPr>
        <w:t> </w:t>
      </w:r>
    </w:p>
    <w:p w14:paraId="351E2DD0">
      <w:pPr>
        <w:pStyle w:val="5"/>
        <w:keepNext w:val="0"/>
        <w:keepLines w:val="0"/>
        <w:widowControl/>
        <w:suppressLineNumbers w:val="0"/>
        <w:spacing w:before="0" w:beforeAutospacing="0" w:after="0" w:afterAutospacing="0" w:line="600" w:lineRule="atLeast"/>
        <w:ind w:left="1360" w:right="0" w:hanging="720"/>
        <w:jc w:val="both"/>
        <w:rPr>
          <w:rFonts w:hint="default" w:ascii="Times New Roman" w:hAnsi="Times New Roman" w:cs="Times New Roman"/>
          <w:sz w:val="21"/>
          <w:szCs w:val="21"/>
        </w:rPr>
      </w:pPr>
      <w:r>
        <w:rPr>
          <w:rFonts w:hint="eastAsia" w:ascii="黑体" w:hAnsi="宋体" w:eastAsia="黑体" w:cs="黑体"/>
          <w:b w:val="0"/>
          <w:bCs w:val="0"/>
          <w:color w:val="000000"/>
          <w:sz w:val="32"/>
          <w:szCs w:val="32"/>
        </w:rPr>
        <w:t>一、 </w:t>
      </w:r>
      <w:r>
        <w:rPr>
          <w:rFonts w:hint="eastAsia" w:ascii="黑体" w:hAnsi="宋体" w:eastAsia="黑体" w:cs="黑体"/>
          <w:color w:val="000000"/>
          <w:sz w:val="32"/>
          <w:szCs w:val="32"/>
        </w:rPr>
        <w:t>收</w:t>
      </w:r>
      <w:r>
        <w:rPr>
          <w:rFonts w:hint="eastAsia" w:ascii="黑体" w:hAnsi="宋体" w:eastAsia="黑体" w:cs="黑体"/>
          <w:b w:val="0"/>
          <w:bCs w:val="0"/>
          <w:sz w:val="32"/>
          <w:szCs w:val="32"/>
        </w:rPr>
        <w:t>入支出决算总体情况说明</w:t>
      </w:r>
    </w:p>
    <w:p w14:paraId="1377273D">
      <w:pPr>
        <w:pStyle w:val="5"/>
        <w:keepNext w:val="0"/>
        <w:keepLines w:val="0"/>
        <w:widowControl/>
        <w:suppressLineNumbers w:val="0"/>
        <w:spacing w:before="0" w:beforeAutospacing="0" w:after="0" w:afterAutospacing="0" w:line="600" w:lineRule="atLeast"/>
        <w:ind w:left="0" w:right="0" w:firstLine="640"/>
        <w:jc w:val="both"/>
        <w:rPr>
          <w:rFonts w:hint="default" w:ascii="Times New Roman" w:hAnsi="Times New Roman" w:cs="Times New Roman"/>
          <w:sz w:val="21"/>
          <w:szCs w:val="21"/>
        </w:rPr>
      </w:pPr>
      <w:r>
        <w:rPr>
          <w:rFonts w:hint="eastAsia" w:ascii="仿宋" w:hAnsi="仿宋" w:eastAsia="仿宋" w:cs="仿宋"/>
          <w:color w:val="000000"/>
          <w:sz w:val="32"/>
          <w:szCs w:val="32"/>
        </w:rPr>
        <w:t>2019年度收、支总计624.74万元。与2018年相比，收、支各增加172.52万元</w:t>
      </w:r>
      <w:r>
        <w:rPr>
          <w:rFonts w:hint="eastAsia" w:ascii="仿宋" w:hAnsi="仿宋" w:cs="仿宋"/>
          <w:color w:val="000000"/>
          <w:sz w:val="32"/>
          <w:szCs w:val="32"/>
          <w:lang w:eastAsia="zh-CN"/>
        </w:rPr>
        <w:t>，</w:t>
      </w:r>
      <w:r>
        <w:rPr>
          <w:rFonts w:hint="eastAsia" w:ascii="仿宋" w:hAnsi="仿宋" w:eastAsia="仿宋" w:cs="仿宋"/>
          <w:color w:val="000000"/>
          <w:sz w:val="32"/>
          <w:szCs w:val="32"/>
        </w:rPr>
        <w:t>增长38 %。主要变动原因是1.今年维修了</w:t>
      </w:r>
      <w:r>
        <w:rPr>
          <w:rFonts w:hint="eastAsia" w:ascii="宋体" w:hAnsi="宋体" w:eastAsia="宋体" w:cs="宋体"/>
          <w:color w:val="000000"/>
          <w:sz w:val="32"/>
          <w:szCs w:val="32"/>
        </w:rPr>
        <w:t>党校会议室</w:t>
      </w:r>
      <w:r>
        <w:rPr>
          <w:rFonts w:hint="default" w:ascii="Times New Roman" w:hAnsi="Times New Roman" w:eastAsia="宋体" w:cs="Times New Roman"/>
          <w:color w:val="000000"/>
          <w:sz w:val="32"/>
          <w:szCs w:val="32"/>
        </w:rPr>
        <w:t>。2.我校</w:t>
      </w:r>
      <w:r>
        <w:rPr>
          <w:rFonts w:hint="default" w:ascii="??_GB2312" w:hAnsi="??_GB2312" w:eastAsia="??_GB2312" w:cs="??_GB2312"/>
          <w:color w:val="000000"/>
          <w:sz w:val="32"/>
          <w:szCs w:val="32"/>
        </w:rPr>
        <w:t>2019</w:t>
      </w:r>
      <w:r>
        <w:rPr>
          <w:rFonts w:hint="default" w:ascii="Times New Roman" w:hAnsi="Times New Roman" w:eastAsia="宋体" w:cs="Times New Roman"/>
          <w:color w:val="000000"/>
          <w:sz w:val="32"/>
          <w:szCs w:val="32"/>
        </w:rPr>
        <w:t>年</w:t>
      </w:r>
      <w:r>
        <w:rPr>
          <w:rFonts w:hint="eastAsia" w:ascii="宋体" w:hAnsi="宋体" w:eastAsia="宋体" w:cs="宋体"/>
          <w:color w:val="000000"/>
          <w:sz w:val="32"/>
          <w:szCs w:val="32"/>
        </w:rPr>
        <w:t>新增一名人员</w:t>
      </w:r>
      <w:r>
        <w:rPr>
          <w:rFonts w:hint="default" w:ascii="Times New Roman" w:hAnsi="Times New Roman" w:eastAsia="宋体" w:cs="Times New Roman"/>
          <w:color w:val="000000"/>
          <w:sz w:val="32"/>
          <w:szCs w:val="32"/>
        </w:rPr>
        <w:t>。</w:t>
      </w:r>
    </w:p>
    <w:p w14:paraId="0333DA07">
      <w:pPr>
        <w:pStyle w:val="5"/>
        <w:keepNext w:val="0"/>
        <w:keepLines w:val="0"/>
        <w:widowControl/>
        <w:suppressLineNumbers w:val="0"/>
        <w:spacing w:before="0" w:beforeAutospacing="0" w:after="0" w:afterAutospacing="0" w:line="600" w:lineRule="atLeast"/>
        <w:ind w:left="0" w:right="0" w:firstLine="420"/>
        <w:jc w:val="both"/>
        <w:rPr>
          <w:rFonts w:hint="default" w:ascii="Times New Roman" w:hAnsi="Times New Roman" w:cs="Times New Roman"/>
          <w:sz w:val="21"/>
          <w:szCs w:val="21"/>
        </w:rPr>
      </w:pPr>
      <w:r>
        <w:rPr>
          <w:rFonts w:hint="default" w:ascii="Times New Roman" w:hAnsi="Times New Roman" w:eastAsia="宋体" w:cs="Times New Roman"/>
          <w:sz w:val="21"/>
          <w:szCs w:val="21"/>
        </w:rPr>
        <w:drawing>
          <wp:inline distT="0" distB="0" distL="114300" distR="114300">
            <wp:extent cx="4819650" cy="2933700"/>
            <wp:effectExtent l="0" t="0" r="0" b="0"/>
            <wp:docPr id="14"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7" descr="IMG_256"/>
                    <pic:cNvPicPr>
                      <a:picLocks noChangeAspect="1"/>
                    </pic:cNvPicPr>
                  </pic:nvPicPr>
                  <pic:blipFill>
                    <a:blip r:embed="rId4"/>
                    <a:stretch>
                      <a:fillRect/>
                    </a:stretch>
                  </pic:blipFill>
                  <pic:spPr>
                    <a:xfrm>
                      <a:off x="0" y="0"/>
                      <a:ext cx="4819650" cy="2933700"/>
                    </a:xfrm>
                    <a:prstGeom prst="rect">
                      <a:avLst/>
                    </a:prstGeom>
                    <a:noFill/>
                    <a:ln w="9525">
                      <a:noFill/>
                    </a:ln>
                  </pic:spPr>
                </pic:pic>
              </a:graphicData>
            </a:graphic>
          </wp:inline>
        </w:drawing>
      </w:r>
    </w:p>
    <w:p w14:paraId="41575CBF">
      <w:pPr>
        <w:pStyle w:val="5"/>
        <w:keepNext w:val="0"/>
        <w:keepLines w:val="0"/>
        <w:widowControl/>
        <w:suppressLineNumbers w:val="0"/>
        <w:spacing w:before="0" w:beforeAutospacing="0" w:after="0" w:afterAutospacing="0" w:line="600" w:lineRule="atLeast"/>
        <w:ind w:left="0" w:right="0" w:firstLine="640"/>
        <w:jc w:val="both"/>
        <w:rPr>
          <w:rFonts w:hint="default" w:ascii="Times New Roman" w:hAnsi="Times New Roman" w:cs="Times New Roman"/>
          <w:sz w:val="21"/>
          <w:szCs w:val="21"/>
        </w:rPr>
      </w:pPr>
      <w:r>
        <w:rPr>
          <w:rFonts w:hint="default" w:ascii="Times New Roman" w:hAnsi="Times New Roman" w:eastAsia="宋体" w:cs="Times New Roman"/>
          <w:sz w:val="21"/>
          <w:szCs w:val="21"/>
        </w:rPr>
        <w:t> </w:t>
      </w:r>
    </w:p>
    <w:p w14:paraId="4FBAD94B">
      <w:pPr>
        <w:pStyle w:val="5"/>
        <w:keepNext w:val="0"/>
        <w:keepLines w:val="0"/>
        <w:widowControl/>
        <w:suppressLineNumbers w:val="0"/>
        <w:spacing w:before="0" w:beforeAutospacing="0" w:after="0" w:afterAutospacing="0" w:line="600" w:lineRule="atLeast"/>
        <w:ind w:left="0" w:right="0" w:firstLine="640"/>
        <w:jc w:val="both"/>
        <w:rPr>
          <w:rFonts w:hint="default" w:ascii="Times New Roman" w:hAnsi="Times New Roman" w:cs="Times New Roman"/>
          <w:sz w:val="21"/>
          <w:szCs w:val="21"/>
        </w:rPr>
      </w:pPr>
      <w:r>
        <w:rPr>
          <w:rFonts w:hint="eastAsia" w:ascii="仿宋" w:hAnsi="仿宋" w:eastAsia="仿宋" w:cs="仿宋"/>
          <w:color w:val="000000"/>
          <w:sz w:val="32"/>
          <w:szCs w:val="32"/>
        </w:rPr>
        <w:t>（图1：收、支决算总计变动情况图）（柱状图）</w:t>
      </w:r>
    </w:p>
    <w:p w14:paraId="2658BAE4">
      <w:pPr>
        <w:pStyle w:val="5"/>
        <w:keepNext w:val="0"/>
        <w:keepLines w:val="0"/>
        <w:widowControl/>
        <w:suppressLineNumbers w:val="0"/>
        <w:spacing w:before="0" w:beforeAutospacing="0" w:after="0" w:afterAutospacing="0" w:line="600" w:lineRule="atLeast"/>
        <w:ind w:left="0" w:right="0" w:firstLine="640"/>
        <w:jc w:val="left"/>
        <w:rPr>
          <w:rFonts w:hint="default" w:ascii="Times New Roman" w:hAnsi="Times New Roman" w:cs="Times New Roman"/>
          <w:sz w:val="21"/>
          <w:szCs w:val="21"/>
        </w:rPr>
      </w:pPr>
      <w:r>
        <w:rPr>
          <w:rFonts w:hint="default" w:ascii="Times New Roman" w:hAnsi="Times New Roman" w:eastAsia="宋体" w:cs="Times New Roman"/>
          <w:sz w:val="21"/>
          <w:szCs w:val="21"/>
        </w:rPr>
        <w:t> </w:t>
      </w:r>
    </w:p>
    <w:p w14:paraId="0BF5DD56">
      <w:pPr>
        <w:pStyle w:val="5"/>
        <w:keepNext w:val="0"/>
        <w:keepLines w:val="0"/>
        <w:widowControl/>
        <w:suppressLineNumbers w:val="0"/>
        <w:spacing w:before="0" w:beforeAutospacing="0" w:after="0" w:afterAutospacing="0" w:line="600" w:lineRule="atLeast"/>
        <w:ind w:left="1360" w:right="0" w:hanging="720"/>
        <w:jc w:val="both"/>
        <w:rPr>
          <w:rFonts w:hint="default" w:ascii="Times New Roman" w:hAnsi="Times New Roman" w:cs="Times New Roman"/>
          <w:sz w:val="21"/>
          <w:szCs w:val="21"/>
        </w:rPr>
      </w:pPr>
      <w:r>
        <w:rPr>
          <w:rFonts w:hint="eastAsia" w:ascii="黑体" w:hAnsi="宋体" w:eastAsia="黑体" w:cs="黑体"/>
          <w:b w:val="0"/>
          <w:bCs w:val="0"/>
          <w:color w:val="000000"/>
          <w:sz w:val="32"/>
          <w:szCs w:val="32"/>
        </w:rPr>
        <w:t>二、 </w:t>
      </w:r>
      <w:r>
        <w:rPr>
          <w:rFonts w:hint="eastAsia" w:ascii="黑体" w:hAnsi="宋体" w:eastAsia="黑体" w:cs="黑体"/>
          <w:color w:val="000000"/>
          <w:sz w:val="32"/>
          <w:szCs w:val="32"/>
        </w:rPr>
        <w:t>收</w:t>
      </w:r>
      <w:r>
        <w:rPr>
          <w:rFonts w:hint="eastAsia" w:ascii="黑体" w:hAnsi="宋体" w:eastAsia="黑体" w:cs="黑体"/>
          <w:b w:val="0"/>
          <w:bCs w:val="0"/>
          <w:sz w:val="32"/>
          <w:szCs w:val="32"/>
        </w:rPr>
        <w:t>入决算情况说明</w:t>
      </w:r>
    </w:p>
    <w:p w14:paraId="637F4734">
      <w:pPr>
        <w:pStyle w:val="5"/>
        <w:keepNext w:val="0"/>
        <w:keepLines w:val="0"/>
        <w:widowControl/>
        <w:suppressLineNumbers w:val="0"/>
        <w:spacing w:before="0" w:beforeAutospacing="0" w:after="0" w:afterAutospacing="0" w:line="600" w:lineRule="atLeast"/>
        <w:ind w:left="0" w:right="0" w:firstLine="640"/>
        <w:jc w:val="both"/>
        <w:rPr>
          <w:rFonts w:hint="default" w:ascii="Times New Roman" w:hAnsi="Times New Roman" w:cs="Times New Roman"/>
          <w:sz w:val="21"/>
          <w:szCs w:val="21"/>
        </w:rPr>
      </w:pPr>
      <w:r>
        <w:rPr>
          <w:rFonts w:hint="eastAsia" w:ascii="仿宋" w:hAnsi="仿宋" w:eastAsia="仿宋" w:cs="仿宋"/>
          <w:color w:val="000000"/>
          <w:sz w:val="32"/>
          <w:szCs w:val="32"/>
        </w:rPr>
        <w:t>2019年本年收入合计197.51万元，其中：一般公共预算财政拨款收入197.51万元，占100%；政府性基金预算财政拨款收入0万元，占0%；上级补助收入0万元，占0%；事业收入0万元，占0%；经营收入0万元，占0%；附属单位上缴收入0万元，占0%；其他收入0万元，占0%。</w:t>
      </w:r>
    </w:p>
    <w:p w14:paraId="0BC6842D">
      <w:pPr>
        <w:pStyle w:val="5"/>
        <w:keepNext w:val="0"/>
        <w:keepLines w:val="0"/>
        <w:widowControl/>
        <w:suppressLineNumbers w:val="0"/>
        <w:spacing w:before="0" w:beforeAutospacing="0" w:after="0" w:afterAutospacing="0" w:line="600" w:lineRule="atLeast"/>
        <w:ind w:left="0" w:right="0" w:firstLine="420"/>
        <w:jc w:val="both"/>
        <w:rPr>
          <w:rFonts w:hint="default" w:ascii="Times New Roman" w:hAnsi="Times New Roman" w:cs="Times New Roman"/>
          <w:sz w:val="21"/>
          <w:szCs w:val="21"/>
        </w:rPr>
      </w:pPr>
      <w:r>
        <w:rPr>
          <w:rFonts w:hint="default" w:ascii="Times New Roman" w:hAnsi="Times New Roman" w:eastAsia="宋体" w:cs="Times New Roman"/>
          <w:sz w:val="21"/>
          <w:szCs w:val="21"/>
        </w:rPr>
        <w:drawing>
          <wp:inline distT="0" distB="0" distL="114300" distR="114300">
            <wp:extent cx="5000625" cy="3629025"/>
            <wp:effectExtent l="0" t="0" r="0" b="0"/>
            <wp:docPr id="10" name="图片 8"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8" descr="IMG_257"/>
                    <pic:cNvPicPr>
                      <a:picLocks noChangeAspect="1"/>
                    </pic:cNvPicPr>
                  </pic:nvPicPr>
                  <pic:blipFill>
                    <a:blip r:embed="rId5"/>
                    <a:stretch>
                      <a:fillRect/>
                    </a:stretch>
                  </pic:blipFill>
                  <pic:spPr>
                    <a:xfrm>
                      <a:off x="0" y="0"/>
                      <a:ext cx="5000625" cy="3629025"/>
                    </a:xfrm>
                    <a:prstGeom prst="rect">
                      <a:avLst/>
                    </a:prstGeom>
                    <a:noFill/>
                    <a:ln w="9525">
                      <a:noFill/>
                    </a:ln>
                  </pic:spPr>
                </pic:pic>
              </a:graphicData>
            </a:graphic>
          </wp:inline>
        </w:drawing>
      </w:r>
    </w:p>
    <w:p w14:paraId="69E08DD1">
      <w:pPr>
        <w:pStyle w:val="5"/>
        <w:keepNext w:val="0"/>
        <w:keepLines w:val="0"/>
        <w:widowControl/>
        <w:suppressLineNumbers w:val="0"/>
        <w:spacing w:before="0" w:beforeAutospacing="0" w:after="0" w:afterAutospacing="0" w:line="600" w:lineRule="atLeast"/>
        <w:ind w:left="0" w:right="0" w:firstLine="640"/>
        <w:jc w:val="both"/>
        <w:rPr>
          <w:rFonts w:hint="default" w:ascii="Times New Roman" w:hAnsi="Times New Roman" w:cs="Times New Roman"/>
          <w:sz w:val="21"/>
          <w:szCs w:val="21"/>
        </w:rPr>
      </w:pPr>
      <w:r>
        <w:rPr>
          <w:rFonts w:hint="eastAsia" w:ascii="仿宋" w:hAnsi="仿宋" w:eastAsia="仿宋" w:cs="仿宋"/>
          <w:color w:val="000000"/>
          <w:sz w:val="32"/>
          <w:szCs w:val="32"/>
        </w:rPr>
        <w:t>（图2：收入决算结构图）（饼状图）</w:t>
      </w:r>
    </w:p>
    <w:p w14:paraId="3A0AEB69">
      <w:pPr>
        <w:pStyle w:val="5"/>
        <w:keepNext w:val="0"/>
        <w:keepLines w:val="0"/>
        <w:widowControl/>
        <w:suppressLineNumbers w:val="0"/>
        <w:spacing w:before="0" w:beforeAutospacing="0" w:after="0" w:afterAutospacing="0" w:line="600" w:lineRule="atLeast"/>
        <w:ind w:left="0" w:right="0" w:firstLine="640"/>
        <w:jc w:val="both"/>
        <w:rPr>
          <w:rFonts w:hint="default" w:ascii="Times New Roman" w:hAnsi="Times New Roman" w:cs="Times New Roman"/>
          <w:sz w:val="21"/>
          <w:szCs w:val="21"/>
        </w:rPr>
      </w:pPr>
      <w:r>
        <w:rPr>
          <w:rFonts w:hint="default" w:ascii="Times New Roman" w:hAnsi="Times New Roman" w:eastAsia="宋体" w:cs="Times New Roman"/>
          <w:sz w:val="21"/>
          <w:szCs w:val="21"/>
        </w:rPr>
        <w:t> </w:t>
      </w:r>
    </w:p>
    <w:p w14:paraId="21714102">
      <w:pPr>
        <w:pStyle w:val="5"/>
        <w:keepNext w:val="0"/>
        <w:keepLines w:val="0"/>
        <w:widowControl/>
        <w:suppressLineNumbers w:val="0"/>
        <w:spacing w:before="0" w:beforeAutospacing="0" w:after="0" w:afterAutospacing="0" w:line="600" w:lineRule="atLeast"/>
        <w:ind w:left="1360" w:right="0" w:hanging="720"/>
        <w:jc w:val="both"/>
        <w:rPr>
          <w:rFonts w:hint="default" w:ascii="Times New Roman" w:hAnsi="Times New Roman" w:cs="Times New Roman"/>
          <w:sz w:val="21"/>
          <w:szCs w:val="21"/>
        </w:rPr>
      </w:pPr>
      <w:r>
        <w:rPr>
          <w:rFonts w:hint="eastAsia" w:ascii="黑体" w:hAnsi="宋体" w:eastAsia="黑体" w:cs="黑体"/>
          <w:b w:val="0"/>
          <w:bCs w:val="0"/>
          <w:color w:val="000000"/>
          <w:sz w:val="32"/>
          <w:szCs w:val="32"/>
        </w:rPr>
        <w:t>三、 </w:t>
      </w:r>
      <w:r>
        <w:rPr>
          <w:rFonts w:hint="eastAsia" w:ascii="黑体" w:hAnsi="宋体" w:eastAsia="黑体" w:cs="黑体"/>
          <w:color w:val="000000"/>
          <w:sz w:val="32"/>
          <w:szCs w:val="32"/>
        </w:rPr>
        <w:t>支</w:t>
      </w:r>
      <w:r>
        <w:rPr>
          <w:rFonts w:hint="eastAsia" w:ascii="黑体" w:hAnsi="宋体" w:eastAsia="黑体" w:cs="黑体"/>
          <w:b w:val="0"/>
          <w:bCs w:val="0"/>
          <w:sz w:val="32"/>
          <w:szCs w:val="32"/>
        </w:rPr>
        <w:t>出决算情况说明</w:t>
      </w:r>
    </w:p>
    <w:p w14:paraId="4E4522F9">
      <w:pPr>
        <w:pStyle w:val="5"/>
        <w:keepNext w:val="0"/>
        <w:keepLines w:val="0"/>
        <w:widowControl/>
        <w:suppressLineNumbers w:val="0"/>
        <w:spacing w:before="0" w:beforeAutospacing="0" w:after="0" w:afterAutospacing="0" w:line="600" w:lineRule="atLeast"/>
        <w:ind w:left="0" w:right="0" w:firstLine="640"/>
        <w:jc w:val="both"/>
        <w:rPr>
          <w:rFonts w:hint="default" w:ascii="Times New Roman" w:hAnsi="Times New Roman" w:cs="Times New Roman"/>
          <w:sz w:val="21"/>
          <w:szCs w:val="21"/>
        </w:rPr>
      </w:pPr>
      <w:r>
        <w:rPr>
          <w:rFonts w:hint="eastAsia" w:ascii="仿宋" w:hAnsi="仿宋" w:eastAsia="仿宋" w:cs="仿宋"/>
          <w:color w:val="000000"/>
          <w:sz w:val="32"/>
          <w:szCs w:val="32"/>
        </w:rPr>
        <w:t>2019年本年支出合计198.90万元，其中：基本支出190.47万元，占96%；项目支出8.43万元，占4%；上缴上级支出0万元，占0%；经营支出0万元，占0%；对附属单位补助支出0万元，占0%。</w:t>
      </w:r>
    </w:p>
    <w:p w14:paraId="72F4216C">
      <w:pPr>
        <w:pStyle w:val="5"/>
        <w:keepNext w:val="0"/>
        <w:keepLines w:val="0"/>
        <w:widowControl/>
        <w:suppressLineNumbers w:val="0"/>
        <w:spacing w:before="0" w:beforeAutospacing="0" w:after="0" w:afterAutospacing="0" w:line="600" w:lineRule="atLeast"/>
        <w:ind w:left="0" w:right="0" w:firstLine="640"/>
        <w:jc w:val="both"/>
        <w:rPr>
          <w:rFonts w:hint="default" w:ascii="Times New Roman" w:hAnsi="Times New Roman" w:cs="Times New Roman"/>
          <w:sz w:val="21"/>
          <w:szCs w:val="21"/>
        </w:rPr>
      </w:pPr>
      <w:r>
        <w:rPr>
          <w:rFonts w:hint="default" w:ascii="Times New Roman" w:hAnsi="Times New Roman" w:eastAsia="宋体" w:cs="Times New Roman"/>
          <w:sz w:val="21"/>
          <w:szCs w:val="21"/>
        </w:rPr>
        <w:t> </w:t>
      </w:r>
    </w:p>
    <w:p w14:paraId="65AC0A1A">
      <w:pPr>
        <w:pStyle w:val="5"/>
        <w:keepNext w:val="0"/>
        <w:keepLines w:val="0"/>
        <w:widowControl/>
        <w:suppressLineNumbers w:val="0"/>
        <w:spacing w:before="0" w:beforeAutospacing="0" w:after="0" w:afterAutospacing="0" w:line="600" w:lineRule="atLeast"/>
        <w:ind w:left="0" w:right="0" w:firstLine="420"/>
        <w:jc w:val="both"/>
        <w:rPr>
          <w:rFonts w:hint="default" w:ascii="Times New Roman" w:hAnsi="Times New Roman" w:cs="Times New Roman"/>
          <w:sz w:val="21"/>
          <w:szCs w:val="21"/>
        </w:rPr>
      </w:pPr>
      <w:r>
        <w:rPr>
          <w:rFonts w:hint="default" w:ascii="Times New Roman" w:hAnsi="Times New Roman" w:eastAsia="宋体" w:cs="Times New Roman"/>
          <w:sz w:val="21"/>
          <w:szCs w:val="21"/>
        </w:rPr>
        <w:drawing>
          <wp:inline distT="0" distB="0" distL="114300" distR="114300">
            <wp:extent cx="4800600" cy="2876550"/>
            <wp:effectExtent l="0" t="0" r="0" b="0"/>
            <wp:docPr id="9" name="图片 9"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258"/>
                    <pic:cNvPicPr>
                      <a:picLocks noChangeAspect="1"/>
                    </pic:cNvPicPr>
                  </pic:nvPicPr>
                  <pic:blipFill>
                    <a:blip r:embed="rId6"/>
                    <a:stretch>
                      <a:fillRect/>
                    </a:stretch>
                  </pic:blipFill>
                  <pic:spPr>
                    <a:xfrm>
                      <a:off x="0" y="0"/>
                      <a:ext cx="4800600" cy="2876550"/>
                    </a:xfrm>
                    <a:prstGeom prst="rect">
                      <a:avLst/>
                    </a:prstGeom>
                    <a:noFill/>
                    <a:ln w="9525">
                      <a:noFill/>
                    </a:ln>
                  </pic:spPr>
                </pic:pic>
              </a:graphicData>
            </a:graphic>
          </wp:inline>
        </w:drawing>
      </w:r>
    </w:p>
    <w:p w14:paraId="06369A96">
      <w:pPr>
        <w:pStyle w:val="5"/>
        <w:keepNext w:val="0"/>
        <w:keepLines w:val="0"/>
        <w:widowControl/>
        <w:suppressLineNumbers w:val="0"/>
        <w:spacing w:before="0" w:beforeAutospacing="0" w:after="0" w:afterAutospacing="0" w:line="600" w:lineRule="atLeast"/>
        <w:ind w:left="0" w:right="0"/>
        <w:jc w:val="both"/>
        <w:rPr>
          <w:rFonts w:hint="default" w:ascii="Times New Roman" w:hAnsi="Times New Roman" w:cs="Times New Roman"/>
          <w:sz w:val="21"/>
          <w:szCs w:val="21"/>
        </w:rPr>
      </w:pPr>
      <w:r>
        <w:rPr>
          <w:rFonts w:hint="eastAsia" w:ascii="仿宋" w:hAnsi="仿宋" w:eastAsia="仿宋" w:cs="仿宋"/>
          <w:color w:val="000000"/>
          <w:sz w:val="32"/>
          <w:szCs w:val="32"/>
        </w:rPr>
        <w:t>（图3：支出决算结构图）（饼状图）</w:t>
      </w:r>
    </w:p>
    <w:p w14:paraId="41BCD309">
      <w:pPr>
        <w:pStyle w:val="5"/>
        <w:keepNext w:val="0"/>
        <w:keepLines w:val="0"/>
        <w:widowControl/>
        <w:suppressLineNumbers w:val="0"/>
        <w:spacing w:before="0" w:beforeAutospacing="0" w:after="0" w:afterAutospacing="0" w:line="600" w:lineRule="atLeast"/>
        <w:ind w:left="0" w:right="0"/>
        <w:jc w:val="both"/>
        <w:rPr>
          <w:rFonts w:hint="default" w:ascii="Times New Roman" w:hAnsi="Times New Roman" w:cs="Times New Roman"/>
          <w:sz w:val="21"/>
          <w:szCs w:val="21"/>
        </w:rPr>
      </w:pPr>
      <w:r>
        <w:rPr>
          <w:rFonts w:hint="default" w:ascii="Times New Roman" w:hAnsi="Times New Roman" w:eastAsia="宋体" w:cs="Times New Roman"/>
          <w:sz w:val="21"/>
          <w:szCs w:val="21"/>
        </w:rPr>
        <w:t> </w:t>
      </w:r>
    </w:p>
    <w:p w14:paraId="6AEEF576">
      <w:pPr>
        <w:pStyle w:val="5"/>
        <w:keepNext w:val="0"/>
        <w:keepLines w:val="0"/>
        <w:widowControl/>
        <w:suppressLineNumbers w:val="0"/>
        <w:spacing w:before="0" w:beforeAutospacing="0" w:after="0" w:afterAutospacing="0" w:line="600" w:lineRule="atLeast"/>
        <w:ind w:left="0" w:right="0"/>
        <w:jc w:val="both"/>
        <w:rPr>
          <w:rFonts w:hint="default" w:ascii="Times New Roman" w:hAnsi="Times New Roman" w:cs="Times New Roman"/>
          <w:sz w:val="21"/>
          <w:szCs w:val="21"/>
        </w:rPr>
      </w:pPr>
      <w:r>
        <w:rPr>
          <w:rFonts w:hint="eastAsia" w:ascii="黑体" w:hAnsi="宋体" w:eastAsia="黑体" w:cs="黑体"/>
          <w:color w:val="000000"/>
          <w:sz w:val="32"/>
          <w:szCs w:val="32"/>
        </w:rPr>
        <w:t>四、财</w:t>
      </w:r>
      <w:r>
        <w:rPr>
          <w:rFonts w:hint="eastAsia" w:ascii="黑体" w:hAnsi="宋体" w:eastAsia="黑体" w:cs="黑体"/>
          <w:b w:val="0"/>
          <w:bCs w:val="0"/>
          <w:sz w:val="32"/>
          <w:szCs w:val="32"/>
        </w:rPr>
        <w:t>政拨款收入支出决算总体情况说明</w:t>
      </w:r>
    </w:p>
    <w:p w14:paraId="3198647C">
      <w:pPr>
        <w:pStyle w:val="5"/>
        <w:keepNext w:val="0"/>
        <w:keepLines w:val="0"/>
        <w:widowControl/>
        <w:suppressLineNumbers w:val="0"/>
        <w:spacing w:before="0" w:beforeAutospacing="0" w:after="0" w:afterAutospacing="0" w:line="600" w:lineRule="atLeast"/>
        <w:ind w:left="0" w:right="0" w:firstLine="640"/>
        <w:jc w:val="both"/>
        <w:rPr>
          <w:rFonts w:hint="default" w:ascii="Times New Roman" w:hAnsi="Times New Roman" w:cs="Times New Roman"/>
          <w:sz w:val="21"/>
          <w:szCs w:val="21"/>
        </w:rPr>
      </w:pPr>
      <w:r>
        <w:rPr>
          <w:rFonts w:hint="eastAsia" w:ascii="仿宋" w:hAnsi="仿宋" w:eastAsia="仿宋" w:cs="仿宋"/>
          <w:color w:val="000000"/>
          <w:sz w:val="32"/>
          <w:szCs w:val="32"/>
        </w:rPr>
        <w:t>2019年财政拨款收、</w:t>
      </w:r>
      <w:r>
        <w:rPr>
          <w:rFonts w:hint="eastAsia" w:ascii="仿宋" w:hAnsi="仿宋" w:eastAsia="仿宋" w:cs="仿宋"/>
          <w:sz w:val="32"/>
          <w:szCs w:val="32"/>
        </w:rPr>
        <w:t>支总计624.74万元。</w:t>
      </w:r>
      <w:r>
        <w:rPr>
          <w:rFonts w:hint="eastAsia" w:ascii="仿宋" w:hAnsi="仿宋" w:eastAsia="仿宋" w:cs="仿宋"/>
          <w:color w:val="000000"/>
          <w:sz w:val="32"/>
          <w:szCs w:val="32"/>
        </w:rPr>
        <w:t>与2018年相比，收、支各增加172.52万元</w:t>
      </w:r>
      <w:r>
        <w:rPr>
          <w:rFonts w:hint="eastAsia" w:ascii="仿宋" w:hAnsi="仿宋" w:cs="仿宋"/>
          <w:color w:val="000000"/>
          <w:sz w:val="32"/>
          <w:szCs w:val="32"/>
          <w:lang w:eastAsia="zh-CN"/>
        </w:rPr>
        <w:t>，</w:t>
      </w:r>
      <w:r>
        <w:rPr>
          <w:rFonts w:hint="eastAsia" w:ascii="仿宋" w:hAnsi="仿宋" w:eastAsia="仿宋" w:cs="仿宋"/>
          <w:color w:val="000000"/>
          <w:sz w:val="32"/>
          <w:szCs w:val="32"/>
        </w:rPr>
        <w:t>增长38 %。主要变动原因是1. 今年维修了</w:t>
      </w:r>
      <w:r>
        <w:rPr>
          <w:rFonts w:hint="eastAsia" w:ascii="宋体" w:hAnsi="宋体" w:eastAsia="宋体" w:cs="宋体"/>
          <w:color w:val="000000"/>
          <w:sz w:val="32"/>
          <w:szCs w:val="32"/>
        </w:rPr>
        <w:t>党校会议室</w:t>
      </w:r>
      <w:r>
        <w:rPr>
          <w:rFonts w:hint="default" w:ascii="Times New Roman" w:hAnsi="Times New Roman" w:eastAsia="宋体" w:cs="Times New Roman"/>
          <w:color w:val="000000"/>
          <w:sz w:val="32"/>
          <w:szCs w:val="32"/>
        </w:rPr>
        <w:t>。2.我校</w:t>
      </w:r>
      <w:r>
        <w:rPr>
          <w:rFonts w:hint="default" w:ascii="??_GB2312" w:hAnsi="??_GB2312" w:eastAsia="??_GB2312" w:cs="??_GB2312"/>
          <w:color w:val="000000"/>
          <w:sz w:val="32"/>
          <w:szCs w:val="32"/>
        </w:rPr>
        <w:t>2019</w:t>
      </w:r>
      <w:r>
        <w:rPr>
          <w:rFonts w:hint="default" w:ascii="Times New Roman" w:hAnsi="Times New Roman" w:eastAsia="宋体" w:cs="Times New Roman"/>
          <w:color w:val="000000"/>
          <w:sz w:val="32"/>
          <w:szCs w:val="32"/>
        </w:rPr>
        <w:t>年</w:t>
      </w:r>
      <w:r>
        <w:rPr>
          <w:rFonts w:hint="eastAsia" w:ascii="宋体" w:hAnsi="宋体" w:eastAsia="宋体" w:cs="宋体"/>
          <w:color w:val="000000"/>
          <w:sz w:val="32"/>
          <w:szCs w:val="32"/>
        </w:rPr>
        <w:t>新增一名人员</w:t>
      </w:r>
      <w:r>
        <w:rPr>
          <w:rFonts w:hint="default" w:ascii="Times New Roman" w:hAnsi="Times New Roman" w:eastAsia="宋体" w:cs="Times New Roman"/>
          <w:color w:val="000000"/>
          <w:sz w:val="32"/>
          <w:szCs w:val="32"/>
        </w:rPr>
        <w:t>。</w:t>
      </w:r>
    </w:p>
    <w:p w14:paraId="245E7471">
      <w:pPr>
        <w:pStyle w:val="5"/>
        <w:keepNext w:val="0"/>
        <w:keepLines w:val="0"/>
        <w:widowControl/>
        <w:suppressLineNumbers w:val="0"/>
        <w:spacing w:before="0" w:beforeAutospacing="0" w:after="0" w:afterAutospacing="0" w:line="600" w:lineRule="atLeast"/>
        <w:ind w:left="0" w:right="0" w:firstLine="420"/>
        <w:jc w:val="both"/>
        <w:rPr>
          <w:rFonts w:hint="default" w:ascii="Times New Roman" w:hAnsi="Times New Roman" w:cs="Times New Roman"/>
          <w:sz w:val="21"/>
          <w:szCs w:val="21"/>
        </w:rPr>
      </w:pPr>
      <w:r>
        <w:rPr>
          <w:rFonts w:hint="default" w:ascii="Times New Roman" w:hAnsi="Times New Roman" w:eastAsia="宋体" w:cs="Times New Roman"/>
          <w:sz w:val="21"/>
          <w:szCs w:val="21"/>
        </w:rPr>
        <w:drawing>
          <wp:inline distT="0" distB="0" distL="114300" distR="114300">
            <wp:extent cx="4829175" cy="2409825"/>
            <wp:effectExtent l="0" t="0" r="0" b="0"/>
            <wp:docPr id="8" name="图片 10"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0" descr="IMG_259"/>
                    <pic:cNvPicPr>
                      <a:picLocks noChangeAspect="1"/>
                    </pic:cNvPicPr>
                  </pic:nvPicPr>
                  <pic:blipFill>
                    <a:blip r:embed="rId7"/>
                    <a:stretch>
                      <a:fillRect/>
                    </a:stretch>
                  </pic:blipFill>
                  <pic:spPr>
                    <a:xfrm>
                      <a:off x="0" y="0"/>
                      <a:ext cx="4829175" cy="2409825"/>
                    </a:xfrm>
                    <a:prstGeom prst="rect">
                      <a:avLst/>
                    </a:prstGeom>
                    <a:noFill/>
                    <a:ln w="9525">
                      <a:noFill/>
                    </a:ln>
                  </pic:spPr>
                </pic:pic>
              </a:graphicData>
            </a:graphic>
          </wp:inline>
        </w:drawing>
      </w:r>
    </w:p>
    <w:p w14:paraId="33639929">
      <w:pPr>
        <w:pStyle w:val="5"/>
        <w:keepNext w:val="0"/>
        <w:keepLines w:val="0"/>
        <w:widowControl/>
        <w:suppressLineNumbers w:val="0"/>
        <w:spacing w:before="0" w:beforeAutospacing="0" w:after="0" w:afterAutospacing="0" w:line="600" w:lineRule="atLeast"/>
        <w:ind w:left="0" w:right="0" w:firstLine="640"/>
        <w:jc w:val="both"/>
        <w:rPr>
          <w:rFonts w:hint="default" w:ascii="Times New Roman" w:hAnsi="Times New Roman" w:cs="Times New Roman"/>
          <w:sz w:val="21"/>
          <w:szCs w:val="21"/>
        </w:rPr>
      </w:pPr>
      <w:r>
        <w:rPr>
          <w:rFonts w:hint="eastAsia" w:ascii="仿宋" w:hAnsi="仿宋" w:eastAsia="仿宋" w:cs="仿宋"/>
          <w:color w:val="000000"/>
          <w:sz w:val="32"/>
          <w:szCs w:val="32"/>
        </w:rPr>
        <w:t>（图4：财政拨款收、支决算总计变动情况）（柱状图）</w:t>
      </w:r>
    </w:p>
    <w:p w14:paraId="5396E02E">
      <w:pPr>
        <w:pStyle w:val="5"/>
        <w:keepNext w:val="0"/>
        <w:keepLines w:val="0"/>
        <w:widowControl/>
        <w:suppressLineNumbers w:val="0"/>
        <w:spacing w:before="0" w:beforeAutospacing="0" w:after="0" w:afterAutospacing="0" w:line="600" w:lineRule="atLeast"/>
        <w:ind w:left="0" w:right="0" w:firstLine="640"/>
        <w:jc w:val="both"/>
        <w:rPr>
          <w:rFonts w:hint="default" w:ascii="Times New Roman" w:hAnsi="Times New Roman" w:cs="Times New Roman"/>
          <w:sz w:val="21"/>
          <w:szCs w:val="21"/>
        </w:rPr>
      </w:pPr>
      <w:r>
        <w:rPr>
          <w:rFonts w:hint="eastAsia" w:ascii="黑体" w:hAnsi="宋体" w:eastAsia="黑体" w:cs="黑体"/>
          <w:color w:val="000000"/>
          <w:sz w:val="32"/>
          <w:szCs w:val="32"/>
        </w:rPr>
        <w:t>五、</w:t>
      </w:r>
      <w:r>
        <w:rPr>
          <w:rFonts w:hint="eastAsia" w:ascii="黑体" w:hAnsi="宋体" w:eastAsia="黑体" w:cs="黑体"/>
          <w:b/>
          <w:bCs/>
          <w:color w:val="000000"/>
          <w:sz w:val="32"/>
          <w:szCs w:val="32"/>
        </w:rPr>
        <w:t>一</w:t>
      </w:r>
      <w:r>
        <w:rPr>
          <w:rFonts w:hint="eastAsia" w:ascii="黑体" w:hAnsi="宋体" w:eastAsia="黑体" w:cs="黑体"/>
          <w:b w:val="0"/>
          <w:bCs w:val="0"/>
          <w:sz w:val="32"/>
          <w:szCs w:val="32"/>
        </w:rPr>
        <w:t>般公共预算财政拨款支出决算情况说明</w:t>
      </w:r>
    </w:p>
    <w:p w14:paraId="3E98D71E">
      <w:pPr>
        <w:pStyle w:val="5"/>
        <w:keepNext w:val="0"/>
        <w:keepLines w:val="0"/>
        <w:widowControl/>
        <w:suppressLineNumbers w:val="0"/>
        <w:spacing w:before="0" w:beforeAutospacing="0" w:after="0" w:afterAutospacing="0" w:line="600" w:lineRule="atLeast"/>
        <w:ind w:left="0" w:right="0" w:firstLine="643"/>
        <w:jc w:val="both"/>
        <w:rPr>
          <w:rFonts w:hint="default" w:ascii="Times New Roman" w:hAnsi="Times New Roman" w:cs="Times New Roman"/>
          <w:sz w:val="21"/>
          <w:szCs w:val="21"/>
        </w:rPr>
      </w:pPr>
      <w:r>
        <w:rPr>
          <w:rFonts w:hint="eastAsia" w:ascii="仿宋" w:hAnsi="仿宋" w:eastAsia="仿宋" w:cs="仿宋"/>
          <w:b/>
          <w:bCs/>
          <w:color w:val="000000"/>
          <w:sz w:val="32"/>
          <w:szCs w:val="32"/>
        </w:rPr>
        <w:t>（一）一般公共预算财政拨款支出决算总体情况</w:t>
      </w:r>
    </w:p>
    <w:p w14:paraId="52B4E925">
      <w:pPr>
        <w:pStyle w:val="5"/>
        <w:keepNext w:val="0"/>
        <w:keepLines w:val="0"/>
        <w:widowControl/>
        <w:suppressLineNumbers w:val="0"/>
        <w:spacing w:before="0" w:beforeAutospacing="0" w:after="0" w:afterAutospacing="0" w:line="600" w:lineRule="atLeast"/>
        <w:ind w:left="0" w:right="0" w:firstLine="640"/>
        <w:jc w:val="both"/>
        <w:rPr>
          <w:rFonts w:hint="default" w:ascii="Times New Roman" w:hAnsi="Times New Roman" w:cs="Times New Roman"/>
          <w:sz w:val="21"/>
          <w:szCs w:val="21"/>
        </w:rPr>
      </w:pPr>
      <w:r>
        <w:rPr>
          <w:rFonts w:hint="eastAsia" w:ascii="仿宋" w:hAnsi="仿宋" w:eastAsia="仿宋" w:cs="仿宋"/>
          <w:color w:val="000000"/>
          <w:sz w:val="32"/>
          <w:szCs w:val="32"/>
        </w:rPr>
        <w:t>2019年一般公共预算财政拨款支出198.90万元，占本年支出合计的100%。与2018年相比，一般公共预算财政拨款增加1.47万元，增长0.7%。主要变动原因是</w:t>
      </w:r>
      <w:r>
        <w:rPr>
          <w:rFonts w:hint="default" w:ascii="Times New Roman" w:hAnsi="Times New Roman" w:eastAsia="宋体" w:cs="Times New Roman"/>
          <w:color w:val="000000"/>
          <w:sz w:val="32"/>
          <w:szCs w:val="32"/>
        </w:rPr>
        <w:t>我校2019年新</w:t>
      </w:r>
      <w:r>
        <w:rPr>
          <w:rFonts w:hint="eastAsia" w:ascii="宋体" w:hAnsi="宋体" w:eastAsia="宋体" w:cs="宋体"/>
          <w:color w:val="000000"/>
          <w:sz w:val="32"/>
          <w:szCs w:val="32"/>
        </w:rPr>
        <w:t>增一名人员</w:t>
      </w:r>
      <w:r>
        <w:rPr>
          <w:rFonts w:hint="default" w:ascii="Times New Roman" w:hAnsi="Times New Roman" w:eastAsia="宋体" w:cs="Times New Roman"/>
          <w:color w:val="000000"/>
          <w:sz w:val="32"/>
          <w:szCs w:val="32"/>
        </w:rPr>
        <w:t>。</w:t>
      </w:r>
    </w:p>
    <w:p w14:paraId="44F6EEC5">
      <w:pPr>
        <w:pStyle w:val="5"/>
        <w:keepNext w:val="0"/>
        <w:keepLines w:val="0"/>
        <w:widowControl/>
        <w:suppressLineNumbers w:val="0"/>
        <w:spacing w:before="0" w:beforeAutospacing="0" w:after="0" w:afterAutospacing="0" w:line="600" w:lineRule="atLeast"/>
        <w:ind w:left="0" w:right="0" w:firstLine="420"/>
        <w:jc w:val="both"/>
        <w:rPr>
          <w:rFonts w:hint="default" w:ascii="Times New Roman" w:hAnsi="Times New Roman" w:cs="Times New Roman"/>
          <w:sz w:val="21"/>
          <w:szCs w:val="21"/>
        </w:rPr>
      </w:pPr>
      <w:r>
        <w:rPr>
          <w:rFonts w:hint="default" w:ascii="Times New Roman" w:hAnsi="Times New Roman" w:eastAsia="宋体" w:cs="Times New Roman"/>
          <w:sz w:val="21"/>
          <w:szCs w:val="21"/>
        </w:rPr>
        <w:drawing>
          <wp:inline distT="0" distB="0" distL="114300" distR="114300">
            <wp:extent cx="4181475" cy="2514600"/>
            <wp:effectExtent l="0" t="0" r="0" b="0"/>
            <wp:docPr id="7" name="图片 11"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1" descr="IMG_260"/>
                    <pic:cNvPicPr>
                      <a:picLocks noChangeAspect="1"/>
                    </pic:cNvPicPr>
                  </pic:nvPicPr>
                  <pic:blipFill>
                    <a:blip r:embed="rId8"/>
                    <a:stretch>
                      <a:fillRect/>
                    </a:stretch>
                  </pic:blipFill>
                  <pic:spPr>
                    <a:xfrm>
                      <a:off x="0" y="0"/>
                      <a:ext cx="4181475" cy="2514600"/>
                    </a:xfrm>
                    <a:prstGeom prst="rect">
                      <a:avLst/>
                    </a:prstGeom>
                    <a:noFill/>
                    <a:ln w="9525">
                      <a:noFill/>
                    </a:ln>
                  </pic:spPr>
                </pic:pic>
              </a:graphicData>
            </a:graphic>
          </wp:inline>
        </w:drawing>
      </w:r>
    </w:p>
    <w:p w14:paraId="252C18BE">
      <w:pPr>
        <w:pStyle w:val="5"/>
        <w:keepNext w:val="0"/>
        <w:keepLines w:val="0"/>
        <w:widowControl/>
        <w:suppressLineNumbers w:val="0"/>
        <w:spacing w:before="0" w:beforeAutospacing="0" w:after="0" w:afterAutospacing="0" w:line="600" w:lineRule="atLeast"/>
        <w:ind w:left="0" w:right="0" w:firstLine="640"/>
        <w:jc w:val="both"/>
        <w:rPr>
          <w:rFonts w:hint="default" w:ascii="Times New Roman" w:hAnsi="Times New Roman" w:cs="Times New Roman"/>
          <w:sz w:val="21"/>
          <w:szCs w:val="21"/>
        </w:rPr>
      </w:pPr>
      <w:r>
        <w:rPr>
          <w:rFonts w:hint="eastAsia" w:ascii="仿宋" w:hAnsi="仿宋" w:eastAsia="仿宋" w:cs="仿宋"/>
          <w:color w:val="000000"/>
          <w:sz w:val="32"/>
          <w:szCs w:val="32"/>
        </w:rPr>
        <w:t>（图5：一般公共预算财政拨款支出决算变动情况）（柱状图）</w:t>
      </w:r>
    </w:p>
    <w:p w14:paraId="09593F2A">
      <w:pPr>
        <w:pStyle w:val="5"/>
        <w:keepNext w:val="0"/>
        <w:keepLines w:val="0"/>
        <w:widowControl/>
        <w:suppressLineNumbers w:val="0"/>
        <w:spacing w:before="0" w:beforeAutospacing="0" w:after="0" w:afterAutospacing="0" w:line="600" w:lineRule="atLeast"/>
        <w:ind w:left="0" w:right="0" w:firstLine="640"/>
        <w:jc w:val="both"/>
        <w:rPr>
          <w:rFonts w:hint="default" w:ascii="Times New Roman" w:hAnsi="Times New Roman" w:cs="Times New Roman"/>
          <w:sz w:val="21"/>
          <w:szCs w:val="21"/>
        </w:rPr>
      </w:pPr>
      <w:r>
        <w:rPr>
          <w:rFonts w:hint="default" w:ascii="Times New Roman" w:hAnsi="Times New Roman" w:eastAsia="宋体" w:cs="Times New Roman"/>
          <w:sz w:val="21"/>
          <w:szCs w:val="21"/>
        </w:rPr>
        <w:t> </w:t>
      </w:r>
    </w:p>
    <w:p w14:paraId="7855F720">
      <w:pPr>
        <w:pStyle w:val="5"/>
        <w:keepNext w:val="0"/>
        <w:keepLines w:val="0"/>
        <w:widowControl/>
        <w:suppressLineNumbers w:val="0"/>
        <w:spacing w:before="0" w:beforeAutospacing="0" w:after="0" w:afterAutospacing="0" w:line="600" w:lineRule="atLeast"/>
        <w:ind w:left="0" w:right="0" w:firstLine="643"/>
        <w:jc w:val="both"/>
        <w:rPr>
          <w:rFonts w:hint="default" w:ascii="Times New Roman" w:hAnsi="Times New Roman" w:cs="Times New Roman"/>
          <w:sz w:val="21"/>
          <w:szCs w:val="21"/>
        </w:rPr>
      </w:pPr>
      <w:r>
        <w:rPr>
          <w:rFonts w:hint="eastAsia" w:ascii="仿宋" w:hAnsi="仿宋" w:eastAsia="仿宋" w:cs="仿宋"/>
          <w:b/>
          <w:bCs/>
          <w:color w:val="000000"/>
          <w:sz w:val="32"/>
          <w:szCs w:val="32"/>
        </w:rPr>
        <w:t>（二）一般公共预算财政拨款支出决算结构情况</w:t>
      </w:r>
    </w:p>
    <w:p w14:paraId="0B659414">
      <w:pPr>
        <w:pStyle w:val="5"/>
        <w:keepNext w:val="0"/>
        <w:keepLines w:val="0"/>
        <w:widowControl/>
        <w:suppressLineNumbers w:val="0"/>
        <w:spacing w:before="0" w:beforeAutospacing="0" w:after="0" w:afterAutospacing="0" w:line="600" w:lineRule="atLeast"/>
        <w:ind w:left="0" w:right="0" w:firstLine="640"/>
        <w:jc w:val="both"/>
        <w:rPr>
          <w:rFonts w:hint="default" w:ascii="Times New Roman" w:hAnsi="Times New Roman" w:cs="Times New Roman"/>
          <w:sz w:val="21"/>
          <w:szCs w:val="21"/>
        </w:rPr>
      </w:pPr>
      <w:r>
        <w:rPr>
          <w:rFonts w:hint="eastAsia" w:ascii="仿宋" w:hAnsi="仿宋" w:eastAsia="仿宋" w:cs="仿宋"/>
          <w:color w:val="000000"/>
          <w:sz w:val="32"/>
          <w:szCs w:val="32"/>
        </w:rPr>
        <w:t>2019年一般公共预算财政拨款支出198.90万元，主要用于以下方面</w:t>
      </w:r>
      <w:r>
        <w:rPr>
          <w:rFonts w:hint="eastAsia" w:ascii="仿宋" w:hAnsi="仿宋" w:cs="仿宋"/>
          <w:color w:val="000000"/>
          <w:sz w:val="32"/>
          <w:szCs w:val="32"/>
          <w:lang w:eastAsia="zh-CN"/>
        </w:rPr>
        <w:t>：</w:t>
      </w:r>
      <w:r>
        <w:rPr>
          <w:rFonts w:hint="eastAsia" w:ascii="仿宋" w:hAnsi="仿宋" w:eastAsia="仿宋" w:cs="仿宋"/>
          <w:b/>
          <w:bCs/>
          <w:color w:val="000000"/>
          <w:sz w:val="32"/>
          <w:szCs w:val="32"/>
        </w:rPr>
        <w:t>教育支出（类）</w:t>
      </w:r>
      <w:r>
        <w:rPr>
          <w:rFonts w:hint="eastAsia" w:ascii="仿宋" w:hAnsi="仿宋" w:eastAsia="仿宋" w:cs="仿宋"/>
          <w:color w:val="000000"/>
          <w:sz w:val="32"/>
          <w:szCs w:val="32"/>
        </w:rPr>
        <w:t>148.3万元，占75%；</w:t>
      </w:r>
      <w:r>
        <w:rPr>
          <w:rFonts w:hint="eastAsia" w:ascii="仿宋" w:hAnsi="仿宋" w:eastAsia="仿宋" w:cs="仿宋"/>
          <w:b/>
          <w:bCs/>
          <w:color w:val="000000"/>
          <w:sz w:val="32"/>
          <w:szCs w:val="32"/>
        </w:rPr>
        <w:t>社会保障和就业（类）</w:t>
      </w:r>
      <w:r>
        <w:rPr>
          <w:rFonts w:hint="eastAsia" w:ascii="仿宋" w:hAnsi="仿宋" w:eastAsia="仿宋" w:cs="仿宋"/>
          <w:color w:val="000000"/>
          <w:sz w:val="32"/>
          <w:szCs w:val="32"/>
        </w:rPr>
        <w:t>支出32.31万元，占16%；</w:t>
      </w:r>
      <w:r>
        <w:rPr>
          <w:rFonts w:hint="eastAsia" w:ascii="仿宋" w:hAnsi="仿宋" w:eastAsia="仿宋" w:cs="仿宋"/>
          <w:b/>
          <w:bCs/>
          <w:color w:val="000000"/>
          <w:sz w:val="32"/>
          <w:szCs w:val="32"/>
        </w:rPr>
        <w:t>卫生健康支出</w:t>
      </w:r>
      <w:r>
        <w:rPr>
          <w:rFonts w:hint="eastAsia" w:ascii="仿宋" w:hAnsi="仿宋" w:eastAsia="仿宋" w:cs="仿宋"/>
          <w:color w:val="000000"/>
          <w:sz w:val="32"/>
          <w:szCs w:val="32"/>
        </w:rPr>
        <w:t>4.89万元，占2%；</w:t>
      </w:r>
      <w:r>
        <w:rPr>
          <w:rFonts w:hint="eastAsia" w:ascii="仿宋" w:hAnsi="仿宋" w:eastAsia="仿宋" w:cs="仿宋"/>
          <w:b/>
          <w:bCs/>
          <w:color w:val="000000"/>
          <w:sz w:val="32"/>
          <w:szCs w:val="32"/>
        </w:rPr>
        <w:t>住房保障支出</w:t>
      </w:r>
      <w:r>
        <w:rPr>
          <w:rFonts w:hint="eastAsia" w:ascii="仿宋" w:hAnsi="仿宋" w:eastAsia="仿宋" w:cs="仿宋"/>
          <w:color w:val="000000"/>
          <w:sz w:val="32"/>
          <w:szCs w:val="32"/>
        </w:rPr>
        <w:t>13.4万元，占7%。</w:t>
      </w:r>
    </w:p>
    <w:p w14:paraId="691CFA4C">
      <w:pPr>
        <w:pStyle w:val="5"/>
        <w:keepNext w:val="0"/>
        <w:keepLines w:val="0"/>
        <w:widowControl/>
        <w:suppressLineNumbers w:val="0"/>
        <w:spacing w:before="0" w:beforeAutospacing="0" w:after="0" w:afterAutospacing="0" w:line="600" w:lineRule="atLeast"/>
        <w:ind w:left="0" w:right="0" w:firstLine="640"/>
        <w:jc w:val="both"/>
        <w:rPr>
          <w:rFonts w:hint="default" w:ascii="Times New Roman" w:hAnsi="Times New Roman" w:cs="Times New Roman"/>
          <w:sz w:val="21"/>
          <w:szCs w:val="21"/>
        </w:rPr>
      </w:pPr>
      <w:r>
        <w:rPr>
          <w:rFonts w:hint="default" w:ascii="Times New Roman" w:hAnsi="Times New Roman" w:eastAsia="宋体" w:cs="Times New Roman"/>
          <w:sz w:val="21"/>
          <w:szCs w:val="21"/>
        </w:rPr>
        <w:t> </w:t>
      </w:r>
    </w:p>
    <w:p w14:paraId="573BC20B">
      <w:pPr>
        <w:pStyle w:val="5"/>
        <w:keepNext w:val="0"/>
        <w:keepLines w:val="0"/>
        <w:widowControl/>
        <w:suppressLineNumbers w:val="0"/>
        <w:spacing w:before="0" w:beforeAutospacing="0" w:after="0" w:afterAutospacing="0" w:line="600" w:lineRule="atLeast"/>
        <w:ind w:left="0" w:right="0" w:firstLine="640"/>
        <w:jc w:val="both"/>
        <w:rPr>
          <w:rFonts w:hint="default" w:ascii="Times New Roman" w:hAnsi="Times New Roman" w:cs="Times New Roman"/>
          <w:sz w:val="21"/>
          <w:szCs w:val="21"/>
        </w:rPr>
      </w:pPr>
      <w:r>
        <w:rPr>
          <w:rFonts w:hint="default" w:ascii="Times New Roman" w:hAnsi="Times New Roman" w:eastAsia="宋体" w:cs="Times New Roman"/>
          <w:sz w:val="21"/>
          <w:szCs w:val="21"/>
        </w:rPr>
        <w:t> </w:t>
      </w:r>
    </w:p>
    <w:p w14:paraId="0A89FF6F">
      <w:pPr>
        <w:pStyle w:val="5"/>
        <w:keepNext w:val="0"/>
        <w:keepLines w:val="0"/>
        <w:widowControl/>
        <w:suppressLineNumbers w:val="0"/>
        <w:spacing w:before="0" w:beforeAutospacing="0" w:after="0" w:afterAutospacing="0" w:line="600" w:lineRule="atLeast"/>
        <w:ind w:left="0" w:right="0" w:firstLine="420"/>
        <w:jc w:val="both"/>
        <w:rPr>
          <w:rFonts w:hint="default" w:ascii="Times New Roman" w:hAnsi="Times New Roman" w:cs="Times New Roman"/>
          <w:sz w:val="21"/>
          <w:szCs w:val="21"/>
        </w:rPr>
      </w:pPr>
      <w:r>
        <w:rPr>
          <w:rFonts w:hint="default" w:ascii="Times New Roman" w:hAnsi="Times New Roman" w:eastAsia="宋体" w:cs="Times New Roman"/>
          <w:sz w:val="21"/>
          <w:szCs w:val="21"/>
        </w:rPr>
        <w:drawing>
          <wp:inline distT="0" distB="0" distL="114300" distR="114300">
            <wp:extent cx="3467100" cy="2476500"/>
            <wp:effectExtent l="0" t="0" r="0" b="0"/>
            <wp:docPr id="11" name="图片 12"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2" descr="IMG_261"/>
                    <pic:cNvPicPr>
                      <a:picLocks noChangeAspect="1"/>
                    </pic:cNvPicPr>
                  </pic:nvPicPr>
                  <pic:blipFill>
                    <a:blip r:embed="rId9"/>
                    <a:stretch>
                      <a:fillRect/>
                    </a:stretch>
                  </pic:blipFill>
                  <pic:spPr>
                    <a:xfrm>
                      <a:off x="0" y="0"/>
                      <a:ext cx="3467100" cy="2476500"/>
                    </a:xfrm>
                    <a:prstGeom prst="rect">
                      <a:avLst/>
                    </a:prstGeom>
                    <a:noFill/>
                    <a:ln w="9525">
                      <a:noFill/>
                    </a:ln>
                  </pic:spPr>
                </pic:pic>
              </a:graphicData>
            </a:graphic>
          </wp:inline>
        </w:drawing>
      </w:r>
    </w:p>
    <w:p w14:paraId="77FE9CC4">
      <w:pPr>
        <w:pStyle w:val="5"/>
        <w:keepNext w:val="0"/>
        <w:keepLines w:val="0"/>
        <w:widowControl/>
        <w:suppressLineNumbers w:val="0"/>
        <w:spacing w:before="0" w:beforeAutospacing="0" w:after="0" w:afterAutospacing="0" w:line="600" w:lineRule="atLeast"/>
        <w:ind w:left="0" w:right="0" w:firstLine="640"/>
        <w:jc w:val="both"/>
        <w:rPr>
          <w:rFonts w:hint="default" w:ascii="Times New Roman" w:hAnsi="Times New Roman" w:cs="Times New Roman"/>
          <w:sz w:val="21"/>
          <w:szCs w:val="21"/>
        </w:rPr>
      </w:pPr>
      <w:r>
        <w:rPr>
          <w:rFonts w:hint="eastAsia" w:ascii="仿宋" w:hAnsi="仿宋" w:eastAsia="仿宋" w:cs="仿宋"/>
          <w:color w:val="000000"/>
          <w:sz w:val="32"/>
          <w:szCs w:val="32"/>
        </w:rPr>
        <w:t>（图6：一般公共预算财政拨款支出决算结构）（饼状图）</w:t>
      </w:r>
    </w:p>
    <w:p w14:paraId="07392522">
      <w:pPr>
        <w:pStyle w:val="5"/>
        <w:keepNext w:val="0"/>
        <w:keepLines w:val="0"/>
        <w:widowControl/>
        <w:suppressLineNumbers w:val="0"/>
        <w:spacing w:before="0" w:beforeAutospacing="0" w:after="0" w:afterAutospacing="0" w:line="600" w:lineRule="atLeast"/>
        <w:ind w:left="0" w:right="0" w:firstLine="640"/>
        <w:jc w:val="both"/>
        <w:rPr>
          <w:rFonts w:hint="default" w:ascii="Times New Roman" w:hAnsi="Times New Roman" w:cs="Times New Roman"/>
          <w:sz w:val="21"/>
          <w:szCs w:val="21"/>
        </w:rPr>
      </w:pPr>
      <w:r>
        <w:rPr>
          <w:rFonts w:hint="default" w:ascii="Times New Roman" w:hAnsi="Times New Roman" w:eastAsia="宋体" w:cs="Times New Roman"/>
          <w:sz w:val="21"/>
          <w:szCs w:val="21"/>
        </w:rPr>
        <w:t> </w:t>
      </w:r>
    </w:p>
    <w:p w14:paraId="5F894246">
      <w:pPr>
        <w:pStyle w:val="5"/>
        <w:keepNext w:val="0"/>
        <w:keepLines w:val="0"/>
        <w:widowControl/>
        <w:suppressLineNumbers w:val="0"/>
        <w:spacing w:before="0" w:beforeAutospacing="0" w:after="0" w:afterAutospacing="0" w:line="600" w:lineRule="atLeast"/>
        <w:ind w:left="0" w:right="0" w:firstLine="643"/>
        <w:jc w:val="both"/>
        <w:rPr>
          <w:rFonts w:hint="default" w:ascii="Times New Roman" w:hAnsi="Times New Roman" w:cs="Times New Roman"/>
          <w:sz w:val="21"/>
          <w:szCs w:val="21"/>
        </w:rPr>
      </w:pPr>
      <w:r>
        <w:rPr>
          <w:rFonts w:hint="eastAsia" w:ascii="仿宋" w:hAnsi="仿宋" w:eastAsia="仿宋" w:cs="仿宋"/>
          <w:b/>
          <w:bCs/>
          <w:color w:val="000000"/>
          <w:sz w:val="32"/>
          <w:szCs w:val="32"/>
        </w:rPr>
        <w:t>（三）一般公共预算财政拨款支出决算具体情况</w:t>
      </w:r>
    </w:p>
    <w:p w14:paraId="0F9B7935">
      <w:pPr>
        <w:pStyle w:val="5"/>
        <w:keepNext w:val="0"/>
        <w:keepLines w:val="0"/>
        <w:widowControl/>
        <w:suppressLineNumbers w:val="0"/>
        <w:spacing w:before="0" w:beforeAutospacing="0" w:after="0" w:afterAutospacing="0" w:line="600" w:lineRule="atLeast"/>
        <w:ind w:left="0" w:right="0" w:firstLine="643"/>
        <w:jc w:val="both"/>
        <w:rPr>
          <w:rFonts w:hint="default" w:ascii="Times New Roman" w:hAnsi="Times New Roman" w:cs="Times New Roman"/>
          <w:sz w:val="21"/>
          <w:szCs w:val="21"/>
        </w:rPr>
      </w:pPr>
      <w:r>
        <w:rPr>
          <w:rFonts w:hint="eastAsia" w:ascii="仿宋" w:hAnsi="仿宋" w:eastAsia="仿宋" w:cs="仿宋"/>
          <w:b/>
          <w:bCs/>
          <w:color w:val="000000"/>
          <w:sz w:val="32"/>
          <w:szCs w:val="32"/>
        </w:rPr>
        <w:t>2019年</w:t>
      </w:r>
      <w:r>
        <w:rPr>
          <w:rFonts w:hint="eastAsia" w:ascii="仿宋" w:hAnsi="仿宋" w:cs="仿宋"/>
          <w:b/>
          <w:bCs/>
          <w:color w:val="000000"/>
          <w:sz w:val="32"/>
          <w:szCs w:val="32"/>
          <w:lang w:eastAsia="zh-CN"/>
        </w:rPr>
        <w:t>一</w:t>
      </w:r>
      <w:r>
        <w:rPr>
          <w:rFonts w:hint="eastAsia" w:ascii="仿宋" w:hAnsi="仿宋" w:eastAsia="仿宋" w:cs="仿宋"/>
          <w:b/>
          <w:bCs/>
          <w:color w:val="000000"/>
          <w:sz w:val="32"/>
          <w:szCs w:val="32"/>
        </w:rPr>
        <w:t>般公共预算支出决算数为198.90万元</w:t>
      </w:r>
      <w:r>
        <w:rPr>
          <w:rFonts w:hint="eastAsia" w:ascii="仿宋" w:hAnsi="仿宋" w:eastAsia="仿宋" w:cs="仿宋"/>
          <w:color w:val="000000"/>
          <w:sz w:val="32"/>
          <w:szCs w:val="32"/>
        </w:rPr>
        <w:t>，</w:t>
      </w:r>
      <w:r>
        <w:rPr>
          <w:rFonts w:hint="eastAsia" w:ascii="仿宋" w:hAnsi="仿宋" w:eastAsia="仿宋" w:cs="仿宋"/>
          <w:b/>
          <w:bCs/>
          <w:color w:val="000000"/>
          <w:sz w:val="32"/>
          <w:szCs w:val="32"/>
        </w:rPr>
        <w:t>完成预算82.49%。其中：</w:t>
      </w:r>
    </w:p>
    <w:p w14:paraId="1ECE5CA3">
      <w:pPr>
        <w:pStyle w:val="5"/>
        <w:keepNext w:val="0"/>
        <w:keepLines w:val="0"/>
        <w:widowControl/>
        <w:suppressLineNumbers w:val="0"/>
        <w:spacing w:before="150" w:beforeAutospacing="0" w:after="150" w:afterAutospacing="0" w:line="360" w:lineRule="atLeast"/>
        <w:ind w:left="0" w:right="0" w:firstLine="640"/>
        <w:jc w:val="left"/>
        <w:rPr>
          <w:rFonts w:hint="default" w:ascii="Times New Roman" w:hAnsi="Times New Roman" w:cs="Times New Roman"/>
          <w:sz w:val="21"/>
          <w:szCs w:val="21"/>
        </w:rPr>
      </w:pPr>
      <w:r>
        <w:rPr>
          <w:rFonts w:hint="default" w:ascii="Times New Roman" w:hAnsi="Times New Roman" w:eastAsia="宋体" w:cs="Times New Roman"/>
          <w:b/>
          <w:bCs/>
          <w:sz w:val="32"/>
          <w:szCs w:val="32"/>
        </w:rPr>
        <w:t>1.教育支出（类）进修及培训（款）干部教育（项）</w:t>
      </w:r>
      <w:r>
        <w:rPr>
          <w:rFonts w:hint="eastAsia" w:ascii="Times New Roman" w:hAnsi="Times New Roman" w:eastAsia="宋体" w:cs="Times New Roman"/>
          <w:b/>
          <w:bCs/>
          <w:sz w:val="32"/>
          <w:szCs w:val="32"/>
          <w:lang w:eastAsia="zh-CN"/>
        </w:rPr>
        <w:t>：</w:t>
      </w:r>
      <w:r>
        <w:rPr>
          <w:rFonts w:hint="default" w:ascii="Times New Roman" w:hAnsi="Times New Roman" w:eastAsia="宋体" w:cs="Times New Roman"/>
          <w:sz w:val="32"/>
          <w:szCs w:val="32"/>
        </w:rPr>
        <w:t>2019年决算数为</w:t>
      </w:r>
      <w:r>
        <w:rPr>
          <w:rFonts w:hint="default" w:ascii="??_GB2312" w:hAnsi="??_GB2312" w:eastAsia="??_GB2312" w:cs="??_GB2312"/>
          <w:sz w:val="32"/>
          <w:szCs w:val="32"/>
        </w:rPr>
        <w:t>148.</w:t>
      </w:r>
      <w:r>
        <w:rPr>
          <w:rFonts w:hint="default" w:ascii="Times New Roman" w:hAnsi="Times New Roman" w:eastAsia="宋体" w:cs="Times New Roman"/>
          <w:sz w:val="32"/>
          <w:szCs w:val="32"/>
        </w:rPr>
        <w:t>3万元，完成预算80.82%。</w:t>
      </w:r>
    </w:p>
    <w:p w14:paraId="29CA0ECF">
      <w:pPr>
        <w:pStyle w:val="5"/>
        <w:keepNext w:val="0"/>
        <w:keepLines w:val="0"/>
        <w:widowControl/>
        <w:suppressLineNumbers w:val="0"/>
        <w:spacing w:before="0" w:beforeAutospacing="0" w:after="0" w:afterAutospacing="0" w:line="600" w:lineRule="atLeast"/>
        <w:ind w:left="0" w:right="0" w:firstLine="640"/>
        <w:jc w:val="both"/>
        <w:rPr>
          <w:rFonts w:hint="default" w:ascii="Times New Roman" w:hAnsi="Times New Roman" w:cs="Times New Roman"/>
          <w:sz w:val="21"/>
          <w:szCs w:val="21"/>
        </w:rPr>
      </w:pPr>
      <w:r>
        <w:rPr>
          <w:rFonts w:hint="default" w:ascii="Times New Roman" w:hAnsi="Times New Roman" w:eastAsia="宋体" w:cs="Times New Roman"/>
          <w:b/>
          <w:bCs/>
          <w:sz w:val="32"/>
          <w:szCs w:val="32"/>
        </w:rPr>
        <w:t>2.社会保障和就业支出（类）行政事业单位离退休（款）未归口管理的行政事业单位离退休（项）</w:t>
      </w:r>
      <w:r>
        <w:rPr>
          <w:rFonts w:hint="eastAsia" w:ascii="Times New Roman" w:hAnsi="Times New Roman" w:eastAsia="宋体" w:cs="Times New Roman"/>
          <w:b/>
          <w:bCs/>
          <w:sz w:val="32"/>
          <w:szCs w:val="32"/>
          <w:lang w:eastAsia="zh-CN"/>
        </w:rPr>
        <w:t>：</w:t>
      </w:r>
      <w:r>
        <w:rPr>
          <w:rFonts w:hint="default" w:ascii="Times New Roman" w:hAnsi="Times New Roman" w:eastAsia="宋体" w:cs="Times New Roman"/>
          <w:sz w:val="32"/>
          <w:szCs w:val="32"/>
        </w:rPr>
        <w:t>2019年决算数为</w:t>
      </w:r>
      <w:r>
        <w:rPr>
          <w:rFonts w:hint="default" w:ascii="??_GB2312" w:hAnsi="??_GB2312" w:eastAsia="??_GB2312" w:cs="??_GB2312"/>
          <w:sz w:val="32"/>
          <w:szCs w:val="32"/>
        </w:rPr>
        <w:t>12.</w:t>
      </w:r>
      <w:r>
        <w:rPr>
          <w:rFonts w:hint="default" w:ascii="Times New Roman" w:hAnsi="Times New Roman" w:eastAsia="宋体" w:cs="Times New Roman"/>
          <w:sz w:val="32"/>
          <w:szCs w:val="32"/>
        </w:rPr>
        <w:t>82万元，完成预算100%。</w:t>
      </w:r>
    </w:p>
    <w:p w14:paraId="30D2C277">
      <w:pPr>
        <w:pStyle w:val="5"/>
        <w:keepNext w:val="0"/>
        <w:keepLines w:val="0"/>
        <w:widowControl/>
        <w:suppressLineNumbers w:val="0"/>
        <w:spacing w:before="0" w:beforeAutospacing="0" w:after="0" w:afterAutospacing="0" w:line="600" w:lineRule="atLeast"/>
        <w:ind w:left="0" w:right="0" w:firstLine="640"/>
        <w:jc w:val="both"/>
        <w:rPr>
          <w:rFonts w:hint="default" w:ascii="Times New Roman" w:hAnsi="Times New Roman" w:cs="Times New Roman"/>
          <w:sz w:val="21"/>
          <w:szCs w:val="21"/>
        </w:rPr>
      </w:pPr>
      <w:r>
        <w:rPr>
          <w:rFonts w:hint="default" w:ascii="Times New Roman" w:hAnsi="Times New Roman" w:eastAsia="宋体" w:cs="Times New Roman"/>
          <w:b/>
          <w:bCs/>
          <w:sz w:val="32"/>
          <w:szCs w:val="32"/>
        </w:rPr>
        <w:t>3.社会保障和就业支出（类）行政事业单位离退休（款）机关事业单位基本养老保险缴费支出（项）</w:t>
      </w:r>
      <w:r>
        <w:rPr>
          <w:rFonts w:hint="eastAsia" w:ascii="Times New Roman" w:hAnsi="Times New Roman" w:eastAsia="宋体" w:cs="Times New Roman"/>
          <w:b/>
          <w:bCs/>
          <w:sz w:val="32"/>
          <w:szCs w:val="32"/>
          <w:lang w:eastAsia="zh-CN"/>
        </w:rPr>
        <w:t>：</w:t>
      </w:r>
      <w:r>
        <w:rPr>
          <w:rFonts w:hint="default" w:ascii="Times New Roman" w:hAnsi="Times New Roman" w:eastAsia="宋体" w:cs="Times New Roman"/>
          <w:sz w:val="32"/>
          <w:szCs w:val="32"/>
        </w:rPr>
        <w:t>2019年决算数为</w:t>
      </w:r>
      <w:r>
        <w:rPr>
          <w:rFonts w:hint="default" w:ascii="??_GB2312" w:hAnsi="??_GB2312" w:eastAsia="??_GB2312" w:cs="??_GB2312"/>
          <w:sz w:val="32"/>
          <w:szCs w:val="32"/>
        </w:rPr>
        <w:t>13.</w:t>
      </w:r>
      <w:r>
        <w:rPr>
          <w:rFonts w:hint="default" w:ascii="Times New Roman" w:hAnsi="Times New Roman" w:eastAsia="宋体" w:cs="Times New Roman"/>
          <w:sz w:val="32"/>
          <w:szCs w:val="32"/>
        </w:rPr>
        <w:t>47万元，完成预算100%。</w:t>
      </w:r>
    </w:p>
    <w:p w14:paraId="115AEAE4">
      <w:pPr>
        <w:pStyle w:val="5"/>
        <w:keepNext w:val="0"/>
        <w:keepLines w:val="0"/>
        <w:widowControl/>
        <w:suppressLineNumbers w:val="0"/>
        <w:spacing w:before="0" w:beforeAutospacing="0" w:after="0" w:afterAutospacing="0" w:line="600" w:lineRule="atLeast"/>
        <w:ind w:left="0" w:right="0" w:firstLine="640"/>
        <w:jc w:val="both"/>
        <w:rPr>
          <w:rFonts w:hint="default" w:ascii="Times New Roman" w:hAnsi="Times New Roman" w:cs="Times New Roman"/>
          <w:sz w:val="21"/>
          <w:szCs w:val="21"/>
        </w:rPr>
      </w:pPr>
      <w:r>
        <w:rPr>
          <w:rFonts w:hint="default" w:ascii="Times New Roman" w:hAnsi="Times New Roman" w:eastAsia="宋体" w:cs="Times New Roman"/>
          <w:b/>
          <w:bCs/>
          <w:sz w:val="32"/>
          <w:szCs w:val="32"/>
        </w:rPr>
        <w:t>4</w:t>
      </w:r>
      <w:r>
        <w:rPr>
          <w:rFonts w:hint="default" w:ascii="Times New Roman" w:hAnsi="Times New Roman" w:eastAsia="宋体" w:cs="Times New Roman"/>
          <w:sz w:val="32"/>
          <w:szCs w:val="32"/>
        </w:rPr>
        <w:t>.</w:t>
      </w:r>
      <w:r>
        <w:rPr>
          <w:rFonts w:hint="default" w:ascii="Times New Roman" w:hAnsi="Times New Roman" w:eastAsia="宋体" w:cs="Times New Roman"/>
          <w:b/>
          <w:bCs/>
          <w:sz w:val="32"/>
          <w:szCs w:val="32"/>
        </w:rPr>
        <w:t>社会保障和就业支出（类）行政事业单位离退休（款）机关事业单位职业年金（项）：</w:t>
      </w:r>
      <w:r>
        <w:rPr>
          <w:rFonts w:hint="default" w:ascii="Times New Roman" w:hAnsi="Times New Roman" w:eastAsia="宋体" w:cs="Times New Roman"/>
          <w:sz w:val="32"/>
          <w:szCs w:val="32"/>
        </w:rPr>
        <w:t>2019年决算数为</w:t>
      </w:r>
      <w:r>
        <w:rPr>
          <w:rFonts w:hint="default" w:ascii="??_GB2312" w:hAnsi="??_GB2312" w:eastAsia="??_GB2312" w:cs="??_GB2312"/>
          <w:sz w:val="32"/>
          <w:szCs w:val="32"/>
        </w:rPr>
        <w:t>5.</w:t>
      </w:r>
      <w:r>
        <w:rPr>
          <w:rFonts w:hint="default" w:ascii="Times New Roman" w:hAnsi="Times New Roman" w:eastAsia="宋体" w:cs="Times New Roman"/>
          <w:sz w:val="32"/>
          <w:szCs w:val="32"/>
        </w:rPr>
        <w:t>61万元，完成预算100%。</w:t>
      </w:r>
    </w:p>
    <w:p w14:paraId="64E48CC4">
      <w:pPr>
        <w:pStyle w:val="5"/>
        <w:keepNext w:val="0"/>
        <w:keepLines w:val="0"/>
        <w:widowControl/>
        <w:suppressLineNumbers w:val="0"/>
        <w:spacing w:before="0" w:beforeAutospacing="0" w:after="0" w:afterAutospacing="0" w:line="600" w:lineRule="atLeast"/>
        <w:ind w:left="0" w:right="0" w:firstLine="964"/>
        <w:jc w:val="both"/>
        <w:rPr>
          <w:rFonts w:hint="default" w:ascii="Times New Roman" w:hAnsi="Times New Roman" w:cs="Times New Roman"/>
          <w:sz w:val="21"/>
          <w:szCs w:val="21"/>
        </w:rPr>
      </w:pPr>
      <w:r>
        <w:rPr>
          <w:rFonts w:hint="default" w:ascii="Times New Roman" w:hAnsi="Times New Roman" w:eastAsia="宋体" w:cs="Times New Roman"/>
          <w:b/>
          <w:bCs/>
          <w:sz w:val="32"/>
          <w:szCs w:val="32"/>
        </w:rPr>
        <w:t>5</w:t>
      </w:r>
      <w:r>
        <w:rPr>
          <w:rFonts w:hint="default" w:ascii="Times New Roman" w:hAnsi="Times New Roman" w:eastAsia="宋体" w:cs="Times New Roman"/>
          <w:sz w:val="32"/>
          <w:szCs w:val="32"/>
        </w:rPr>
        <w:t>.</w:t>
      </w:r>
      <w:r>
        <w:rPr>
          <w:rFonts w:hint="default" w:ascii="Times New Roman" w:hAnsi="Times New Roman" w:eastAsia="宋体" w:cs="Times New Roman"/>
          <w:b/>
          <w:bCs/>
          <w:sz w:val="32"/>
          <w:szCs w:val="32"/>
        </w:rPr>
        <w:t>社会保障和就业支出（类）行政事业单位离退休（款）</w:t>
      </w:r>
      <w:r>
        <w:rPr>
          <w:rFonts w:hint="eastAsia" w:ascii="宋体" w:hAnsi="宋体" w:eastAsia="宋体" w:cs="宋体"/>
          <w:b/>
          <w:bCs/>
          <w:sz w:val="32"/>
          <w:szCs w:val="32"/>
        </w:rPr>
        <w:t>其他社会保障和就业支出</w:t>
      </w:r>
      <w:r>
        <w:rPr>
          <w:rFonts w:hint="default" w:ascii="Times New Roman" w:hAnsi="Times New Roman" w:eastAsia="宋体" w:cs="Times New Roman"/>
          <w:b/>
          <w:bCs/>
          <w:sz w:val="32"/>
          <w:szCs w:val="32"/>
        </w:rPr>
        <w:t>（项）：</w:t>
      </w:r>
      <w:r>
        <w:rPr>
          <w:rFonts w:hint="default" w:ascii="Times New Roman" w:hAnsi="Times New Roman" w:eastAsia="宋体" w:cs="Times New Roman"/>
          <w:sz w:val="32"/>
          <w:szCs w:val="32"/>
        </w:rPr>
        <w:t>2019年决算数为0.41万元，完成预算100%。</w:t>
      </w:r>
    </w:p>
    <w:p w14:paraId="7CBEA905">
      <w:pPr>
        <w:pStyle w:val="5"/>
        <w:keepNext w:val="0"/>
        <w:keepLines w:val="0"/>
        <w:widowControl/>
        <w:suppressLineNumbers w:val="0"/>
        <w:spacing w:before="0" w:beforeAutospacing="0" w:after="0" w:afterAutospacing="0" w:line="600" w:lineRule="atLeast"/>
        <w:ind w:left="0" w:right="0" w:firstLine="643"/>
        <w:jc w:val="both"/>
        <w:rPr>
          <w:rFonts w:hint="default" w:ascii="Times New Roman" w:hAnsi="Times New Roman" w:cs="Times New Roman"/>
          <w:sz w:val="21"/>
          <w:szCs w:val="21"/>
        </w:rPr>
      </w:pPr>
      <w:r>
        <w:rPr>
          <w:rFonts w:hint="default" w:ascii="Times New Roman" w:hAnsi="Times New Roman" w:eastAsia="宋体" w:cs="Times New Roman"/>
          <w:b/>
          <w:bCs/>
          <w:sz w:val="32"/>
          <w:szCs w:val="32"/>
        </w:rPr>
        <w:t>6.医疗卫生与计划生育支出（类）医疗保障（款）行政单位医疗（项）</w:t>
      </w:r>
      <w:r>
        <w:rPr>
          <w:rFonts w:hint="eastAsia" w:ascii="Times New Roman" w:hAnsi="Times New Roman" w:eastAsia="宋体" w:cs="Times New Roman"/>
          <w:b/>
          <w:bCs/>
          <w:sz w:val="32"/>
          <w:szCs w:val="32"/>
          <w:lang w:eastAsia="zh-CN"/>
        </w:rPr>
        <w:t>：</w:t>
      </w:r>
      <w:r>
        <w:rPr>
          <w:rFonts w:hint="default" w:ascii="Times New Roman" w:hAnsi="Times New Roman" w:eastAsia="宋体" w:cs="Times New Roman"/>
          <w:sz w:val="32"/>
          <w:szCs w:val="32"/>
        </w:rPr>
        <w:t>2019年决算数为4.89万元，完成预算100%。</w:t>
      </w:r>
      <w:r>
        <w:rPr>
          <w:rFonts w:hint="default" w:ascii="Times New Roman" w:hAnsi="Times New Roman" w:eastAsia="宋体" w:cs="Times New Roman"/>
          <w:sz w:val="32"/>
          <w:szCs w:val="32"/>
        </w:rPr>
        <w:br w:type="textWrapping"/>
      </w:r>
      <w:r>
        <w:rPr>
          <w:rFonts w:hint="default" w:ascii="Times New Roman" w:hAnsi="Times New Roman" w:eastAsia="宋体" w:cs="Times New Roman"/>
          <w:b/>
          <w:bCs/>
          <w:sz w:val="32"/>
          <w:szCs w:val="32"/>
        </w:rPr>
        <w:t>7.住房保障支出（类）住房改革支出（款）住房公积金（项）</w:t>
      </w:r>
      <w:r>
        <w:rPr>
          <w:rFonts w:hint="eastAsia" w:ascii="Times New Roman" w:hAnsi="Times New Roman" w:eastAsia="宋体" w:cs="Times New Roman"/>
          <w:b/>
          <w:bCs/>
          <w:sz w:val="32"/>
          <w:szCs w:val="32"/>
          <w:lang w:eastAsia="zh-CN"/>
        </w:rPr>
        <w:t>：</w:t>
      </w:r>
      <w:r>
        <w:rPr>
          <w:rFonts w:hint="default" w:ascii="Times New Roman" w:hAnsi="Times New Roman" w:eastAsia="宋体" w:cs="Times New Roman"/>
          <w:sz w:val="32"/>
          <w:szCs w:val="32"/>
        </w:rPr>
        <w:t>2019年决算数为</w:t>
      </w:r>
      <w:r>
        <w:rPr>
          <w:rFonts w:hint="default" w:ascii="??_GB2312" w:hAnsi="??_GB2312" w:eastAsia="??_GB2312" w:cs="??_GB2312"/>
          <w:sz w:val="32"/>
          <w:szCs w:val="32"/>
        </w:rPr>
        <w:t>13.4</w:t>
      </w:r>
      <w:r>
        <w:rPr>
          <w:rFonts w:hint="default" w:ascii="Times New Roman" w:hAnsi="Times New Roman" w:eastAsia="宋体" w:cs="Times New Roman"/>
          <w:sz w:val="32"/>
          <w:szCs w:val="32"/>
        </w:rPr>
        <w:t>万元，完成预算</w:t>
      </w:r>
      <w:r>
        <w:rPr>
          <w:rFonts w:hint="default" w:ascii="??_GB2312" w:hAnsi="??_GB2312" w:eastAsia="??_GB2312" w:cs="??_GB2312"/>
          <w:sz w:val="32"/>
          <w:szCs w:val="32"/>
        </w:rPr>
        <w:t>100%</w:t>
      </w:r>
      <w:r>
        <w:rPr>
          <w:rFonts w:hint="default" w:ascii="Times New Roman" w:hAnsi="Times New Roman" w:eastAsia="宋体" w:cs="Times New Roman"/>
          <w:sz w:val="32"/>
          <w:szCs w:val="32"/>
        </w:rPr>
        <w:t>。</w:t>
      </w:r>
    </w:p>
    <w:p w14:paraId="7A99566C">
      <w:pPr>
        <w:pStyle w:val="5"/>
        <w:keepNext w:val="0"/>
        <w:keepLines w:val="0"/>
        <w:widowControl/>
        <w:suppressLineNumbers w:val="0"/>
        <w:spacing w:before="0" w:beforeAutospacing="0" w:after="0" w:afterAutospacing="0" w:line="600" w:lineRule="atLeast"/>
        <w:ind w:left="0" w:right="0" w:firstLine="640"/>
        <w:jc w:val="both"/>
        <w:rPr>
          <w:rFonts w:hint="default" w:ascii="Times New Roman" w:hAnsi="Times New Roman" w:cs="Times New Roman"/>
          <w:sz w:val="21"/>
          <w:szCs w:val="21"/>
        </w:rPr>
      </w:pPr>
      <w:r>
        <w:rPr>
          <w:rFonts w:hint="default" w:ascii="Times New Roman" w:hAnsi="Times New Roman" w:eastAsia="宋体" w:cs="Times New Roman"/>
          <w:sz w:val="21"/>
          <w:szCs w:val="21"/>
        </w:rPr>
        <w:t> </w:t>
      </w:r>
    </w:p>
    <w:p w14:paraId="61679D05">
      <w:pPr>
        <w:pStyle w:val="5"/>
        <w:keepNext w:val="0"/>
        <w:keepLines w:val="0"/>
        <w:widowControl/>
        <w:suppressLineNumbers w:val="0"/>
        <w:spacing w:before="0" w:beforeAutospacing="0" w:after="0" w:afterAutospacing="0" w:line="600" w:lineRule="atLeast"/>
        <w:ind w:left="0" w:right="0" w:firstLine="640"/>
        <w:jc w:val="both"/>
        <w:rPr>
          <w:rFonts w:hint="default" w:ascii="Times New Roman" w:hAnsi="Times New Roman" w:cs="Times New Roman"/>
          <w:sz w:val="21"/>
          <w:szCs w:val="21"/>
        </w:rPr>
      </w:pPr>
      <w:r>
        <w:rPr>
          <w:rFonts w:hint="eastAsia" w:ascii="黑体" w:hAnsi="宋体" w:eastAsia="黑体" w:cs="黑体"/>
          <w:color w:val="000000"/>
          <w:sz w:val="32"/>
          <w:szCs w:val="32"/>
        </w:rPr>
        <w:t>六</w:t>
      </w:r>
      <w:r>
        <w:rPr>
          <w:rFonts w:hint="eastAsia" w:ascii="黑体" w:hAnsi="宋体" w:eastAsia="黑体" w:cs="黑体"/>
          <w:b/>
          <w:bCs/>
          <w:color w:val="000000"/>
          <w:sz w:val="32"/>
          <w:szCs w:val="32"/>
        </w:rPr>
        <w:t>、一</w:t>
      </w:r>
      <w:r>
        <w:rPr>
          <w:rFonts w:hint="eastAsia" w:ascii="黑体" w:hAnsi="宋体" w:eastAsia="黑体" w:cs="黑体"/>
          <w:b w:val="0"/>
          <w:bCs w:val="0"/>
          <w:sz w:val="32"/>
          <w:szCs w:val="32"/>
        </w:rPr>
        <w:t xml:space="preserve">般公共预算财政拨款基本支出决算情况说明 </w:t>
      </w:r>
    </w:p>
    <w:p w14:paraId="1E8EA5F8">
      <w:pPr>
        <w:pStyle w:val="5"/>
        <w:keepNext w:val="0"/>
        <w:keepLines w:val="0"/>
        <w:widowControl/>
        <w:suppressLineNumbers w:val="0"/>
        <w:spacing w:before="0" w:beforeAutospacing="0" w:after="0" w:afterAutospacing="0" w:line="600" w:lineRule="atLeast"/>
        <w:ind w:left="0" w:right="0" w:firstLine="645"/>
        <w:jc w:val="both"/>
        <w:rPr>
          <w:rFonts w:hint="default" w:ascii="Times New Roman" w:hAnsi="Times New Roman" w:cs="Times New Roman"/>
          <w:sz w:val="21"/>
          <w:szCs w:val="21"/>
        </w:rPr>
      </w:pPr>
      <w:r>
        <w:rPr>
          <w:rFonts w:hint="eastAsia" w:ascii="仿宋" w:hAnsi="仿宋" w:eastAsia="仿宋" w:cs="仿宋"/>
          <w:color w:val="000000"/>
          <w:sz w:val="32"/>
          <w:szCs w:val="32"/>
        </w:rPr>
        <w:t>2019年一般公共预算财政拨款基本支出190.47万元，其中：</w:t>
      </w:r>
    </w:p>
    <w:p w14:paraId="35987FA5">
      <w:pPr>
        <w:pStyle w:val="5"/>
        <w:keepNext w:val="0"/>
        <w:keepLines w:val="0"/>
        <w:widowControl/>
        <w:suppressLineNumbers w:val="0"/>
        <w:spacing w:before="0" w:beforeAutospacing="0" w:after="0" w:afterAutospacing="0" w:line="600" w:lineRule="atLeast"/>
        <w:ind w:left="0" w:right="0" w:firstLine="645"/>
        <w:jc w:val="both"/>
        <w:rPr>
          <w:rFonts w:hint="default" w:ascii="Times New Roman" w:hAnsi="Times New Roman" w:cs="Times New Roman"/>
          <w:sz w:val="21"/>
          <w:szCs w:val="21"/>
        </w:rPr>
      </w:pPr>
      <w:r>
        <w:rPr>
          <w:rFonts w:hint="eastAsia" w:ascii="仿宋" w:hAnsi="仿宋" w:eastAsia="仿宋" w:cs="仿宋"/>
          <w:color w:val="000000"/>
          <w:sz w:val="32"/>
          <w:szCs w:val="32"/>
        </w:rPr>
        <w:t>人员经费165.63万元，主要包括：基本工资、津贴补贴、奖金、伙食补助费、绩效工资、机关事业单位基本养老保险缴费、职业年金缴费、职工基本医疗保险缴费</w:t>
      </w:r>
      <w:r>
        <w:rPr>
          <w:rFonts w:hint="default" w:ascii="Times New Roman" w:hAnsi="Times New Roman" w:eastAsia="宋体" w:cs="Times New Roman"/>
          <w:color w:val="000000"/>
          <w:sz w:val="32"/>
          <w:szCs w:val="32"/>
        </w:rPr>
        <w:t>、</w:t>
      </w:r>
      <w:r>
        <w:rPr>
          <w:rFonts w:hint="eastAsia" w:ascii="仿宋" w:hAnsi="仿宋" w:eastAsia="仿宋" w:cs="仿宋"/>
          <w:color w:val="000000"/>
          <w:sz w:val="32"/>
          <w:szCs w:val="32"/>
        </w:rPr>
        <w:t>其他社会保障缴费、其他工资福利、离休费、住房公积金、其他对个人和家庭的补助支出等。</w:t>
      </w:r>
      <w:r>
        <w:rPr>
          <w:rFonts w:hint="eastAsia" w:ascii="仿宋" w:hAnsi="仿宋" w:eastAsia="仿宋" w:cs="仿宋"/>
          <w:color w:val="FF0000"/>
          <w:sz w:val="32"/>
          <w:szCs w:val="32"/>
        </w:rPr>
        <w:br w:type="textWrapping"/>
      </w:r>
      <w:r>
        <w:rPr>
          <w:rFonts w:hint="eastAsia" w:ascii="仿宋" w:hAnsi="仿宋" w:eastAsia="仿宋" w:cs="仿宋"/>
          <w:color w:val="000000"/>
          <w:sz w:val="32"/>
          <w:szCs w:val="32"/>
        </w:rPr>
        <w:t>　　日常公用经费24.84万元，主要包括：办公费、水费0.10万元、电费、邮电费、差旅费、工会经费、福利费、其他交通费、其他商品和服务支出。</w:t>
      </w:r>
      <w:r>
        <w:rPr>
          <w:rFonts w:hint="eastAsia" w:ascii="仿宋" w:hAnsi="仿宋" w:eastAsia="仿宋" w:cs="仿宋"/>
          <w:color w:val="FF0000"/>
          <w:sz w:val="32"/>
          <w:szCs w:val="32"/>
        </w:rPr>
        <w:br w:type="textWrapping"/>
      </w:r>
      <w:r>
        <w:rPr>
          <w:rFonts w:hint="eastAsia" w:ascii="黑体" w:hAnsi="宋体" w:eastAsia="黑体" w:cs="黑体"/>
          <w:color w:val="000000"/>
          <w:sz w:val="32"/>
          <w:szCs w:val="32"/>
        </w:rPr>
        <w:t>七、</w:t>
      </w:r>
      <w:r>
        <w:rPr>
          <w:rFonts w:hint="eastAsia" w:ascii="黑体" w:hAnsi="宋体" w:eastAsia="黑体" w:cs="黑体"/>
          <w:b/>
          <w:bCs/>
          <w:sz w:val="32"/>
          <w:szCs w:val="32"/>
        </w:rPr>
        <w:t>“</w:t>
      </w:r>
      <w:r>
        <w:rPr>
          <w:rFonts w:hint="eastAsia" w:ascii="黑体" w:hAnsi="宋体" w:eastAsia="黑体" w:cs="黑体"/>
          <w:b w:val="0"/>
          <w:bCs w:val="0"/>
          <w:sz w:val="32"/>
          <w:szCs w:val="32"/>
        </w:rPr>
        <w:t>三公”经费财政拨款支出决算情况说明</w:t>
      </w:r>
    </w:p>
    <w:p w14:paraId="35027BF4">
      <w:pPr>
        <w:pStyle w:val="5"/>
        <w:keepNext w:val="0"/>
        <w:keepLines w:val="0"/>
        <w:widowControl/>
        <w:suppressLineNumbers w:val="0"/>
        <w:spacing w:before="0" w:beforeAutospacing="0" w:after="0" w:afterAutospacing="0" w:line="600" w:lineRule="atLeast"/>
        <w:ind w:left="0" w:right="0" w:firstLine="640"/>
        <w:jc w:val="both"/>
        <w:rPr>
          <w:rFonts w:hint="default" w:ascii="Times New Roman" w:hAnsi="Times New Roman" w:cs="Times New Roman"/>
          <w:sz w:val="21"/>
          <w:szCs w:val="21"/>
        </w:rPr>
      </w:pPr>
      <w:r>
        <w:rPr>
          <w:rFonts w:hint="eastAsia" w:ascii="仿宋" w:hAnsi="仿宋" w:eastAsia="仿宋" w:cs="仿宋"/>
          <w:b/>
          <w:bCs/>
          <w:color w:val="000000"/>
          <w:sz w:val="32"/>
          <w:szCs w:val="32"/>
        </w:rPr>
        <w:t>（一）“三公”经费财政拨款支出决算总体情况说明</w:t>
      </w:r>
    </w:p>
    <w:p w14:paraId="1EEBF6D3">
      <w:pPr>
        <w:pStyle w:val="5"/>
        <w:keepNext w:val="0"/>
        <w:keepLines w:val="0"/>
        <w:widowControl/>
        <w:suppressLineNumbers w:val="0"/>
        <w:spacing w:before="0" w:beforeAutospacing="0" w:after="0" w:afterAutospacing="0" w:line="600" w:lineRule="atLeast"/>
        <w:ind w:left="0" w:right="0" w:firstLine="640"/>
        <w:jc w:val="both"/>
        <w:rPr>
          <w:rFonts w:hint="default" w:ascii="Times New Roman" w:hAnsi="Times New Roman" w:cs="Times New Roman"/>
          <w:sz w:val="21"/>
          <w:szCs w:val="21"/>
        </w:rPr>
      </w:pPr>
      <w:r>
        <w:rPr>
          <w:rFonts w:hint="eastAsia" w:ascii="仿宋" w:hAnsi="仿宋" w:eastAsia="仿宋" w:cs="仿宋"/>
          <w:color w:val="000000"/>
          <w:sz w:val="32"/>
          <w:szCs w:val="32"/>
        </w:rPr>
        <w:t>2019年“三公”经费财政拨款支出决算为0万元，完成预算0%，决算数小于预算数的主要原因是</w:t>
      </w:r>
      <w:r>
        <w:rPr>
          <w:rFonts w:hint="eastAsia" w:ascii="仿宋" w:hAnsi="仿宋" w:eastAsia="仿宋" w:cs="仿宋"/>
          <w:sz w:val="32"/>
          <w:szCs w:val="32"/>
        </w:rPr>
        <w:t>我校严格执行公务接待相关规定，从严控制各项支出</w:t>
      </w:r>
      <w:r>
        <w:rPr>
          <w:rFonts w:hint="default" w:ascii="Times New Roman" w:hAnsi="Times New Roman" w:eastAsia="宋体" w:cs="Times New Roman"/>
          <w:color w:val="333333"/>
          <w:sz w:val="32"/>
          <w:szCs w:val="32"/>
        </w:rPr>
        <w:t>。</w:t>
      </w:r>
    </w:p>
    <w:p w14:paraId="6418B869">
      <w:pPr>
        <w:pStyle w:val="5"/>
        <w:keepNext w:val="0"/>
        <w:keepLines w:val="0"/>
        <w:widowControl/>
        <w:suppressLineNumbers w:val="0"/>
        <w:spacing w:before="0" w:beforeAutospacing="0" w:after="0" w:afterAutospacing="0" w:line="600" w:lineRule="atLeast"/>
        <w:ind w:left="0" w:right="0" w:firstLine="640"/>
        <w:jc w:val="both"/>
        <w:rPr>
          <w:rFonts w:hint="default" w:ascii="Times New Roman" w:hAnsi="Times New Roman" w:cs="Times New Roman"/>
          <w:sz w:val="21"/>
          <w:szCs w:val="21"/>
        </w:rPr>
      </w:pPr>
      <w:r>
        <w:rPr>
          <w:rFonts w:hint="default" w:ascii="Times New Roman" w:hAnsi="Times New Roman" w:eastAsia="宋体" w:cs="Times New Roman"/>
          <w:sz w:val="21"/>
          <w:szCs w:val="21"/>
        </w:rPr>
        <w:t> </w:t>
      </w:r>
    </w:p>
    <w:p w14:paraId="56603E1D">
      <w:pPr>
        <w:pStyle w:val="5"/>
        <w:keepNext w:val="0"/>
        <w:keepLines w:val="0"/>
        <w:widowControl/>
        <w:suppressLineNumbers w:val="0"/>
        <w:spacing w:before="0" w:beforeAutospacing="0" w:after="0" w:afterAutospacing="0" w:line="600" w:lineRule="atLeast"/>
        <w:ind w:left="0" w:right="0" w:firstLine="640"/>
        <w:jc w:val="both"/>
        <w:rPr>
          <w:rFonts w:hint="default" w:ascii="Times New Roman" w:hAnsi="Times New Roman" w:cs="Times New Roman"/>
          <w:sz w:val="21"/>
          <w:szCs w:val="21"/>
        </w:rPr>
      </w:pPr>
      <w:r>
        <w:rPr>
          <w:rFonts w:hint="eastAsia" w:ascii="仿宋" w:hAnsi="仿宋" w:eastAsia="仿宋" w:cs="仿宋"/>
          <w:b/>
          <w:bCs/>
          <w:color w:val="000000"/>
          <w:sz w:val="32"/>
          <w:szCs w:val="32"/>
        </w:rPr>
        <w:t>（二）“三公”经费财政拨款支出决算具体情况说明</w:t>
      </w:r>
    </w:p>
    <w:p w14:paraId="4C871139">
      <w:pPr>
        <w:pStyle w:val="5"/>
        <w:keepNext w:val="0"/>
        <w:keepLines w:val="0"/>
        <w:widowControl/>
        <w:suppressLineNumbers w:val="0"/>
        <w:spacing w:before="0" w:beforeAutospacing="0" w:after="0" w:afterAutospacing="0" w:line="600" w:lineRule="atLeast"/>
        <w:ind w:left="0" w:right="0" w:firstLine="640"/>
        <w:jc w:val="both"/>
        <w:rPr>
          <w:rFonts w:hint="default" w:ascii="Times New Roman" w:hAnsi="Times New Roman" w:cs="Times New Roman"/>
          <w:sz w:val="21"/>
          <w:szCs w:val="21"/>
        </w:rPr>
      </w:pPr>
      <w:r>
        <w:rPr>
          <w:rFonts w:hint="eastAsia" w:ascii="仿宋" w:hAnsi="仿宋" w:eastAsia="仿宋" w:cs="仿宋"/>
          <w:color w:val="000000"/>
          <w:sz w:val="32"/>
          <w:szCs w:val="32"/>
        </w:rPr>
        <w:t>2019年“三公”经费财政拨款支出决算中，因公出国（境）费支出决算0万元，占0%；公务用车购置及运行维护费支出决算0万元，占0%；公务接待费支出决算0万元，占0%。具体情况如下：</w:t>
      </w:r>
    </w:p>
    <w:p w14:paraId="2BA2ACD9">
      <w:pPr>
        <w:pStyle w:val="5"/>
        <w:keepNext w:val="0"/>
        <w:keepLines w:val="0"/>
        <w:widowControl/>
        <w:suppressLineNumbers w:val="0"/>
        <w:spacing w:before="0" w:beforeAutospacing="0" w:after="0" w:afterAutospacing="0" w:line="600" w:lineRule="atLeast"/>
        <w:ind w:left="0" w:right="0" w:firstLine="640"/>
        <w:jc w:val="both"/>
        <w:rPr>
          <w:rFonts w:hint="default" w:ascii="Times New Roman" w:hAnsi="Times New Roman" w:cs="Times New Roman"/>
          <w:sz w:val="21"/>
          <w:szCs w:val="21"/>
        </w:rPr>
      </w:pPr>
      <w:r>
        <w:rPr>
          <w:rFonts w:hint="default" w:ascii="Times New Roman" w:hAnsi="Times New Roman" w:eastAsia="宋体" w:cs="Times New Roman"/>
          <w:sz w:val="21"/>
          <w:szCs w:val="21"/>
        </w:rPr>
        <w:drawing>
          <wp:inline distT="0" distB="0" distL="114300" distR="114300">
            <wp:extent cx="4067175" cy="2762250"/>
            <wp:effectExtent l="0" t="0" r="9525" b="0"/>
            <wp:docPr id="13" name="图片 13"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IMG_262"/>
                    <pic:cNvPicPr>
                      <a:picLocks noChangeAspect="1"/>
                    </pic:cNvPicPr>
                  </pic:nvPicPr>
                  <pic:blipFill>
                    <a:blip r:embed="rId10"/>
                    <a:stretch>
                      <a:fillRect/>
                    </a:stretch>
                  </pic:blipFill>
                  <pic:spPr>
                    <a:xfrm>
                      <a:off x="0" y="0"/>
                      <a:ext cx="4067175" cy="2762250"/>
                    </a:xfrm>
                    <a:prstGeom prst="rect">
                      <a:avLst/>
                    </a:prstGeom>
                    <a:noFill/>
                    <a:ln w="9525">
                      <a:noFill/>
                    </a:ln>
                  </pic:spPr>
                </pic:pic>
              </a:graphicData>
            </a:graphic>
          </wp:inline>
        </w:drawing>
      </w:r>
    </w:p>
    <w:p w14:paraId="3B0AAF57">
      <w:pPr>
        <w:pStyle w:val="5"/>
        <w:keepNext w:val="0"/>
        <w:keepLines w:val="0"/>
        <w:widowControl/>
        <w:suppressLineNumbers w:val="0"/>
        <w:spacing w:before="0" w:beforeAutospacing="0" w:after="0" w:afterAutospacing="0" w:line="600" w:lineRule="atLeast"/>
        <w:ind w:left="0" w:right="0" w:firstLine="640"/>
        <w:jc w:val="both"/>
        <w:rPr>
          <w:rFonts w:hint="default" w:ascii="Times New Roman" w:hAnsi="Times New Roman" w:cs="Times New Roman"/>
          <w:sz w:val="21"/>
          <w:szCs w:val="21"/>
        </w:rPr>
      </w:pPr>
      <w:r>
        <w:rPr>
          <w:rFonts w:hint="eastAsia" w:ascii="仿宋" w:hAnsi="仿宋" w:eastAsia="仿宋" w:cs="仿宋"/>
          <w:color w:val="000000"/>
          <w:sz w:val="32"/>
          <w:szCs w:val="32"/>
        </w:rPr>
        <w:t>（图7：“三公”经费财政拨款支出结构）（饼状图）</w:t>
      </w:r>
    </w:p>
    <w:p w14:paraId="21163F69">
      <w:pPr>
        <w:pStyle w:val="5"/>
        <w:keepNext w:val="0"/>
        <w:keepLines w:val="0"/>
        <w:widowControl/>
        <w:suppressLineNumbers w:val="0"/>
        <w:spacing w:before="0" w:beforeAutospacing="0" w:after="0" w:afterAutospacing="0" w:line="600" w:lineRule="atLeast"/>
        <w:ind w:left="0" w:right="0" w:firstLine="640"/>
        <w:jc w:val="both"/>
        <w:rPr>
          <w:rFonts w:hint="default" w:ascii="Times New Roman" w:hAnsi="Times New Roman" w:cs="Times New Roman"/>
          <w:sz w:val="21"/>
          <w:szCs w:val="21"/>
        </w:rPr>
      </w:pPr>
      <w:r>
        <w:rPr>
          <w:rFonts w:hint="default" w:ascii="Times New Roman" w:hAnsi="Times New Roman" w:eastAsia="宋体" w:cs="Times New Roman"/>
          <w:sz w:val="21"/>
          <w:szCs w:val="21"/>
        </w:rPr>
        <w:t> </w:t>
      </w:r>
    </w:p>
    <w:p w14:paraId="1D32B64A">
      <w:pPr>
        <w:pStyle w:val="5"/>
        <w:keepNext w:val="0"/>
        <w:keepLines w:val="0"/>
        <w:widowControl/>
        <w:suppressLineNumbers w:val="0"/>
        <w:spacing w:before="0" w:beforeAutospacing="0" w:after="0" w:afterAutospacing="0" w:line="600" w:lineRule="atLeast"/>
        <w:ind w:left="0" w:right="0" w:firstLine="640"/>
        <w:jc w:val="both"/>
        <w:rPr>
          <w:rFonts w:hint="default" w:ascii="Times New Roman" w:hAnsi="Times New Roman" w:cs="Times New Roman"/>
          <w:sz w:val="21"/>
          <w:szCs w:val="21"/>
        </w:rPr>
      </w:pPr>
      <w:r>
        <w:rPr>
          <w:rFonts w:hint="default" w:ascii="Times New Roman" w:hAnsi="Times New Roman" w:eastAsia="宋体" w:cs="Times New Roman"/>
          <w:b/>
          <w:bCs/>
          <w:color w:val="000000"/>
          <w:sz w:val="32"/>
          <w:szCs w:val="32"/>
        </w:rPr>
        <w:t>1.因公出国（境）经费支出</w:t>
      </w:r>
      <w:r>
        <w:rPr>
          <w:rFonts w:hint="default" w:ascii="Times New Roman" w:hAnsi="Times New Roman" w:eastAsia="宋体" w:cs="Times New Roman"/>
          <w:color w:val="000000"/>
          <w:sz w:val="32"/>
          <w:szCs w:val="32"/>
        </w:rPr>
        <w:t>0万元，</w:t>
      </w:r>
      <w:r>
        <w:rPr>
          <w:rFonts w:hint="eastAsia" w:ascii="仿宋" w:hAnsi="仿宋" w:eastAsia="仿宋" w:cs="仿宋"/>
          <w:b w:val="0"/>
          <w:bCs w:val="0"/>
          <w:color w:val="000000"/>
          <w:sz w:val="32"/>
          <w:szCs w:val="32"/>
        </w:rPr>
        <w:t>完成预算0%。</w:t>
      </w:r>
      <w:r>
        <w:rPr>
          <w:rFonts w:hint="default" w:ascii="Times New Roman" w:hAnsi="Times New Roman" w:eastAsia="宋体" w:cs="Times New Roman"/>
          <w:color w:val="000000"/>
          <w:sz w:val="32"/>
          <w:szCs w:val="32"/>
        </w:rPr>
        <w:t>全年安排因公出国（境）团组0次，出国（境）</w:t>
      </w:r>
      <w:r>
        <w:rPr>
          <w:rFonts w:hint="default" w:ascii="??_GB2312" w:hAnsi="??_GB2312" w:eastAsia="??_GB2312" w:cs="??_GB2312"/>
          <w:color w:val="000000"/>
          <w:sz w:val="32"/>
          <w:szCs w:val="32"/>
        </w:rPr>
        <w:t>0</w:t>
      </w:r>
      <w:r>
        <w:rPr>
          <w:rFonts w:hint="default" w:ascii="Times New Roman" w:hAnsi="Times New Roman" w:eastAsia="宋体" w:cs="Times New Roman"/>
          <w:color w:val="000000"/>
          <w:sz w:val="32"/>
          <w:szCs w:val="32"/>
        </w:rPr>
        <w:t>人。因公出国（境）支出决算与</w:t>
      </w:r>
      <w:r>
        <w:rPr>
          <w:rFonts w:hint="default" w:ascii="??_GB2312" w:hAnsi="??_GB2312" w:eastAsia="??_GB2312" w:cs="??_GB2312"/>
          <w:color w:val="000000"/>
          <w:sz w:val="32"/>
          <w:szCs w:val="32"/>
        </w:rPr>
        <w:t>2018</w:t>
      </w:r>
      <w:r>
        <w:rPr>
          <w:rFonts w:hint="default" w:ascii="Times New Roman" w:hAnsi="Times New Roman" w:eastAsia="宋体" w:cs="Times New Roman"/>
          <w:color w:val="000000"/>
          <w:sz w:val="32"/>
          <w:szCs w:val="32"/>
        </w:rPr>
        <w:t>年持平。</w:t>
      </w:r>
    </w:p>
    <w:p w14:paraId="24B8F5C0">
      <w:pPr>
        <w:pStyle w:val="5"/>
        <w:keepNext w:val="0"/>
        <w:keepLines w:val="0"/>
        <w:widowControl/>
        <w:suppressLineNumbers w:val="0"/>
        <w:spacing w:before="0" w:beforeAutospacing="0" w:after="0" w:afterAutospacing="0" w:line="600" w:lineRule="atLeast"/>
        <w:ind w:left="0" w:right="0" w:firstLine="640"/>
        <w:jc w:val="both"/>
        <w:rPr>
          <w:rFonts w:hint="default" w:ascii="Times New Roman" w:hAnsi="Times New Roman" w:cs="Times New Roman"/>
          <w:sz w:val="21"/>
          <w:szCs w:val="21"/>
        </w:rPr>
      </w:pPr>
      <w:r>
        <w:rPr>
          <w:rFonts w:hint="default" w:ascii="Times New Roman" w:hAnsi="Times New Roman" w:eastAsia="宋体" w:cs="Times New Roman"/>
          <w:b/>
          <w:bCs/>
          <w:color w:val="000000"/>
          <w:sz w:val="32"/>
          <w:szCs w:val="32"/>
        </w:rPr>
        <w:t>2.公务用车购置及运行维护费支出</w:t>
      </w:r>
      <w:r>
        <w:rPr>
          <w:rFonts w:hint="default" w:ascii="Times New Roman" w:hAnsi="Times New Roman" w:eastAsia="宋体" w:cs="Times New Roman"/>
          <w:color w:val="000000"/>
          <w:sz w:val="32"/>
          <w:szCs w:val="32"/>
        </w:rPr>
        <w:t>0万元</w:t>
      </w:r>
      <w:r>
        <w:rPr>
          <w:rFonts w:hint="eastAsia" w:ascii="Times New Roman" w:hAnsi="Times New Roman" w:eastAsia="宋体" w:cs="Times New Roman"/>
          <w:color w:val="000000"/>
          <w:sz w:val="32"/>
          <w:szCs w:val="32"/>
          <w:lang w:eastAsia="zh-CN"/>
        </w:rPr>
        <w:t>，</w:t>
      </w:r>
      <w:r>
        <w:rPr>
          <w:rFonts w:hint="eastAsia" w:ascii="仿宋" w:hAnsi="仿宋" w:eastAsia="仿宋" w:cs="仿宋"/>
          <w:b w:val="0"/>
          <w:bCs w:val="0"/>
          <w:color w:val="000000"/>
          <w:sz w:val="32"/>
          <w:szCs w:val="32"/>
        </w:rPr>
        <w:t>完成预算0%。</w:t>
      </w:r>
      <w:r>
        <w:rPr>
          <w:rFonts w:hint="default" w:ascii="Times New Roman" w:hAnsi="Times New Roman" w:eastAsia="宋体" w:cs="Times New Roman"/>
          <w:color w:val="000000"/>
          <w:sz w:val="32"/>
          <w:szCs w:val="32"/>
        </w:rPr>
        <w:t>公务用车购置及运行维护费支出决算与2018年持平。</w:t>
      </w:r>
    </w:p>
    <w:p w14:paraId="0E2ABD32">
      <w:pPr>
        <w:pStyle w:val="5"/>
        <w:keepNext w:val="0"/>
        <w:keepLines w:val="0"/>
        <w:widowControl/>
        <w:suppressLineNumbers w:val="0"/>
        <w:spacing w:before="0" w:beforeAutospacing="0" w:after="0" w:afterAutospacing="0" w:line="600" w:lineRule="atLeast"/>
        <w:ind w:left="0" w:right="0" w:firstLine="640"/>
        <w:jc w:val="both"/>
        <w:rPr>
          <w:rFonts w:hint="default" w:ascii="Times New Roman" w:hAnsi="Times New Roman" w:cs="Times New Roman"/>
          <w:sz w:val="21"/>
          <w:szCs w:val="21"/>
        </w:rPr>
      </w:pPr>
      <w:r>
        <w:rPr>
          <w:rFonts w:hint="default" w:ascii="Times New Roman" w:hAnsi="Times New Roman" w:eastAsia="宋体" w:cs="Times New Roman"/>
          <w:color w:val="000000"/>
          <w:sz w:val="32"/>
          <w:szCs w:val="32"/>
        </w:rPr>
        <w:t>其中：</w:t>
      </w:r>
      <w:r>
        <w:rPr>
          <w:rFonts w:hint="default" w:ascii="Times New Roman" w:hAnsi="Times New Roman" w:eastAsia="宋体" w:cs="Times New Roman"/>
          <w:b/>
          <w:bCs/>
          <w:color w:val="000000"/>
          <w:sz w:val="32"/>
          <w:szCs w:val="32"/>
        </w:rPr>
        <w:t>公务用车购置支出0</w:t>
      </w:r>
      <w:r>
        <w:rPr>
          <w:rFonts w:hint="default" w:ascii="Times New Roman" w:hAnsi="Times New Roman" w:eastAsia="宋体" w:cs="Times New Roman"/>
          <w:color w:val="000000"/>
          <w:sz w:val="32"/>
          <w:szCs w:val="32"/>
        </w:rPr>
        <w:t>万元。全年按规定更新购置公务用车0辆，金额</w:t>
      </w:r>
      <w:r>
        <w:rPr>
          <w:rFonts w:hint="default" w:ascii="??_GB2312" w:hAnsi="??_GB2312" w:eastAsia="??_GB2312" w:cs="??_GB2312"/>
          <w:color w:val="000000"/>
          <w:sz w:val="32"/>
          <w:szCs w:val="32"/>
        </w:rPr>
        <w:t>0</w:t>
      </w:r>
      <w:r>
        <w:rPr>
          <w:rFonts w:hint="default" w:ascii="Times New Roman" w:hAnsi="Times New Roman" w:eastAsia="宋体" w:cs="Times New Roman"/>
          <w:color w:val="000000"/>
          <w:sz w:val="32"/>
          <w:szCs w:val="32"/>
        </w:rPr>
        <w:t>元。截至</w:t>
      </w:r>
      <w:r>
        <w:rPr>
          <w:rFonts w:hint="default" w:ascii="??_GB2312" w:hAnsi="??_GB2312" w:eastAsia="??_GB2312" w:cs="??_GB2312"/>
          <w:color w:val="000000"/>
          <w:sz w:val="32"/>
          <w:szCs w:val="32"/>
        </w:rPr>
        <w:t>2019</w:t>
      </w:r>
      <w:r>
        <w:rPr>
          <w:rFonts w:hint="default" w:ascii="Times New Roman" w:hAnsi="Times New Roman" w:eastAsia="宋体" w:cs="Times New Roman"/>
          <w:color w:val="000000"/>
          <w:sz w:val="32"/>
          <w:szCs w:val="32"/>
        </w:rPr>
        <w:t>年</w:t>
      </w:r>
      <w:r>
        <w:rPr>
          <w:rFonts w:hint="default" w:ascii="??_GB2312" w:hAnsi="??_GB2312" w:eastAsia="??_GB2312" w:cs="??_GB2312"/>
          <w:color w:val="000000"/>
          <w:sz w:val="32"/>
          <w:szCs w:val="32"/>
        </w:rPr>
        <w:t>12</w:t>
      </w:r>
      <w:r>
        <w:rPr>
          <w:rFonts w:hint="default" w:ascii="Times New Roman" w:hAnsi="Times New Roman" w:eastAsia="宋体" w:cs="Times New Roman"/>
          <w:color w:val="000000"/>
          <w:sz w:val="32"/>
          <w:szCs w:val="32"/>
        </w:rPr>
        <w:t>月底，单位共有公务用车</w:t>
      </w:r>
      <w:r>
        <w:rPr>
          <w:rFonts w:hint="default" w:ascii="??_GB2312" w:hAnsi="??_GB2312" w:eastAsia="??_GB2312" w:cs="??_GB2312"/>
          <w:color w:val="000000"/>
          <w:sz w:val="32"/>
          <w:szCs w:val="32"/>
        </w:rPr>
        <w:t>0</w:t>
      </w:r>
      <w:r>
        <w:rPr>
          <w:rFonts w:hint="default" w:ascii="Times New Roman" w:hAnsi="Times New Roman" w:eastAsia="宋体" w:cs="Times New Roman"/>
          <w:color w:val="000000"/>
          <w:sz w:val="32"/>
          <w:szCs w:val="32"/>
        </w:rPr>
        <w:t>辆，其中：主要领导干部用车</w:t>
      </w:r>
      <w:r>
        <w:rPr>
          <w:rFonts w:hint="default" w:ascii="??_GB2312" w:hAnsi="??_GB2312" w:eastAsia="??_GB2312" w:cs="??_GB2312"/>
          <w:color w:val="000000"/>
          <w:sz w:val="32"/>
          <w:szCs w:val="32"/>
        </w:rPr>
        <w:t>0</w:t>
      </w:r>
      <w:r>
        <w:rPr>
          <w:rFonts w:hint="default" w:ascii="Times New Roman" w:hAnsi="Times New Roman" w:eastAsia="宋体" w:cs="Times New Roman"/>
          <w:color w:val="000000"/>
          <w:sz w:val="32"/>
          <w:szCs w:val="32"/>
        </w:rPr>
        <w:t>辆、机要通信用车</w:t>
      </w:r>
      <w:r>
        <w:rPr>
          <w:rFonts w:hint="default" w:ascii="??_GB2312" w:hAnsi="??_GB2312" w:eastAsia="??_GB2312" w:cs="??_GB2312"/>
          <w:color w:val="000000"/>
          <w:sz w:val="32"/>
          <w:szCs w:val="32"/>
        </w:rPr>
        <w:t>0</w:t>
      </w:r>
      <w:r>
        <w:rPr>
          <w:rFonts w:hint="default" w:ascii="Times New Roman" w:hAnsi="Times New Roman" w:eastAsia="宋体" w:cs="Times New Roman"/>
          <w:color w:val="000000"/>
          <w:sz w:val="32"/>
          <w:szCs w:val="32"/>
        </w:rPr>
        <w:t>辆、应急保障用车</w:t>
      </w:r>
      <w:r>
        <w:rPr>
          <w:rFonts w:hint="default" w:ascii="??_GB2312" w:hAnsi="??_GB2312" w:eastAsia="??_GB2312" w:cs="??_GB2312"/>
          <w:color w:val="000000"/>
          <w:sz w:val="32"/>
          <w:szCs w:val="32"/>
        </w:rPr>
        <w:t>0</w:t>
      </w:r>
      <w:r>
        <w:rPr>
          <w:rFonts w:hint="default" w:ascii="Times New Roman" w:hAnsi="Times New Roman" w:eastAsia="宋体" w:cs="Times New Roman"/>
          <w:color w:val="000000"/>
          <w:sz w:val="32"/>
          <w:szCs w:val="32"/>
        </w:rPr>
        <w:t>辆、执法执勤用车</w:t>
      </w:r>
      <w:r>
        <w:rPr>
          <w:rFonts w:hint="default" w:ascii="??_GB2312" w:hAnsi="??_GB2312" w:eastAsia="??_GB2312" w:cs="??_GB2312"/>
          <w:color w:val="000000"/>
          <w:sz w:val="32"/>
          <w:szCs w:val="32"/>
        </w:rPr>
        <w:t>0</w:t>
      </w:r>
      <w:r>
        <w:rPr>
          <w:rFonts w:hint="default" w:ascii="Times New Roman" w:hAnsi="Times New Roman" w:eastAsia="宋体" w:cs="Times New Roman"/>
          <w:color w:val="000000"/>
          <w:sz w:val="32"/>
          <w:szCs w:val="32"/>
        </w:rPr>
        <w:t>辆。</w:t>
      </w:r>
    </w:p>
    <w:p w14:paraId="130F18F2">
      <w:pPr>
        <w:pStyle w:val="5"/>
        <w:keepNext w:val="0"/>
        <w:keepLines w:val="0"/>
        <w:widowControl/>
        <w:suppressLineNumbers w:val="0"/>
        <w:spacing w:before="0" w:beforeAutospacing="0" w:after="0" w:afterAutospacing="0" w:line="600" w:lineRule="atLeast"/>
        <w:ind w:left="0" w:right="0" w:firstLine="640"/>
        <w:jc w:val="both"/>
        <w:rPr>
          <w:rFonts w:hint="default" w:ascii="Times New Roman" w:hAnsi="Times New Roman" w:cs="Times New Roman"/>
          <w:sz w:val="21"/>
          <w:szCs w:val="21"/>
        </w:rPr>
      </w:pPr>
      <w:r>
        <w:rPr>
          <w:rFonts w:hint="default" w:ascii="Times New Roman" w:hAnsi="Times New Roman" w:eastAsia="宋体" w:cs="Times New Roman"/>
          <w:b/>
          <w:bCs/>
          <w:color w:val="000000"/>
          <w:sz w:val="32"/>
          <w:szCs w:val="32"/>
        </w:rPr>
        <w:t>公务用车运行维护费支出</w:t>
      </w:r>
      <w:r>
        <w:rPr>
          <w:rFonts w:hint="default" w:ascii="Times New Roman" w:hAnsi="Times New Roman" w:eastAsia="宋体" w:cs="Times New Roman"/>
          <w:color w:val="000000"/>
          <w:sz w:val="32"/>
          <w:szCs w:val="32"/>
        </w:rPr>
        <w:t>0万元。</w:t>
      </w:r>
    </w:p>
    <w:p w14:paraId="30FE2F02">
      <w:pPr>
        <w:pStyle w:val="5"/>
        <w:keepNext w:val="0"/>
        <w:keepLines w:val="0"/>
        <w:widowControl/>
        <w:suppressLineNumbers w:val="0"/>
        <w:spacing w:before="0" w:beforeAutospacing="0" w:after="0" w:afterAutospacing="0" w:line="600" w:lineRule="atLeast"/>
        <w:ind w:left="0" w:right="0" w:firstLine="640"/>
        <w:jc w:val="both"/>
        <w:rPr>
          <w:rFonts w:hint="default" w:ascii="Times New Roman" w:hAnsi="Times New Roman" w:cs="Times New Roman"/>
          <w:sz w:val="21"/>
          <w:szCs w:val="21"/>
        </w:rPr>
      </w:pPr>
      <w:r>
        <w:rPr>
          <w:rFonts w:hint="default" w:ascii="Times New Roman" w:hAnsi="Times New Roman" w:eastAsia="宋体" w:cs="Times New Roman"/>
          <w:b/>
          <w:bCs/>
          <w:color w:val="000000"/>
          <w:sz w:val="32"/>
          <w:szCs w:val="32"/>
        </w:rPr>
        <w:t>3.公务接待费支出</w:t>
      </w:r>
      <w:r>
        <w:rPr>
          <w:rFonts w:hint="default" w:ascii="Times New Roman" w:hAnsi="Times New Roman" w:eastAsia="宋体" w:cs="Times New Roman"/>
          <w:color w:val="000000"/>
          <w:sz w:val="32"/>
          <w:szCs w:val="32"/>
        </w:rPr>
        <w:t>0万元，</w:t>
      </w:r>
      <w:r>
        <w:rPr>
          <w:rFonts w:hint="eastAsia" w:ascii="仿宋" w:hAnsi="仿宋" w:eastAsia="仿宋" w:cs="仿宋"/>
          <w:b w:val="0"/>
          <w:bCs w:val="0"/>
          <w:color w:val="000000"/>
          <w:sz w:val="32"/>
          <w:szCs w:val="32"/>
        </w:rPr>
        <w:t>完成预算0%。</w:t>
      </w:r>
      <w:r>
        <w:rPr>
          <w:rFonts w:hint="default" w:ascii="Times New Roman" w:hAnsi="Times New Roman" w:eastAsia="宋体" w:cs="Times New Roman"/>
          <w:color w:val="000000"/>
          <w:sz w:val="32"/>
          <w:szCs w:val="32"/>
        </w:rPr>
        <w:t>公务接待费支出决算比2018年减少</w:t>
      </w:r>
      <w:r>
        <w:rPr>
          <w:rFonts w:hint="default" w:ascii="??_GB2312" w:hAnsi="??_GB2312" w:eastAsia="??_GB2312" w:cs="??_GB2312"/>
          <w:color w:val="000000"/>
          <w:sz w:val="32"/>
          <w:szCs w:val="32"/>
        </w:rPr>
        <w:t>0.18</w:t>
      </w:r>
      <w:r>
        <w:rPr>
          <w:rFonts w:hint="default" w:ascii="Times New Roman" w:hAnsi="Times New Roman" w:eastAsia="宋体" w:cs="Times New Roman"/>
          <w:color w:val="000000"/>
          <w:sz w:val="32"/>
          <w:szCs w:val="32"/>
        </w:rPr>
        <w:t>万元，下降</w:t>
      </w:r>
      <w:r>
        <w:rPr>
          <w:rFonts w:hint="eastAsia" w:ascii="宋体" w:hAnsi="宋体" w:eastAsia="宋体" w:cs="宋体"/>
          <w:color w:val="000000"/>
          <w:sz w:val="32"/>
          <w:szCs w:val="32"/>
        </w:rPr>
        <w:t>100</w:t>
      </w:r>
      <w:r>
        <w:rPr>
          <w:rFonts w:hint="default" w:ascii="Times New Roman" w:hAnsi="Times New Roman" w:eastAsia="宋体" w:cs="Times New Roman"/>
          <w:color w:val="000000"/>
          <w:sz w:val="32"/>
          <w:szCs w:val="32"/>
        </w:rPr>
        <w:t>%。主要原因是</w:t>
      </w:r>
      <w:r>
        <w:rPr>
          <w:rFonts w:hint="default" w:ascii="??_GB2312" w:hAnsi="??_GB2312" w:eastAsia="??_GB2312" w:cs="??_GB2312"/>
          <w:color w:val="000000"/>
          <w:sz w:val="32"/>
          <w:szCs w:val="32"/>
        </w:rPr>
        <w:t>2019</w:t>
      </w:r>
      <w:r>
        <w:rPr>
          <w:rFonts w:hint="default" w:ascii="Times New Roman" w:hAnsi="Times New Roman" w:eastAsia="宋体" w:cs="Times New Roman"/>
          <w:color w:val="000000"/>
          <w:sz w:val="32"/>
          <w:szCs w:val="32"/>
        </w:rPr>
        <w:t>年未产生公务接待。</w:t>
      </w:r>
    </w:p>
    <w:p w14:paraId="7A4DABDE">
      <w:pPr>
        <w:pStyle w:val="5"/>
        <w:keepNext w:val="0"/>
        <w:keepLines w:val="0"/>
        <w:widowControl/>
        <w:suppressLineNumbers w:val="0"/>
        <w:spacing w:before="0" w:beforeAutospacing="0" w:after="0" w:afterAutospacing="0" w:line="600" w:lineRule="atLeast"/>
        <w:ind w:left="0" w:right="0" w:firstLine="640"/>
        <w:jc w:val="both"/>
        <w:rPr>
          <w:rFonts w:hint="default" w:ascii="Times New Roman" w:hAnsi="Times New Roman" w:cs="Times New Roman"/>
          <w:sz w:val="21"/>
          <w:szCs w:val="21"/>
        </w:rPr>
      </w:pPr>
      <w:r>
        <w:rPr>
          <w:rFonts w:hint="default" w:ascii="Times New Roman" w:hAnsi="Times New Roman" w:eastAsia="宋体" w:cs="Times New Roman"/>
          <w:sz w:val="21"/>
          <w:szCs w:val="21"/>
        </w:rPr>
        <w:t> </w:t>
      </w:r>
    </w:p>
    <w:p w14:paraId="0F0A7817">
      <w:pPr>
        <w:pStyle w:val="5"/>
        <w:keepNext w:val="0"/>
        <w:keepLines w:val="0"/>
        <w:widowControl/>
        <w:suppressLineNumbers w:val="0"/>
        <w:spacing w:before="0" w:beforeAutospacing="0" w:after="0" w:afterAutospacing="0" w:line="600" w:lineRule="atLeast"/>
        <w:ind w:left="0" w:right="0" w:firstLine="640"/>
        <w:jc w:val="both"/>
        <w:rPr>
          <w:rFonts w:hint="default" w:ascii="Times New Roman" w:hAnsi="Times New Roman" w:cs="Times New Roman"/>
          <w:sz w:val="21"/>
          <w:szCs w:val="21"/>
        </w:rPr>
      </w:pPr>
      <w:r>
        <w:rPr>
          <w:rFonts w:hint="eastAsia" w:ascii="黑体" w:hAnsi="宋体" w:eastAsia="黑体" w:cs="黑体"/>
          <w:color w:val="000000"/>
          <w:sz w:val="32"/>
          <w:szCs w:val="32"/>
        </w:rPr>
        <w:t>八、</w:t>
      </w:r>
      <w:r>
        <w:rPr>
          <w:rFonts w:hint="eastAsia" w:ascii="黑体" w:hAnsi="宋体" w:eastAsia="黑体" w:cs="黑体"/>
          <w:b w:val="0"/>
          <w:bCs w:val="0"/>
          <w:sz w:val="32"/>
          <w:szCs w:val="32"/>
        </w:rPr>
        <w:t>政府性基金预算支出决算情况说明</w:t>
      </w:r>
    </w:p>
    <w:p w14:paraId="0CD21CA2">
      <w:pPr>
        <w:pStyle w:val="5"/>
        <w:keepNext w:val="0"/>
        <w:keepLines w:val="0"/>
        <w:widowControl/>
        <w:suppressLineNumbers w:val="0"/>
        <w:spacing w:before="0" w:beforeAutospacing="0" w:after="0" w:afterAutospacing="0" w:line="600" w:lineRule="atLeast"/>
        <w:ind w:left="0" w:right="0" w:firstLine="640"/>
        <w:jc w:val="both"/>
        <w:rPr>
          <w:rFonts w:hint="default" w:ascii="Times New Roman" w:hAnsi="Times New Roman" w:cs="Times New Roman"/>
          <w:sz w:val="21"/>
          <w:szCs w:val="21"/>
        </w:rPr>
      </w:pPr>
      <w:r>
        <w:rPr>
          <w:rFonts w:hint="default" w:ascii="Times New Roman" w:hAnsi="Times New Roman" w:eastAsia="宋体" w:cs="Times New Roman"/>
          <w:color w:val="000000"/>
          <w:sz w:val="32"/>
          <w:szCs w:val="32"/>
        </w:rPr>
        <w:t>2019年政府性基金预算拨款支出</w:t>
      </w:r>
      <w:r>
        <w:rPr>
          <w:rFonts w:hint="default" w:ascii="??_GB2312" w:hAnsi="??_GB2312" w:eastAsia="??_GB2312" w:cs="??_GB2312"/>
          <w:color w:val="000000"/>
          <w:sz w:val="32"/>
          <w:szCs w:val="32"/>
        </w:rPr>
        <w:t>0</w:t>
      </w:r>
      <w:r>
        <w:rPr>
          <w:rFonts w:hint="default" w:ascii="Times New Roman" w:hAnsi="Times New Roman" w:eastAsia="宋体" w:cs="Times New Roman"/>
          <w:color w:val="000000"/>
          <w:sz w:val="32"/>
          <w:szCs w:val="32"/>
        </w:rPr>
        <w:t>万元。</w:t>
      </w:r>
    </w:p>
    <w:p w14:paraId="1CDCD4DD">
      <w:pPr>
        <w:pStyle w:val="5"/>
        <w:keepNext w:val="0"/>
        <w:keepLines w:val="0"/>
        <w:widowControl/>
        <w:suppressLineNumbers w:val="0"/>
        <w:spacing w:before="0" w:beforeAutospacing="0" w:after="0" w:afterAutospacing="0" w:line="600" w:lineRule="atLeast"/>
        <w:ind w:left="0" w:right="0" w:firstLine="640"/>
        <w:jc w:val="both"/>
        <w:rPr>
          <w:rFonts w:hint="default" w:ascii="Times New Roman" w:hAnsi="Times New Roman" w:cs="Times New Roman"/>
          <w:sz w:val="21"/>
          <w:szCs w:val="21"/>
        </w:rPr>
      </w:pPr>
      <w:r>
        <w:rPr>
          <w:rFonts w:hint="default" w:ascii="Times New Roman" w:hAnsi="Times New Roman" w:eastAsia="宋体" w:cs="Times New Roman"/>
          <w:sz w:val="21"/>
          <w:szCs w:val="21"/>
        </w:rPr>
        <w:t> </w:t>
      </w:r>
    </w:p>
    <w:p w14:paraId="4D80232E">
      <w:pPr>
        <w:pStyle w:val="5"/>
        <w:keepNext w:val="0"/>
        <w:keepLines w:val="0"/>
        <w:widowControl/>
        <w:suppressLineNumbers w:val="0"/>
        <w:spacing w:before="0" w:beforeAutospacing="0" w:after="0" w:afterAutospacing="0" w:line="600" w:lineRule="atLeast"/>
        <w:ind w:left="0" w:right="0" w:firstLine="640"/>
        <w:jc w:val="both"/>
        <w:rPr>
          <w:rFonts w:hint="default" w:ascii="Times New Roman" w:hAnsi="Times New Roman" w:cs="Times New Roman"/>
          <w:sz w:val="21"/>
          <w:szCs w:val="21"/>
        </w:rPr>
      </w:pPr>
      <w:r>
        <w:rPr>
          <w:rFonts w:hint="eastAsia" w:ascii="黑体" w:hAnsi="宋体" w:eastAsia="黑体" w:cs="黑体"/>
          <w:b w:val="0"/>
          <w:bCs w:val="0"/>
          <w:sz w:val="32"/>
          <w:szCs w:val="32"/>
        </w:rPr>
        <w:t>九、国有资本经营预算支出决算情况说明</w:t>
      </w:r>
    </w:p>
    <w:p w14:paraId="1D288C08">
      <w:pPr>
        <w:pStyle w:val="5"/>
        <w:keepNext w:val="0"/>
        <w:keepLines w:val="0"/>
        <w:widowControl/>
        <w:suppressLineNumbers w:val="0"/>
        <w:spacing w:before="0" w:beforeAutospacing="0" w:after="0" w:afterAutospacing="0" w:line="600" w:lineRule="atLeast"/>
        <w:ind w:left="0" w:right="0" w:firstLine="640"/>
        <w:jc w:val="both"/>
        <w:rPr>
          <w:rFonts w:hint="default" w:ascii="Times New Roman" w:hAnsi="Times New Roman" w:cs="Times New Roman"/>
          <w:sz w:val="21"/>
          <w:szCs w:val="21"/>
        </w:rPr>
      </w:pPr>
      <w:r>
        <w:rPr>
          <w:rFonts w:hint="default" w:ascii="Times New Roman" w:hAnsi="Times New Roman" w:eastAsia="宋体" w:cs="Times New Roman"/>
          <w:color w:val="000000"/>
          <w:sz w:val="32"/>
          <w:szCs w:val="32"/>
        </w:rPr>
        <w:t>2019年国有资本经营预算拨款支出</w:t>
      </w:r>
      <w:r>
        <w:rPr>
          <w:rFonts w:hint="default" w:ascii="??_GB2312" w:hAnsi="??_GB2312" w:eastAsia="??_GB2312" w:cs="??_GB2312"/>
          <w:color w:val="000000"/>
          <w:sz w:val="32"/>
          <w:szCs w:val="32"/>
        </w:rPr>
        <w:t>0</w:t>
      </w:r>
      <w:r>
        <w:rPr>
          <w:rFonts w:hint="default" w:ascii="Times New Roman" w:hAnsi="Times New Roman" w:eastAsia="宋体" w:cs="Times New Roman"/>
          <w:color w:val="000000"/>
          <w:sz w:val="32"/>
          <w:szCs w:val="32"/>
        </w:rPr>
        <w:t>万元。</w:t>
      </w:r>
    </w:p>
    <w:p w14:paraId="475C1556">
      <w:pPr>
        <w:pStyle w:val="5"/>
        <w:keepNext w:val="0"/>
        <w:keepLines w:val="0"/>
        <w:widowControl/>
        <w:suppressLineNumbers w:val="0"/>
        <w:spacing w:before="0" w:beforeAutospacing="0" w:after="0" w:afterAutospacing="0" w:line="580" w:lineRule="atLeast"/>
        <w:ind w:left="0" w:right="0"/>
        <w:jc w:val="center"/>
        <w:rPr>
          <w:rFonts w:hint="default" w:ascii="Times New Roman" w:hAnsi="Times New Roman" w:cs="Times New Roman"/>
          <w:sz w:val="21"/>
          <w:szCs w:val="21"/>
        </w:rPr>
      </w:pPr>
      <w:r>
        <w:rPr>
          <w:rFonts w:hint="default" w:ascii="Times New Roman" w:hAnsi="Times New Roman" w:eastAsia="宋体" w:cs="Times New Roman"/>
          <w:sz w:val="21"/>
          <w:szCs w:val="21"/>
        </w:rPr>
        <w:t> </w:t>
      </w:r>
    </w:p>
    <w:p w14:paraId="69DD1FD6">
      <w:pPr>
        <w:pStyle w:val="5"/>
        <w:keepNext w:val="0"/>
        <w:keepLines w:val="0"/>
        <w:widowControl/>
        <w:suppressLineNumbers w:val="0"/>
        <w:spacing w:before="0" w:beforeAutospacing="0" w:after="0" w:afterAutospacing="0" w:line="600" w:lineRule="atLeast"/>
        <w:ind w:left="0" w:right="0" w:firstLine="800"/>
        <w:jc w:val="both"/>
        <w:rPr>
          <w:rFonts w:hint="default" w:ascii="Times New Roman" w:hAnsi="Times New Roman" w:cs="Times New Roman"/>
          <w:sz w:val="21"/>
          <w:szCs w:val="21"/>
        </w:rPr>
      </w:pPr>
      <w:r>
        <w:rPr>
          <w:rFonts w:hint="eastAsia" w:ascii="黑体" w:hAnsi="宋体" w:eastAsia="黑体" w:cs="黑体"/>
          <w:color w:val="000000"/>
          <w:sz w:val="32"/>
          <w:szCs w:val="32"/>
        </w:rPr>
        <w:t>十</w:t>
      </w:r>
      <w:r>
        <w:rPr>
          <w:rFonts w:hint="eastAsia" w:ascii="黑体" w:hAnsi="宋体" w:eastAsia="黑体" w:cs="黑体"/>
          <w:b/>
          <w:bCs/>
          <w:sz w:val="32"/>
          <w:szCs w:val="32"/>
        </w:rPr>
        <w:t>、</w:t>
      </w:r>
      <w:r>
        <w:rPr>
          <w:rFonts w:hint="eastAsia" w:ascii="黑体" w:hAnsi="宋体" w:eastAsia="黑体" w:cs="黑体"/>
          <w:b w:val="0"/>
          <w:bCs w:val="0"/>
          <w:sz w:val="32"/>
          <w:szCs w:val="32"/>
        </w:rPr>
        <w:t>其他重要事项的情况说明</w:t>
      </w:r>
    </w:p>
    <w:p w14:paraId="14F5FC15">
      <w:pPr>
        <w:pStyle w:val="5"/>
        <w:keepNext w:val="0"/>
        <w:keepLines w:val="0"/>
        <w:widowControl/>
        <w:suppressLineNumbers w:val="0"/>
        <w:spacing w:before="0" w:beforeAutospacing="0" w:after="0" w:afterAutospacing="0" w:line="600" w:lineRule="atLeast"/>
        <w:ind w:left="0" w:right="0" w:firstLine="643"/>
        <w:jc w:val="both"/>
        <w:rPr>
          <w:rFonts w:hint="default" w:ascii="Times New Roman" w:hAnsi="Times New Roman" w:cs="Times New Roman"/>
          <w:sz w:val="21"/>
          <w:szCs w:val="21"/>
        </w:rPr>
      </w:pPr>
      <w:r>
        <w:rPr>
          <w:rFonts w:hint="eastAsia" w:ascii="仿宋" w:hAnsi="仿宋" w:eastAsia="仿宋" w:cs="仿宋"/>
          <w:b/>
          <w:bCs/>
          <w:color w:val="000000"/>
          <w:sz w:val="32"/>
          <w:szCs w:val="32"/>
        </w:rPr>
        <w:t>（一）机关运行经费支出情况</w:t>
      </w:r>
    </w:p>
    <w:p w14:paraId="0E0EC91E">
      <w:pPr>
        <w:pStyle w:val="5"/>
        <w:keepNext w:val="0"/>
        <w:keepLines w:val="0"/>
        <w:widowControl/>
        <w:suppressLineNumbers w:val="0"/>
        <w:spacing w:before="0" w:beforeAutospacing="0" w:after="0" w:afterAutospacing="0" w:line="600" w:lineRule="atLeast"/>
        <w:ind w:left="0" w:right="0" w:firstLine="640"/>
        <w:jc w:val="both"/>
        <w:rPr>
          <w:rFonts w:hint="default" w:ascii="Times New Roman" w:hAnsi="Times New Roman" w:cs="Times New Roman"/>
          <w:sz w:val="21"/>
          <w:szCs w:val="21"/>
        </w:rPr>
      </w:pPr>
      <w:r>
        <w:rPr>
          <w:rFonts w:hint="default" w:ascii="Times New Roman" w:hAnsi="Times New Roman" w:eastAsia="宋体" w:cs="Times New Roman"/>
          <w:color w:val="000000"/>
          <w:sz w:val="32"/>
          <w:szCs w:val="32"/>
        </w:rPr>
        <w:t>2019年，县委党校机关运行经费支出</w:t>
      </w:r>
      <w:r>
        <w:rPr>
          <w:rFonts w:hint="default" w:ascii="??_GB2312" w:hAnsi="??_GB2312" w:eastAsia="??_GB2312" w:cs="??_GB2312"/>
          <w:color w:val="000000"/>
          <w:sz w:val="32"/>
          <w:szCs w:val="32"/>
        </w:rPr>
        <w:t>24.84</w:t>
      </w:r>
      <w:r>
        <w:rPr>
          <w:rFonts w:hint="default" w:ascii="Times New Roman" w:hAnsi="Times New Roman" w:eastAsia="宋体" w:cs="Times New Roman"/>
          <w:color w:val="000000"/>
          <w:sz w:val="32"/>
          <w:szCs w:val="32"/>
        </w:rPr>
        <w:t>万元，比</w:t>
      </w:r>
      <w:r>
        <w:rPr>
          <w:rFonts w:hint="default" w:ascii="??_GB2312" w:hAnsi="??_GB2312" w:eastAsia="??_GB2312" w:cs="??_GB2312"/>
          <w:color w:val="000000"/>
          <w:sz w:val="32"/>
          <w:szCs w:val="32"/>
        </w:rPr>
        <w:t>2018</w:t>
      </w:r>
      <w:r>
        <w:rPr>
          <w:rFonts w:hint="default" w:ascii="Times New Roman" w:hAnsi="Times New Roman" w:eastAsia="宋体" w:cs="Times New Roman"/>
          <w:color w:val="000000"/>
          <w:sz w:val="32"/>
          <w:szCs w:val="32"/>
        </w:rPr>
        <w:t>年增加</w:t>
      </w:r>
      <w:r>
        <w:rPr>
          <w:rFonts w:hint="default" w:ascii="??_GB2312" w:hAnsi="??_GB2312" w:eastAsia="??_GB2312" w:cs="??_GB2312"/>
          <w:color w:val="000000"/>
          <w:sz w:val="32"/>
          <w:szCs w:val="32"/>
        </w:rPr>
        <w:t>3.56</w:t>
      </w:r>
      <w:r>
        <w:rPr>
          <w:rFonts w:hint="default" w:ascii="Times New Roman" w:hAnsi="Times New Roman" w:eastAsia="宋体" w:cs="Times New Roman"/>
          <w:color w:val="000000"/>
          <w:sz w:val="32"/>
          <w:szCs w:val="32"/>
        </w:rPr>
        <w:t>万元，增长</w:t>
      </w:r>
      <w:r>
        <w:rPr>
          <w:rFonts w:hint="default" w:ascii="??_GB2312" w:hAnsi="??_GB2312" w:eastAsia="??_GB2312" w:cs="??_GB2312"/>
          <w:color w:val="000000"/>
          <w:sz w:val="32"/>
          <w:szCs w:val="32"/>
        </w:rPr>
        <w:t>16.73%</w:t>
      </w:r>
      <w:r>
        <w:rPr>
          <w:rFonts w:hint="default" w:ascii="Times New Roman" w:hAnsi="Times New Roman" w:eastAsia="宋体" w:cs="Times New Roman"/>
          <w:color w:val="000000"/>
          <w:sz w:val="32"/>
          <w:szCs w:val="32"/>
        </w:rPr>
        <w:t>。主要原因是</w:t>
      </w:r>
      <w:r>
        <w:rPr>
          <w:rFonts w:hint="default" w:ascii="Times New Roman" w:hAnsi="Times New Roman" w:eastAsia="宋体" w:cs="Times New Roman"/>
          <w:sz w:val="32"/>
          <w:szCs w:val="32"/>
        </w:rPr>
        <w:t>2019年我校</w:t>
      </w:r>
      <w:r>
        <w:rPr>
          <w:rFonts w:hint="eastAsia" w:ascii="宋体" w:hAnsi="宋体" w:eastAsia="宋体" w:cs="宋体"/>
          <w:sz w:val="32"/>
          <w:szCs w:val="32"/>
        </w:rPr>
        <w:t>新增一名人员</w:t>
      </w:r>
      <w:r>
        <w:rPr>
          <w:rFonts w:hint="default" w:ascii="Times New Roman" w:hAnsi="Times New Roman" w:eastAsia="宋体" w:cs="Times New Roman"/>
          <w:sz w:val="32"/>
          <w:szCs w:val="32"/>
        </w:rPr>
        <w:t>。</w:t>
      </w:r>
    </w:p>
    <w:p w14:paraId="5E326A13">
      <w:pPr>
        <w:pStyle w:val="5"/>
        <w:keepNext w:val="0"/>
        <w:keepLines w:val="0"/>
        <w:widowControl/>
        <w:suppressLineNumbers w:val="0"/>
        <w:spacing w:before="0" w:beforeAutospacing="0" w:after="0" w:afterAutospacing="0" w:line="600" w:lineRule="atLeast"/>
        <w:ind w:left="0" w:right="0" w:firstLine="643"/>
        <w:jc w:val="left"/>
        <w:rPr>
          <w:rFonts w:hint="default" w:ascii="Times New Roman" w:hAnsi="Times New Roman" w:cs="Times New Roman"/>
          <w:sz w:val="21"/>
          <w:szCs w:val="21"/>
        </w:rPr>
      </w:pPr>
      <w:r>
        <w:rPr>
          <w:rFonts w:hint="eastAsia" w:ascii="仿宋" w:hAnsi="仿宋" w:eastAsia="仿宋" w:cs="仿宋"/>
          <w:b/>
          <w:bCs/>
          <w:color w:val="000000"/>
          <w:sz w:val="32"/>
          <w:szCs w:val="32"/>
        </w:rPr>
        <w:t>（二）政府采购支出情况</w:t>
      </w:r>
    </w:p>
    <w:p w14:paraId="535A0317">
      <w:pPr>
        <w:pStyle w:val="5"/>
        <w:keepNext w:val="0"/>
        <w:keepLines w:val="0"/>
        <w:widowControl/>
        <w:suppressLineNumbers w:val="0"/>
        <w:spacing w:before="0" w:beforeAutospacing="0" w:after="0" w:afterAutospacing="0" w:line="600" w:lineRule="atLeast"/>
        <w:ind w:left="0" w:right="0" w:firstLine="640"/>
        <w:jc w:val="both"/>
        <w:rPr>
          <w:rFonts w:hint="default" w:ascii="Times New Roman" w:hAnsi="Times New Roman" w:cs="Times New Roman"/>
          <w:sz w:val="21"/>
          <w:szCs w:val="21"/>
        </w:rPr>
      </w:pPr>
      <w:r>
        <w:rPr>
          <w:rFonts w:hint="default" w:ascii="Times New Roman" w:hAnsi="Times New Roman" w:eastAsia="宋体" w:cs="Times New Roman"/>
          <w:color w:val="000000"/>
          <w:sz w:val="32"/>
          <w:szCs w:val="32"/>
        </w:rPr>
        <w:t>2019年，县委党校政府采购支出总额</w:t>
      </w:r>
      <w:r>
        <w:rPr>
          <w:rFonts w:hint="default" w:ascii="??_GB2312" w:hAnsi="??_GB2312" w:eastAsia="??_GB2312" w:cs="??_GB2312"/>
          <w:color w:val="000000"/>
          <w:sz w:val="32"/>
          <w:szCs w:val="32"/>
        </w:rPr>
        <w:t>0</w:t>
      </w:r>
      <w:r>
        <w:rPr>
          <w:rFonts w:hint="default" w:ascii="Times New Roman" w:hAnsi="Times New Roman" w:eastAsia="宋体" w:cs="Times New Roman"/>
          <w:color w:val="000000"/>
          <w:sz w:val="32"/>
          <w:szCs w:val="32"/>
        </w:rPr>
        <w:t>万元，其中：政府采购货物支出</w:t>
      </w:r>
      <w:r>
        <w:rPr>
          <w:rFonts w:hint="default" w:ascii="??_GB2312" w:hAnsi="??_GB2312" w:eastAsia="??_GB2312" w:cs="??_GB2312"/>
          <w:color w:val="000000"/>
          <w:sz w:val="32"/>
          <w:szCs w:val="32"/>
        </w:rPr>
        <w:t>0</w:t>
      </w:r>
      <w:r>
        <w:rPr>
          <w:rFonts w:hint="default" w:ascii="Times New Roman" w:hAnsi="Times New Roman" w:eastAsia="宋体" w:cs="Times New Roman"/>
          <w:color w:val="000000"/>
          <w:sz w:val="32"/>
          <w:szCs w:val="32"/>
        </w:rPr>
        <w:t>万元、政府采购工程支出</w:t>
      </w:r>
      <w:r>
        <w:rPr>
          <w:rFonts w:hint="default" w:ascii="??_GB2312" w:hAnsi="??_GB2312" w:eastAsia="??_GB2312" w:cs="??_GB2312"/>
          <w:color w:val="000000"/>
          <w:sz w:val="32"/>
          <w:szCs w:val="32"/>
        </w:rPr>
        <w:t>0</w:t>
      </w:r>
      <w:r>
        <w:rPr>
          <w:rFonts w:hint="default" w:ascii="Times New Roman" w:hAnsi="Times New Roman" w:eastAsia="宋体" w:cs="Times New Roman"/>
          <w:color w:val="000000"/>
          <w:sz w:val="32"/>
          <w:szCs w:val="32"/>
        </w:rPr>
        <w:t>万元、政府采购服务支出</w:t>
      </w:r>
      <w:r>
        <w:rPr>
          <w:rFonts w:hint="default" w:ascii="??_GB2312" w:hAnsi="??_GB2312" w:eastAsia="??_GB2312" w:cs="??_GB2312"/>
          <w:color w:val="000000"/>
          <w:sz w:val="32"/>
          <w:szCs w:val="32"/>
        </w:rPr>
        <w:t>0</w:t>
      </w:r>
      <w:r>
        <w:rPr>
          <w:rFonts w:hint="default" w:ascii="Times New Roman" w:hAnsi="Times New Roman" w:eastAsia="宋体" w:cs="Times New Roman"/>
          <w:color w:val="000000"/>
          <w:sz w:val="32"/>
          <w:szCs w:val="32"/>
        </w:rPr>
        <w:t>万元。</w:t>
      </w:r>
    </w:p>
    <w:p w14:paraId="6BB6BA7B">
      <w:pPr>
        <w:pStyle w:val="5"/>
        <w:keepNext w:val="0"/>
        <w:keepLines w:val="0"/>
        <w:widowControl/>
        <w:suppressLineNumbers w:val="0"/>
        <w:spacing w:before="0" w:beforeAutospacing="0" w:after="0" w:afterAutospacing="0" w:line="600" w:lineRule="atLeast"/>
        <w:ind w:left="0" w:right="0" w:firstLine="643"/>
        <w:jc w:val="left"/>
        <w:rPr>
          <w:rFonts w:hint="default" w:ascii="Times New Roman" w:hAnsi="Times New Roman" w:cs="Times New Roman"/>
          <w:sz w:val="21"/>
          <w:szCs w:val="21"/>
        </w:rPr>
      </w:pPr>
      <w:r>
        <w:rPr>
          <w:rFonts w:hint="eastAsia" w:ascii="仿宋" w:hAnsi="仿宋" w:eastAsia="仿宋" w:cs="仿宋"/>
          <w:b/>
          <w:bCs/>
          <w:color w:val="000000"/>
          <w:sz w:val="32"/>
          <w:szCs w:val="32"/>
        </w:rPr>
        <w:t>（三）国有资产占有使用情况</w:t>
      </w:r>
    </w:p>
    <w:p w14:paraId="181BA8EB">
      <w:pPr>
        <w:pStyle w:val="5"/>
        <w:keepNext w:val="0"/>
        <w:keepLines w:val="0"/>
        <w:widowControl/>
        <w:suppressLineNumbers w:val="0"/>
        <w:spacing w:before="0" w:beforeAutospacing="0" w:after="0" w:afterAutospacing="0" w:line="600" w:lineRule="atLeast"/>
        <w:ind w:left="0" w:right="0" w:firstLine="640"/>
        <w:jc w:val="left"/>
        <w:rPr>
          <w:rFonts w:hint="default" w:ascii="Times New Roman" w:hAnsi="Times New Roman" w:cs="Times New Roman"/>
          <w:sz w:val="21"/>
          <w:szCs w:val="21"/>
        </w:rPr>
      </w:pPr>
      <w:r>
        <w:rPr>
          <w:rFonts w:hint="default" w:ascii="Times New Roman" w:hAnsi="Times New Roman" w:eastAsia="宋体" w:cs="Times New Roman"/>
          <w:color w:val="000000"/>
          <w:sz w:val="32"/>
          <w:szCs w:val="32"/>
        </w:rPr>
        <w:t>截至2019年</w:t>
      </w:r>
      <w:r>
        <w:rPr>
          <w:rFonts w:hint="default" w:ascii="??_GB2312" w:hAnsi="??_GB2312" w:eastAsia="??_GB2312" w:cs="??_GB2312"/>
          <w:color w:val="000000"/>
          <w:sz w:val="32"/>
          <w:szCs w:val="32"/>
        </w:rPr>
        <w:t>12</w:t>
      </w:r>
      <w:r>
        <w:rPr>
          <w:rFonts w:hint="default" w:ascii="Times New Roman" w:hAnsi="Times New Roman" w:eastAsia="宋体" w:cs="Times New Roman"/>
          <w:color w:val="000000"/>
          <w:sz w:val="32"/>
          <w:szCs w:val="32"/>
        </w:rPr>
        <w:t>月</w:t>
      </w:r>
      <w:r>
        <w:rPr>
          <w:rFonts w:hint="default" w:ascii="??_GB2312" w:hAnsi="??_GB2312" w:eastAsia="??_GB2312" w:cs="??_GB2312"/>
          <w:color w:val="000000"/>
          <w:sz w:val="32"/>
          <w:szCs w:val="32"/>
        </w:rPr>
        <w:t>31</w:t>
      </w:r>
      <w:r>
        <w:rPr>
          <w:rFonts w:hint="default" w:ascii="Times New Roman" w:hAnsi="Times New Roman" w:eastAsia="宋体" w:cs="Times New Roman"/>
          <w:color w:val="000000"/>
          <w:sz w:val="32"/>
          <w:szCs w:val="32"/>
        </w:rPr>
        <w:t>日，县委党校共有车辆</w:t>
      </w:r>
      <w:r>
        <w:rPr>
          <w:rFonts w:hint="default" w:ascii="??_GB2312" w:hAnsi="??_GB2312" w:eastAsia="??_GB2312" w:cs="??_GB2312"/>
          <w:color w:val="000000"/>
          <w:sz w:val="32"/>
          <w:szCs w:val="32"/>
        </w:rPr>
        <w:t>0</w:t>
      </w:r>
      <w:r>
        <w:rPr>
          <w:rFonts w:hint="default" w:ascii="Times New Roman" w:hAnsi="Times New Roman" w:eastAsia="宋体" w:cs="Times New Roman"/>
          <w:color w:val="000000"/>
          <w:sz w:val="32"/>
          <w:szCs w:val="32"/>
        </w:rPr>
        <w:t>辆，其中：主要领导干部用车</w:t>
      </w:r>
      <w:r>
        <w:rPr>
          <w:rFonts w:hint="default" w:ascii="??_GB2312" w:hAnsi="??_GB2312" w:eastAsia="??_GB2312" w:cs="??_GB2312"/>
          <w:color w:val="000000"/>
          <w:sz w:val="32"/>
          <w:szCs w:val="32"/>
        </w:rPr>
        <w:t>0</w:t>
      </w:r>
      <w:r>
        <w:rPr>
          <w:rFonts w:hint="default" w:ascii="Times New Roman" w:hAnsi="Times New Roman" w:eastAsia="宋体" w:cs="Times New Roman"/>
          <w:color w:val="000000"/>
          <w:sz w:val="32"/>
          <w:szCs w:val="32"/>
        </w:rPr>
        <w:t>辆、机要通信用车</w:t>
      </w:r>
      <w:r>
        <w:rPr>
          <w:rFonts w:hint="default" w:ascii="??_GB2312" w:hAnsi="??_GB2312" w:eastAsia="??_GB2312" w:cs="??_GB2312"/>
          <w:color w:val="000000"/>
          <w:sz w:val="32"/>
          <w:szCs w:val="32"/>
        </w:rPr>
        <w:t>0</w:t>
      </w:r>
      <w:r>
        <w:rPr>
          <w:rFonts w:hint="default" w:ascii="Times New Roman" w:hAnsi="Times New Roman" w:eastAsia="宋体" w:cs="Times New Roman"/>
          <w:color w:val="000000"/>
          <w:sz w:val="32"/>
          <w:szCs w:val="32"/>
        </w:rPr>
        <w:t>辆、应急保障用车</w:t>
      </w:r>
      <w:r>
        <w:rPr>
          <w:rFonts w:hint="default" w:ascii="??_GB2312" w:hAnsi="??_GB2312" w:eastAsia="??_GB2312" w:cs="??_GB2312"/>
          <w:color w:val="000000"/>
          <w:sz w:val="32"/>
          <w:szCs w:val="32"/>
        </w:rPr>
        <w:t>0</w:t>
      </w:r>
      <w:r>
        <w:rPr>
          <w:rFonts w:hint="default" w:ascii="Times New Roman" w:hAnsi="Times New Roman" w:eastAsia="宋体" w:cs="Times New Roman"/>
          <w:color w:val="000000"/>
          <w:sz w:val="32"/>
          <w:szCs w:val="32"/>
        </w:rPr>
        <w:t>辆、其他用车</w:t>
      </w:r>
      <w:r>
        <w:rPr>
          <w:rFonts w:hint="default" w:ascii="??_GB2312" w:hAnsi="??_GB2312" w:eastAsia="??_GB2312" w:cs="??_GB2312"/>
          <w:color w:val="000000"/>
          <w:sz w:val="32"/>
          <w:szCs w:val="32"/>
        </w:rPr>
        <w:t>0</w:t>
      </w:r>
      <w:r>
        <w:rPr>
          <w:rFonts w:hint="default" w:ascii="Times New Roman" w:hAnsi="Times New Roman" w:eastAsia="宋体" w:cs="Times New Roman"/>
          <w:color w:val="000000"/>
          <w:sz w:val="32"/>
          <w:szCs w:val="32"/>
        </w:rPr>
        <w:t>辆。单价</w:t>
      </w:r>
      <w:r>
        <w:rPr>
          <w:rFonts w:hint="default" w:ascii="??_GB2312" w:hAnsi="??_GB2312" w:eastAsia="??_GB2312" w:cs="??_GB2312"/>
          <w:color w:val="000000"/>
          <w:sz w:val="32"/>
          <w:szCs w:val="32"/>
        </w:rPr>
        <w:t>50</w:t>
      </w:r>
      <w:r>
        <w:rPr>
          <w:rFonts w:hint="default" w:ascii="Times New Roman" w:hAnsi="Times New Roman" w:eastAsia="宋体" w:cs="Times New Roman"/>
          <w:color w:val="000000"/>
          <w:sz w:val="32"/>
          <w:szCs w:val="32"/>
        </w:rPr>
        <w:t>万元以上通用设备</w:t>
      </w:r>
      <w:r>
        <w:rPr>
          <w:rFonts w:hint="default" w:ascii="??_GB2312" w:hAnsi="??_GB2312" w:eastAsia="??_GB2312" w:cs="??_GB2312"/>
          <w:color w:val="000000"/>
          <w:sz w:val="32"/>
          <w:szCs w:val="32"/>
        </w:rPr>
        <w:t>0</w:t>
      </w:r>
      <w:r>
        <w:rPr>
          <w:rFonts w:hint="default" w:ascii="Times New Roman" w:hAnsi="Times New Roman" w:eastAsia="宋体" w:cs="Times New Roman"/>
          <w:color w:val="000000"/>
          <w:sz w:val="32"/>
          <w:szCs w:val="32"/>
        </w:rPr>
        <w:t>台（套），单价</w:t>
      </w:r>
      <w:r>
        <w:rPr>
          <w:rFonts w:hint="default" w:ascii="??_GB2312" w:hAnsi="??_GB2312" w:eastAsia="??_GB2312" w:cs="??_GB2312"/>
          <w:color w:val="000000"/>
          <w:sz w:val="32"/>
          <w:szCs w:val="32"/>
        </w:rPr>
        <w:t>100</w:t>
      </w:r>
      <w:r>
        <w:rPr>
          <w:rFonts w:hint="default" w:ascii="Times New Roman" w:hAnsi="Times New Roman" w:eastAsia="宋体" w:cs="Times New Roman"/>
          <w:color w:val="000000"/>
          <w:sz w:val="32"/>
          <w:szCs w:val="32"/>
        </w:rPr>
        <w:t>万元以上专用设备</w:t>
      </w:r>
      <w:r>
        <w:rPr>
          <w:rFonts w:hint="default" w:ascii="??_GB2312" w:hAnsi="??_GB2312" w:eastAsia="??_GB2312" w:cs="??_GB2312"/>
          <w:color w:val="000000"/>
          <w:sz w:val="32"/>
          <w:szCs w:val="32"/>
        </w:rPr>
        <w:t>0</w:t>
      </w:r>
      <w:r>
        <w:rPr>
          <w:rFonts w:hint="default" w:ascii="Times New Roman" w:hAnsi="Times New Roman" w:eastAsia="宋体" w:cs="Times New Roman"/>
          <w:color w:val="000000"/>
          <w:sz w:val="32"/>
          <w:szCs w:val="32"/>
        </w:rPr>
        <w:t>台（套）。</w:t>
      </w:r>
    </w:p>
    <w:p w14:paraId="55C8B779">
      <w:pPr>
        <w:pStyle w:val="5"/>
        <w:keepNext w:val="0"/>
        <w:keepLines w:val="0"/>
        <w:widowControl/>
        <w:suppressLineNumbers w:val="0"/>
        <w:spacing w:before="0" w:beforeAutospacing="0" w:after="0" w:afterAutospacing="0" w:line="600" w:lineRule="atLeast"/>
        <w:ind w:left="0" w:right="0" w:firstLine="643"/>
        <w:jc w:val="left"/>
        <w:rPr>
          <w:rFonts w:hint="default" w:ascii="Times New Roman" w:hAnsi="Times New Roman" w:cs="Times New Roman"/>
          <w:sz w:val="21"/>
          <w:szCs w:val="21"/>
        </w:rPr>
      </w:pPr>
      <w:r>
        <w:rPr>
          <w:rFonts w:hint="eastAsia" w:ascii="仿宋" w:hAnsi="仿宋" w:eastAsia="仿宋" w:cs="仿宋"/>
          <w:b/>
          <w:bCs/>
          <w:color w:val="000000"/>
          <w:sz w:val="32"/>
          <w:szCs w:val="32"/>
        </w:rPr>
        <w:t>（四）预算绩效管理情况。</w:t>
      </w:r>
    </w:p>
    <w:p w14:paraId="66384B80">
      <w:pPr>
        <w:pStyle w:val="5"/>
        <w:keepNext w:val="0"/>
        <w:keepLines w:val="0"/>
        <w:widowControl/>
        <w:suppressLineNumbers w:val="0"/>
        <w:spacing w:before="0" w:beforeAutospacing="0" w:after="0" w:afterAutospacing="0" w:line="580" w:lineRule="atLeast"/>
        <w:ind w:left="0" w:right="0" w:firstLine="640"/>
        <w:jc w:val="both"/>
        <w:rPr>
          <w:rFonts w:hint="default" w:ascii="Times New Roman" w:hAnsi="Times New Roman" w:cs="Times New Roman"/>
          <w:sz w:val="21"/>
          <w:szCs w:val="21"/>
        </w:rPr>
      </w:pPr>
      <w:r>
        <w:rPr>
          <w:rFonts w:hint="eastAsia" w:ascii="宋体" w:hAnsi="宋体" w:eastAsia="宋体" w:cs="宋体"/>
          <w:sz w:val="32"/>
          <w:szCs w:val="32"/>
        </w:rPr>
        <w:t>根据预算绩效管理要求，县委党校在年初预算编制阶段，组织对科研项目开展了预算事前绩效评估，对</w:t>
      </w:r>
      <w:r>
        <w:rPr>
          <w:rFonts w:hint="default" w:ascii="Times New Roman" w:hAnsi="Times New Roman" w:eastAsia="宋体" w:cs="Times New Roman"/>
          <w:sz w:val="32"/>
          <w:szCs w:val="32"/>
        </w:rPr>
        <w:t>3</w:t>
      </w:r>
      <w:r>
        <w:rPr>
          <w:rFonts w:hint="eastAsia" w:ascii="宋体" w:hAnsi="宋体" w:eastAsia="宋体" w:cs="宋体"/>
          <w:sz w:val="32"/>
          <w:szCs w:val="32"/>
        </w:rPr>
        <w:t>个项目编制了绩效目标，预算执行过程中，选取</w:t>
      </w:r>
      <w:r>
        <w:rPr>
          <w:rFonts w:hint="default" w:ascii="Times New Roman" w:hAnsi="Times New Roman" w:eastAsia="宋体" w:cs="Times New Roman"/>
          <w:sz w:val="32"/>
          <w:szCs w:val="32"/>
        </w:rPr>
        <w:t>3</w:t>
      </w:r>
      <w:r>
        <w:rPr>
          <w:rFonts w:hint="eastAsia" w:ascii="宋体" w:hAnsi="宋体" w:eastAsia="宋体" w:cs="宋体"/>
          <w:sz w:val="32"/>
          <w:szCs w:val="32"/>
        </w:rPr>
        <w:t>个项目开展绩效监控，年终执行完毕后，对</w:t>
      </w:r>
      <w:r>
        <w:rPr>
          <w:rFonts w:hint="default" w:ascii="Times New Roman" w:hAnsi="Times New Roman" w:eastAsia="宋体" w:cs="Times New Roman"/>
          <w:sz w:val="32"/>
          <w:szCs w:val="32"/>
        </w:rPr>
        <w:t>3</w:t>
      </w:r>
      <w:r>
        <w:rPr>
          <w:rFonts w:hint="eastAsia" w:ascii="宋体" w:hAnsi="宋体" w:eastAsia="宋体" w:cs="宋体"/>
          <w:sz w:val="32"/>
          <w:szCs w:val="32"/>
        </w:rPr>
        <w:t>个项目开展了绩效目标完成情况自评。</w:t>
      </w:r>
    </w:p>
    <w:p w14:paraId="099B2289">
      <w:pPr>
        <w:pStyle w:val="5"/>
        <w:keepNext w:val="0"/>
        <w:keepLines w:val="0"/>
        <w:widowControl/>
        <w:suppressLineNumbers w:val="0"/>
        <w:spacing w:before="0" w:beforeAutospacing="0" w:after="0" w:afterAutospacing="0" w:line="580" w:lineRule="atLeast"/>
        <w:ind w:left="0" w:right="0" w:firstLine="480"/>
        <w:jc w:val="left"/>
        <w:rPr>
          <w:rFonts w:hint="default" w:ascii="Times New Roman" w:hAnsi="Times New Roman" w:cs="Times New Roman"/>
          <w:sz w:val="21"/>
          <w:szCs w:val="21"/>
        </w:rPr>
      </w:pPr>
      <w:r>
        <w:rPr>
          <w:rFonts w:hint="eastAsia" w:ascii="宋体" w:hAnsi="宋体" w:eastAsia="宋体" w:cs="宋体"/>
          <w:sz w:val="32"/>
          <w:szCs w:val="32"/>
        </w:rPr>
        <w:t>本部门按要求对</w:t>
      </w:r>
      <w:r>
        <w:rPr>
          <w:rFonts w:hint="default" w:ascii="Times New Roman" w:hAnsi="Times New Roman" w:eastAsia="宋体" w:cs="Times New Roman"/>
          <w:sz w:val="32"/>
          <w:szCs w:val="32"/>
        </w:rPr>
        <w:t>2019</w:t>
      </w:r>
      <w:r>
        <w:rPr>
          <w:rFonts w:hint="eastAsia" w:ascii="宋体" w:hAnsi="宋体" w:eastAsia="宋体" w:cs="宋体"/>
          <w:sz w:val="32"/>
          <w:szCs w:val="32"/>
        </w:rPr>
        <w:t>年部门整体支出开展绩效自评，从评价情况来看县委党校</w:t>
      </w:r>
      <w:r>
        <w:rPr>
          <w:rFonts w:hint="default" w:ascii="Times New Roman" w:hAnsi="Times New Roman" w:eastAsia="宋体" w:cs="Times New Roman"/>
          <w:sz w:val="32"/>
          <w:szCs w:val="32"/>
        </w:rPr>
        <w:t>2019</w:t>
      </w:r>
      <w:r>
        <w:rPr>
          <w:rFonts w:hint="eastAsia" w:ascii="宋体" w:hAnsi="宋体" w:eastAsia="宋体" w:cs="宋体"/>
          <w:sz w:val="32"/>
          <w:szCs w:val="32"/>
        </w:rPr>
        <w:t>年整体支出绩效评价自评得分</w:t>
      </w:r>
      <w:r>
        <w:rPr>
          <w:rFonts w:hint="default" w:ascii="Times New Roman" w:hAnsi="Times New Roman" w:eastAsia="宋体" w:cs="Times New Roman"/>
          <w:sz w:val="32"/>
          <w:szCs w:val="32"/>
        </w:rPr>
        <w:t>84.4</w:t>
      </w:r>
      <w:r>
        <w:rPr>
          <w:rFonts w:hint="eastAsia" w:ascii="宋体" w:hAnsi="宋体" w:eastAsia="宋体" w:cs="宋体"/>
          <w:sz w:val="32"/>
          <w:szCs w:val="32"/>
        </w:rPr>
        <w:t>，总体来说我校</w:t>
      </w:r>
      <w:r>
        <w:rPr>
          <w:rFonts w:hint="default" w:ascii="Times New Roman" w:hAnsi="Times New Roman" w:eastAsia="宋体" w:cs="Times New Roman"/>
          <w:sz w:val="32"/>
          <w:szCs w:val="32"/>
        </w:rPr>
        <w:t>2019</w:t>
      </w:r>
      <w:r>
        <w:rPr>
          <w:rFonts w:hint="eastAsia" w:ascii="宋体" w:hAnsi="宋体" w:eastAsia="宋体" w:cs="宋体"/>
          <w:sz w:val="32"/>
          <w:szCs w:val="32"/>
        </w:rPr>
        <w:t>年部门整体支出情况良好，从预算到执行和收入、支出、资产管理及信息公开，都严格按照相关制度要求进行，全年收支平衡。有效保证了机构运转，圆满完成了上级下达的目标任务。</w:t>
      </w:r>
    </w:p>
    <w:p w14:paraId="72A1D719">
      <w:pPr>
        <w:pStyle w:val="5"/>
        <w:keepNext w:val="0"/>
        <w:keepLines w:val="0"/>
        <w:widowControl/>
        <w:suppressLineNumbers w:val="0"/>
        <w:spacing w:before="0" w:beforeAutospacing="0" w:after="0" w:afterAutospacing="0" w:line="600" w:lineRule="atLeast"/>
        <w:ind w:left="0" w:right="0" w:firstLine="720"/>
        <w:jc w:val="both"/>
        <w:rPr>
          <w:rFonts w:hint="default" w:ascii="Times New Roman" w:hAnsi="Times New Roman" w:cs="Times New Roman"/>
          <w:sz w:val="21"/>
          <w:szCs w:val="21"/>
        </w:rPr>
      </w:pPr>
      <w:r>
        <w:rPr>
          <w:rFonts w:hint="eastAsia" w:ascii="宋体" w:hAnsi="宋体" w:eastAsia="宋体" w:cs="宋体"/>
          <w:sz w:val="32"/>
          <w:szCs w:val="32"/>
        </w:rPr>
        <w:t>本部门还自行组织了3个项目支出绩效评价，从评价情况来看</w:t>
      </w:r>
      <w:r>
        <w:rPr>
          <w:rFonts w:hint="eastAsia" w:ascii="宋体" w:hAnsi="宋体" w:eastAsia="宋体" w:cs="宋体"/>
          <w:sz w:val="32"/>
          <w:szCs w:val="32"/>
          <w:lang w:eastAsia="zh-CN"/>
        </w:rPr>
        <w:t>，</w:t>
      </w:r>
      <w:r>
        <w:rPr>
          <w:rFonts w:hint="eastAsia" w:ascii="宋体" w:hAnsi="宋体" w:eastAsia="宋体" w:cs="宋体"/>
          <w:b/>
          <w:bCs/>
          <w:sz w:val="32"/>
          <w:szCs w:val="32"/>
        </w:rPr>
        <w:t>1.</w:t>
      </w:r>
      <w:r>
        <w:rPr>
          <w:rFonts w:hint="eastAsia" w:ascii="宋体" w:hAnsi="宋体" w:eastAsia="宋体" w:cs="宋体"/>
          <w:sz w:val="32"/>
          <w:szCs w:val="32"/>
        </w:rPr>
        <w:t>教师培训费</w:t>
      </w:r>
      <w:r>
        <w:rPr>
          <w:rFonts w:hint="eastAsia" w:ascii="宋体" w:hAnsi="宋体" w:eastAsia="宋体" w:cs="宋体"/>
          <w:sz w:val="32"/>
          <w:szCs w:val="32"/>
          <w:lang w:eastAsia="zh-CN"/>
        </w:rPr>
        <w:t>：</w:t>
      </w:r>
      <w:r>
        <w:rPr>
          <w:rFonts w:hint="eastAsia" w:ascii="宋体" w:hAnsi="宋体" w:eastAsia="宋体" w:cs="宋体"/>
          <w:sz w:val="32"/>
          <w:szCs w:val="32"/>
        </w:rPr>
        <w:t>年初以来，围绕</w:t>
      </w:r>
      <w:r>
        <w:rPr>
          <w:rFonts w:hint="eastAsia" w:ascii="宋体" w:hAnsi="宋体" w:eastAsia="宋体" w:cs="宋体"/>
          <w:sz w:val="32"/>
          <w:szCs w:val="32"/>
          <w:lang w:eastAsia="zh-CN"/>
        </w:rPr>
        <w:t>县委、县政府</w:t>
      </w:r>
      <w:r>
        <w:rPr>
          <w:rFonts w:hint="eastAsia" w:ascii="宋体" w:hAnsi="宋体" w:eastAsia="宋体" w:cs="宋体"/>
          <w:sz w:val="32"/>
          <w:szCs w:val="32"/>
        </w:rPr>
        <w:t>工作重点，在抓好主体班次培训的基础上，与县委组织部、县教育局、县自然资源局等部门通力配合，完成2019年干部培训及教师培训任务。</w:t>
      </w:r>
      <w:r>
        <w:rPr>
          <w:rFonts w:hint="eastAsia" w:ascii="宋体" w:hAnsi="宋体" w:eastAsia="宋体" w:cs="宋体"/>
          <w:b/>
          <w:bCs/>
          <w:sz w:val="32"/>
          <w:szCs w:val="32"/>
        </w:rPr>
        <w:t>2.</w:t>
      </w:r>
      <w:r>
        <w:rPr>
          <w:rFonts w:hint="eastAsia" w:ascii="宋体" w:hAnsi="宋体" w:eastAsia="宋体" w:cs="宋体"/>
          <w:sz w:val="32"/>
          <w:szCs w:val="32"/>
        </w:rPr>
        <w:t>科研费</w:t>
      </w:r>
      <w:r>
        <w:rPr>
          <w:rFonts w:hint="eastAsia" w:ascii="宋体" w:hAnsi="宋体" w:eastAsia="宋体" w:cs="宋体"/>
          <w:sz w:val="32"/>
          <w:szCs w:val="32"/>
          <w:lang w:eastAsia="zh-CN"/>
        </w:rPr>
        <w:t>：</w:t>
      </w:r>
      <w:r>
        <w:rPr>
          <w:rFonts w:hint="eastAsia" w:ascii="宋体" w:hAnsi="宋体" w:eastAsia="宋体" w:cs="宋体"/>
          <w:sz w:val="32"/>
          <w:szCs w:val="32"/>
        </w:rPr>
        <w:t>我校2019年向邓小平理论研究会提交论文《实现伟大理想必须进行伟大斗争的基层视角》1篇；向市委党校提交《峨边人居环境整治与提升移风易俗策略探讨》课题1个；向乐山市社科联提交《峨边民宿旅游发展探讨》课题1个，并参加乐山市社科联第十八届社科成果评奖。</w:t>
      </w:r>
      <w:r>
        <w:rPr>
          <w:rFonts w:hint="eastAsia" w:ascii="宋体" w:hAnsi="宋体" w:eastAsia="宋体" w:cs="宋体"/>
          <w:b/>
          <w:bCs/>
          <w:sz w:val="32"/>
          <w:szCs w:val="32"/>
        </w:rPr>
        <w:t>3.</w:t>
      </w:r>
      <w:r>
        <w:rPr>
          <w:rFonts w:hint="eastAsia" w:ascii="宋体" w:hAnsi="宋体" w:eastAsia="宋体" w:cs="宋体"/>
          <w:sz w:val="32"/>
          <w:szCs w:val="32"/>
        </w:rPr>
        <w:t>专业化教学点建设经费：县委党校2019年完成对所有在用教学设备的维护及故障设备的维修更换。</w:t>
      </w:r>
    </w:p>
    <w:p w14:paraId="15599063">
      <w:pPr>
        <w:pStyle w:val="5"/>
        <w:keepNext w:val="0"/>
        <w:keepLines w:val="0"/>
        <w:widowControl/>
        <w:suppressLineNumbers w:val="0"/>
        <w:spacing w:before="0" w:beforeAutospacing="0" w:after="0" w:afterAutospacing="0" w:line="600" w:lineRule="atLeast"/>
        <w:ind w:left="0" w:right="0" w:firstLine="720"/>
        <w:jc w:val="both"/>
        <w:rPr>
          <w:rFonts w:hint="default" w:ascii="Times New Roman" w:hAnsi="Times New Roman" w:cs="Times New Roman"/>
          <w:sz w:val="21"/>
          <w:szCs w:val="21"/>
        </w:rPr>
      </w:pPr>
      <w:r>
        <w:rPr>
          <w:rFonts w:hint="default" w:ascii="Times New Roman" w:hAnsi="Times New Roman" w:eastAsia="宋体" w:cs="Times New Roman"/>
          <w:sz w:val="21"/>
          <w:szCs w:val="21"/>
        </w:rPr>
        <w:t> </w:t>
      </w:r>
    </w:p>
    <w:p w14:paraId="6059DC7A">
      <w:pPr>
        <w:pStyle w:val="5"/>
        <w:keepNext w:val="0"/>
        <w:keepLines w:val="0"/>
        <w:widowControl/>
        <w:suppressLineNumbers w:val="0"/>
        <w:spacing w:before="0" w:beforeAutospacing="0" w:after="0" w:afterAutospacing="0" w:line="600" w:lineRule="atLeast"/>
        <w:ind w:left="0" w:right="0" w:firstLine="640"/>
        <w:jc w:val="both"/>
        <w:rPr>
          <w:rFonts w:hint="default" w:ascii="Times New Roman" w:hAnsi="Times New Roman" w:cs="Times New Roman"/>
          <w:sz w:val="21"/>
          <w:szCs w:val="21"/>
        </w:rPr>
      </w:pPr>
      <w:r>
        <w:rPr>
          <w:rFonts w:hint="default" w:ascii="Times New Roman" w:hAnsi="Times New Roman" w:eastAsia="宋体" w:cs="Times New Roman"/>
          <w:sz w:val="21"/>
          <w:szCs w:val="21"/>
        </w:rPr>
        <w:t> </w:t>
      </w:r>
    </w:p>
    <w:p w14:paraId="2B6A41B5">
      <w:pPr>
        <w:pStyle w:val="5"/>
        <w:keepNext w:val="0"/>
        <w:keepLines w:val="0"/>
        <w:widowControl/>
        <w:suppressLineNumbers w:val="0"/>
        <w:spacing w:before="0" w:beforeAutospacing="0" w:after="0" w:afterAutospacing="0" w:line="580" w:lineRule="atLeast"/>
        <w:ind w:left="0" w:right="0" w:firstLine="640"/>
        <w:jc w:val="both"/>
        <w:rPr>
          <w:rFonts w:hint="default" w:ascii="Times New Roman" w:hAnsi="Times New Roman" w:cs="Times New Roman"/>
          <w:sz w:val="21"/>
          <w:szCs w:val="21"/>
        </w:rPr>
      </w:pPr>
      <w:r>
        <w:rPr>
          <w:rFonts w:hint="default" w:ascii="Times New Roman" w:hAnsi="Times New Roman" w:eastAsia="宋体" w:cs="Times New Roman"/>
          <w:sz w:val="21"/>
          <w:szCs w:val="21"/>
        </w:rPr>
        <w:t> </w:t>
      </w:r>
    </w:p>
    <w:p w14:paraId="7AB85620">
      <w:pPr>
        <w:pStyle w:val="5"/>
        <w:keepNext w:val="0"/>
        <w:keepLines w:val="0"/>
        <w:widowControl/>
        <w:suppressLineNumbers w:val="0"/>
        <w:spacing w:before="0" w:beforeAutospacing="0" w:after="0" w:afterAutospacing="0" w:line="580" w:lineRule="atLeast"/>
        <w:ind w:left="0" w:right="0" w:firstLine="640"/>
        <w:jc w:val="both"/>
        <w:rPr>
          <w:rFonts w:hint="default" w:ascii="Times New Roman" w:hAnsi="Times New Roman" w:cs="Times New Roman"/>
          <w:sz w:val="21"/>
          <w:szCs w:val="21"/>
        </w:rPr>
      </w:pPr>
      <w:r>
        <w:rPr>
          <w:rFonts w:ascii="楷体_GB2312" w:hAnsi="Times New Roman" w:eastAsia="楷体_GB2312" w:cs="楷体_GB2312"/>
          <w:sz w:val="32"/>
          <w:szCs w:val="32"/>
        </w:rPr>
        <w:t>1.</w:t>
      </w:r>
      <w:r>
        <w:rPr>
          <w:rFonts w:hint="eastAsia" w:ascii="楷体_GB2312" w:hAnsi="Times New Roman" w:eastAsia="楷体_GB2312" w:cs="楷体_GB2312"/>
          <w:sz w:val="32"/>
          <w:szCs w:val="32"/>
        </w:rPr>
        <w:t>项目绩效目标完成情况。</w:t>
      </w:r>
      <w:r>
        <w:rPr>
          <w:rFonts w:hint="eastAsia" w:ascii="楷体_GB2312" w:hAnsi="Times New Roman" w:eastAsia="楷体_GB2312" w:cs="楷体_GB2312"/>
          <w:sz w:val="32"/>
          <w:szCs w:val="32"/>
        </w:rPr>
        <w:br w:type="textWrapping"/>
      </w:r>
      <w:r>
        <w:rPr>
          <w:rFonts w:hint="eastAsia" w:ascii="宋体" w:hAnsi="宋体" w:eastAsia="宋体" w:cs="宋体"/>
          <w:sz w:val="32"/>
          <w:szCs w:val="32"/>
        </w:rPr>
        <w:t>县委党校在</w:t>
      </w:r>
      <w:r>
        <w:rPr>
          <w:rFonts w:hint="default" w:ascii="Times New Roman" w:hAnsi="Times New Roman" w:eastAsia="宋体" w:cs="Times New Roman"/>
          <w:sz w:val="32"/>
          <w:szCs w:val="32"/>
        </w:rPr>
        <w:t>2019</w:t>
      </w:r>
      <w:r>
        <w:rPr>
          <w:rFonts w:hint="eastAsia" w:ascii="宋体" w:hAnsi="宋体" w:eastAsia="宋体" w:cs="宋体"/>
          <w:sz w:val="32"/>
          <w:szCs w:val="32"/>
        </w:rPr>
        <w:t>年度部门决算中反映</w:t>
      </w:r>
      <w:r>
        <w:rPr>
          <w:rFonts w:hint="default" w:ascii="Times New Roman" w:hAnsi="Times New Roman" w:eastAsia="宋体" w:cs="Times New Roman"/>
          <w:sz w:val="32"/>
          <w:szCs w:val="32"/>
        </w:rPr>
        <w:t>“</w:t>
      </w:r>
      <w:r>
        <w:rPr>
          <w:rFonts w:hint="eastAsia" w:ascii="宋体" w:hAnsi="宋体" w:eastAsia="宋体" w:cs="宋体"/>
          <w:sz w:val="32"/>
          <w:szCs w:val="32"/>
        </w:rPr>
        <w:t>教师培训费</w:t>
      </w:r>
      <w:r>
        <w:rPr>
          <w:rFonts w:hint="default" w:ascii="Times New Roman" w:hAnsi="Times New Roman" w:eastAsia="宋体" w:cs="Times New Roman"/>
          <w:sz w:val="32"/>
          <w:szCs w:val="32"/>
        </w:rPr>
        <w:t>”</w:t>
      </w:r>
      <w:r>
        <w:rPr>
          <w:rFonts w:hint="eastAsia" w:ascii="宋体" w:hAnsi="宋体" w:eastAsia="宋体" w:cs="宋体"/>
          <w:sz w:val="32"/>
          <w:szCs w:val="32"/>
        </w:rPr>
        <w:t>科研费</w:t>
      </w:r>
      <w:r>
        <w:rPr>
          <w:rFonts w:hint="default" w:ascii="Times New Roman" w:hAnsi="Times New Roman" w:eastAsia="宋体" w:cs="Times New Roman"/>
          <w:sz w:val="32"/>
          <w:szCs w:val="32"/>
        </w:rPr>
        <w:t>“</w:t>
      </w:r>
      <w:r>
        <w:rPr>
          <w:rFonts w:hint="eastAsia" w:ascii="宋体" w:hAnsi="宋体" w:eastAsia="宋体" w:cs="宋体"/>
          <w:sz w:val="32"/>
          <w:szCs w:val="32"/>
        </w:rPr>
        <w:t>专业化教学点建设经费</w:t>
      </w:r>
      <w:r>
        <w:rPr>
          <w:rFonts w:hint="default" w:ascii="Times New Roman" w:hAnsi="Times New Roman" w:eastAsia="宋体" w:cs="Times New Roman"/>
          <w:sz w:val="32"/>
          <w:szCs w:val="32"/>
        </w:rPr>
        <w:t>”</w:t>
      </w:r>
      <w:r>
        <w:rPr>
          <w:rFonts w:hint="eastAsia" w:ascii="宋体" w:hAnsi="宋体" w:eastAsia="宋体" w:cs="宋体"/>
          <w:sz w:val="32"/>
          <w:szCs w:val="32"/>
        </w:rPr>
        <w:t>等</w:t>
      </w:r>
      <w:r>
        <w:rPr>
          <w:rFonts w:hint="default" w:ascii="Times New Roman" w:hAnsi="Times New Roman" w:eastAsia="宋体" w:cs="Times New Roman"/>
          <w:sz w:val="32"/>
          <w:szCs w:val="32"/>
        </w:rPr>
        <w:t>3</w:t>
      </w:r>
      <w:r>
        <w:rPr>
          <w:rFonts w:hint="eastAsia" w:ascii="宋体" w:hAnsi="宋体" w:eastAsia="宋体" w:cs="宋体"/>
          <w:sz w:val="32"/>
          <w:szCs w:val="32"/>
        </w:rPr>
        <w:t>个项目绩效目标实际完成情况。</w:t>
      </w:r>
    </w:p>
    <w:p w14:paraId="779D2DCD">
      <w:pPr>
        <w:pStyle w:val="5"/>
        <w:keepNext w:val="0"/>
        <w:keepLines w:val="0"/>
        <w:widowControl/>
        <w:suppressLineNumbers w:val="0"/>
        <w:spacing w:before="0" w:beforeAutospacing="0" w:after="0" w:afterAutospacing="0" w:line="600" w:lineRule="atLeast"/>
        <w:ind w:left="0" w:right="0" w:firstLine="640"/>
        <w:jc w:val="both"/>
        <w:rPr>
          <w:rFonts w:hint="default" w:ascii="Times New Roman" w:hAnsi="Times New Roman" w:cs="Times New Roman"/>
          <w:sz w:val="21"/>
          <w:szCs w:val="21"/>
        </w:rPr>
      </w:pPr>
      <w:r>
        <w:rPr>
          <w:rFonts w:hint="eastAsia" w:ascii="宋体" w:hAnsi="宋体" w:eastAsia="宋体" w:cs="宋体"/>
          <w:sz w:val="32"/>
          <w:szCs w:val="32"/>
        </w:rPr>
        <w:t>（</w:t>
      </w:r>
      <w:r>
        <w:rPr>
          <w:rFonts w:hint="default" w:ascii="Times New Roman" w:hAnsi="Times New Roman" w:eastAsia="宋体" w:cs="Times New Roman"/>
          <w:sz w:val="32"/>
          <w:szCs w:val="32"/>
        </w:rPr>
        <w:t>1</w:t>
      </w:r>
      <w:r>
        <w:rPr>
          <w:rFonts w:hint="eastAsia" w:ascii="宋体" w:hAnsi="宋体" w:eastAsia="宋体" w:cs="宋体"/>
          <w:sz w:val="32"/>
          <w:szCs w:val="32"/>
        </w:rPr>
        <w:t>）教师培训费项目绩效目标完成情况综述。项目全年预算数</w:t>
      </w:r>
      <w:r>
        <w:rPr>
          <w:rFonts w:hint="default" w:ascii="Times New Roman" w:hAnsi="Times New Roman" w:eastAsia="宋体" w:cs="Times New Roman"/>
          <w:sz w:val="32"/>
          <w:szCs w:val="32"/>
        </w:rPr>
        <w:t>7.5</w:t>
      </w:r>
      <w:r>
        <w:rPr>
          <w:rFonts w:hint="eastAsia" w:ascii="宋体" w:hAnsi="宋体" w:eastAsia="宋体" w:cs="宋体"/>
          <w:sz w:val="32"/>
          <w:szCs w:val="32"/>
        </w:rPr>
        <w:t>万元，执行数为</w:t>
      </w:r>
      <w:r>
        <w:rPr>
          <w:rFonts w:hint="default" w:ascii="Times New Roman" w:hAnsi="Times New Roman" w:eastAsia="宋体" w:cs="Times New Roman"/>
          <w:sz w:val="32"/>
          <w:szCs w:val="32"/>
        </w:rPr>
        <w:t>3.4</w:t>
      </w:r>
      <w:r>
        <w:rPr>
          <w:rFonts w:hint="eastAsia" w:ascii="宋体" w:hAnsi="宋体" w:eastAsia="宋体" w:cs="宋体"/>
          <w:sz w:val="32"/>
          <w:szCs w:val="32"/>
        </w:rPr>
        <w:t>万元，完成预算的</w:t>
      </w:r>
      <w:r>
        <w:rPr>
          <w:rFonts w:hint="default" w:ascii="Times New Roman" w:hAnsi="Times New Roman" w:eastAsia="宋体" w:cs="Times New Roman"/>
          <w:sz w:val="32"/>
          <w:szCs w:val="32"/>
        </w:rPr>
        <w:t>45.33%</w:t>
      </w:r>
      <w:r>
        <w:rPr>
          <w:rFonts w:hint="eastAsia" w:ascii="宋体" w:hAnsi="宋体" w:eastAsia="宋体" w:cs="宋体"/>
          <w:sz w:val="32"/>
          <w:szCs w:val="32"/>
        </w:rPr>
        <w:t>。通过项目实施，2019年县委党校与县委组织部、县教育局、县自然资源局等部门通力配合，举办党支部书记、党务干部、村干部业务能力提升培训、脱贫攻坚专题培训等培训班，共举办县乡村振兴人才培训班2期，40学时；举办入党积极分子培训班1期，16学时；协助举办全县高质量脱贫摘帽培训班3期，24学时；协助举办教育系统党组织书记培训班1期，24学时；党务干事培训班1期，24学时。总课时128课时，其中党性教育课时为32课时，占总课时的25%。</w:t>
      </w:r>
    </w:p>
    <w:p w14:paraId="111D8319">
      <w:pPr>
        <w:pStyle w:val="5"/>
        <w:keepNext w:val="0"/>
        <w:keepLines w:val="0"/>
        <w:widowControl/>
        <w:suppressLineNumbers w:val="0"/>
        <w:spacing w:before="0" w:beforeAutospacing="0" w:after="0" w:afterAutospacing="0" w:line="600" w:lineRule="atLeast"/>
        <w:ind w:left="0" w:right="0" w:firstLine="720"/>
        <w:jc w:val="both"/>
        <w:rPr>
          <w:rFonts w:hint="default" w:ascii="Times New Roman" w:hAnsi="Times New Roman" w:cs="Times New Roman"/>
          <w:sz w:val="21"/>
          <w:szCs w:val="21"/>
        </w:rPr>
      </w:pPr>
      <w:r>
        <w:rPr>
          <w:rFonts w:hint="eastAsia" w:ascii="宋体" w:hAnsi="宋体" w:eastAsia="宋体" w:cs="宋体"/>
          <w:sz w:val="32"/>
          <w:szCs w:val="32"/>
        </w:rPr>
        <w:t>（</w:t>
      </w:r>
      <w:r>
        <w:rPr>
          <w:rFonts w:hint="default" w:ascii="Times New Roman" w:hAnsi="Times New Roman" w:eastAsia="宋体" w:cs="Times New Roman"/>
          <w:sz w:val="32"/>
          <w:szCs w:val="32"/>
        </w:rPr>
        <w:t>2</w:t>
      </w:r>
      <w:r>
        <w:rPr>
          <w:rFonts w:hint="eastAsia" w:ascii="宋体" w:hAnsi="宋体" w:eastAsia="宋体" w:cs="宋体"/>
          <w:sz w:val="32"/>
          <w:szCs w:val="32"/>
        </w:rPr>
        <w:t>）科研费项目绩效目标完成情况综述。项目全年预算数</w:t>
      </w:r>
      <w:r>
        <w:rPr>
          <w:rFonts w:hint="default" w:ascii="Times New Roman" w:hAnsi="Times New Roman" w:eastAsia="宋体" w:cs="Times New Roman"/>
          <w:sz w:val="32"/>
          <w:szCs w:val="32"/>
        </w:rPr>
        <w:t>2.5</w:t>
      </w:r>
      <w:r>
        <w:rPr>
          <w:rFonts w:hint="eastAsia" w:ascii="宋体" w:hAnsi="宋体" w:eastAsia="宋体" w:cs="宋体"/>
          <w:sz w:val="32"/>
          <w:szCs w:val="32"/>
        </w:rPr>
        <w:t>万元，执行数为</w:t>
      </w:r>
      <w:r>
        <w:rPr>
          <w:rFonts w:hint="default" w:ascii="Times New Roman" w:hAnsi="Times New Roman" w:eastAsia="宋体" w:cs="Times New Roman"/>
          <w:sz w:val="32"/>
          <w:szCs w:val="32"/>
        </w:rPr>
        <w:t>1.6</w:t>
      </w:r>
      <w:r>
        <w:rPr>
          <w:rFonts w:hint="eastAsia" w:ascii="宋体" w:hAnsi="宋体" w:eastAsia="宋体" w:cs="宋体"/>
          <w:sz w:val="32"/>
          <w:szCs w:val="32"/>
        </w:rPr>
        <w:t>万元，完成预算的</w:t>
      </w:r>
      <w:r>
        <w:rPr>
          <w:rFonts w:hint="default" w:ascii="Times New Roman" w:hAnsi="Times New Roman" w:eastAsia="宋体" w:cs="Times New Roman"/>
          <w:sz w:val="32"/>
          <w:szCs w:val="32"/>
        </w:rPr>
        <w:t>64%</w:t>
      </w:r>
      <w:r>
        <w:rPr>
          <w:rFonts w:hint="eastAsia" w:ascii="宋体" w:hAnsi="宋体" w:eastAsia="宋体" w:cs="宋体"/>
          <w:sz w:val="32"/>
          <w:szCs w:val="32"/>
        </w:rPr>
        <w:t>。通过项目实施，县委党校2019年向邓小平理论研究会提交论文《实现伟大理想必须进行伟大斗争的基层视角》1篇；向市委党校提交《峨边人居环境整治与提升移风易俗策略探讨》课题1个；向乐山市社科联提交《峨边民宿旅游发展探讨》课题1个，并参加乐山市社科联第十八届社科成果评奖。</w:t>
      </w:r>
    </w:p>
    <w:p w14:paraId="3A8DB544">
      <w:pPr>
        <w:pStyle w:val="5"/>
        <w:keepNext w:val="0"/>
        <w:keepLines w:val="0"/>
        <w:widowControl/>
        <w:suppressLineNumbers w:val="0"/>
        <w:spacing w:before="0" w:beforeAutospacing="0" w:after="0" w:afterAutospacing="0" w:line="580" w:lineRule="atLeast"/>
        <w:ind w:left="0" w:right="0" w:firstLine="640"/>
        <w:jc w:val="both"/>
        <w:rPr>
          <w:rFonts w:hint="default" w:ascii="Times New Roman" w:hAnsi="Times New Roman" w:cs="Times New Roman"/>
          <w:sz w:val="21"/>
          <w:szCs w:val="21"/>
        </w:rPr>
      </w:pPr>
      <w:r>
        <w:rPr>
          <w:rFonts w:hint="default" w:ascii="Times New Roman" w:hAnsi="Times New Roman" w:eastAsia="宋体" w:cs="Times New Roman"/>
          <w:sz w:val="21"/>
          <w:szCs w:val="21"/>
        </w:rPr>
        <w:t> </w:t>
      </w:r>
    </w:p>
    <w:p w14:paraId="12410459">
      <w:pPr>
        <w:pStyle w:val="5"/>
        <w:keepNext w:val="0"/>
        <w:keepLines w:val="0"/>
        <w:widowControl/>
        <w:suppressLineNumbers w:val="0"/>
        <w:spacing w:before="0" w:beforeAutospacing="0" w:after="0" w:afterAutospacing="0" w:line="600" w:lineRule="atLeast"/>
        <w:ind w:left="0" w:right="0" w:firstLine="720"/>
        <w:jc w:val="both"/>
        <w:rPr>
          <w:rFonts w:hint="default" w:ascii="Times New Roman" w:hAnsi="Times New Roman" w:cs="Times New Roman"/>
          <w:sz w:val="21"/>
          <w:szCs w:val="21"/>
        </w:rPr>
      </w:pPr>
      <w:r>
        <w:rPr>
          <w:rFonts w:hint="eastAsia" w:ascii="宋体" w:hAnsi="宋体" w:eastAsia="宋体" w:cs="宋体"/>
          <w:sz w:val="32"/>
          <w:szCs w:val="32"/>
        </w:rPr>
        <w:t>（</w:t>
      </w:r>
      <w:r>
        <w:rPr>
          <w:rFonts w:hint="default" w:ascii="Times New Roman" w:hAnsi="Times New Roman" w:eastAsia="宋体" w:cs="Times New Roman"/>
          <w:sz w:val="32"/>
          <w:szCs w:val="32"/>
        </w:rPr>
        <w:t>3</w:t>
      </w:r>
      <w:r>
        <w:rPr>
          <w:rFonts w:hint="eastAsia" w:ascii="宋体" w:hAnsi="宋体" w:eastAsia="宋体" w:cs="宋体"/>
          <w:sz w:val="32"/>
          <w:szCs w:val="32"/>
        </w:rPr>
        <w:t>）专业化教学点建设经费项目绩效目标完成情况综述。项目全年预算数</w:t>
      </w:r>
      <w:r>
        <w:rPr>
          <w:rFonts w:hint="default" w:ascii="Times New Roman" w:hAnsi="Times New Roman" w:eastAsia="宋体" w:cs="Times New Roman"/>
          <w:sz w:val="32"/>
          <w:szCs w:val="32"/>
        </w:rPr>
        <w:t>2.5</w:t>
      </w:r>
      <w:r>
        <w:rPr>
          <w:rFonts w:hint="eastAsia" w:ascii="宋体" w:hAnsi="宋体" w:eastAsia="宋体" w:cs="宋体"/>
          <w:sz w:val="32"/>
          <w:szCs w:val="32"/>
        </w:rPr>
        <w:t>万元，执行数为</w:t>
      </w:r>
      <w:r>
        <w:rPr>
          <w:rFonts w:hint="default" w:ascii="Times New Roman" w:hAnsi="Times New Roman" w:eastAsia="宋体" w:cs="Times New Roman"/>
          <w:sz w:val="32"/>
          <w:szCs w:val="32"/>
        </w:rPr>
        <w:t>2</w:t>
      </w:r>
      <w:r>
        <w:rPr>
          <w:rFonts w:hint="eastAsia" w:ascii="宋体" w:hAnsi="宋体" w:eastAsia="宋体" w:cs="宋体"/>
          <w:sz w:val="32"/>
          <w:szCs w:val="32"/>
        </w:rPr>
        <w:t>万元，完成预算的</w:t>
      </w:r>
      <w:r>
        <w:rPr>
          <w:rFonts w:hint="default" w:ascii="Times New Roman" w:hAnsi="Times New Roman" w:eastAsia="宋体" w:cs="Times New Roman"/>
          <w:sz w:val="32"/>
          <w:szCs w:val="32"/>
        </w:rPr>
        <w:t>80%</w:t>
      </w:r>
      <w:r>
        <w:rPr>
          <w:rFonts w:hint="eastAsia" w:ascii="宋体" w:hAnsi="宋体" w:eastAsia="宋体" w:cs="宋体"/>
          <w:sz w:val="32"/>
          <w:szCs w:val="32"/>
        </w:rPr>
        <w:t>。通过项目实施，县委党校</w:t>
      </w:r>
      <w:r>
        <w:rPr>
          <w:rFonts w:hint="default" w:ascii="Times New Roman" w:hAnsi="Times New Roman" w:eastAsia="宋体" w:cs="Times New Roman"/>
          <w:sz w:val="32"/>
          <w:szCs w:val="32"/>
        </w:rPr>
        <w:t>2019</w:t>
      </w:r>
      <w:r>
        <w:rPr>
          <w:rFonts w:hint="eastAsia" w:ascii="宋体" w:hAnsi="宋体" w:eastAsia="宋体" w:cs="宋体"/>
          <w:sz w:val="32"/>
          <w:szCs w:val="32"/>
        </w:rPr>
        <w:t>年完成对所有在用教学设备的维护及故障设备的维修更换，保障培训的顺利进行。</w:t>
      </w:r>
    </w:p>
    <w:tbl>
      <w:tblPr>
        <w:tblW w:w="996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autofit"/>
        <w:tblCellMar>
          <w:top w:w="15" w:type="dxa"/>
          <w:left w:w="15" w:type="dxa"/>
          <w:bottom w:w="15" w:type="dxa"/>
          <w:right w:w="15" w:type="dxa"/>
        </w:tblCellMar>
      </w:tblPr>
      <w:tblGrid>
        <w:gridCol w:w="510"/>
        <w:gridCol w:w="1352"/>
        <w:gridCol w:w="1012"/>
        <w:gridCol w:w="2358"/>
        <w:gridCol w:w="2364"/>
        <w:gridCol w:w="2364"/>
      </w:tblGrid>
      <w:tr w14:paraId="53501D9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15" w:type="dxa"/>
            <w:left w:w="15" w:type="dxa"/>
            <w:bottom w:w="15" w:type="dxa"/>
            <w:right w:w="15" w:type="dxa"/>
          </w:tblCellMar>
        </w:tblPrEx>
        <w:trPr>
          <w:trHeight w:val="1034" w:hRule="atLeast"/>
          <w:jc w:val="center"/>
        </w:trPr>
        <w:tc>
          <w:tcPr>
            <w:tcW w:w="9960" w:type="dxa"/>
            <w:gridSpan w:val="6"/>
            <w:shd w:val="clear"/>
            <w:tcMar>
              <w:bottom w:w="0" w:type="dxa"/>
            </w:tcMar>
            <w:vAlign w:val="center"/>
          </w:tcPr>
          <w:p w14:paraId="0ED918DB">
            <w:pPr>
              <w:pStyle w:val="5"/>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1"/>
                <w:szCs w:val="21"/>
              </w:rPr>
            </w:pPr>
            <w:r>
              <w:rPr>
                <w:rFonts w:hint="eastAsia" w:ascii="宋体" w:hAnsi="宋体" w:eastAsia="宋体" w:cs="宋体"/>
                <w:b/>
                <w:bCs/>
                <w:color w:val="000000"/>
                <w:sz w:val="36"/>
                <w:szCs w:val="36"/>
              </w:rPr>
              <w:t>项目绩效目标完成情况表</w:t>
            </w:r>
            <w:r>
              <w:rPr>
                <w:rFonts w:hint="eastAsia" w:ascii="宋体" w:hAnsi="宋体" w:eastAsia="宋体" w:cs="宋体"/>
                <w:b/>
                <w:bCs/>
                <w:color w:val="000000"/>
                <w:sz w:val="36"/>
                <w:szCs w:val="36"/>
              </w:rPr>
              <w:br w:type="textWrapping"/>
            </w:r>
            <w:r>
              <w:rPr>
                <w:rFonts w:hint="eastAsia" w:ascii="宋体" w:hAnsi="宋体" w:eastAsia="宋体" w:cs="宋体"/>
                <w:b/>
                <w:bCs/>
                <w:color w:val="000000"/>
                <w:sz w:val="36"/>
                <w:szCs w:val="36"/>
                <w:lang w:eastAsia="zh-CN"/>
              </w:rPr>
              <w:t>（</w:t>
            </w:r>
            <w:r>
              <w:rPr>
                <w:rFonts w:hint="eastAsia" w:ascii="宋体" w:hAnsi="宋体" w:eastAsia="宋体" w:cs="宋体"/>
                <w:color w:val="000000"/>
                <w:sz w:val="36"/>
                <w:szCs w:val="36"/>
              </w:rPr>
              <w:t>2019 年度</w:t>
            </w:r>
            <w:r>
              <w:rPr>
                <w:rFonts w:hint="eastAsia" w:ascii="宋体" w:hAnsi="宋体" w:eastAsia="宋体" w:cs="宋体"/>
                <w:color w:val="000000"/>
                <w:sz w:val="36"/>
                <w:szCs w:val="36"/>
                <w:lang w:eastAsia="zh-CN"/>
              </w:rPr>
              <w:t>）</w:t>
            </w:r>
          </w:p>
        </w:tc>
      </w:tr>
      <w:tr w14:paraId="0FB2DE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76" w:hRule="atLeast"/>
          <w:jc w:val="center"/>
        </w:trPr>
        <w:tc>
          <w:tcPr>
            <w:tcW w:w="2782" w:type="dxa"/>
            <w:gridSpan w:val="3"/>
            <w:tcBorders>
              <w:top w:val="single" w:color="000000" w:sz="8" w:space="0"/>
              <w:left w:val="single" w:color="000000" w:sz="8" w:space="0"/>
              <w:bottom w:val="single" w:color="000000" w:sz="8" w:space="0"/>
              <w:right w:val="single" w:color="000000" w:sz="8" w:space="0"/>
            </w:tcBorders>
            <w:shd w:val="clear"/>
            <w:tcMar>
              <w:bottom w:w="0" w:type="dxa"/>
            </w:tcMar>
            <w:vAlign w:val="center"/>
          </w:tcPr>
          <w:p w14:paraId="62F9886E">
            <w:pPr>
              <w:pStyle w:val="5"/>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1"/>
                <w:szCs w:val="21"/>
              </w:rPr>
            </w:pPr>
            <w:r>
              <w:rPr>
                <w:rFonts w:hint="eastAsia" w:ascii="宋体" w:hAnsi="宋体" w:eastAsia="宋体" w:cs="宋体"/>
                <w:color w:val="000000"/>
                <w:sz w:val="24"/>
                <w:szCs w:val="24"/>
              </w:rPr>
              <w:t>项目名称</w:t>
            </w:r>
          </w:p>
        </w:tc>
        <w:tc>
          <w:tcPr>
            <w:tcW w:w="7178" w:type="dxa"/>
            <w:gridSpan w:val="3"/>
            <w:tcBorders>
              <w:top w:val="single" w:color="auto" w:sz="8" w:space="0"/>
              <w:left w:val="nil"/>
              <w:bottom w:val="single" w:color="auto" w:sz="8" w:space="0"/>
              <w:right w:val="single" w:color="auto" w:sz="8" w:space="0"/>
            </w:tcBorders>
            <w:shd w:val="clear"/>
            <w:tcMar>
              <w:bottom w:w="0" w:type="dxa"/>
            </w:tcMar>
            <w:vAlign w:val="center"/>
          </w:tcPr>
          <w:p w14:paraId="736EA62A">
            <w:pPr>
              <w:pStyle w:val="5"/>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1"/>
                <w:szCs w:val="21"/>
              </w:rPr>
            </w:pPr>
            <w:r>
              <w:rPr>
                <w:rFonts w:hint="eastAsia" w:ascii="宋体" w:hAnsi="宋体" w:eastAsia="宋体" w:cs="宋体"/>
                <w:color w:val="000000"/>
                <w:sz w:val="24"/>
                <w:szCs w:val="24"/>
              </w:rPr>
              <w:t>教师培训费</w:t>
            </w:r>
          </w:p>
        </w:tc>
      </w:tr>
      <w:tr w14:paraId="1F6580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76" w:hRule="atLeast"/>
          <w:jc w:val="center"/>
        </w:trPr>
        <w:tc>
          <w:tcPr>
            <w:tcW w:w="2782" w:type="dxa"/>
            <w:gridSpan w:val="3"/>
            <w:tcBorders>
              <w:top w:val="nil"/>
              <w:left w:val="single" w:color="auto" w:sz="8" w:space="0"/>
              <w:bottom w:val="single" w:color="auto" w:sz="8" w:space="0"/>
              <w:right w:val="single" w:color="auto" w:sz="8" w:space="0"/>
            </w:tcBorders>
            <w:shd w:val="clear"/>
            <w:tcMar>
              <w:bottom w:w="0" w:type="dxa"/>
            </w:tcMar>
            <w:vAlign w:val="center"/>
          </w:tcPr>
          <w:p w14:paraId="08F95118">
            <w:pPr>
              <w:pStyle w:val="5"/>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1"/>
                <w:szCs w:val="21"/>
              </w:rPr>
            </w:pPr>
            <w:r>
              <w:rPr>
                <w:rFonts w:hint="eastAsia" w:ascii="宋体" w:hAnsi="宋体" w:eastAsia="宋体" w:cs="宋体"/>
                <w:color w:val="000000"/>
                <w:sz w:val="24"/>
                <w:szCs w:val="24"/>
              </w:rPr>
              <w:t>预算单位</w:t>
            </w:r>
          </w:p>
        </w:tc>
        <w:tc>
          <w:tcPr>
            <w:tcW w:w="7178" w:type="dxa"/>
            <w:gridSpan w:val="3"/>
            <w:tcBorders>
              <w:top w:val="nil"/>
              <w:left w:val="nil"/>
              <w:bottom w:val="single" w:color="auto" w:sz="8" w:space="0"/>
              <w:right w:val="single" w:color="auto" w:sz="8" w:space="0"/>
            </w:tcBorders>
            <w:shd w:val="clear"/>
            <w:tcMar>
              <w:bottom w:w="0" w:type="dxa"/>
            </w:tcMar>
            <w:vAlign w:val="center"/>
          </w:tcPr>
          <w:p w14:paraId="6E9C17E3">
            <w:pPr>
              <w:pStyle w:val="5"/>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1"/>
                <w:szCs w:val="21"/>
              </w:rPr>
            </w:pPr>
            <w:r>
              <w:rPr>
                <w:rFonts w:hint="eastAsia" w:ascii="宋体" w:hAnsi="宋体" w:eastAsia="宋体" w:cs="宋体"/>
                <w:color w:val="000000"/>
                <w:sz w:val="24"/>
                <w:szCs w:val="24"/>
              </w:rPr>
              <w:t>中共峨边彝族自治县委党校</w:t>
            </w:r>
          </w:p>
        </w:tc>
      </w:tr>
      <w:tr w14:paraId="524645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76" w:hRule="atLeast"/>
          <w:jc w:val="center"/>
        </w:trPr>
        <w:tc>
          <w:tcPr>
            <w:tcW w:w="390" w:type="dxa"/>
            <w:vMerge w:val="restart"/>
            <w:tcBorders>
              <w:top w:val="nil"/>
              <w:left w:val="single" w:color="auto" w:sz="8" w:space="0"/>
              <w:bottom w:val="single" w:color="auto" w:sz="8" w:space="0"/>
              <w:right w:val="single" w:color="auto" w:sz="8" w:space="0"/>
            </w:tcBorders>
            <w:shd w:val="clear"/>
            <w:tcMar>
              <w:bottom w:w="0" w:type="dxa"/>
            </w:tcMar>
            <w:vAlign w:val="center"/>
          </w:tcPr>
          <w:p w14:paraId="785D289F">
            <w:pPr>
              <w:pStyle w:val="5"/>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1"/>
                <w:szCs w:val="21"/>
              </w:rPr>
            </w:pPr>
            <w:r>
              <w:rPr>
                <w:rFonts w:hint="eastAsia" w:ascii="宋体" w:hAnsi="宋体" w:eastAsia="宋体" w:cs="宋体"/>
                <w:color w:val="000000"/>
                <w:sz w:val="24"/>
                <w:szCs w:val="24"/>
              </w:rPr>
              <w:t>预算执行情况</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万元</w:t>
            </w:r>
            <w:r>
              <w:rPr>
                <w:rFonts w:hint="eastAsia" w:ascii="宋体" w:hAnsi="宋体" w:eastAsia="宋体" w:cs="宋体"/>
                <w:color w:val="000000"/>
                <w:sz w:val="24"/>
                <w:szCs w:val="24"/>
                <w:lang w:eastAsia="zh-CN"/>
              </w:rPr>
              <w:t>）</w:t>
            </w:r>
          </w:p>
        </w:tc>
        <w:tc>
          <w:tcPr>
            <w:tcW w:w="2392" w:type="dxa"/>
            <w:gridSpan w:val="2"/>
            <w:tcBorders>
              <w:top w:val="nil"/>
              <w:left w:val="nil"/>
              <w:bottom w:val="single" w:color="auto" w:sz="8" w:space="0"/>
              <w:right w:val="single" w:color="auto" w:sz="8" w:space="0"/>
            </w:tcBorders>
            <w:shd w:val="clear"/>
            <w:tcMar>
              <w:bottom w:w="0" w:type="dxa"/>
            </w:tcMar>
            <w:vAlign w:val="center"/>
          </w:tcPr>
          <w:p w14:paraId="61580680">
            <w:pPr>
              <w:pStyle w:val="5"/>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1"/>
                <w:szCs w:val="21"/>
              </w:rPr>
            </w:pPr>
            <w:r>
              <w:rPr>
                <w:rFonts w:hint="eastAsia" w:ascii="宋体" w:hAnsi="宋体" w:eastAsia="宋体" w:cs="宋体"/>
                <w:color w:val="000000"/>
                <w:sz w:val="24"/>
                <w:szCs w:val="24"/>
              </w:rPr>
              <w:t>预算数</w:t>
            </w:r>
            <w:r>
              <w:rPr>
                <w:rFonts w:hint="eastAsia" w:ascii="宋体" w:hAnsi="宋体" w:eastAsia="宋体" w:cs="宋体"/>
                <w:color w:val="000000"/>
                <w:sz w:val="24"/>
                <w:szCs w:val="24"/>
                <w:lang w:eastAsia="zh-CN"/>
              </w:rPr>
              <w:t>：</w:t>
            </w:r>
          </w:p>
        </w:tc>
        <w:tc>
          <w:tcPr>
            <w:tcW w:w="2392" w:type="dxa"/>
            <w:tcBorders>
              <w:top w:val="single" w:color="auto" w:sz="8" w:space="0"/>
              <w:left w:val="nil"/>
              <w:bottom w:val="single" w:color="auto" w:sz="8" w:space="0"/>
              <w:right w:val="single" w:color="auto" w:sz="8" w:space="0"/>
            </w:tcBorders>
            <w:shd w:val="clear"/>
            <w:tcMar>
              <w:bottom w:w="0" w:type="dxa"/>
            </w:tcMar>
            <w:vAlign w:val="center"/>
          </w:tcPr>
          <w:p w14:paraId="5DA42C09">
            <w:pPr>
              <w:pStyle w:val="5"/>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1"/>
                <w:szCs w:val="21"/>
              </w:rPr>
            </w:pPr>
            <w:r>
              <w:rPr>
                <w:rFonts w:hint="eastAsia" w:ascii="宋体" w:hAnsi="宋体" w:eastAsia="宋体" w:cs="宋体"/>
                <w:color w:val="000000"/>
                <w:sz w:val="24"/>
                <w:szCs w:val="24"/>
              </w:rPr>
              <w:t>7.5万元</w:t>
            </w:r>
          </w:p>
        </w:tc>
        <w:tc>
          <w:tcPr>
            <w:tcW w:w="2394" w:type="dxa"/>
            <w:tcBorders>
              <w:top w:val="single" w:color="auto" w:sz="8" w:space="0"/>
              <w:left w:val="nil"/>
              <w:bottom w:val="single" w:color="auto" w:sz="8" w:space="0"/>
              <w:right w:val="single" w:color="auto" w:sz="8" w:space="0"/>
            </w:tcBorders>
            <w:shd w:val="clear"/>
            <w:tcMar>
              <w:bottom w:w="0" w:type="dxa"/>
            </w:tcMar>
            <w:vAlign w:val="center"/>
          </w:tcPr>
          <w:p w14:paraId="677AD4B8">
            <w:pPr>
              <w:pStyle w:val="5"/>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1"/>
                <w:szCs w:val="21"/>
              </w:rPr>
            </w:pPr>
            <w:r>
              <w:rPr>
                <w:rFonts w:hint="eastAsia" w:ascii="宋体" w:hAnsi="宋体" w:eastAsia="宋体" w:cs="宋体"/>
                <w:color w:val="000000"/>
                <w:sz w:val="24"/>
                <w:szCs w:val="24"/>
              </w:rPr>
              <w:t>执行数</w:t>
            </w:r>
            <w:r>
              <w:rPr>
                <w:rFonts w:hint="eastAsia" w:ascii="宋体" w:hAnsi="宋体" w:eastAsia="宋体" w:cs="宋体"/>
                <w:color w:val="000000"/>
                <w:sz w:val="24"/>
                <w:szCs w:val="24"/>
                <w:lang w:eastAsia="zh-CN"/>
              </w:rPr>
              <w:t>：</w:t>
            </w:r>
          </w:p>
        </w:tc>
        <w:tc>
          <w:tcPr>
            <w:tcW w:w="2392" w:type="dxa"/>
            <w:tcBorders>
              <w:top w:val="single" w:color="auto" w:sz="8" w:space="0"/>
              <w:left w:val="nil"/>
              <w:bottom w:val="single" w:color="auto" w:sz="8" w:space="0"/>
              <w:right w:val="single" w:color="auto" w:sz="8" w:space="0"/>
            </w:tcBorders>
            <w:shd w:val="clear"/>
            <w:tcMar>
              <w:bottom w:w="0" w:type="dxa"/>
            </w:tcMar>
            <w:vAlign w:val="center"/>
          </w:tcPr>
          <w:p w14:paraId="220F0E76">
            <w:pPr>
              <w:pStyle w:val="5"/>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1"/>
                <w:szCs w:val="21"/>
              </w:rPr>
            </w:pPr>
            <w:r>
              <w:rPr>
                <w:rFonts w:hint="eastAsia" w:ascii="宋体" w:hAnsi="宋体" w:eastAsia="宋体" w:cs="宋体"/>
                <w:color w:val="000000"/>
                <w:sz w:val="24"/>
                <w:szCs w:val="24"/>
              </w:rPr>
              <w:t>3.5万元</w:t>
            </w:r>
          </w:p>
        </w:tc>
      </w:tr>
      <w:tr w14:paraId="0FF9C0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76" w:hRule="atLeast"/>
          <w:jc w:val="center"/>
        </w:trPr>
        <w:tc>
          <w:tcPr>
            <w:tcW w:w="390" w:type="dxa"/>
            <w:vMerge w:val="continue"/>
            <w:tcBorders>
              <w:top w:val="nil"/>
              <w:left w:val="single" w:color="auto" w:sz="8" w:space="0"/>
              <w:bottom w:val="single" w:color="auto" w:sz="8" w:space="0"/>
              <w:right w:val="single" w:color="auto" w:sz="8" w:space="0"/>
            </w:tcBorders>
            <w:shd w:val="clear"/>
            <w:tcMar>
              <w:bottom w:w="0" w:type="dxa"/>
            </w:tcMar>
            <w:vAlign w:val="center"/>
          </w:tcPr>
          <w:p w14:paraId="6B6EE8F9">
            <w:pPr>
              <w:rPr>
                <w:rFonts w:hint="eastAsia" w:ascii="宋体" w:hAnsi="宋体" w:eastAsia="宋体" w:cs="宋体"/>
                <w:sz w:val="18"/>
                <w:szCs w:val="18"/>
              </w:rPr>
            </w:pPr>
          </w:p>
        </w:tc>
        <w:tc>
          <w:tcPr>
            <w:tcW w:w="2392" w:type="dxa"/>
            <w:gridSpan w:val="2"/>
            <w:tcBorders>
              <w:top w:val="nil"/>
              <w:left w:val="nil"/>
              <w:bottom w:val="single" w:color="auto" w:sz="8" w:space="0"/>
              <w:right w:val="single" w:color="auto" w:sz="8" w:space="0"/>
            </w:tcBorders>
            <w:shd w:val="clear"/>
            <w:tcMar>
              <w:bottom w:w="0" w:type="dxa"/>
            </w:tcMar>
            <w:vAlign w:val="center"/>
          </w:tcPr>
          <w:p w14:paraId="48E2272E">
            <w:pPr>
              <w:pStyle w:val="5"/>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1"/>
                <w:szCs w:val="21"/>
              </w:rPr>
            </w:pPr>
            <w:r>
              <w:rPr>
                <w:rFonts w:hint="eastAsia" w:ascii="宋体" w:hAnsi="宋体" w:eastAsia="宋体" w:cs="宋体"/>
                <w:color w:val="000000"/>
                <w:sz w:val="24"/>
                <w:szCs w:val="24"/>
              </w:rPr>
              <w:t>其中</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财政拨款</w:t>
            </w:r>
            <w:r>
              <w:rPr>
                <w:rFonts w:hint="eastAsia" w:ascii="宋体" w:hAnsi="宋体" w:eastAsia="宋体" w:cs="宋体"/>
                <w:color w:val="000000"/>
                <w:sz w:val="24"/>
                <w:szCs w:val="24"/>
                <w:lang w:eastAsia="zh-CN"/>
              </w:rPr>
              <w:t>：</w:t>
            </w:r>
          </w:p>
        </w:tc>
        <w:tc>
          <w:tcPr>
            <w:tcW w:w="2392" w:type="dxa"/>
            <w:tcBorders>
              <w:top w:val="nil"/>
              <w:left w:val="nil"/>
              <w:bottom w:val="single" w:color="auto" w:sz="8" w:space="0"/>
              <w:right w:val="single" w:color="auto" w:sz="8" w:space="0"/>
            </w:tcBorders>
            <w:shd w:val="clear"/>
            <w:tcMar>
              <w:bottom w:w="0" w:type="dxa"/>
            </w:tcMar>
            <w:vAlign w:val="center"/>
          </w:tcPr>
          <w:p w14:paraId="56549913">
            <w:pPr>
              <w:pStyle w:val="5"/>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1"/>
                <w:szCs w:val="21"/>
              </w:rPr>
            </w:pPr>
            <w:r>
              <w:rPr>
                <w:rFonts w:hint="eastAsia" w:ascii="宋体" w:hAnsi="宋体" w:eastAsia="宋体" w:cs="宋体"/>
                <w:color w:val="000000"/>
                <w:sz w:val="24"/>
                <w:szCs w:val="24"/>
              </w:rPr>
              <w:t>7.5万元</w:t>
            </w:r>
          </w:p>
        </w:tc>
        <w:tc>
          <w:tcPr>
            <w:tcW w:w="2394" w:type="dxa"/>
            <w:tcBorders>
              <w:top w:val="nil"/>
              <w:left w:val="nil"/>
              <w:bottom w:val="single" w:color="auto" w:sz="8" w:space="0"/>
              <w:right w:val="single" w:color="auto" w:sz="8" w:space="0"/>
            </w:tcBorders>
            <w:shd w:val="clear"/>
            <w:tcMar>
              <w:bottom w:w="0" w:type="dxa"/>
            </w:tcMar>
            <w:vAlign w:val="center"/>
          </w:tcPr>
          <w:p w14:paraId="219AB9D6">
            <w:pPr>
              <w:pStyle w:val="5"/>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1"/>
                <w:szCs w:val="21"/>
              </w:rPr>
            </w:pPr>
            <w:r>
              <w:rPr>
                <w:rFonts w:hint="eastAsia" w:ascii="宋体" w:hAnsi="宋体" w:eastAsia="宋体" w:cs="宋体"/>
                <w:color w:val="000000"/>
                <w:sz w:val="24"/>
                <w:szCs w:val="24"/>
              </w:rPr>
              <w:t>其中</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财政拨款</w:t>
            </w:r>
            <w:r>
              <w:rPr>
                <w:rFonts w:hint="eastAsia" w:ascii="宋体" w:hAnsi="宋体" w:eastAsia="宋体" w:cs="宋体"/>
                <w:color w:val="000000"/>
                <w:sz w:val="24"/>
                <w:szCs w:val="24"/>
                <w:lang w:eastAsia="zh-CN"/>
              </w:rPr>
              <w:t>：</w:t>
            </w:r>
          </w:p>
        </w:tc>
        <w:tc>
          <w:tcPr>
            <w:tcW w:w="2392" w:type="dxa"/>
            <w:tcBorders>
              <w:top w:val="nil"/>
              <w:left w:val="nil"/>
              <w:bottom w:val="single" w:color="auto" w:sz="8" w:space="0"/>
              <w:right w:val="single" w:color="auto" w:sz="8" w:space="0"/>
            </w:tcBorders>
            <w:shd w:val="clear"/>
            <w:tcMar>
              <w:bottom w:w="0" w:type="dxa"/>
            </w:tcMar>
            <w:vAlign w:val="center"/>
          </w:tcPr>
          <w:p w14:paraId="0FEF6B96">
            <w:pPr>
              <w:pStyle w:val="5"/>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1"/>
                <w:szCs w:val="21"/>
              </w:rPr>
            </w:pPr>
            <w:r>
              <w:rPr>
                <w:rFonts w:hint="eastAsia" w:ascii="宋体" w:hAnsi="宋体" w:eastAsia="宋体" w:cs="宋体"/>
                <w:color w:val="000000"/>
                <w:sz w:val="24"/>
                <w:szCs w:val="24"/>
              </w:rPr>
              <w:t>3.5万元</w:t>
            </w:r>
          </w:p>
        </w:tc>
      </w:tr>
      <w:tr w14:paraId="08FA9E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511" w:hRule="atLeast"/>
          <w:jc w:val="center"/>
        </w:trPr>
        <w:tc>
          <w:tcPr>
            <w:tcW w:w="390" w:type="dxa"/>
            <w:vMerge w:val="continue"/>
            <w:tcBorders>
              <w:top w:val="nil"/>
              <w:left w:val="single" w:color="auto" w:sz="8" w:space="0"/>
              <w:bottom w:val="single" w:color="auto" w:sz="8" w:space="0"/>
              <w:right w:val="single" w:color="auto" w:sz="8" w:space="0"/>
            </w:tcBorders>
            <w:shd w:val="clear"/>
            <w:tcMar>
              <w:bottom w:w="0" w:type="dxa"/>
            </w:tcMar>
            <w:vAlign w:val="center"/>
          </w:tcPr>
          <w:p w14:paraId="19A6ABE2">
            <w:pPr>
              <w:rPr>
                <w:rFonts w:hint="eastAsia" w:ascii="宋体" w:hAnsi="宋体" w:eastAsia="宋体" w:cs="宋体"/>
                <w:sz w:val="18"/>
                <w:szCs w:val="18"/>
              </w:rPr>
            </w:pPr>
          </w:p>
        </w:tc>
        <w:tc>
          <w:tcPr>
            <w:tcW w:w="2392" w:type="dxa"/>
            <w:gridSpan w:val="2"/>
            <w:tcBorders>
              <w:top w:val="nil"/>
              <w:left w:val="nil"/>
              <w:bottom w:val="single" w:color="auto" w:sz="8" w:space="0"/>
              <w:right w:val="single" w:color="auto" w:sz="8" w:space="0"/>
            </w:tcBorders>
            <w:shd w:val="clear"/>
            <w:tcMar>
              <w:bottom w:w="0" w:type="dxa"/>
            </w:tcMar>
            <w:vAlign w:val="center"/>
          </w:tcPr>
          <w:p w14:paraId="7BA92113">
            <w:pPr>
              <w:pStyle w:val="5"/>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1"/>
                <w:szCs w:val="21"/>
              </w:rPr>
            </w:pPr>
            <w:r>
              <w:rPr>
                <w:rFonts w:hint="eastAsia" w:ascii="宋体" w:hAnsi="宋体" w:eastAsia="宋体" w:cs="宋体"/>
                <w:color w:val="000000"/>
                <w:sz w:val="24"/>
                <w:szCs w:val="24"/>
              </w:rPr>
              <w:t>其它资金</w:t>
            </w:r>
            <w:r>
              <w:rPr>
                <w:rFonts w:hint="eastAsia" w:ascii="宋体" w:hAnsi="宋体" w:eastAsia="宋体" w:cs="宋体"/>
                <w:color w:val="000000"/>
                <w:sz w:val="24"/>
                <w:szCs w:val="24"/>
                <w:lang w:eastAsia="zh-CN"/>
              </w:rPr>
              <w:t>：</w:t>
            </w:r>
          </w:p>
        </w:tc>
        <w:tc>
          <w:tcPr>
            <w:tcW w:w="2392" w:type="dxa"/>
            <w:tcBorders>
              <w:top w:val="nil"/>
              <w:left w:val="nil"/>
              <w:bottom w:val="single" w:color="auto" w:sz="8" w:space="0"/>
              <w:right w:val="single" w:color="auto" w:sz="8" w:space="0"/>
            </w:tcBorders>
            <w:shd w:val="clear"/>
            <w:tcMar>
              <w:bottom w:w="0" w:type="dxa"/>
            </w:tcMar>
            <w:vAlign w:val="center"/>
          </w:tcPr>
          <w:p w14:paraId="1083060E">
            <w:pPr>
              <w:pStyle w:val="5"/>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1"/>
                <w:szCs w:val="21"/>
              </w:rPr>
            </w:pPr>
            <w:r>
              <w:rPr>
                <w:rFonts w:hint="eastAsia" w:ascii="宋体" w:hAnsi="宋体" w:eastAsia="宋体" w:cs="宋体"/>
                <w:color w:val="000000"/>
                <w:sz w:val="24"/>
                <w:szCs w:val="24"/>
              </w:rPr>
              <w:t>0</w:t>
            </w:r>
          </w:p>
        </w:tc>
        <w:tc>
          <w:tcPr>
            <w:tcW w:w="2394" w:type="dxa"/>
            <w:tcBorders>
              <w:top w:val="nil"/>
              <w:left w:val="nil"/>
              <w:bottom w:val="single" w:color="auto" w:sz="8" w:space="0"/>
              <w:right w:val="single" w:color="auto" w:sz="8" w:space="0"/>
            </w:tcBorders>
            <w:shd w:val="clear"/>
            <w:tcMar>
              <w:bottom w:w="0" w:type="dxa"/>
            </w:tcMar>
            <w:vAlign w:val="center"/>
          </w:tcPr>
          <w:p w14:paraId="515D3F7F">
            <w:pPr>
              <w:pStyle w:val="5"/>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1"/>
                <w:szCs w:val="21"/>
              </w:rPr>
            </w:pPr>
            <w:r>
              <w:rPr>
                <w:rFonts w:hint="eastAsia" w:ascii="宋体" w:hAnsi="宋体" w:eastAsia="宋体" w:cs="宋体"/>
                <w:color w:val="000000"/>
                <w:sz w:val="24"/>
                <w:szCs w:val="24"/>
              </w:rPr>
              <w:t>其它资金</w:t>
            </w:r>
            <w:r>
              <w:rPr>
                <w:rFonts w:hint="eastAsia" w:ascii="宋体" w:hAnsi="宋体" w:eastAsia="宋体" w:cs="宋体"/>
                <w:color w:val="000000"/>
                <w:sz w:val="24"/>
                <w:szCs w:val="24"/>
                <w:lang w:eastAsia="zh-CN"/>
              </w:rPr>
              <w:t>：</w:t>
            </w:r>
          </w:p>
        </w:tc>
        <w:tc>
          <w:tcPr>
            <w:tcW w:w="2392" w:type="dxa"/>
            <w:tcBorders>
              <w:top w:val="nil"/>
              <w:left w:val="nil"/>
              <w:bottom w:val="single" w:color="auto" w:sz="8" w:space="0"/>
              <w:right w:val="single" w:color="auto" w:sz="8" w:space="0"/>
            </w:tcBorders>
            <w:shd w:val="clear"/>
            <w:tcMar>
              <w:bottom w:w="0" w:type="dxa"/>
            </w:tcMar>
            <w:vAlign w:val="center"/>
          </w:tcPr>
          <w:p w14:paraId="0A7E34A4">
            <w:pPr>
              <w:pStyle w:val="5"/>
              <w:keepNext w:val="0"/>
              <w:keepLines w:val="0"/>
              <w:widowControl/>
              <w:suppressLineNumbers w:val="0"/>
              <w:spacing w:before="0" w:beforeAutospacing="0" w:after="0" w:afterAutospacing="0"/>
              <w:ind w:left="0" w:right="0"/>
              <w:jc w:val="center"/>
              <w:rPr>
                <w:rFonts w:hint="default" w:ascii="Times New Roman" w:hAnsi="Times New Roman" w:cs="Times New Roman"/>
                <w:sz w:val="21"/>
                <w:szCs w:val="21"/>
              </w:rPr>
            </w:pPr>
            <w:r>
              <w:rPr>
                <w:rFonts w:hint="eastAsia" w:ascii="宋体" w:hAnsi="宋体" w:eastAsia="宋体" w:cs="宋体"/>
                <w:color w:val="000000"/>
                <w:sz w:val="24"/>
                <w:szCs w:val="24"/>
              </w:rPr>
              <w:t>0</w:t>
            </w:r>
          </w:p>
        </w:tc>
      </w:tr>
      <w:tr w14:paraId="759F11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76" w:hRule="atLeast"/>
          <w:jc w:val="center"/>
        </w:trPr>
        <w:tc>
          <w:tcPr>
            <w:tcW w:w="390" w:type="dxa"/>
            <w:vMerge w:val="restart"/>
            <w:tcBorders>
              <w:top w:val="nil"/>
              <w:left w:val="single" w:color="auto" w:sz="8" w:space="0"/>
              <w:bottom w:val="single" w:color="auto" w:sz="8" w:space="0"/>
              <w:right w:val="single" w:color="auto" w:sz="8" w:space="0"/>
            </w:tcBorders>
            <w:shd w:val="clear"/>
            <w:tcMar>
              <w:bottom w:w="0" w:type="dxa"/>
            </w:tcMar>
            <w:vAlign w:val="center"/>
          </w:tcPr>
          <w:p w14:paraId="7422A532">
            <w:pPr>
              <w:pStyle w:val="5"/>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1"/>
                <w:szCs w:val="21"/>
              </w:rPr>
            </w:pPr>
            <w:r>
              <w:rPr>
                <w:rFonts w:hint="eastAsia" w:ascii="宋体" w:hAnsi="宋体" w:eastAsia="宋体" w:cs="宋体"/>
                <w:color w:val="000000"/>
                <w:sz w:val="24"/>
                <w:szCs w:val="24"/>
              </w:rPr>
              <w:t>年度目标完成情况</w:t>
            </w:r>
          </w:p>
        </w:tc>
        <w:tc>
          <w:tcPr>
            <w:tcW w:w="4784" w:type="dxa"/>
            <w:gridSpan w:val="3"/>
            <w:tcBorders>
              <w:top w:val="nil"/>
              <w:left w:val="nil"/>
              <w:bottom w:val="single" w:color="auto" w:sz="8" w:space="0"/>
              <w:right w:val="single" w:color="auto" w:sz="8" w:space="0"/>
            </w:tcBorders>
            <w:shd w:val="clear"/>
            <w:tcMar>
              <w:bottom w:w="0" w:type="dxa"/>
            </w:tcMar>
            <w:vAlign w:val="center"/>
          </w:tcPr>
          <w:p w14:paraId="506A6222">
            <w:pPr>
              <w:pStyle w:val="5"/>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1"/>
                <w:szCs w:val="21"/>
              </w:rPr>
            </w:pPr>
            <w:r>
              <w:rPr>
                <w:rFonts w:hint="eastAsia" w:ascii="宋体" w:hAnsi="宋体" w:eastAsia="宋体" w:cs="宋体"/>
                <w:color w:val="000000"/>
                <w:sz w:val="24"/>
                <w:szCs w:val="24"/>
              </w:rPr>
              <w:t>预期目标</w:t>
            </w:r>
          </w:p>
        </w:tc>
        <w:tc>
          <w:tcPr>
            <w:tcW w:w="4786" w:type="dxa"/>
            <w:gridSpan w:val="2"/>
            <w:tcBorders>
              <w:top w:val="nil"/>
              <w:left w:val="nil"/>
              <w:bottom w:val="single" w:color="auto" w:sz="8" w:space="0"/>
              <w:right w:val="single" w:color="auto" w:sz="8" w:space="0"/>
            </w:tcBorders>
            <w:shd w:val="clear"/>
            <w:tcMar>
              <w:bottom w:w="0" w:type="dxa"/>
            </w:tcMar>
            <w:vAlign w:val="center"/>
          </w:tcPr>
          <w:p w14:paraId="26F0F140">
            <w:pPr>
              <w:pStyle w:val="5"/>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1"/>
                <w:szCs w:val="21"/>
              </w:rPr>
            </w:pPr>
            <w:r>
              <w:rPr>
                <w:rFonts w:hint="eastAsia" w:ascii="宋体" w:hAnsi="宋体" w:eastAsia="宋体" w:cs="宋体"/>
                <w:color w:val="000000"/>
                <w:sz w:val="24"/>
                <w:szCs w:val="24"/>
              </w:rPr>
              <w:t>实际完成目标</w:t>
            </w:r>
          </w:p>
        </w:tc>
      </w:tr>
      <w:tr w14:paraId="7B2DBB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159" w:hRule="atLeast"/>
          <w:jc w:val="center"/>
        </w:trPr>
        <w:tc>
          <w:tcPr>
            <w:tcW w:w="390" w:type="dxa"/>
            <w:vMerge w:val="continue"/>
            <w:tcBorders>
              <w:top w:val="nil"/>
              <w:left w:val="single" w:color="auto" w:sz="8" w:space="0"/>
              <w:bottom w:val="single" w:color="auto" w:sz="8" w:space="0"/>
              <w:right w:val="single" w:color="auto" w:sz="8" w:space="0"/>
            </w:tcBorders>
            <w:shd w:val="clear"/>
            <w:tcMar>
              <w:bottom w:w="0" w:type="dxa"/>
            </w:tcMar>
            <w:vAlign w:val="center"/>
          </w:tcPr>
          <w:p w14:paraId="5C3FC078">
            <w:pPr>
              <w:rPr>
                <w:rFonts w:hint="eastAsia" w:ascii="宋体" w:hAnsi="宋体" w:eastAsia="宋体" w:cs="宋体"/>
                <w:sz w:val="18"/>
                <w:szCs w:val="18"/>
              </w:rPr>
            </w:pPr>
          </w:p>
        </w:tc>
        <w:tc>
          <w:tcPr>
            <w:tcW w:w="4784" w:type="dxa"/>
            <w:gridSpan w:val="3"/>
            <w:tcBorders>
              <w:top w:val="nil"/>
              <w:left w:val="nil"/>
              <w:bottom w:val="single" w:color="auto" w:sz="8" w:space="0"/>
              <w:right w:val="single" w:color="auto" w:sz="8" w:space="0"/>
            </w:tcBorders>
            <w:shd w:val="clear"/>
            <w:tcMar>
              <w:bottom w:w="0" w:type="dxa"/>
            </w:tcMar>
            <w:vAlign w:val="center"/>
          </w:tcPr>
          <w:p w14:paraId="3707A0EE">
            <w:pPr>
              <w:pStyle w:val="5"/>
              <w:keepNext w:val="0"/>
              <w:keepLines w:val="0"/>
              <w:widowControl/>
              <w:suppressLineNumbers w:val="0"/>
              <w:ind w:left="0" w:firstLine="420"/>
              <w:jc w:val="left"/>
              <w:rPr>
                <w:rFonts w:hint="default" w:ascii="Times New Roman" w:hAnsi="Times New Roman" w:cs="Times New Roman"/>
                <w:sz w:val="24"/>
                <w:szCs w:val="24"/>
              </w:rPr>
            </w:pPr>
            <w:r>
              <w:rPr>
                <w:rFonts w:hint="eastAsia" w:ascii="宋体" w:hAnsi="宋体" w:eastAsia="宋体" w:cs="宋体"/>
                <w:color w:val="000000"/>
                <w:sz w:val="24"/>
                <w:szCs w:val="24"/>
                <w:bdr w:val="none" w:color="auto" w:sz="0" w:space="0"/>
              </w:rPr>
              <w:t>县委党校要完成教师培训、调研以及县委组织部安排的干部培训计划。用于2019年党校教师参加的知识更新培训及各种调研支出；辅助完成县委组织部安排的干部培训计划，协助县级各部门、各乡镇、县境内各企事业单位完成干部人才轮培训任务。</w:t>
            </w:r>
          </w:p>
          <w:p w14:paraId="1375927C">
            <w:pPr>
              <w:pStyle w:val="5"/>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1"/>
                <w:szCs w:val="21"/>
              </w:rPr>
            </w:pPr>
            <w:r>
              <w:rPr>
                <w:rFonts w:hint="default" w:ascii="Times New Roman" w:hAnsi="Times New Roman" w:eastAsia="宋体" w:cs="Times New Roman"/>
                <w:sz w:val="21"/>
                <w:szCs w:val="21"/>
              </w:rPr>
              <w:t> </w:t>
            </w:r>
          </w:p>
        </w:tc>
        <w:tc>
          <w:tcPr>
            <w:tcW w:w="4786" w:type="dxa"/>
            <w:gridSpan w:val="2"/>
            <w:tcBorders>
              <w:top w:val="nil"/>
              <w:left w:val="nil"/>
              <w:bottom w:val="single" w:color="auto" w:sz="8" w:space="0"/>
              <w:right w:val="single" w:color="auto" w:sz="8" w:space="0"/>
            </w:tcBorders>
            <w:shd w:val="clear"/>
            <w:tcMar>
              <w:bottom w:w="0" w:type="dxa"/>
            </w:tcMar>
            <w:vAlign w:val="center"/>
          </w:tcPr>
          <w:p w14:paraId="1839A114">
            <w:pPr>
              <w:pStyle w:val="5"/>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1"/>
                <w:szCs w:val="21"/>
              </w:rPr>
            </w:pPr>
            <w:r>
              <w:rPr>
                <w:rFonts w:hint="eastAsia" w:ascii="宋体" w:hAnsi="宋体" w:eastAsia="宋体" w:cs="宋体"/>
                <w:sz w:val="21"/>
                <w:szCs w:val="21"/>
              </w:rPr>
              <w:t>在抓好主体班次培训的基础上，与县委组织部、县教育局、县自然资源局等部门通力配合，完成</w:t>
            </w:r>
            <w:r>
              <w:rPr>
                <w:rFonts w:ascii="仿宋_GB2312" w:hAnsi="Times New Roman" w:eastAsia="仿宋_GB2312" w:cs="仿宋_GB2312"/>
                <w:sz w:val="21"/>
                <w:szCs w:val="21"/>
              </w:rPr>
              <w:t>2019</w:t>
            </w:r>
            <w:r>
              <w:rPr>
                <w:rFonts w:hint="eastAsia" w:ascii="宋体" w:hAnsi="宋体" w:eastAsia="宋体" w:cs="宋体"/>
                <w:sz w:val="21"/>
                <w:szCs w:val="21"/>
              </w:rPr>
              <w:t>年干部培训及教师培训任务。</w:t>
            </w:r>
          </w:p>
        </w:tc>
      </w:tr>
      <w:tr w14:paraId="4A8132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042" w:hRule="atLeast"/>
          <w:jc w:val="center"/>
        </w:trPr>
        <w:tc>
          <w:tcPr>
            <w:tcW w:w="390" w:type="dxa"/>
            <w:vMerge w:val="restart"/>
            <w:tcBorders>
              <w:top w:val="nil"/>
              <w:left w:val="single" w:color="auto" w:sz="8" w:space="0"/>
              <w:bottom w:val="nil"/>
              <w:right w:val="single" w:color="auto" w:sz="8" w:space="0"/>
            </w:tcBorders>
            <w:shd w:val="clear"/>
            <w:tcMar>
              <w:bottom w:w="0" w:type="dxa"/>
            </w:tcMar>
            <w:vAlign w:val="center"/>
          </w:tcPr>
          <w:p w14:paraId="598F5BCB">
            <w:pPr>
              <w:pStyle w:val="5"/>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1"/>
                <w:szCs w:val="21"/>
              </w:rPr>
            </w:pPr>
            <w:r>
              <w:rPr>
                <w:rFonts w:hint="eastAsia" w:ascii="宋体" w:hAnsi="宋体" w:eastAsia="宋体" w:cs="宋体"/>
                <w:color w:val="000000"/>
                <w:sz w:val="24"/>
                <w:szCs w:val="24"/>
              </w:rPr>
              <w:t>绩效指标完成情况</w:t>
            </w:r>
          </w:p>
        </w:tc>
        <w:tc>
          <w:tcPr>
            <w:tcW w:w="1367" w:type="dxa"/>
            <w:tcBorders>
              <w:top w:val="nil"/>
              <w:left w:val="nil"/>
              <w:bottom w:val="single" w:color="auto" w:sz="8" w:space="0"/>
              <w:right w:val="single" w:color="auto" w:sz="8" w:space="0"/>
            </w:tcBorders>
            <w:shd w:val="clear"/>
            <w:tcMar>
              <w:bottom w:w="0" w:type="dxa"/>
            </w:tcMar>
            <w:vAlign w:val="center"/>
          </w:tcPr>
          <w:p w14:paraId="3741142A">
            <w:pPr>
              <w:pStyle w:val="5"/>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1"/>
                <w:szCs w:val="21"/>
              </w:rPr>
            </w:pPr>
            <w:r>
              <w:rPr>
                <w:rFonts w:hint="eastAsia" w:ascii="宋体" w:hAnsi="宋体" w:eastAsia="宋体" w:cs="宋体"/>
                <w:color w:val="000000"/>
                <w:sz w:val="24"/>
                <w:szCs w:val="24"/>
              </w:rPr>
              <w:t>一级指标</w:t>
            </w:r>
          </w:p>
        </w:tc>
        <w:tc>
          <w:tcPr>
            <w:tcW w:w="1025" w:type="dxa"/>
            <w:tcBorders>
              <w:top w:val="nil"/>
              <w:left w:val="nil"/>
              <w:bottom w:val="single" w:color="auto" w:sz="8" w:space="0"/>
              <w:right w:val="single" w:color="auto" w:sz="8" w:space="0"/>
            </w:tcBorders>
            <w:shd w:val="clear"/>
            <w:tcMar>
              <w:bottom w:w="0" w:type="dxa"/>
            </w:tcMar>
            <w:vAlign w:val="center"/>
          </w:tcPr>
          <w:p w14:paraId="3350C78F">
            <w:pPr>
              <w:pStyle w:val="5"/>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1"/>
                <w:szCs w:val="21"/>
              </w:rPr>
            </w:pPr>
            <w:r>
              <w:rPr>
                <w:rFonts w:hint="eastAsia" w:ascii="宋体" w:hAnsi="宋体" w:eastAsia="宋体" w:cs="宋体"/>
                <w:color w:val="000000"/>
                <w:sz w:val="24"/>
                <w:szCs w:val="24"/>
              </w:rPr>
              <w:t>二级指标</w:t>
            </w:r>
          </w:p>
        </w:tc>
        <w:tc>
          <w:tcPr>
            <w:tcW w:w="2392" w:type="dxa"/>
            <w:tcBorders>
              <w:top w:val="single" w:color="auto" w:sz="8" w:space="0"/>
              <w:left w:val="nil"/>
              <w:bottom w:val="single" w:color="auto" w:sz="8" w:space="0"/>
              <w:right w:val="single" w:color="auto" w:sz="8" w:space="0"/>
            </w:tcBorders>
            <w:shd w:val="clear"/>
            <w:tcMar>
              <w:bottom w:w="0" w:type="dxa"/>
            </w:tcMar>
            <w:vAlign w:val="center"/>
          </w:tcPr>
          <w:p w14:paraId="5C9B4011">
            <w:pPr>
              <w:pStyle w:val="5"/>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1"/>
                <w:szCs w:val="21"/>
              </w:rPr>
            </w:pPr>
            <w:r>
              <w:rPr>
                <w:rFonts w:hint="eastAsia" w:ascii="宋体" w:hAnsi="宋体" w:eastAsia="宋体" w:cs="宋体"/>
                <w:color w:val="000000"/>
                <w:sz w:val="24"/>
                <w:szCs w:val="24"/>
              </w:rPr>
              <w:t>三级指标</w:t>
            </w:r>
          </w:p>
        </w:tc>
        <w:tc>
          <w:tcPr>
            <w:tcW w:w="2394" w:type="dxa"/>
            <w:tcBorders>
              <w:top w:val="single" w:color="auto" w:sz="8" w:space="0"/>
              <w:left w:val="nil"/>
              <w:bottom w:val="single" w:color="auto" w:sz="8" w:space="0"/>
              <w:right w:val="single" w:color="auto" w:sz="8" w:space="0"/>
            </w:tcBorders>
            <w:shd w:val="clear"/>
            <w:tcMar>
              <w:bottom w:w="0" w:type="dxa"/>
            </w:tcMar>
            <w:vAlign w:val="center"/>
          </w:tcPr>
          <w:p w14:paraId="4CF26EB1">
            <w:pPr>
              <w:pStyle w:val="5"/>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1"/>
                <w:szCs w:val="21"/>
              </w:rPr>
            </w:pPr>
            <w:r>
              <w:rPr>
                <w:rFonts w:hint="eastAsia" w:ascii="宋体" w:hAnsi="宋体" w:eastAsia="宋体" w:cs="宋体"/>
                <w:color w:val="000000"/>
                <w:sz w:val="24"/>
                <w:szCs w:val="24"/>
              </w:rPr>
              <w:t>预期指标值</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包含数字及文字描述</w:t>
            </w:r>
            <w:r>
              <w:rPr>
                <w:rFonts w:hint="eastAsia" w:ascii="宋体" w:hAnsi="宋体" w:eastAsia="宋体" w:cs="宋体"/>
                <w:color w:val="000000"/>
                <w:sz w:val="24"/>
                <w:szCs w:val="24"/>
                <w:lang w:eastAsia="zh-CN"/>
              </w:rPr>
              <w:t>）</w:t>
            </w:r>
          </w:p>
        </w:tc>
        <w:tc>
          <w:tcPr>
            <w:tcW w:w="2392" w:type="dxa"/>
            <w:tcBorders>
              <w:top w:val="single" w:color="auto" w:sz="8" w:space="0"/>
              <w:left w:val="nil"/>
              <w:bottom w:val="single" w:color="auto" w:sz="8" w:space="0"/>
              <w:right w:val="single" w:color="auto" w:sz="8" w:space="0"/>
            </w:tcBorders>
            <w:shd w:val="clear"/>
            <w:tcMar>
              <w:bottom w:w="0" w:type="dxa"/>
            </w:tcMar>
            <w:vAlign w:val="center"/>
          </w:tcPr>
          <w:p w14:paraId="3FDC88D3">
            <w:pPr>
              <w:pStyle w:val="5"/>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1"/>
                <w:szCs w:val="21"/>
              </w:rPr>
            </w:pPr>
            <w:r>
              <w:rPr>
                <w:rFonts w:hint="eastAsia" w:ascii="宋体" w:hAnsi="宋体" w:eastAsia="宋体" w:cs="宋体"/>
                <w:color w:val="000000"/>
                <w:sz w:val="24"/>
                <w:szCs w:val="24"/>
              </w:rPr>
              <w:t>实际完成指标值</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包含数字及文字描述</w:t>
            </w:r>
            <w:r>
              <w:rPr>
                <w:rFonts w:hint="eastAsia" w:ascii="宋体" w:hAnsi="宋体" w:eastAsia="宋体" w:cs="宋体"/>
                <w:color w:val="000000"/>
                <w:sz w:val="24"/>
                <w:szCs w:val="24"/>
                <w:lang w:eastAsia="zh-CN"/>
              </w:rPr>
              <w:t>）</w:t>
            </w:r>
          </w:p>
        </w:tc>
      </w:tr>
      <w:tr w14:paraId="494AC3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953" w:hRule="atLeast"/>
          <w:jc w:val="center"/>
        </w:trPr>
        <w:tc>
          <w:tcPr>
            <w:tcW w:w="390" w:type="dxa"/>
            <w:vMerge w:val="continue"/>
            <w:tcBorders>
              <w:top w:val="nil"/>
              <w:left w:val="single" w:color="auto" w:sz="8" w:space="0"/>
              <w:bottom w:val="nil"/>
              <w:right w:val="single" w:color="auto" w:sz="8" w:space="0"/>
            </w:tcBorders>
            <w:shd w:val="clear"/>
            <w:tcMar>
              <w:bottom w:w="0" w:type="dxa"/>
            </w:tcMar>
            <w:vAlign w:val="center"/>
          </w:tcPr>
          <w:p w14:paraId="34F1B25D">
            <w:pPr>
              <w:rPr>
                <w:rFonts w:hint="eastAsia" w:ascii="宋体" w:hAnsi="宋体" w:eastAsia="宋体" w:cs="宋体"/>
                <w:sz w:val="18"/>
                <w:szCs w:val="18"/>
              </w:rPr>
            </w:pPr>
          </w:p>
        </w:tc>
        <w:tc>
          <w:tcPr>
            <w:tcW w:w="1367" w:type="dxa"/>
            <w:tcBorders>
              <w:top w:val="nil"/>
              <w:left w:val="nil"/>
              <w:bottom w:val="single" w:color="auto" w:sz="8" w:space="0"/>
              <w:right w:val="single" w:color="auto" w:sz="8" w:space="0"/>
            </w:tcBorders>
            <w:shd w:val="clear"/>
            <w:tcMar>
              <w:bottom w:w="0" w:type="dxa"/>
            </w:tcMar>
            <w:vAlign w:val="center"/>
          </w:tcPr>
          <w:p w14:paraId="38482565">
            <w:pPr>
              <w:pStyle w:val="5"/>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1"/>
                <w:szCs w:val="21"/>
              </w:rPr>
            </w:pPr>
            <w:r>
              <w:rPr>
                <w:rFonts w:hint="eastAsia" w:ascii="宋体" w:hAnsi="宋体" w:eastAsia="宋体" w:cs="宋体"/>
                <w:color w:val="000000"/>
                <w:sz w:val="24"/>
                <w:szCs w:val="24"/>
              </w:rPr>
              <w:t>项目完成指标</w:t>
            </w:r>
          </w:p>
        </w:tc>
        <w:tc>
          <w:tcPr>
            <w:tcW w:w="1025" w:type="dxa"/>
            <w:tcBorders>
              <w:top w:val="nil"/>
              <w:left w:val="nil"/>
              <w:bottom w:val="single" w:color="auto" w:sz="8" w:space="0"/>
              <w:right w:val="single" w:color="auto" w:sz="8" w:space="0"/>
            </w:tcBorders>
            <w:shd w:val="clear"/>
            <w:tcMar>
              <w:bottom w:w="0" w:type="dxa"/>
            </w:tcMar>
            <w:vAlign w:val="center"/>
          </w:tcPr>
          <w:p w14:paraId="5D56D4EC">
            <w:pPr>
              <w:pStyle w:val="5"/>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1"/>
                <w:szCs w:val="21"/>
              </w:rPr>
            </w:pPr>
            <w:r>
              <w:rPr>
                <w:rFonts w:hint="eastAsia" w:ascii="宋体" w:hAnsi="宋体" w:eastAsia="宋体" w:cs="宋体"/>
                <w:color w:val="000000"/>
                <w:sz w:val="24"/>
                <w:szCs w:val="24"/>
              </w:rPr>
              <w:t>数量指标</w:t>
            </w:r>
          </w:p>
        </w:tc>
        <w:tc>
          <w:tcPr>
            <w:tcW w:w="2392" w:type="dxa"/>
            <w:tcBorders>
              <w:top w:val="nil"/>
              <w:left w:val="nil"/>
              <w:bottom w:val="single" w:color="auto" w:sz="8" w:space="0"/>
              <w:right w:val="single" w:color="auto" w:sz="8" w:space="0"/>
            </w:tcBorders>
            <w:shd w:val="clear"/>
            <w:tcMar>
              <w:bottom w:w="0" w:type="dxa"/>
            </w:tcMar>
            <w:vAlign w:val="center"/>
          </w:tcPr>
          <w:p w14:paraId="10F87E8D">
            <w:pPr>
              <w:pStyle w:val="5"/>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1"/>
                <w:szCs w:val="21"/>
              </w:rPr>
            </w:pPr>
            <w:r>
              <w:rPr>
                <w:rFonts w:hint="eastAsia" w:ascii="宋体" w:hAnsi="宋体" w:eastAsia="宋体" w:cs="宋体"/>
                <w:color w:val="000000"/>
                <w:sz w:val="24"/>
                <w:szCs w:val="24"/>
              </w:rPr>
              <w:t>干部培训次数</w:t>
            </w:r>
          </w:p>
        </w:tc>
        <w:tc>
          <w:tcPr>
            <w:tcW w:w="2394" w:type="dxa"/>
            <w:tcBorders>
              <w:top w:val="nil"/>
              <w:left w:val="nil"/>
              <w:bottom w:val="single" w:color="auto" w:sz="8" w:space="0"/>
              <w:right w:val="single" w:color="auto" w:sz="8" w:space="0"/>
            </w:tcBorders>
            <w:shd w:val="clear"/>
            <w:tcMar>
              <w:bottom w:w="0" w:type="dxa"/>
            </w:tcMar>
            <w:vAlign w:val="center"/>
          </w:tcPr>
          <w:p w14:paraId="389F403E">
            <w:pPr>
              <w:pStyle w:val="5"/>
              <w:keepNext w:val="0"/>
              <w:keepLines w:val="0"/>
              <w:widowControl/>
              <w:suppressLineNumbers w:val="0"/>
              <w:spacing w:before="93" w:beforeAutospacing="0"/>
              <w:ind w:left="0" w:firstLine="420"/>
              <w:jc w:val="left"/>
              <w:rPr>
                <w:rFonts w:hint="default" w:ascii="Times New Roman" w:hAnsi="Times New Roman" w:cs="Times New Roman"/>
                <w:sz w:val="24"/>
                <w:szCs w:val="24"/>
              </w:rPr>
            </w:pPr>
            <w:r>
              <w:rPr>
                <w:rFonts w:hint="eastAsia" w:ascii="仿宋_GB2312" w:hAnsi="Times New Roman" w:eastAsia="仿宋_GB2312" w:cs="仿宋_GB2312"/>
                <w:sz w:val="21"/>
                <w:szCs w:val="21"/>
                <w:bdr w:val="none" w:color="auto" w:sz="0" w:space="0"/>
              </w:rPr>
              <w:t>完成教师培训、调研以及县委组织部安排的干部培训计划。</w:t>
            </w:r>
          </w:p>
          <w:p w14:paraId="781601ED">
            <w:pPr>
              <w:pStyle w:val="5"/>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1"/>
                <w:szCs w:val="21"/>
              </w:rPr>
            </w:pPr>
            <w:r>
              <w:rPr>
                <w:rFonts w:hint="default" w:ascii="Times New Roman" w:hAnsi="Times New Roman" w:eastAsia="宋体" w:cs="Times New Roman"/>
                <w:sz w:val="21"/>
                <w:szCs w:val="21"/>
              </w:rPr>
              <w:t> </w:t>
            </w:r>
          </w:p>
        </w:tc>
        <w:tc>
          <w:tcPr>
            <w:tcW w:w="2392" w:type="dxa"/>
            <w:tcBorders>
              <w:top w:val="nil"/>
              <w:left w:val="nil"/>
              <w:bottom w:val="single" w:color="auto" w:sz="8" w:space="0"/>
              <w:right w:val="single" w:color="auto" w:sz="8" w:space="0"/>
            </w:tcBorders>
            <w:shd w:val="clear"/>
            <w:tcMar>
              <w:bottom w:w="0" w:type="dxa"/>
            </w:tcMar>
            <w:vAlign w:val="center"/>
          </w:tcPr>
          <w:p w14:paraId="46F61A86">
            <w:pPr>
              <w:pStyle w:val="5"/>
              <w:keepNext w:val="0"/>
              <w:keepLines w:val="0"/>
              <w:widowControl/>
              <w:suppressLineNumbers w:val="0"/>
              <w:spacing w:before="0" w:beforeAutospacing="0" w:after="0" w:afterAutospacing="0"/>
              <w:ind w:left="0" w:right="0" w:firstLine="360"/>
              <w:jc w:val="both"/>
              <w:rPr>
                <w:rFonts w:hint="default" w:ascii="Times New Roman" w:hAnsi="Times New Roman" w:cs="Times New Roman"/>
                <w:sz w:val="21"/>
                <w:szCs w:val="21"/>
              </w:rPr>
            </w:pPr>
            <w:r>
              <w:rPr>
                <w:rFonts w:hint="eastAsia" w:ascii="仿宋_GB2312" w:hAnsi="Times New Roman" w:eastAsia="仿宋_GB2312" w:cs="仿宋_GB2312"/>
                <w:sz w:val="18"/>
                <w:szCs w:val="18"/>
              </w:rPr>
              <w:t>2019</w:t>
            </w:r>
            <w:r>
              <w:rPr>
                <w:rFonts w:hint="eastAsia" w:ascii="宋体" w:hAnsi="宋体" w:eastAsia="宋体" w:cs="宋体"/>
                <w:sz w:val="18"/>
                <w:szCs w:val="18"/>
              </w:rPr>
              <w:t>年县委党校与县委组织部、县教育局、县自然资源局等部门通力配合，举办党支部书记、共举办县乡村振兴人才培训班</w:t>
            </w:r>
            <w:r>
              <w:rPr>
                <w:rFonts w:hint="eastAsia" w:ascii="仿宋_GB2312" w:hAnsi="Times New Roman" w:eastAsia="仿宋_GB2312" w:cs="仿宋_GB2312"/>
                <w:sz w:val="18"/>
                <w:szCs w:val="18"/>
              </w:rPr>
              <w:t>2</w:t>
            </w:r>
            <w:r>
              <w:rPr>
                <w:rFonts w:hint="eastAsia" w:ascii="宋体" w:hAnsi="宋体" w:eastAsia="宋体" w:cs="宋体"/>
                <w:sz w:val="18"/>
                <w:szCs w:val="18"/>
              </w:rPr>
              <w:t>期</w:t>
            </w:r>
            <w:r>
              <w:rPr>
                <w:rFonts w:hint="eastAsia" w:ascii="宋体" w:hAnsi="宋体" w:eastAsia="宋体" w:cs="宋体"/>
                <w:sz w:val="18"/>
                <w:szCs w:val="18"/>
                <w:lang w:eastAsia="zh-CN"/>
              </w:rPr>
              <w:t>，</w:t>
            </w:r>
            <w:r>
              <w:rPr>
                <w:rFonts w:hint="eastAsia" w:ascii="宋体" w:hAnsi="宋体" w:eastAsia="宋体" w:cs="宋体"/>
                <w:sz w:val="18"/>
                <w:szCs w:val="18"/>
              </w:rPr>
              <w:t>举办入党积极分子培训班</w:t>
            </w:r>
            <w:r>
              <w:rPr>
                <w:rFonts w:hint="eastAsia" w:ascii="仿宋_GB2312" w:hAnsi="Times New Roman" w:eastAsia="仿宋_GB2312" w:cs="仿宋_GB2312"/>
                <w:sz w:val="18"/>
                <w:szCs w:val="18"/>
              </w:rPr>
              <w:t>1</w:t>
            </w:r>
            <w:r>
              <w:rPr>
                <w:rFonts w:hint="eastAsia" w:ascii="宋体" w:hAnsi="宋体" w:eastAsia="宋体" w:cs="宋体"/>
                <w:sz w:val="18"/>
                <w:szCs w:val="18"/>
              </w:rPr>
              <w:t>期；协助举办全县高质量脱贫摘帽培训班</w:t>
            </w:r>
            <w:r>
              <w:rPr>
                <w:rFonts w:hint="eastAsia" w:ascii="仿宋_GB2312" w:hAnsi="Times New Roman" w:eastAsia="仿宋_GB2312" w:cs="仿宋_GB2312"/>
                <w:sz w:val="18"/>
                <w:szCs w:val="18"/>
              </w:rPr>
              <w:t>3</w:t>
            </w:r>
            <w:r>
              <w:rPr>
                <w:rFonts w:hint="eastAsia" w:ascii="宋体" w:hAnsi="宋体" w:eastAsia="宋体" w:cs="宋体"/>
                <w:sz w:val="18"/>
                <w:szCs w:val="18"/>
              </w:rPr>
              <w:t>期；协助举办教育系统党组织书记培训班</w:t>
            </w:r>
            <w:r>
              <w:rPr>
                <w:rFonts w:hint="eastAsia" w:ascii="仿宋_GB2312" w:hAnsi="Times New Roman" w:eastAsia="仿宋_GB2312" w:cs="仿宋_GB2312"/>
                <w:sz w:val="18"/>
                <w:szCs w:val="18"/>
              </w:rPr>
              <w:t>1</w:t>
            </w:r>
            <w:r>
              <w:rPr>
                <w:rFonts w:hint="eastAsia" w:ascii="宋体" w:hAnsi="宋体" w:eastAsia="宋体" w:cs="宋体"/>
                <w:sz w:val="18"/>
                <w:szCs w:val="18"/>
              </w:rPr>
              <w:t>期；党务干事培训班</w:t>
            </w:r>
            <w:r>
              <w:rPr>
                <w:rFonts w:hint="eastAsia" w:ascii="仿宋_GB2312" w:hAnsi="Times New Roman" w:eastAsia="仿宋_GB2312" w:cs="仿宋_GB2312"/>
                <w:sz w:val="18"/>
                <w:szCs w:val="18"/>
              </w:rPr>
              <w:t>1</w:t>
            </w:r>
            <w:r>
              <w:rPr>
                <w:rFonts w:hint="eastAsia" w:ascii="宋体" w:hAnsi="宋体" w:eastAsia="宋体" w:cs="宋体"/>
                <w:sz w:val="18"/>
                <w:szCs w:val="18"/>
              </w:rPr>
              <w:t>期。</w:t>
            </w:r>
          </w:p>
          <w:p w14:paraId="400E0791">
            <w:pPr>
              <w:pStyle w:val="5"/>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1"/>
                <w:szCs w:val="21"/>
              </w:rPr>
            </w:pPr>
            <w:r>
              <w:rPr>
                <w:rFonts w:hint="default" w:ascii="Times New Roman" w:hAnsi="Times New Roman" w:eastAsia="宋体" w:cs="Times New Roman"/>
                <w:sz w:val="21"/>
                <w:szCs w:val="21"/>
              </w:rPr>
              <w:t> </w:t>
            </w:r>
          </w:p>
        </w:tc>
      </w:tr>
      <w:tr w14:paraId="556D40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297" w:hRule="atLeast"/>
          <w:jc w:val="center"/>
        </w:trPr>
        <w:tc>
          <w:tcPr>
            <w:tcW w:w="390" w:type="dxa"/>
            <w:vMerge w:val="continue"/>
            <w:tcBorders>
              <w:top w:val="nil"/>
              <w:left w:val="single" w:color="auto" w:sz="8" w:space="0"/>
              <w:bottom w:val="nil"/>
              <w:right w:val="single" w:color="auto" w:sz="8" w:space="0"/>
            </w:tcBorders>
            <w:shd w:val="clear"/>
            <w:tcMar>
              <w:bottom w:w="0" w:type="dxa"/>
            </w:tcMar>
            <w:vAlign w:val="center"/>
          </w:tcPr>
          <w:p w14:paraId="2E9141F8">
            <w:pPr>
              <w:rPr>
                <w:rFonts w:hint="eastAsia" w:ascii="宋体" w:hAnsi="宋体" w:eastAsia="宋体" w:cs="宋体"/>
                <w:sz w:val="18"/>
                <w:szCs w:val="18"/>
              </w:rPr>
            </w:pPr>
          </w:p>
        </w:tc>
        <w:tc>
          <w:tcPr>
            <w:tcW w:w="1367" w:type="dxa"/>
            <w:tcBorders>
              <w:top w:val="nil"/>
              <w:left w:val="nil"/>
              <w:bottom w:val="single" w:color="auto" w:sz="8" w:space="0"/>
              <w:right w:val="single" w:color="auto" w:sz="8" w:space="0"/>
            </w:tcBorders>
            <w:shd w:val="clear"/>
            <w:tcMar>
              <w:bottom w:w="0" w:type="dxa"/>
            </w:tcMar>
            <w:vAlign w:val="center"/>
          </w:tcPr>
          <w:p w14:paraId="38EDF2EE">
            <w:pPr>
              <w:pStyle w:val="5"/>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1"/>
                <w:szCs w:val="21"/>
              </w:rPr>
            </w:pPr>
            <w:r>
              <w:rPr>
                <w:rFonts w:hint="eastAsia" w:ascii="宋体" w:hAnsi="宋体" w:eastAsia="宋体" w:cs="宋体"/>
                <w:color w:val="000000"/>
                <w:sz w:val="24"/>
                <w:szCs w:val="24"/>
              </w:rPr>
              <w:t>项目完成指标</w:t>
            </w:r>
          </w:p>
        </w:tc>
        <w:tc>
          <w:tcPr>
            <w:tcW w:w="1025" w:type="dxa"/>
            <w:tcBorders>
              <w:top w:val="nil"/>
              <w:left w:val="nil"/>
              <w:bottom w:val="single" w:color="auto" w:sz="8" w:space="0"/>
              <w:right w:val="single" w:color="auto" w:sz="8" w:space="0"/>
            </w:tcBorders>
            <w:shd w:val="clear"/>
            <w:tcMar>
              <w:bottom w:w="0" w:type="dxa"/>
            </w:tcMar>
            <w:vAlign w:val="center"/>
          </w:tcPr>
          <w:p w14:paraId="228F384E">
            <w:pPr>
              <w:pStyle w:val="5"/>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1"/>
                <w:szCs w:val="21"/>
              </w:rPr>
            </w:pPr>
            <w:r>
              <w:rPr>
                <w:rFonts w:hint="eastAsia" w:ascii="宋体" w:hAnsi="宋体" w:eastAsia="宋体" w:cs="宋体"/>
                <w:color w:val="000000"/>
                <w:sz w:val="24"/>
                <w:szCs w:val="24"/>
              </w:rPr>
              <w:t>时效指标</w:t>
            </w:r>
          </w:p>
        </w:tc>
        <w:tc>
          <w:tcPr>
            <w:tcW w:w="2392" w:type="dxa"/>
            <w:tcBorders>
              <w:top w:val="nil"/>
              <w:left w:val="nil"/>
              <w:bottom w:val="single" w:color="auto" w:sz="8" w:space="0"/>
              <w:right w:val="single" w:color="auto" w:sz="8" w:space="0"/>
            </w:tcBorders>
            <w:shd w:val="clear"/>
            <w:tcMar>
              <w:bottom w:w="0" w:type="dxa"/>
            </w:tcMar>
            <w:vAlign w:val="center"/>
          </w:tcPr>
          <w:p w14:paraId="4EEFF9AD">
            <w:pPr>
              <w:pStyle w:val="5"/>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1"/>
                <w:szCs w:val="21"/>
              </w:rPr>
            </w:pPr>
            <w:r>
              <w:rPr>
                <w:rFonts w:hint="eastAsia" w:ascii="宋体" w:hAnsi="宋体" w:eastAsia="宋体" w:cs="宋体"/>
                <w:color w:val="000000"/>
                <w:sz w:val="24"/>
                <w:szCs w:val="24"/>
              </w:rPr>
              <w:t>培训完成时间</w:t>
            </w:r>
          </w:p>
        </w:tc>
        <w:tc>
          <w:tcPr>
            <w:tcW w:w="2394" w:type="dxa"/>
            <w:tcBorders>
              <w:top w:val="nil"/>
              <w:left w:val="nil"/>
              <w:bottom w:val="single" w:color="auto" w:sz="8" w:space="0"/>
              <w:right w:val="single" w:color="auto" w:sz="8" w:space="0"/>
            </w:tcBorders>
            <w:shd w:val="clear"/>
            <w:tcMar>
              <w:bottom w:w="0" w:type="dxa"/>
            </w:tcMar>
            <w:vAlign w:val="center"/>
          </w:tcPr>
          <w:p w14:paraId="1621A7C0">
            <w:pPr>
              <w:pStyle w:val="5"/>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1"/>
                <w:szCs w:val="21"/>
              </w:rPr>
            </w:pPr>
            <w:r>
              <w:rPr>
                <w:rFonts w:hint="eastAsia" w:ascii="宋体" w:hAnsi="宋体" w:eastAsia="宋体" w:cs="宋体"/>
                <w:color w:val="000000"/>
                <w:sz w:val="24"/>
                <w:szCs w:val="24"/>
              </w:rPr>
              <w:t>按时完成培训</w:t>
            </w:r>
          </w:p>
        </w:tc>
        <w:tc>
          <w:tcPr>
            <w:tcW w:w="2392" w:type="dxa"/>
            <w:tcBorders>
              <w:top w:val="nil"/>
              <w:left w:val="nil"/>
              <w:bottom w:val="single" w:color="auto" w:sz="8" w:space="0"/>
              <w:right w:val="single" w:color="auto" w:sz="8" w:space="0"/>
            </w:tcBorders>
            <w:shd w:val="clear"/>
            <w:tcMar>
              <w:bottom w:w="0" w:type="dxa"/>
            </w:tcMar>
            <w:vAlign w:val="center"/>
          </w:tcPr>
          <w:p w14:paraId="531A1B39">
            <w:pPr>
              <w:pStyle w:val="5"/>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1"/>
                <w:szCs w:val="21"/>
              </w:rPr>
            </w:pPr>
            <w:r>
              <w:rPr>
                <w:rFonts w:hint="eastAsia" w:ascii="宋体" w:hAnsi="宋体" w:eastAsia="宋体" w:cs="宋体"/>
                <w:color w:val="000000"/>
                <w:sz w:val="24"/>
                <w:szCs w:val="24"/>
              </w:rPr>
              <w:t>按时完成培训任务</w:t>
            </w:r>
          </w:p>
        </w:tc>
      </w:tr>
      <w:tr w14:paraId="501487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042" w:hRule="atLeast"/>
          <w:jc w:val="center"/>
        </w:trPr>
        <w:tc>
          <w:tcPr>
            <w:tcW w:w="390" w:type="dxa"/>
            <w:vMerge w:val="continue"/>
            <w:tcBorders>
              <w:top w:val="nil"/>
              <w:left w:val="single" w:color="auto" w:sz="8" w:space="0"/>
              <w:bottom w:val="nil"/>
              <w:right w:val="single" w:color="auto" w:sz="8" w:space="0"/>
            </w:tcBorders>
            <w:shd w:val="clear"/>
            <w:tcMar>
              <w:bottom w:w="0" w:type="dxa"/>
            </w:tcMar>
            <w:vAlign w:val="center"/>
          </w:tcPr>
          <w:p w14:paraId="3A8A0808">
            <w:pPr>
              <w:rPr>
                <w:rFonts w:hint="eastAsia" w:ascii="宋体" w:hAnsi="宋体" w:eastAsia="宋体" w:cs="宋体"/>
                <w:sz w:val="18"/>
                <w:szCs w:val="18"/>
              </w:rPr>
            </w:pPr>
          </w:p>
        </w:tc>
        <w:tc>
          <w:tcPr>
            <w:tcW w:w="1367" w:type="dxa"/>
            <w:tcBorders>
              <w:top w:val="nil"/>
              <w:left w:val="nil"/>
              <w:bottom w:val="single" w:color="auto" w:sz="8" w:space="0"/>
              <w:right w:val="single" w:color="auto" w:sz="8" w:space="0"/>
            </w:tcBorders>
            <w:shd w:val="clear"/>
            <w:tcMar>
              <w:bottom w:w="0" w:type="dxa"/>
            </w:tcMar>
            <w:vAlign w:val="center"/>
          </w:tcPr>
          <w:p w14:paraId="3EB9EE7F">
            <w:pPr>
              <w:pStyle w:val="5"/>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1"/>
                <w:szCs w:val="21"/>
              </w:rPr>
            </w:pPr>
            <w:r>
              <w:rPr>
                <w:rFonts w:hint="eastAsia" w:ascii="宋体" w:hAnsi="宋体" w:eastAsia="宋体" w:cs="宋体"/>
                <w:color w:val="000000"/>
                <w:sz w:val="24"/>
                <w:szCs w:val="24"/>
              </w:rPr>
              <w:t>……</w:t>
            </w:r>
          </w:p>
        </w:tc>
        <w:tc>
          <w:tcPr>
            <w:tcW w:w="1025" w:type="dxa"/>
            <w:tcBorders>
              <w:top w:val="nil"/>
              <w:left w:val="nil"/>
              <w:bottom w:val="single" w:color="auto" w:sz="8" w:space="0"/>
              <w:right w:val="single" w:color="auto" w:sz="8" w:space="0"/>
            </w:tcBorders>
            <w:shd w:val="clear"/>
            <w:tcMar>
              <w:bottom w:w="0" w:type="dxa"/>
            </w:tcMar>
            <w:vAlign w:val="center"/>
          </w:tcPr>
          <w:p w14:paraId="57A5271B">
            <w:pPr>
              <w:pStyle w:val="5"/>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1"/>
                <w:szCs w:val="21"/>
              </w:rPr>
            </w:pPr>
            <w:r>
              <w:rPr>
                <w:rFonts w:hint="default" w:ascii="Times New Roman" w:hAnsi="Times New Roman" w:eastAsia="宋体" w:cs="Times New Roman"/>
                <w:sz w:val="21"/>
                <w:szCs w:val="21"/>
              </w:rPr>
              <w:t> </w:t>
            </w:r>
          </w:p>
        </w:tc>
        <w:tc>
          <w:tcPr>
            <w:tcW w:w="2392" w:type="dxa"/>
            <w:tcBorders>
              <w:top w:val="nil"/>
              <w:left w:val="nil"/>
              <w:bottom w:val="single" w:color="auto" w:sz="8" w:space="0"/>
              <w:right w:val="single" w:color="auto" w:sz="8" w:space="0"/>
            </w:tcBorders>
            <w:shd w:val="clear"/>
            <w:tcMar>
              <w:bottom w:w="0" w:type="dxa"/>
            </w:tcMar>
            <w:vAlign w:val="center"/>
          </w:tcPr>
          <w:p w14:paraId="0AC12B2D">
            <w:pPr>
              <w:pStyle w:val="5"/>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1"/>
                <w:szCs w:val="21"/>
              </w:rPr>
            </w:pPr>
            <w:r>
              <w:rPr>
                <w:rFonts w:hint="default" w:ascii="Times New Roman" w:hAnsi="Times New Roman" w:eastAsia="宋体" w:cs="Times New Roman"/>
                <w:sz w:val="21"/>
                <w:szCs w:val="21"/>
              </w:rPr>
              <w:t> </w:t>
            </w:r>
          </w:p>
        </w:tc>
        <w:tc>
          <w:tcPr>
            <w:tcW w:w="2394" w:type="dxa"/>
            <w:tcBorders>
              <w:top w:val="nil"/>
              <w:left w:val="nil"/>
              <w:bottom w:val="single" w:color="auto" w:sz="8" w:space="0"/>
              <w:right w:val="single" w:color="auto" w:sz="8" w:space="0"/>
            </w:tcBorders>
            <w:shd w:val="clear"/>
            <w:tcMar>
              <w:bottom w:w="0" w:type="dxa"/>
            </w:tcMar>
            <w:vAlign w:val="center"/>
          </w:tcPr>
          <w:p w14:paraId="7533527C">
            <w:pPr>
              <w:pStyle w:val="5"/>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1"/>
                <w:szCs w:val="21"/>
              </w:rPr>
            </w:pPr>
            <w:r>
              <w:rPr>
                <w:rFonts w:hint="default" w:ascii="Times New Roman" w:hAnsi="Times New Roman" w:eastAsia="宋体" w:cs="Times New Roman"/>
                <w:sz w:val="21"/>
                <w:szCs w:val="21"/>
              </w:rPr>
              <w:t> </w:t>
            </w:r>
          </w:p>
        </w:tc>
        <w:tc>
          <w:tcPr>
            <w:tcW w:w="2392" w:type="dxa"/>
            <w:tcBorders>
              <w:top w:val="nil"/>
              <w:left w:val="nil"/>
              <w:bottom w:val="single" w:color="auto" w:sz="8" w:space="0"/>
              <w:right w:val="single" w:color="auto" w:sz="8" w:space="0"/>
            </w:tcBorders>
            <w:shd w:val="clear"/>
            <w:tcMar>
              <w:bottom w:w="0" w:type="dxa"/>
            </w:tcMar>
            <w:vAlign w:val="center"/>
          </w:tcPr>
          <w:p w14:paraId="41AF3529">
            <w:pPr>
              <w:pStyle w:val="5"/>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1"/>
                <w:szCs w:val="21"/>
              </w:rPr>
            </w:pPr>
            <w:r>
              <w:rPr>
                <w:rFonts w:hint="default" w:ascii="Times New Roman" w:hAnsi="Times New Roman" w:eastAsia="宋体" w:cs="Times New Roman"/>
                <w:sz w:val="21"/>
                <w:szCs w:val="21"/>
              </w:rPr>
              <w:t> </w:t>
            </w:r>
          </w:p>
        </w:tc>
      </w:tr>
      <w:tr w14:paraId="4B9034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042" w:hRule="atLeast"/>
          <w:jc w:val="center"/>
        </w:trPr>
        <w:tc>
          <w:tcPr>
            <w:tcW w:w="390" w:type="dxa"/>
            <w:vMerge w:val="continue"/>
            <w:tcBorders>
              <w:top w:val="nil"/>
              <w:left w:val="single" w:color="auto" w:sz="8" w:space="0"/>
              <w:bottom w:val="nil"/>
              <w:right w:val="single" w:color="auto" w:sz="8" w:space="0"/>
            </w:tcBorders>
            <w:shd w:val="clear"/>
            <w:tcMar>
              <w:bottom w:w="0" w:type="dxa"/>
            </w:tcMar>
            <w:vAlign w:val="center"/>
          </w:tcPr>
          <w:p w14:paraId="2AFF663D">
            <w:pPr>
              <w:rPr>
                <w:rFonts w:hint="eastAsia" w:ascii="宋体" w:hAnsi="宋体" w:eastAsia="宋体" w:cs="宋体"/>
                <w:sz w:val="18"/>
                <w:szCs w:val="18"/>
              </w:rPr>
            </w:pPr>
          </w:p>
        </w:tc>
        <w:tc>
          <w:tcPr>
            <w:tcW w:w="1367" w:type="dxa"/>
            <w:tcBorders>
              <w:top w:val="nil"/>
              <w:left w:val="nil"/>
              <w:bottom w:val="single" w:color="auto" w:sz="8" w:space="0"/>
              <w:right w:val="single" w:color="auto" w:sz="8" w:space="0"/>
            </w:tcBorders>
            <w:shd w:val="clear"/>
            <w:tcMar>
              <w:bottom w:w="0" w:type="dxa"/>
            </w:tcMar>
            <w:vAlign w:val="center"/>
          </w:tcPr>
          <w:p w14:paraId="4811F50E">
            <w:pPr>
              <w:pStyle w:val="5"/>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1"/>
                <w:szCs w:val="21"/>
              </w:rPr>
            </w:pPr>
            <w:r>
              <w:rPr>
                <w:rFonts w:hint="eastAsia" w:ascii="宋体" w:hAnsi="宋体" w:eastAsia="宋体" w:cs="宋体"/>
                <w:color w:val="000000"/>
                <w:sz w:val="24"/>
                <w:szCs w:val="24"/>
              </w:rPr>
              <w:t>效益指标</w:t>
            </w:r>
          </w:p>
        </w:tc>
        <w:tc>
          <w:tcPr>
            <w:tcW w:w="1025" w:type="dxa"/>
            <w:tcBorders>
              <w:top w:val="nil"/>
              <w:left w:val="nil"/>
              <w:bottom w:val="single" w:color="auto" w:sz="8" w:space="0"/>
              <w:right w:val="single" w:color="auto" w:sz="8" w:space="0"/>
            </w:tcBorders>
            <w:shd w:val="clear"/>
            <w:tcMar>
              <w:bottom w:w="0" w:type="dxa"/>
            </w:tcMar>
            <w:vAlign w:val="center"/>
          </w:tcPr>
          <w:p w14:paraId="1D2DC4C0">
            <w:pPr>
              <w:pStyle w:val="5"/>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1"/>
                <w:szCs w:val="21"/>
              </w:rPr>
            </w:pPr>
            <w:r>
              <w:rPr>
                <w:rFonts w:hint="eastAsia" w:ascii="宋体" w:hAnsi="宋体" w:eastAsia="宋体" w:cs="宋体"/>
                <w:color w:val="000000"/>
                <w:sz w:val="24"/>
                <w:szCs w:val="24"/>
              </w:rPr>
              <w:t>经济指标</w:t>
            </w:r>
          </w:p>
        </w:tc>
        <w:tc>
          <w:tcPr>
            <w:tcW w:w="2392" w:type="dxa"/>
            <w:tcBorders>
              <w:top w:val="nil"/>
              <w:left w:val="nil"/>
              <w:bottom w:val="single" w:color="auto" w:sz="8" w:space="0"/>
              <w:right w:val="single" w:color="auto" w:sz="8" w:space="0"/>
            </w:tcBorders>
            <w:shd w:val="clear"/>
            <w:tcMar>
              <w:bottom w:w="0" w:type="dxa"/>
            </w:tcMar>
            <w:vAlign w:val="center"/>
          </w:tcPr>
          <w:p w14:paraId="2AAEA073">
            <w:pPr>
              <w:pStyle w:val="5"/>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1"/>
                <w:szCs w:val="21"/>
              </w:rPr>
            </w:pPr>
            <w:r>
              <w:rPr>
                <w:rFonts w:hint="eastAsia" w:ascii="宋体" w:hAnsi="宋体" w:eastAsia="宋体" w:cs="宋体"/>
                <w:color w:val="000000"/>
                <w:sz w:val="24"/>
                <w:szCs w:val="24"/>
              </w:rPr>
              <w:t>干部培训继续教育</w:t>
            </w:r>
          </w:p>
        </w:tc>
        <w:tc>
          <w:tcPr>
            <w:tcW w:w="2394" w:type="dxa"/>
            <w:tcBorders>
              <w:top w:val="nil"/>
              <w:left w:val="nil"/>
              <w:bottom w:val="single" w:color="auto" w:sz="8" w:space="0"/>
              <w:right w:val="single" w:color="auto" w:sz="8" w:space="0"/>
            </w:tcBorders>
            <w:shd w:val="clear"/>
            <w:tcMar>
              <w:bottom w:w="0" w:type="dxa"/>
            </w:tcMar>
            <w:vAlign w:val="center"/>
          </w:tcPr>
          <w:p w14:paraId="62F580CE">
            <w:pPr>
              <w:pStyle w:val="5"/>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1"/>
                <w:szCs w:val="21"/>
              </w:rPr>
            </w:pPr>
            <w:r>
              <w:rPr>
                <w:rFonts w:hint="eastAsia" w:ascii="宋体" w:hAnsi="宋体" w:eastAsia="宋体" w:cs="宋体"/>
                <w:color w:val="000000"/>
                <w:sz w:val="24"/>
                <w:szCs w:val="24"/>
              </w:rPr>
              <w:t>对各级党员干部继续教育</w:t>
            </w:r>
          </w:p>
        </w:tc>
        <w:tc>
          <w:tcPr>
            <w:tcW w:w="2392" w:type="dxa"/>
            <w:tcBorders>
              <w:top w:val="nil"/>
              <w:left w:val="nil"/>
              <w:bottom w:val="single" w:color="auto" w:sz="8" w:space="0"/>
              <w:right w:val="single" w:color="auto" w:sz="8" w:space="0"/>
            </w:tcBorders>
            <w:shd w:val="clear"/>
            <w:tcMar>
              <w:bottom w:w="0" w:type="dxa"/>
            </w:tcMar>
            <w:vAlign w:val="center"/>
          </w:tcPr>
          <w:p w14:paraId="748C8CF0">
            <w:pPr>
              <w:pStyle w:val="5"/>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1"/>
                <w:szCs w:val="21"/>
              </w:rPr>
            </w:pPr>
            <w:r>
              <w:rPr>
                <w:rFonts w:hint="eastAsia" w:ascii="宋体" w:hAnsi="宋体" w:eastAsia="宋体" w:cs="宋体"/>
                <w:color w:val="000000"/>
                <w:sz w:val="24"/>
                <w:szCs w:val="24"/>
              </w:rPr>
              <w:t>继续培训各级党员领导干部及后备干部</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提高干部综合素质能力.</w:t>
            </w:r>
          </w:p>
        </w:tc>
      </w:tr>
      <w:tr w14:paraId="65D021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042" w:hRule="atLeast"/>
          <w:jc w:val="center"/>
        </w:trPr>
        <w:tc>
          <w:tcPr>
            <w:tcW w:w="390" w:type="dxa"/>
            <w:vMerge w:val="continue"/>
            <w:tcBorders>
              <w:top w:val="nil"/>
              <w:left w:val="single" w:color="auto" w:sz="8" w:space="0"/>
              <w:bottom w:val="nil"/>
              <w:right w:val="single" w:color="auto" w:sz="8" w:space="0"/>
            </w:tcBorders>
            <w:shd w:val="clear"/>
            <w:tcMar>
              <w:bottom w:w="0" w:type="dxa"/>
            </w:tcMar>
            <w:vAlign w:val="center"/>
          </w:tcPr>
          <w:p w14:paraId="6DB8435B">
            <w:pPr>
              <w:rPr>
                <w:rFonts w:hint="eastAsia" w:ascii="宋体" w:hAnsi="宋体" w:eastAsia="宋体" w:cs="宋体"/>
                <w:sz w:val="18"/>
                <w:szCs w:val="18"/>
              </w:rPr>
            </w:pPr>
          </w:p>
        </w:tc>
        <w:tc>
          <w:tcPr>
            <w:tcW w:w="1367" w:type="dxa"/>
            <w:tcBorders>
              <w:top w:val="nil"/>
              <w:left w:val="nil"/>
              <w:bottom w:val="single" w:color="auto" w:sz="8" w:space="0"/>
              <w:right w:val="single" w:color="auto" w:sz="8" w:space="0"/>
            </w:tcBorders>
            <w:shd w:val="clear"/>
            <w:tcMar>
              <w:bottom w:w="0" w:type="dxa"/>
            </w:tcMar>
            <w:vAlign w:val="center"/>
          </w:tcPr>
          <w:p w14:paraId="7579CD07">
            <w:pPr>
              <w:pStyle w:val="5"/>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1"/>
                <w:szCs w:val="21"/>
              </w:rPr>
            </w:pPr>
            <w:r>
              <w:rPr>
                <w:rFonts w:hint="eastAsia" w:ascii="宋体" w:hAnsi="宋体" w:eastAsia="宋体" w:cs="宋体"/>
                <w:color w:val="000000"/>
                <w:sz w:val="24"/>
                <w:szCs w:val="24"/>
              </w:rPr>
              <w:t>效益指标</w:t>
            </w:r>
          </w:p>
        </w:tc>
        <w:tc>
          <w:tcPr>
            <w:tcW w:w="1025" w:type="dxa"/>
            <w:tcBorders>
              <w:top w:val="nil"/>
              <w:left w:val="nil"/>
              <w:bottom w:val="single" w:color="auto" w:sz="8" w:space="0"/>
              <w:right w:val="single" w:color="auto" w:sz="8" w:space="0"/>
            </w:tcBorders>
            <w:shd w:val="clear"/>
            <w:tcMar>
              <w:bottom w:w="0" w:type="dxa"/>
            </w:tcMar>
            <w:vAlign w:val="center"/>
          </w:tcPr>
          <w:p w14:paraId="22C5FD06">
            <w:pPr>
              <w:pStyle w:val="5"/>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1"/>
                <w:szCs w:val="21"/>
              </w:rPr>
            </w:pPr>
            <w:r>
              <w:rPr>
                <w:rFonts w:hint="eastAsia" w:ascii="宋体" w:hAnsi="宋体" w:eastAsia="宋体" w:cs="宋体"/>
                <w:color w:val="000000"/>
                <w:sz w:val="24"/>
                <w:szCs w:val="24"/>
              </w:rPr>
              <w:t>持续指标</w:t>
            </w:r>
          </w:p>
        </w:tc>
        <w:tc>
          <w:tcPr>
            <w:tcW w:w="2392" w:type="dxa"/>
            <w:tcBorders>
              <w:top w:val="nil"/>
              <w:left w:val="nil"/>
              <w:bottom w:val="single" w:color="auto" w:sz="8" w:space="0"/>
              <w:right w:val="single" w:color="auto" w:sz="8" w:space="0"/>
            </w:tcBorders>
            <w:shd w:val="clear"/>
            <w:tcMar>
              <w:bottom w:w="0" w:type="dxa"/>
            </w:tcMar>
            <w:vAlign w:val="center"/>
          </w:tcPr>
          <w:p w14:paraId="0B7C8EEB">
            <w:pPr>
              <w:pStyle w:val="5"/>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1"/>
                <w:szCs w:val="21"/>
              </w:rPr>
            </w:pPr>
            <w:r>
              <w:rPr>
                <w:rFonts w:hint="eastAsia" w:ascii="宋体" w:hAnsi="宋体" w:eastAsia="宋体" w:cs="宋体"/>
                <w:color w:val="000000"/>
                <w:sz w:val="24"/>
                <w:szCs w:val="24"/>
              </w:rPr>
              <w:t>干部培训继续教育</w:t>
            </w:r>
          </w:p>
        </w:tc>
        <w:tc>
          <w:tcPr>
            <w:tcW w:w="2394" w:type="dxa"/>
            <w:tcBorders>
              <w:top w:val="nil"/>
              <w:left w:val="nil"/>
              <w:bottom w:val="single" w:color="auto" w:sz="8" w:space="0"/>
              <w:right w:val="single" w:color="auto" w:sz="8" w:space="0"/>
            </w:tcBorders>
            <w:shd w:val="clear"/>
            <w:tcMar>
              <w:bottom w:w="0" w:type="dxa"/>
            </w:tcMar>
            <w:vAlign w:val="center"/>
          </w:tcPr>
          <w:p w14:paraId="2087A7FF">
            <w:pPr>
              <w:pStyle w:val="5"/>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1"/>
                <w:szCs w:val="21"/>
              </w:rPr>
            </w:pPr>
            <w:r>
              <w:rPr>
                <w:rFonts w:hint="eastAsia" w:ascii="宋体" w:hAnsi="宋体" w:eastAsia="宋体" w:cs="宋体"/>
                <w:color w:val="000000"/>
                <w:sz w:val="24"/>
                <w:szCs w:val="24"/>
              </w:rPr>
              <w:t>提高干部综合素质</w:t>
            </w:r>
          </w:p>
        </w:tc>
        <w:tc>
          <w:tcPr>
            <w:tcW w:w="2392" w:type="dxa"/>
            <w:tcBorders>
              <w:top w:val="nil"/>
              <w:left w:val="nil"/>
              <w:bottom w:val="single" w:color="auto" w:sz="8" w:space="0"/>
              <w:right w:val="single" w:color="auto" w:sz="8" w:space="0"/>
            </w:tcBorders>
            <w:shd w:val="clear"/>
            <w:tcMar>
              <w:bottom w:w="0" w:type="dxa"/>
            </w:tcMar>
            <w:vAlign w:val="center"/>
          </w:tcPr>
          <w:p w14:paraId="740D8D0A">
            <w:pPr>
              <w:pStyle w:val="5"/>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1"/>
                <w:szCs w:val="21"/>
              </w:rPr>
            </w:pPr>
            <w:r>
              <w:rPr>
                <w:rFonts w:hint="eastAsia" w:ascii="宋体" w:hAnsi="宋体" w:eastAsia="宋体" w:cs="宋体"/>
                <w:color w:val="000000"/>
                <w:sz w:val="24"/>
                <w:szCs w:val="24"/>
              </w:rPr>
              <w:t>继续培训各级党员领导干部及后备干部、培养干部理论素养，提高干部综合素质能力.</w:t>
            </w:r>
          </w:p>
        </w:tc>
      </w:tr>
      <w:tr w14:paraId="3FAFD4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042" w:hRule="atLeast"/>
          <w:jc w:val="center"/>
        </w:trPr>
        <w:tc>
          <w:tcPr>
            <w:tcW w:w="390" w:type="dxa"/>
            <w:vMerge w:val="continue"/>
            <w:tcBorders>
              <w:top w:val="nil"/>
              <w:left w:val="single" w:color="auto" w:sz="8" w:space="0"/>
              <w:bottom w:val="nil"/>
              <w:right w:val="single" w:color="auto" w:sz="8" w:space="0"/>
            </w:tcBorders>
            <w:shd w:val="clear"/>
            <w:tcMar>
              <w:bottom w:w="0" w:type="dxa"/>
            </w:tcMar>
            <w:vAlign w:val="center"/>
          </w:tcPr>
          <w:p w14:paraId="3A4EDD36">
            <w:pPr>
              <w:rPr>
                <w:rFonts w:hint="eastAsia" w:ascii="宋体" w:hAnsi="宋体" w:eastAsia="宋体" w:cs="宋体"/>
                <w:sz w:val="18"/>
                <w:szCs w:val="18"/>
              </w:rPr>
            </w:pPr>
          </w:p>
        </w:tc>
        <w:tc>
          <w:tcPr>
            <w:tcW w:w="1367" w:type="dxa"/>
            <w:tcBorders>
              <w:top w:val="nil"/>
              <w:left w:val="nil"/>
              <w:bottom w:val="single" w:color="auto" w:sz="8" w:space="0"/>
              <w:right w:val="single" w:color="auto" w:sz="8" w:space="0"/>
            </w:tcBorders>
            <w:shd w:val="clear"/>
            <w:tcMar>
              <w:bottom w:w="0" w:type="dxa"/>
            </w:tcMar>
            <w:vAlign w:val="center"/>
          </w:tcPr>
          <w:p w14:paraId="05F7367F">
            <w:pPr>
              <w:pStyle w:val="5"/>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1"/>
                <w:szCs w:val="21"/>
              </w:rPr>
            </w:pPr>
            <w:r>
              <w:rPr>
                <w:rFonts w:hint="eastAsia" w:ascii="宋体" w:hAnsi="宋体" w:eastAsia="宋体" w:cs="宋体"/>
                <w:color w:val="000000"/>
                <w:sz w:val="24"/>
                <w:szCs w:val="24"/>
              </w:rPr>
              <w:t>……</w:t>
            </w:r>
          </w:p>
        </w:tc>
        <w:tc>
          <w:tcPr>
            <w:tcW w:w="1025" w:type="dxa"/>
            <w:tcBorders>
              <w:top w:val="nil"/>
              <w:left w:val="nil"/>
              <w:bottom w:val="single" w:color="auto" w:sz="8" w:space="0"/>
              <w:right w:val="single" w:color="auto" w:sz="8" w:space="0"/>
            </w:tcBorders>
            <w:shd w:val="clear"/>
            <w:tcMar>
              <w:bottom w:w="0" w:type="dxa"/>
            </w:tcMar>
            <w:vAlign w:val="center"/>
          </w:tcPr>
          <w:p w14:paraId="773CE4B5">
            <w:pPr>
              <w:pStyle w:val="5"/>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1"/>
                <w:szCs w:val="21"/>
              </w:rPr>
            </w:pPr>
            <w:r>
              <w:rPr>
                <w:rFonts w:hint="default" w:ascii="Times New Roman" w:hAnsi="Times New Roman" w:eastAsia="宋体" w:cs="Times New Roman"/>
                <w:sz w:val="21"/>
                <w:szCs w:val="21"/>
              </w:rPr>
              <w:t> </w:t>
            </w:r>
          </w:p>
        </w:tc>
        <w:tc>
          <w:tcPr>
            <w:tcW w:w="2392" w:type="dxa"/>
            <w:tcBorders>
              <w:top w:val="nil"/>
              <w:left w:val="nil"/>
              <w:bottom w:val="single" w:color="auto" w:sz="8" w:space="0"/>
              <w:right w:val="single" w:color="auto" w:sz="8" w:space="0"/>
            </w:tcBorders>
            <w:shd w:val="clear"/>
            <w:tcMar>
              <w:bottom w:w="0" w:type="dxa"/>
            </w:tcMar>
            <w:vAlign w:val="center"/>
          </w:tcPr>
          <w:p w14:paraId="5EF91F76">
            <w:pPr>
              <w:pStyle w:val="5"/>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1"/>
                <w:szCs w:val="21"/>
              </w:rPr>
            </w:pPr>
            <w:r>
              <w:rPr>
                <w:rFonts w:hint="default" w:ascii="Times New Roman" w:hAnsi="Times New Roman" w:eastAsia="宋体" w:cs="Times New Roman"/>
                <w:sz w:val="21"/>
                <w:szCs w:val="21"/>
              </w:rPr>
              <w:t> </w:t>
            </w:r>
          </w:p>
        </w:tc>
        <w:tc>
          <w:tcPr>
            <w:tcW w:w="2394" w:type="dxa"/>
            <w:tcBorders>
              <w:top w:val="nil"/>
              <w:left w:val="nil"/>
              <w:bottom w:val="single" w:color="auto" w:sz="8" w:space="0"/>
              <w:right w:val="single" w:color="auto" w:sz="8" w:space="0"/>
            </w:tcBorders>
            <w:shd w:val="clear"/>
            <w:tcMar>
              <w:bottom w:w="0" w:type="dxa"/>
            </w:tcMar>
            <w:vAlign w:val="center"/>
          </w:tcPr>
          <w:p w14:paraId="157DFED4">
            <w:pPr>
              <w:pStyle w:val="5"/>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1"/>
                <w:szCs w:val="21"/>
              </w:rPr>
            </w:pPr>
            <w:r>
              <w:rPr>
                <w:rFonts w:hint="default" w:ascii="Times New Roman" w:hAnsi="Times New Roman" w:eastAsia="宋体" w:cs="Times New Roman"/>
                <w:sz w:val="21"/>
                <w:szCs w:val="21"/>
              </w:rPr>
              <w:t> </w:t>
            </w:r>
          </w:p>
        </w:tc>
        <w:tc>
          <w:tcPr>
            <w:tcW w:w="2392" w:type="dxa"/>
            <w:tcBorders>
              <w:top w:val="nil"/>
              <w:left w:val="nil"/>
              <w:bottom w:val="single" w:color="auto" w:sz="8" w:space="0"/>
              <w:right w:val="single" w:color="auto" w:sz="8" w:space="0"/>
            </w:tcBorders>
            <w:shd w:val="clear"/>
            <w:tcMar>
              <w:bottom w:w="0" w:type="dxa"/>
            </w:tcMar>
            <w:vAlign w:val="center"/>
          </w:tcPr>
          <w:p w14:paraId="40EE8466">
            <w:pPr>
              <w:pStyle w:val="5"/>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1"/>
                <w:szCs w:val="21"/>
              </w:rPr>
            </w:pPr>
            <w:r>
              <w:rPr>
                <w:rFonts w:hint="default" w:ascii="Times New Roman" w:hAnsi="Times New Roman" w:eastAsia="宋体" w:cs="Times New Roman"/>
                <w:sz w:val="21"/>
                <w:szCs w:val="21"/>
              </w:rPr>
              <w:t> </w:t>
            </w:r>
          </w:p>
        </w:tc>
      </w:tr>
      <w:tr w14:paraId="59B290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042" w:hRule="atLeast"/>
          <w:jc w:val="center"/>
        </w:trPr>
        <w:tc>
          <w:tcPr>
            <w:tcW w:w="390" w:type="dxa"/>
            <w:vMerge w:val="continue"/>
            <w:tcBorders>
              <w:top w:val="nil"/>
              <w:left w:val="single" w:color="auto" w:sz="8" w:space="0"/>
              <w:bottom w:val="nil"/>
              <w:right w:val="single" w:color="auto" w:sz="8" w:space="0"/>
            </w:tcBorders>
            <w:shd w:val="clear"/>
            <w:tcMar>
              <w:bottom w:w="0" w:type="dxa"/>
            </w:tcMar>
            <w:vAlign w:val="center"/>
          </w:tcPr>
          <w:p w14:paraId="7AE43E7B">
            <w:pPr>
              <w:rPr>
                <w:rFonts w:hint="eastAsia" w:ascii="宋体" w:hAnsi="宋体" w:eastAsia="宋体" w:cs="宋体"/>
                <w:sz w:val="18"/>
                <w:szCs w:val="18"/>
              </w:rPr>
            </w:pPr>
          </w:p>
        </w:tc>
        <w:tc>
          <w:tcPr>
            <w:tcW w:w="1367" w:type="dxa"/>
            <w:tcBorders>
              <w:top w:val="nil"/>
              <w:left w:val="nil"/>
              <w:bottom w:val="single" w:color="auto" w:sz="8" w:space="0"/>
              <w:right w:val="single" w:color="auto" w:sz="8" w:space="0"/>
            </w:tcBorders>
            <w:shd w:val="clear"/>
            <w:tcMar>
              <w:bottom w:w="0" w:type="dxa"/>
            </w:tcMar>
            <w:vAlign w:val="center"/>
          </w:tcPr>
          <w:p w14:paraId="2B744F50">
            <w:pPr>
              <w:pStyle w:val="5"/>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1"/>
                <w:szCs w:val="21"/>
              </w:rPr>
            </w:pPr>
            <w:r>
              <w:rPr>
                <w:rFonts w:hint="eastAsia" w:ascii="宋体" w:hAnsi="宋体" w:eastAsia="宋体" w:cs="宋体"/>
                <w:color w:val="000000"/>
                <w:sz w:val="24"/>
                <w:szCs w:val="24"/>
              </w:rPr>
              <w:t>满意度指标</w:t>
            </w:r>
          </w:p>
        </w:tc>
        <w:tc>
          <w:tcPr>
            <w:tcW w:w="1025" w:type="dxa"/>
            <w:tcBorders>
              <w:top w:val="nil"/>
              <w:left w:val="nil"/>
              <w:bottom w:val="single" w:color="auto" w:sz="8" w:space="0"/>
              <w:right w:val="single" w:color="auto" w:sz="8" w:space="0"/>
            </w:tcBorders>
            <w:shd w:val="clear"/>
            <w:tcMar>
              <w:bottom w:w="0" w:type="dxa"/>
            </w:tcMar>
            <w:vAlign w:val="center"/>
          </w:tcPr>
          <w:p w14:paraId="4111CA23">
            <w:pPr>
              <w:pStyle w:val="5"/>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1"/>
                <w:szCs w:val="21"/>
              </w:rPr>
            </w:pPr>
            <w:r>
              <w:rPr>
                <w:rFonts w:hint="eastAsia" w:ascii="宋体" w:hAnsi="宋体" w:eastAsia="宋体" w:cs="宋体"/>
                <w:color w:val="000000"/>
                <w:sz w:val="24"/>
                <w:szCs w:val="24"/>
              </w:rPr>
              <w:t>满意度指标</w:t>
            </w:r>
          </w:p>
        </w:tc>
        <w:tc>
          <w:tcPr>
            <w:tcW w:w="2392" w:type="dxa"/>
            <w:tcBorders>
              <w:top w:val="nil"/>
              <w:left w:val="nil"/>
              <w:bottom w:val="single" w:color="auto" w:sz="8" w:space="0"/>
              <w:right w:val="single" w:color="auto" w:sz="8" w:space="0"/>
            </w:tcBorders>
            <w:shd w:val="clear"/>
            <w:tcMar>
              <w:bottom w:w="0" w:type="dxa"/>
            </w:tcMar>
            <w:vAlign w:val="center"/>
          </w:tcPr>
          <w:p w14:paraId="260E082E">
            <w:pPr>
              <w:pStyle w:val="5"/>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1"/>
                <w:szCs w:val="21"/>
              </w:rPr>
            </w:pPr>
            <w:r>
              <w:rPr>
                <w:rFonts w:hint="eastAsia" w:ascii="宋体" w:hAnsi="宋体" w:eastAsia="宋体" w:cs="宋体"/>
                <w:color w:val="000000"/>
                <w:sz w:val="24"/>
                <w:szCs w:val="24"/>
              </w:rPr>
              <w:t>培训干部满意度</w:t>
            </w:r>
          </w:p>
        </w:tc>
        <w:tc>
          <w:tcPr>
            <w:tcW w:w="2394" w:type="dxa"/>
            <w:tcBorders>
              <w:top w:val="nil"/>
              <w:left w:val="nil"/>
              <w:bottom w:val="single" w:color="auto" w:sz="8" w:space="0"/>
              <w:right w:val="single" w:color="auto" w:sz="8" w:space="0"/>
            </w:tcBorders>
            <w:shd w:val="clear"/>
            <w:tcMar>
              <w:bottom w:w="0" w:type="dxa"/>
            </w:tcMar>
            <w:vAlign w:val="center"/>
          </w:tcPr>
          <w:p w14:paraId="291EA77B">
            <w:pPr>
              <w:pStyle w:val="5"/>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1"/>
                <w:szCs w:val="21"/>
              </w:rPr>
            </w:pPr>
            <w:r>
              <w:rPr>
                <w:rFonts w:hint="eastAsia" w:ascii="宋体" w:hAnsi="宋体" w:eastAsia="宋体" w:cs="宋体"/>
                <w:color w:val="000000"/>
                <w:sz w:val="24"/>
                <w:szCs w:val="24"/>
              </w:rPr>
              <w:t>干部对课程满意程度达到70%</w:t>
            </w:r>
          </w:p>
        </w:tc>
        <w:tc>
          <w:tcPr>
            <w:tcW w:w="2392" w:type="dxa"/>
            <w:tcBorders>
              <w:top w:val="nil"/>
              <w:left w:val="nil"/>
              <w:bottom w:val="single" w:color="auto" w:sz="8" w:space="0"/>
              <w:right w:val="single" w:color="auto" w:sz="8" w:space="0"/>
            </w:tcBorders>
            <w:shd w:val="clear"/>
            <w:tcMar>
              <w:bottom w:w="0" w:type="dxa"/>
            </w:tcMar>
            <w:vAlign w:val="center"/>
          </w:tcPr>
          <w:p w14:paraId="7E5E6D45">
            <w:pPr>
              <w:pStyle w:val="5"/>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1"/>
                <w:szCs w:val="21"/>
              </w:rPr>
            </w:pPr>
            <w:r>
              <w:rPr>
                <w:rFonts w:hint="eastAsia" w:ascii="宋体" w:hAnsi="宋体" w:eastAsia="宋体" w:cs="宋体"/>
                <w:color w:val="000000"/>
                <w:sz w:val="24"/>
                <w:szCs w:val="24"/>
              </w:rPr>
              <w:t>培训后收集了干部对培训满意度，达到70%</w:t>
            </w:r>
          </w:p>
        </w:tc>
      </w:tr>
      <w:tr w14:paraId="7863E1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297" w:hRule="atLeast"/>
          <w:jc w:val="center"/>
        </w:trPr>
        <w:tc>
          <w:tcPr>
            <w:tcW w:w="390" w:type="dxa"/>
            <w:vMerge w:val="continue"/>
            <w:tcBorders>
              <w:top w:val="nil"/>
              <w:left w:val="single" w:color="auto" w:sz="8" w:space="0"/>
              <w:bottom w:val="nil"/>
              <w:right w:val="single" w:color="auto" w:sz="8" w:space="0"/>
            </w:tcBorders>
            <w:shd w:val="clear"/>
            <w:tcMar>
              <w:bottom w:w="0" w:type="dxa"/>
            </w:tcMar>
            <w:vAlign w:val="center"/>
          </w:tcPr>
          <w:p w14:paraId="3CB42652">
            <w:pPr>
              <w:rPr>
                <w:rFonts w:hint="eastAsia" w:ascii="宋体" w:hAnsi="宋体" w:eastAsia="宋体" w:cs="宋体"/>
                <w:sz w:val="18"/>
                <w:szCs w:val="18"/>
              </w:rPr>
            </w:pPr>
          </w:p>
        </w:tc>
        <w:tc>
          <w:tcPr>
            <w:tcW w:w="1367" w:type="dxa"/>
            <w:tcBorders>
              <w:top w:val="nil"/>
              <w:left w:val="nil"/>
              <w:bottom w:val="single" w:color="auto" w:sz="8" w:space="0"/>
              <w:right w:val="single" w:color="auto" w:sz="8" w:space="0"/>
            </w:tcBorders>
            <w:shd w:val="clear"/>
            <w:tcMar>
              <w:bottom w:w="0" w:type="dxa"/>
            </w:tcMar>
            <w:vAlign w:val="center"/>
          </w:tcPr>
          <w:p w14:paraId="6C298474">
            <w:pPr>
              <w:pStyle w:val="5"/>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1"/>
                <w:szCs w:val="21"/>
              </w:rPr>
            </w:pPr>
            <w:r>
              <w:rPr>
                <w:rFonts w:hint="default" w:ascii="Times New Roman" w:hAnsi="Times New Roman" w:eastAsia="宋体" w:cs="Times New Roman"/>
                <w:sz w:val="21"/>
                <w:szCs w:val="21"/>
              </w:rPr>
              <w:t> </w:t>
            </w:r>
          </w:p>
        </w:tc>
        <w:tc>
          <w:tcPr>
            <w:tcW w:w="1025" w:type="dxa"/>
            <w:tcBorders>
              <w:top w:val="nil"/>
              <w:left w:val="nil"/>
              <w:bottom w:val="single" w:color="auto" w:sz="8" w:space="0"/>
              <w:right w:val="single" w:color="auto" w:sz="8" w:space="0"/>
            </w:tcBorders>
            <w:shd w:val="clear"/>
            <w:tcMar>
              <w:bottom w:w="0" w:type="dxa"/>
            </w:tcMar>
            <w:vAlign w:val="center"/>
          </w:tcPr>
          <w:p w14:paraId="52D3B061">
            <w:pPr>
              <w:pStyle w:val="5"/>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1"/>
                <w:szCs w:val="21"/>
              </w:rPr>
            </w:pPr>
            <w:r>
              <w:rPr>
                <w:rFonts w:hint="default" w:ascii="Times New Roman" w:hAnsi="Times New Roman" w:eastAsia="宋体" w:cs="Times New Roman"/>
                <w:sz w:val="21"/>
                <w:szCs w:val="21"/>
              </w:rPr>
              <w:t> </w:t>
            </w:r>
          </w:p>
        </w:tc>
        <w:tc>
          <w:tcPr>
            <w:tcW w:w="2392" w:type="dxa"/>
            <w:tcBorders>
              <w:top w:val="nil"/>
              <w:left w:val="nil"/>
              <w:bottom w:val="single" w:color="auto" w:sz="8" w:space="0"/>
              <w:right w:val="single" w:color="auto" w:sz="8" w:space="0"/>
            </w:tcBorders>
            <w:shd w:val="clear"/>
            <w:tcMar>
              <w:bottom w:w="0" w:type="dxa"/>
            </w:tcMar>
            <w:vAlign w:val="center"/>
          </w:tcPr>
          <w:p w14:paraId="6DE94EA6">
            <w:pPr>
              <w:pStyle w:val="5"/>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1"/>
                <w:szCs w:val="21"/>
              </w:rPr>
            </w:pPr>
            <w:r>
              <w:rPr>
                <w:rFonts w:hint="default" w:ascii="Times New Roman" w:hAnsi="Times New Roman" w:eastAsia="宋体" w:cs="Times New Roman"/>
                <w:sz w:val="21"/>
                <w:szCs w:val="21"/>
              </w:rPr>
              <w:t> </w:t>
            </w:r>
          </w:p>
        </w:tc>
        <w:tc>
          <w:tcPr>
            <w:tcW w:w="2394" w:type="dxa"/>
            <w:tcBorders>
              <w:top w:val="nil"/>
              <w:left w:val="nil"/>
              <w:bottom w:val="single" w:color="auto" w:sz="8" w:space="0"/>
              <w:right w:val="single" w:color="auto" w:sz="8" w:space="0"/>
            </w:tcBorders>
            <w:shd w:val="clear"/>
            <w:tcMar>
              <w:bottom w:w="0" w:type="dxa"/>
            </w:tcMar>
            <w:vAlign w:val="center"/>
          </w:tcPr>
          <w:p w14:paraId="267D4EA8">
            <w:pPr>
              <w:pStyle w:val="5"/>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1"/>
                <w:szCs w:val="21"/>
              </w:rPr>
            </w:pPr>
            <w:r>
              <w:rPr>
                <w:rFonts w:hint="default" w:ascii="Times New Roman" w:hAnsi="Times New Roman" w:eastAsia="宋体" w:cs="Times New Roman"/>
                <w:sz w:val="21"/>
                <w:szCs w:val="21"/>
              </w:rPr>
              <w:t> </w:t>
            </w:r>
          </w:p>
        </w:tc>
        <w:tc>
          <w:tcPr>
            <w:tcW w:w="2392" w:type="dxa"/>
            <w:tcBorders>
              <w:top w:val="nil"/>
              <w:left w:val="nil"/>
              <w:bottom w:val="single" w:color="auto" w:sz="8" w:space="0"/>
              <w:right w:val="single" w:color="auto" w:sz="8" w:space="0"/>
            </w:tcBorders>
            <w:shd w:val="clear"/>
            <w:tcMar>
              <w:bottom w:w="0" w:type="dxa"/>
            </w:tcMar>
            <w:vAlign w:val="center"/>
          </w:tcPr>
          <w:p w14:paraId="13F06222">
            <w:pPr>
              <w:pStyle w:val="5"/>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1"/>
                <w:szCs w:val="21"/>
              </w:rPr>
            </w:pPr>
            <w:r>
              <w:rPr>
                <w:rFonts w:hint="default" w:ascii="Times New Roman" w:hAnsi="Times New Roman" w:eastAsia="宋体" w:cs="Times New Roman"/>
                <w:sz w:val="21"/>
                <w:szCs w:val="21"/>
              </w:rPr>
              <w:t> </w:t>
            </w:r>
          </w:p>
        </w:tc>
      </w:tr>
      <w:tr w14:paraId="0FAF16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297" w:hRule="atLeast"/>
          <w:jc w:val="center"/>
        </w:trPr>
        <w:tc>
          <w:tcPr>
            <w:tcW w:w="390" w:type="dxa"/>
            <w:vMerge w:val="continue"/>
            <w:tcBorders>
              <w:top w:val="nil"/>
              <w:left w:val="single" w:color="auto" w:sz="8" w:space="0"/>
              <w:bottom w:val="nil"/>
              <w:right w:val="single" w:color="auto" w:sz="8" w:space="0"/>
            </w:tcBorders>
            <w:shd w:val="clear"/>
            <w:tcMar>
              <w:bottom w:w="0" w:type="dxa"/>
            </w:tcMar>
            <w:vAlign w:val="center"/>
          </w:tcPr>
          <w:p w14:paraId="2591A3D8">
            <w:pPr>
              <w:rPr>
                <w:rFonts w:hint="eastAsia" w:ascii="宋体" w:hAnsi="宋体" w:eastAsia="宋体" w:cs="宋体"/>
                <w:sz w:val="18"/>
                <w:szCs w:val="18"/>
              </w:rPr>
            </w:pPr>
          </w:p>
        </w:tc>
        <w:tc>
          <w:tcPr>
            <w:tcW w:w="1367" w:type="dxa"/>
            <w:tcBorders>
              <w:top w:val="nil"/>
              <w:left w:val="nil"/>
              <w:bottom w:val="single" w:color="auto" w:sz="8" w:space="0"/>
              <w:right w:val="single" w:color="auto" w:sz="8" w:space="0"/>
            </w:tcBorders>
            <w:shd w:val="clear"/>
            <w:tcMar>
              <w:bottom w:w="0" w:type="dxa"/>
            </w:tcMar>
            <w:vAlign w:val="center"/>
          </w:tcPr>
          <w:p w14:paraId="2F606D91">
            <w:pPr>
              <w:pStyle w:val="5"/>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1"/>
                <w:szCs w:val="21"/>
              </w:rPr>
            </w:pPr>
            <w:r>
              <w:rPr>
                <w:rFonts w:hint="default" w:ascii="Times New Roman" w:hAnsi="Times New Roman" w:eastAsia="宋体" w:cs="Times New Roman"/>
                <w:sz w:val="21"/>
                <w:szCs w:val="21"/>
              </w:rPr>
              <w:t> </w:t>
            </w:r>
          </w:p>
        </w:tc>
        <w:tc>
          <w:tcPr>
            <w:tcW w:w="1025" w:type="dxa"/>
            <w:tcBorders>
              <w:top w:val="nil"/>
              <w:left w:val="nil"/>
              <w:bottom w:val="single" w:color="auto" w:sz="8" w:space="0"/>
              <w:right w:val="single" w:color="auto" w:sz="8" w:space="0"/>
            </w:tcBorders>
            <w:shd w:val="clear"/>
            <w:tcMar>
              <w:bottom w:w="0" w:type="dxa"/>
            </w:tcMar>
            <w:vAlign w:val="center"/>
          </w:tcPr>
          <w:p w14:paraId="60FDE729">
            <w:pPr>
              <w:pStyle w:val="5"/>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1"/>
                <w:szCs w:val="21"/>
              </w:rPr>
            </w:pPr>
            <w:r>
              <w:rPr>
                <w:rFonts w:hint="default" w:ascii="Times New Roman" w:hAnsi="Times New Roman" w:eastAsia="宋体" w:cs="Times New Roman"/>
                <w:sz w:val="21"/>
                <w:szCs w:val="21"/>
              </w:rPr>
              <w:t> </w:t>
            </w:r>
          </w:p>
        </w:tc>
        <w:tc>
          <w:tcPr>
            <w:tcW w:w="2392" w:type="dxa"/>
            <w:tcBorders>
              <w:top w:val="nil"/>
              <w:left w:val="nil"/>
              <w:bottom w:val="single" w:color="auto" w:sz="8" w:space="0"/>
              <w:right w:val="single" w:color="auto" w:sz="8" w:space="0"/>
            </w:tcBorders>
            <w:shd w:val="clear"/>
            <w:tcMar>
              <w:bottom w:w="0" w:type="dxa"/>
            </w:tcMar>
            <w:vAlign w:val="center"/>
          </w:tcPr>
          <w:p w14:paraId="76A84E61">
            <w:pPr>
              <w:pStyle w:val="5"/>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1"/>
                <w:szCs w:val="21"/>
              </w:rPr>
            </w:pPr>
            <w:r>
              <w:rPr>
                <w:rFonts w:hint="default" w:ascii="Times New Roman" w:hAnsi="Times New Roman" w:eastAsia="宋体" w:cs="Times New Roman"/>
                <w:sz w:val="21"/>
                <w:szCs w:val="21"/>
              </w:rPr>
              <w:t> </w:t>
            </w:r>
          </w:p>
        </w:tc>
        <w:tc>
          <w:tcPr>
            <w:tcW w:w="2394" w:type="dxa"/>
            <w:tcBorders>
              <w:top w:val="nil"/>
              <w:left w:val="nil"/>
              <w:bottom w:val="single" w:color="auto" w:sz="8" w:space="0"/>
              <w:right w:val="single" w:color="auto" w:sz="8" w:space="0"/>
            </w:tcBorders>
            <w:shd w:val="clear"/>
            <w:tcMar>
              <w:bottom w:w="0" w:type="dxa"/>
            </w:tcMar>
            <w:vAlign w:val="center"/>
          </w:tcPr>
          <w:p w14:paraId="6FC15D8D">
            <w:pPr>
              <w:pStyle w:val="5"/>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1"/>
                <w:szCs w:val="21"/>
              </w:rPr>
            </w:pPr>
            <w:r>
              <w:rPr>
                <w:rFonts w:hint="default" w:ascii="Times New Roman" w:hAnsi="Times New Roman" w:eastAsia="宋体" w:cs="Times New Roman"/>
                <w:sz w:val="21"/>
                <w:szCs w:val="21"/>
              </w:rPr>
              <w:t> </w:t>
            </w:r>
          </w:p>
        </w:tc>
        <w:tc>
          <w:tcPr>
            <w:tcW w:w="2392" w:type="dxa"/>
            <w:tcBorders>
              <w:top w:val="nil"/>
              <w:left w:val="nil"/>
              <w:bottom w:val="single" w:color="auto" w:sz="8" w:space="0"/>
              <w:right w:val="single" w:color="auto" w:sz="8" w:space="0"/>
            </w:tcBorders>
            <w:shd w:val="clear"/>
            <w:tcMar>
              <w:bottom w:w="0" w:type="dxa"/>
            </w:tcMar>
            <w:vAlign w:val="center"/>
          </w:tcPr>
          <w:p w14:paraId="231749A6">
            <w:pPr>
              <w:pStyle w:val="5"/>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1"/>
                <w:szCs w:val="21"/>
              </w:rPr>
            </w:pPr>
            <w:r>
              <w:rPr>
                <w:rFonts w:hint="default" w:ascii="Times New Roman" w:hAnsi="Times New Roman" w:eastAsia="宋体" w:cs="Times New Roman"/>
                <w:sz w:val="21"/>
                <w:szCs w:val="21"/>
              </w:rPr>
              <w:t> </w:t>
            </w:r>
          </w:p>
        </w:tc>
      </w:tr>
      <w:tr w14:paraId="3CBD3D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050" w:hRule="atLeast"/>
          <w:jc w:val="center"/>
        </w:trPr>
        <w:tc>
          <w:tcPr>
            <w:tcW w:w="390" w:type="dxa"/>
            <w:vMerge w:val="continue"/>
            <w:tcBorders>
              <w:top w:val="nil"/>
              <w:left w:val="single" w:color="auto" w:sz="8" w:space="0"/>
              <w:bottom w:val="nil"/>
              <w:right w:val="single" w:color="auto" w:sz="8" w:space="0"/>
            </w:tcBorders>
            <w:shd w:val="clear"/>
            <w:tcMar>
              <w:bottom w:w="0" w:type="dxa"/>
            </w:tcMar>
            <w:vAlign w:val="center"/>
          </w:tcPr>
          <w:p w14:paraId="60057508">
            <w:pPr>
              <w:rPr>
                <w:rFonts w:hint="eastAsia" w:ascii="宋体" w:hAnsi="宋体" w:eastAsia="宋体" w:cs="宋体"/>
                <w:sz w:val="18"/>
                <w:szCs w:val="18"/>
              </w:rPr>
            </w:pPr>
          </w:p>
        </w:tc>
        <w:tc>
          <w:tcPr>
            <w:tcW w:w="1367" w:type="dxa"/>
            <w:tcBorders>
              <w:top w:val="nil"/>
              <w:left w:val="nil"/>
              <w:bottom w:val="single" w:color="auto" w:sz="8" w:space="0"/>
              <w:right w:val="single" w:color="auto" w:sz="8" w:space="0"/>
            </w:tcBorders>
            <w:shd w:val="clear"/>
            <w:tcMar>
              <w:bottom w:w="0" w:type="dxa"/>
            </w:tcMar>
            <w:vAlign w:val="center"/>
          </w:tcPr>
          <w:p w14:paraId="2A3E9EE3">
            <w:pPr>
              <w:pStyle w:val="5"/>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1"/>
                <w:szCs w:val="21"/>
              </w:rPr>
            </w:pPr>
            <w:r>
              <w:rPr>
                <w:rFonts w:hint="default" w:ascii="Times New Roman" w:hAnsi="Times New Roman" w:eastAsia="宋体" w:cs="Times New Roman"/>
                <w:sz w:val="21"/>
                <w:szCs w:val="21"/>
              </w:rPr>
              <w:t> </w:t>
            </w:r>
          </w:p>
        </w:tc>
        <w:tc>
          <w:tcPr>
            <w:tcW w:w="1025" w:type="dxa"/>
            <w:tcBorders>
              <w:top w:val="nil"/>
              <w:left w:val="nil"/>
              <w:bottom w:val="single" w:color="auto" w:sz="8" w:space="0"/>
              <w:right w:val="single" w:color="auto" w:sz="8" w:space="0"/>
            </w:tcBorders>
            <w:shd w:val="clear"/>
            <w:tcMar>
              <w:bottom w:w="0" w:type="dxa"/>
            </w:tcMar>
            <w:vAlign w:val="center"/>
          </w:tcPr>
          <w:p w14:paraId="79450162">
            <w:pPr>
              <w:pStyle w:val="5"/>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1"/>
                <w:szCs w:val="21"/>
              </w:rPr>
            </w:pPr>
            <w:r>
              <w:rPr>
                <w:rFonts w:hint="default" w:ascii="Times New Roman" w:hAnsi="Times New Roman" w:eastAsia="宋体" w:cs="Times New Roman"/>
                <w:sz w:val="21"/>
                <w:szCs w:val="21"/>
              </w:rPr>
              <w:t> </w:t>
            </w:r>
          </w:p>
        </w:tc>
        <w:tc>
          <w:tcPr>
            <w:tcW w:w="2392" w:type="dxa"/>
            <w:tcBorders>
              <w:top w:val="nil"/>
              <w:left w:val="nil"/>
              <w:bottom w:val="single" w:color="auto" w:sz="8" w:space="0"/>
              <w:right w:val="single" w:color="auto" w:sz="8" w:space="0"/>
            </w:tcBorders>
            <w:shd w:val="clear"/>
            <w:tcMar>
              <w:bottom w:w="0" w:type="dxa"/>
            </w:tcMar>
            <w:vAlign w:val="center"/>
          </w:tcPr>
          <w:p w14:paraId="48E3D7E7">
            <w:pPr>
              <w:pStyle w:val="5"/>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1"/>
                <w:szCs w:val="21"/>
              </w:rPr>
            </w:pPr>
            <w:r>
              <w:rPr>
                <w:rFonts w:hint="default" w:ascii="Times New Roman" w:hAnsi="Times New Roman" w:eastAsia="宋体" w:cs="Times New Roman"/>
                <w:sz w:val="21"/>
                <w:szCs w:val="21"/>
              </w:rPr>
              <w:t> </w:t>
            </w:r>
          </w:p>
        </w:tc>
        <w:tc>
          <w:tcPr>
            <w:tcW w:w="2394" w:type="dxa"/>
            <w:tcBorders>
              <w:top w:val="nil"/>
              <w:left w:val="nil"/>
              <w:bottom w:val="single" w:color="auto" w:sz="8" w:space="0"/>
              <w:right w:val="single" w:color="auto" w:sz="8" w:space="0"/>
            </w:tcBorders>
            <w:shd w:val="clear"/>
            <w:tcMar>
              <w:bottom w:w="0" w:type="dxa"/>
            </w:tcMar>
            <w:vAlign w:val="center"/>
          </w:tcPr>
          <w:p w14:paraId="65E67E67">
            <w:pPr>
              <w:pStyle w:val="5"/>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1"/>
                <w:szCs w:val="21"/>
              </w:rPr>
            </w:pPr>
            <w:r>
              <w:rPr>
                <w:rFonts w:hint="default" w:ascii="Times New Roman" w:hAnsi="Times New Roman" w:eastAsia="宋体" w:cs="Times New Roman"/>
                <w:sz w:val="21"/>
                <w:szCs w:val="21"/>
              </w:rPr>
              <w:t> </w:t>
            </w:r>
          </w:p>
        </w:tc>
        <w:tc>
          <w:tcPr>
            <w:tcW w:w="2392" w:type="dxa"/>
            <w:tcBorders>
              <w:top w:val="nil"/>
              <w:left w:val="nil"/>
              <w:bottom w:val="single" w:color="auto" w:sz="8" w:space="0"/>
              <w:right w:val="single" w:color="auto" w:sz="8" w:space="0"/>
            </w:tcBorders>
            <w:shd w:val="clear"/>
            <w:tcMar>
              <w:bottom w:w="0" w:type="dxa"/>
            </w:tcMar>
            <w:vAlign w:val="center"/>
          </w:tcPr>
          <w:p w14:paraId="305D6390">
            <w:pPr>
              <w:pStyle w:val="5"/>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1"/>
                <w:szCs w:val="21"/>
              </w:rPr>
            </w:pPr>
            <w:r>
              <w:rPr>
                <w:rFonts w:hint="default" w:ascii="Times New Roman" w:hAnsi="Times New Roman" w:eastAsia="宋体" w:cs="Times New Roman"/>
                <w:sz w:val="21"/>
                <w:szCs w:val="21"/>
              </w:rPr>
              <w:t> </w:t>
            </w:r>
          </w:p>
        </w:tc>
      </w:tr>
    </w:tbl>
    <w:p w14:paraId="65747B6B">
      <w:pPr>
        <w:pStyle w:val="5"/>
        <w:keepNext w:val="0"/>
        <w:keepLines w:val="0"/>
        <w:widowControl/>
        <w:suppressLineNumbers w:val="0"/>
        <w:spacing w:before="0" w:beforeAutospacing="0" w:after="0" w:afterAutospacing="0" w:line="580" w:lineRule="atLeast"/>
        <w:ind w:left="630" w:right="0"/>
        <w:jc w:val="both"/>
        <w:rPr>
          <w:rFonts w:hint="default" w:ascii="Times New Roman" w:hAnsi="Times New Roman" w:cs="Times New Roman"/>
          <w:sz w:val="21"/>
          <w:szCs w:val="21"/>
        </w:rPr>
      </w:pPr>
      <w:r>
        <w:rPr>
          <w:rFonts w:hint="default" w:ascii="Times New Roman" w:hAnsi="Times New Roman" w:eastAsia="宋体" w:cs="Times New Roman"/>
          <w:sz w:val="21"/>
          <w:szCs w:val="21"/>
        </w:rPr>
        <w:t> </w:t>
      </w:r>
    </w:p>
    <w:p w14:paraId="4E301192">
      <w:pPr>
        <w:pStyle w:val="5"/>
        <w:keepNext w:val="0"/>
        <w:keepLines w:val="0"/>
        <w:widowControl/>
        <w:suppressLineNumbers w:val="0"/>
        <w:spacing w:before="0" w:beforeAutospacing="0" w:after="0" w:afterAutospacing="0" w:line="580" w:lineRule="atLeast"/>
        <w:ind w:left="630" w:right="0"/>
        <w:jc w:val="both"/>
        <w:rPr>
          <w:rFonts w:hint="default" w:ascii="Times New Roman" w:hAnsi="Times New Roman" w:cs="Times New Roman"/>
          <w:sz w:val="21"/>
          <w:szCs w:val="21"/>
        </w:rPr>
      </w:pPr>
      <w:r>
        <w:rPr>
          <w:rFonts w:hint="default" w:ascii="Times New Roman" w:hAnsi="Times New Roman" w:eastAsia="宋体" w:cs="Times New Roman"/>
          <w:sz w:val="21"/>
          <w:szCs w:val="21"/>
        </w:rPr>
        <w:t> </w:t>
      </w:r>
    </w:p>
    <w:p w14:paraId="099EA0FE">
      <w:pPr>
        <w:pStyle w:val="5"/>
        <w:keepNext w:val="0"/>
        <w:keepLines w:val="0"/>
        <w:widowControl/>
        <w:suppressLineNumbers w:val="0"/>
        <w:spacing w:before="0" w:beforeAutospacing="0" w:after="0" w:afterAutospacing="0" w:line="580" w:lineRule="atLeast"/>
        <w:ind w:left="630" w:right="0"/>
        <w:jc w:val="both"/>
        <w:rPr>
          <w:rFonts w:hint="default" w:ascii="Times New Roman" w:hAnsi="Times New Roman" w:cs="Times New Roman"/>
          <w:sz w:val="21"/>
          <w:szCs w:val="21"/>
        </w:rPr>
      </w:pPr>
      <w:r>
        <w:rPr>
          <w:rFonts w:hint="default" w:ascii="Times New Roman" w:hAnsi="Times New Roman" w:eastAsia="宋体" w:cs="Times New Roman"/>
          <w:sz w:val="21"/>
          <w:szCs w:val="21"/>
        </w:rPr>
        <w:t> </w:t>
      </w:r>
    </w:p>
    <w:p w14:paraId="7E063DED">
      <w:pPr>
        <w:pStyle w:val="5"/>
        <w:keepNext w:val="0"/>
        <w:keepLines w:val="0"/>
        <w:widowControl/>
        <w:suppressLineNumbers w:val="0"/>
        <w:spacing w:before="0" w:beforeAutospacing="0" w:after="0" w:afterAutospacing="0" w:line="580" w:lineRule="atLeast"/>
        <w:ind w:left="630" w:right="0"/>
        <w:jc w:val="both"/>
        <w:rPr>
          <w:rFonts w:hint="default" w:ascii="Times New Roman" w:hAnsi="Times New Roman" w:cs="Times New Roman"/>
          <w:sz w:val="21"/>
          <w:szCs w:val="21"/>
        </w:rPr>
      </w:pPr>
      <w:r>
        <w:rPr>
          <w:rFonts w:hint="eastAsia" w:ascii="楷体_GB2312" w:hAnsi="Times New Roman" w:eastAsia="楷体_GB2312" w:cs="楷体_GB2312"/>
          <w:sz w:val="32"/>
          <w:szCs w:val="32"/>
        </w:rPr>
        <w:t>2.部门绩效评价结果。</w:t>
      </w:r>
    </w:p>
    <w:p w14:paraId="670CEE98">
      <w:pPr>
        <w:pStyle w:val="5"/>
        <w:keepNext w:val="0"/>
        <w:keepLines w:val="0"/>
        <w:widowControl/>
        <w:suppressLineNumbers w:val="0"/>
        <w:spacing w:before="0" w:beforeAutospacing="0" w:after="0" w:afterAutospacing="0" w:line="580" w:lineRule="atLeast"/>
        <w:ind w:left="0" w:right="0" w:firstLine="640"/>
        <w:jc w:val="both"/>
        <w:rPr>
          <w:rFonts w:hint="default" w:ascii="Times New Roman" w:hAnsi="Times New Roman" w:cs="Times New Roman"/>
          <w:sz w:val="21"/>
          <w:szCs w:val="21"/>
        </w:rPr>
      </w:pPr>
      <w:r>
        <w:rPr>
          <w:rFonts w:hint="eastAsia" w:ascii="宋体" w:hAnsi="宋体" w:eastAsia="宋体" w:cs="宋体"/>
          <w:sz w:val="32"/>
          <w:szCs w:val="32"/>
        </w:rPr>
        <w:t>本部门按要求对</w:t>
      </w:r>
      <w:r>
        <w:rPr>
          <w:rFonts w:hint="default" w:ascii="Times New Roman" w:hAnsi="Times New Roman" w:eastAsia="宋体" w:cs="Times New Roman"/>
          <w:sz w:val="32"/>
          <w:szCs w:val="32"/>
        </w:rPr>
        <w:t>2019</w:t>
      </w:r>
      <w:r>
        <w:rPr>
          <w:rFonts w:hint="eastAsia" w:ascii="宋体" w:hAnsi="宋体" w:eastAsia="宋体" w:cs="宋体"/>
          <w:sz w:val="32"/>
          <w:szCs w:val="32"/>
        </w:rPr>
        <w:t>年部门整体支出绩效评价情况开展自评，《中共峨边彝族自治县委党校</w:t>
      </w:r>
      <w:r>
        <w:rPr>
          <w:rFonts w:hint="default" w:ascii="Times New Roman" w:hAnsi="Times New Roman" w:eastAsia="宋体" w:cs="Times New Roman"/>
          <w:sz w:val="32"/>
          <w:szCs w:val="32"/>
        </w:rPr>
        <w:t>2019</w:t>
      </w:r>
      <w:r>
        <w:rPr>
          <w:rFonts w:hint="eastAsia" w:ascii="宋体" w:hAnsi="宋体" w:eastAsia="宋体" w:cs="宋体"/>
          <w:sz w:val="32"/>
          <w:szCs w:val="32"/>
        </w:rPr>
        <w:t>年部门整体支出绩效评价报告》见附件（附件</w:t>
      </w:r>
      <w:r>
        <w:rPr>
          <w:rFonts w:hint="default" w:ascii="Times New Roman" w:hAnsi="Times New Roman" w:eastAsia="宋体" w:cs="Times New Roman"/>
          <w:sz w:val="32"/>
          <w:szCs w:val="32"/>
        </w:rPr>
        <w:t>1</w:t>
      </w:r>
      <w:r>
        <w:rPr>
          <w:rFonts w:hint="eastAsia" w:ascii="宋体" w:hAnsi="宋体" w:eastAsia="宋体" w:cs="宋体"/>
          <w:sz w:val="32"/>
          <w:szCs w:val="32"/>
        </w:rPr>
        <w:t>）。</w:t>
      </w:r>
    </w:p>
    <w:p w14:paraId="0A35879D">
      <w:pPr>
        <w:pStyle w:val="5"/>
        <w:keepNext w:val="0"/>
        <w:keepLines w:val="0"/>
        <w:widowControl/>
        <w:suppressLineNumbers w:val="0"/>
        <w:spacing w:before="0" w:beforeAutospacing="0" w:after="0" w:afterAutospacing="0" w:line="580" w:lineRule="atLeast"/>
        <w:ind w:left="0" w:right="0" w:firstLine="640"/>
        <w:jc w:val="both"/>
        <w:rPr>
          <w:rFonts w:hint="default" w:ascii="Times New Roman" w:hAnsi="Times New Roman" w:cs="Times New Roman"/>
          <w:sz w:val="21"/>
          <w:szCs w:val="21"/>
        </w:rPr>
      </w:pPr>
      <w:r>
        <w:rPr>
          <w:rFonts w:hint="eastAsia" w:ascii="宋体" w:hAnsi="宋体" w:eastAsia="宋体" w:cs="宋体"/>
          <w:sz w:val="32"/>
          <w:szCs w:val="32"/>
        </w:rPr>
        <w:t>本部门自行组织对科研费项目开展了绩效评价，《科研项目</w:t>
      </w:r>
      <w:r>
        <w:rPr>
          <w:rFonts w:hint="default" w:ascii="Times New Roman" w:hAnsi="Times New Roman" w:eastAsia="宋体" w:cs="Times New Roman"/>
          <w:sz w:val="32"/>
          <w:szCs w:val="32"/>
        </w:rPr>
        <w:t>2019</w:t>
      </w:r>
      <w:r>
        <w:rPr>
          <w:rFonts w:hint="eastAsia" w:ascii="宋体" w:hAnsi="宋体" w:eastAsia="宋体" w:cs="宋体"/>
          <w:sz w:val="32"/>
          <w:szCs w:val="32"/>
        </w:rPr>
        <w:t>年绩效评价报告》见附件（附件</w:t>
      </w:r>
      <w:r>
        <w:rPr>
          <w:rFonts w:hint="default" w:ascii="Times New Roman" w:hAnsi="Times New Roman" w:eastAsia="宋体" w:cs="Times New Roman"/>
          <w:sz w:val="32"/>
          <w:szCs w:val="32"/>
        </w:rPr>
        <w:t>2</w:t>
      </w:r>
      <w:r>
        <w:rPr>
          <w:rFonts w:hint="eastAsia" w:ascii="宋体" w:hAnsi="宋体" w:eastAsia="宋体" w:cs="宋体"/>
          <w:sz w:val="32"/>
          <w:szCs w:val="32"/>
        </w:rPr>
        <w:t>）。</w:t>
      </w:r>
    </w:p>
    <w:p w14:paraId="0FD04FB8">
      <w:pPr>
        <w:pStyle w:val="5"/>
        <w:keepNext w:val="0"/>
        <w:keepLines w:val="0"/>
        <w:widowControl/>
        <w:suppressLineNumbers w:val="0"/>
        <w:spacing w:before="0" w:beforeAutospacing="0" w:after="0" w:afterAutospacing="0" w:line="600" w:lineRule="atLeast"/>
        <w:ind w:left="0" w:right="0" w:firstLine="660"/>
        <w:jc w:val="center"/>
        <w:rPr>
          <w:rFonts w:hint="default" w:ascii="Times New Roman" w:hAnsi="Times New Roman" w:cs="Times New Roman"/>
          <w:sz w:val="21"/>
          <w:szCs w:val="21"/>
        </w:rPr>
      </w:pPr>
      <w:r>
        <w:rPr>
          <w:rFonts w:hint="default" w:ascii="Times New Roman" w:hAnsi="Times New Roman" w:eastAsia="宋体" w:cs="Times New Roman"/>
          <w:b/>
          <w:bCs/>
          <w:color w:val="000000"/>
          <w:sz w:val="32"/>
          <w:szCs w:val="32"/>
        </w:rPr>
        <w:br w:type="page"/>
      </w:r>
      <w:r>
        <w:rPr>
          <w:rFonts w:hint="eastAsia" w:ascii="黑体" w:hAnsi="宋体" w:eastAsia="黑体" w:cs="黑体"/>
          <w:color w:val="000000"/>
          <w:sz w:val="44"/>
          <w:szCs w:val="44"/>
        </w:rPr>
        <w:t>第三部分 名</w:t>
      </w:r>
      <w:r>
        <w:rPr>
          <w:rFonts w:hint="eastAsia" w:ascii="黑体" w:hAnsi="宋体" w:eastAsia="黑体" w:cs="黑体"/>
          <w:b w:val="0"/>
          <w:bCs w:val="0"/>
          <w:sz w:val="44"/>
          <w:szCs w:val="44"/>
        </w:rPr>
        <w:t>词解释</w:t>
      </w:r>
    </w:p>
    <w:p w14:paraId="149C8A83">
      <w:pPr>
        <w:pStyle w:val="5"/>
        <w:keepNext w:val="0"/>
        <w:keepLines w:val="0"/>
        <w:widowControl/>
        <w:suppressLineNumbers w:val="0"/>
        <w:spacing w:before="0" w:beforeAutospacing="0" w:after="0" w:afterAutospacing="0" w:line="600" w:lineRule="atLeast"/>
        <w:ind w:left="0" w:right="0"/>
        <w:jc w:val="left"/>
        <w:rPr>
          <w:rFonts w:hint="default" w:ascii="Times New Roman" w:hAnsi="Times New Roman" w:cs="Times New Roman"/>
          <w:sz w:val="21"/>
          <w:szCs w:val="21"/>
        </w:rPr>
      </w:pPr>
      <w:r>
        <w:rPr>
          <w:rFonts w:hint="default" w:ascii="Times New Roman" w:hAnsi="Times New Roman" w:eastAsia="宋体" w:cs="Times New Roman"/>
          <w:sz w:val="21"/>
          <w:szCs w:val="21"/>
        </w:rPr>
        <w:t> </w:t>
      </w:r>
    </w:p>
    <w:p w14:paraId="6B864BF8">
      <w:pPr>
        <w:pStyle w:val="5"/>
        <w:keepNext w:val="0"/>
        <w:keepLines w:val="0"/>
        <w:widowControl/>
        <w:suppressLineNumbers w:val="0"/>
        <w:spacing w:before="0" w:beforeAutospacing="0" w:after="0" w:afterAutospacing="0" w:line="560" w:lineRule="atLeast"/>
        <w:ind w:left="0" w:right="0" w:firstLine="640"/>
        <w:rPr>
          <w:rFonts w:hint="eastAsia" w:ascii="仿宋" w:hAnsi="仿宋" w:eastAsia="仿宋" w:cs="仿宋"/>
          <w:color w:val="000000"/>
          <w:sz w:val="24"/>
          <w:szCs w:val="24"/>
        </w:rPr>
      </w:pPr>
      <w:r>
        <w:rPr>
          <w:rFonts w:hint="eastAsia" w:ascii="仿宋_GB2312" w:hAnsi="仿宋" w:eastAsia="仿宋_GB2312" w:cs="仿宋_GB2312"/>
          <w:color w:val="000000"/>
          <w:sz w:val="32"/>
          <w:szCs w:val="32"/>
        </w:rPr>
        <w:t>1.财政拨款收入：指单位从同级财政部门取得的财政预算资金。</w:t>
      </w:r>
    </w:p>
    <w:p w14:paraId="40BF160C">
      <w:pPr>
        <w:pStyle w:val="5"/>
        <w:keepNext w:val="0"/>
        <w:keepLines w:val="0"/>
        <w:widowControl/>
        <w:suppressLineNumbers w:val="0"/>
        <w:spacing w:before="0" w:beforeAutospacing="0" w:after="0" w:afterAutospacing="0" w:line="560" w:lineRule="atLeast"/>
        <w:ind w:left="0" w:right="0" w:firstLine="640"/>
        <w:rPr>
          <w:rFonts w:hint="eastAsia" w:ascii="仿宋" w:hAnsi="仿宋" w:eastAsia="仿宋" w:cs="仿宋"/>
          <w:color w:val="000000"/>
          <w:sz w:val="24"/>
          <w:szCs w:val="24"/>
        </w:rPr>
      </w:pPr>
      <w:r>
        <w:rPr>
          <w:rFonts w:hint="eastAsia" w:ascii="仿宋_GB2312" w:hAnsi="仿宋" w:eastAsia="仿宋_GB2312" w:cs="仿宋_GB2312"/>
          <w:color w:val="000000"/>
          <w:sz w:val="32"/>
          <w:szCs w:val="32"/>
        </w:rPr>
        <w:t>2.事业收入：指事业单位开展专业业务活动及辅助活动取得的收入。</w:t>
      </w:r>
    </w:p>
    <w:p w14:paraId="4D114500">
      <w:pPr>
        <w:pStyle w:val="5"/>
        <w:keepNext w:val="0"/>
        <w:keepLines w:val="0"/>
        <w:widowControl/>
        <w:suppressLineNumbers w:val="0"/>
        <w:spacing w:before="0" w:beforeAutospacing="0" w:after="0" w:afterAutospacing="0" w:line="560" w:lineRule="atLeast"/>
        <w:ind w:left="0" w:right="0" w:firstLine="640"/>
        <w:rPr>
          <w:rFonts w:hint="eastAsia" w:ascii="仿宋" w:hAnsi="仿宋" w:eastAsia="仿宋" w:cs="仿宋"/>
          <w:color w:val="000000"/>
          <w:sz w:val="24"/>
          <w:szCs w:val="24"/>
        </w:rPr>
      </w:pPr>
      <w:r>
        <w:rPr>
          <w:rFonts w:hint="eastAsia" w:ascii="仿宋_GB2312" w:hAnsi="仿宋" w:eastAsia="仿宋_GB2312" w:cs="仿宋_GB2312"/>
          <w:color w:val="000000"/>
          <w:sz w:val="32"/>
          <w:szCs w:val="32"/>
        </w:rPr>
        <w:t>3.经营收入：指事业单位在专业业务活动及其辅助活动之外开展非独立核算经营活动取得的收入。</w:t>
      </w:r>
    </w:p>
    <w:p w14:paraId="35E46F02">
      <w:pPr>
        <w:pStyle w:val="5"/>
        <w:keepNext w:val="0"/>
        <w:keepLines w:val="0"/>
        <w:widowControl/>
        <w:suppressLineNumbers w:val="0"/>
        <w:spacing w:before="0" w:beforeAutospacing="0" w:after="0" w:afterAutospacing="0" w:line="560" w:lineRule="atLeast"/>
        <w:ind w:left="0" w:right="0" w:firstLine="640"/>
        <w:rPr>
          <w:rFonts w:hint="eastAsia" w:ascii="仿宋" w:hAnsi="仿宋" w:eastAsia="仿宋" w:cs="仿宋"/>
          <w:color w:val="000000"/>
          <w:sz w:val="24"/>
          <w:szCs w:val="24"/>
        </w:rPr>
      </w:pPr>
      <w:r>
        <w:rPr>
          <w:rFonts w:hint="eastAsia" w:ascii="仿宋_GB2312" w:hAnsi="仿宋" w:eastAsia="仿宋_GB2312" w:cs="仿宋_GB2312"/>
          <w:color w:val="000000"/>
          <w:sz w:val="32"/>
          <w:szCs w:val="32"/>
        </w:rPr>
        <w:t>4.其他收入：指单位取得的除上述收入以外的各项收入。</w:t>
      </w:r>
    </w:p>
    <w:p w14:paraId="02A4CE1B">
      <w:pPr>
        <w:pStyle w:val="5"/>
        <w:keepNext w:val="0"/>
        <w:keepLines w:val="0"/>
        <w:widowControl/>
        <w:suppressLineNumbers w:val="0"/>
        <w:spacing w:before="0" w:beforeAutospacing="0" w:after="0" w:afterAutospacing="0" w:line="560" w:lineRule="atLeast"/>
        <w:ind w:left="0" w:right="0" w:firstLine="640"/>
        <w:rPr>
          <w:rFonts w:hint="eastAsia" w:ascii="仿宋" w:hAnsi="仿宋" w:eastAsia="仿宋" w:cs="仿宋"/>
          <w:color w:val="000000"/>
          <w:sz w:val="24"/>
          <w:szCs w:val="24"/>
        </w:rPr>
      </w:pPr>
      <w:r>
        <w:rPr>
          <w:rFonts w:hint="eastAsia" w:ascii="仿宋_GB2312" w:hAnsi="仿宋" w:eastAsia="仿宋_GB2312" w:cs="仿宋_GB2312"/>
          <w:color w:val="000000"/>
          <w:sz w:val="32"/>
          <w:szCs w:val="32"/>
        </w:rPr>
        <w:t>5.用事业基金弥补收支差额：指事业单位在当年的财政拨款收入、事业收入、经营收入、其他收入不足以安排当年支出的情况下，使用以前年度积累的事业基金（事业单位当年收支相抵后按国家规定提取、用于弥补以后年度收支差额的基金）弥补本年度收支缺口的资金。</w:t>
      </w:r>
    </w:p>
    <w:p w14:paraId="6BDFA000">
      <w:pPr>
        <w:pStyle w:val="5"/>
        <w:keepNext w:val="0"/>
        <w:keepLines w:val="0"/>
        <w:widowControl/>
        <w:suppressLineNumbers w:val="0"/>
        <w:spacing w:before="0" w:beforeAutospacing="0" w:after="0" w:afterAutospacing="0" w:line="560" w:lineRule="atLeast"/>
        <w:ind w:left="0" w:right="0" w:firstLine="640"/>
        <w:rPr>
          <w:rFonts w:hint="eastAsia" w:ascii="仿宋" w:hAnsi="仿宋" w:eastAsia="仿宋" w:cs="仿宋"/>
          <w:color w:val="000000"/>
          <w:sz w:val="24"/>
          <w:szCs w:val="24"/>
        </w:rPr>
      </w:pPr>
      <w:r>
        <w:rPr>
          <w:rFonts w:hint="eastAsia" w:ascii="仿宋_GB2312" w:hAnsi="仿宋" w:eastAsia="仿宋_GB2312" w:cs="仿宋_GB2312"/>
          <w:color w:val="000000"/>
          <w:sz w:val="32"/>
          <w:szCs w:val="32"/>
        </w:rPr>
        <w:t>6.年初结转和结余：指以前年度尚未完成、结转到本年按有关规定继续使用的资金。</w:t>
      </w:r>
    </w:p>
    <w:p w14:paraId="3AFD5728">
      <w:pPr>
        <w:pStyle w:val="5"/>
        <w:keepNext w:val="0"/>
        <w:keepLines w:val="0"/>
        <w:widowControl/>
        <w:suppressLineNumbers w:val="0"/>
        <w:spacing w:before="0" w:beforeAutospacing="0" w:after="0" w:afterAutospacing="0" w:line="560" w:lineRule="atLeast"/>
        <w:ind w:left="0" w:right="0" w:firstLine="640"/>
        <w:rPr>
          <w:rFonts w:hint="eastAsia" w:ascii="仿宋" w:hAnsi="仿宋" w:eastAsia="仿宋" w:cs="仿宋"/>
          <w:color w:val="000000"/>
          <w:sz w:val="24"/>
          <w:szCs w:val="24"/>
        </w:rPr>
      </w:pPr>
      <w:r>
        <w:rPr>
          <w:rFonts w:hint="eastAsia" w:ascii="仿宋_GB2312" w:hAnsi="仿宋" w:eastAsia="仿宋_GB2312" w:cs="仿宋_GB2312"/>
          <w:color w:val="000000"/>
          <w:sz w:val="32"/>
          <w:szCs w:val="32"/>
        </w:rPr>
        <w:t>7.结余分配：指事业单位按照事业单位会计制度的规定从非财政补助结余中分配的事业基金和职工福利基金等。</w:t>
      </w:r>
    </w:p>
    <w:p w14:paraId="1834E7ED">
      <w:pPr>
        <w:pStyle w:val="5"/>
        <w:keepNext w:val="0"/>
        <w:keepLines w:val="0"/>
        <w:widowControl/>
        <w:suppressLineNumbers w:val="0"/>
        <w:spacing w:before="0" w:beforeAutospacing="0" w:after="0" w:afterAutospacing="0" w:line="560" w:lineRule="atLeast"/>
        <w:ind w:left="0" w:right="0" w:firstLine="640"/>
        <w:rPr>
          <w:rFonts w:hint="eastAsia" w:ascii="仿宋" w:hAnsi="仿宋" w:eastAsia="仿宋" w:cs="仿宋"/>
          <w:color w:val="000000"/>
          <w:sz w:val="24"/>
          <w:szCs w:val="24"/>
        </w:rPr>
      </w:pPr>
      <w:r>
        <w:rPr>
          <w:rFonts w:hint="eastAsia" w:ascii="仿宋_GB2312" w:hAnsi="仿宋" w:eastAsia="仿宋_GB2312" w:cs="仿宋_GB2312"/>
          <w:color w:val="000000"/>
          <w:sz w:val="32"/>
          <w:szCs w:val="32"/>
        </w:rPr>
        <w:t>8、年末结转和结余：指单位按有关规定结转到下年或以后年度继续使用的资金。</w:t>
      </w:r>
    </w:p>
    <w:p w14:paraId="6C6C76EC">
      <w:pPr>
        <w:pStyle w:val="5"/>
        <w:keepNext w:val="0"/>
        <w:keepLines w:val="0"/>
        <w:widowControl/>
        <w:suppressLineNumbers w:val="0"/>
        <w:spacing w:before="0" w:beforeAutospacing="0" w:after="0" w:afterAutospacing="0" w:line="560" w:lineRule="atLeast"/>
        <w:ind w:left="0" w:right="0" w:firstLine="640"/>
        <w:rPr>
          <w:rFonts w:hint="eastAsia" w:ascii="仿宋" w:hAnsi="仿宋" w:eastAsia="仿宋" w:cs="仿宋"/>
          <w:color w:val="000000"/>
          <w:sz w:val="24"/>
          <w:szCs w:val="24"/>
        </w:rPr>
      </w:pPr>
      <w:r>
        <w:rPr>
          <w:rFonts w:hint="eastAsia" w:ascii="仿宋_GB2312" w:hAnsi="仿宋" w:eastAsia="仿宋_GB2312" w:cs="仿宋_GB2312"/>
          <w:color w:val="000000"/>
          <w:sz w:val="32"/>
          <w:szCs w:val="32"/>
        </w:rPr>
        <w:t>9、教育支出（类）进修及培训（款）干部教育（项）</w:t>
      </w:r>
      <w:r>
        <w:rPr>
          <w:rFonts w:hint="eastAsia" w:ascii="仿宋_GB2312" w:hAnsi="仿宋" w:eastAsia="仿宋_GB2312" w:cs="仿宋_GB2312"/>
          <w:color w:val="000000"/>
          <w:sz w:val="32"/>
          <w:szCs w:val="32"/>
          <w:lang w:eastAsia="zh-CN"/>
        </w:rPr>
        <w:t>：</w:t>
      </w:r>
      <w:r>
        <w:rPr>
          <w:rFonts w:hint="eastAsia" w:ascii="仿宋_GB2312" w:hAnsi="仿宋" w:eastAsia="仿宋_GB2312" w:cs="仿宋_GB2312"/>
          <w:color w:val="000000"/>
          <w:sz w:val="32"/>
          <w:szCs w:val="32"/>
        </w:rPr>
        <w:t>反映党校、行政学院的支出。包括机构运转、招聘师资、举办各类培训班的支出等。</w:t>
      </w:r>
    </w:p>
    <w:p w14:paraId="4C1AFDC9">
      <w:pPr>
        <w:pStyle w:val="5"/>
        <w:keepNext w:val="0"/>
        <w:keepLines w:val="0"/>
        <w:widowControl/>
        <w:suppressLineNumbers w:val="0"/>
        <w:spacing w:before="0" w:beforeAutospacing="0" w:after="0" w:afterAutospacing="0"/>
        <w:ind w:left="0" w:right="0" w:firstLine="640"/>
        <w:jc w:val="both"/>
        <w:rPr>
          <w:rFonts w:hint="default" w:ascii="Times New Roman" w:hAnsi="Times New Roman" w:cs="Times New Roman"/>
          <w:sz w:val="21"/>
          <w:szCs w:val="21"/>
        </w:rPr>
      </w:pPr>
      <w:r>
        <w:rPr>
          <w:rFonts w:hint="eastAsia" w:ascii="仿宋_GB2312" w:hAnsi="Times New Roman" w:eastAsia="仿宋_GB2312" w:cs="仿宋_GB2312"/>
          <w:color w:val="000000"/>
          <w:sz w:val="32"/>
          <w:szCs w:val="32"/>
        </w:rPr>
        <w:t>10.一般公共服务（类）组织事务（款）其他组织事务支出（项）：指除行政运行、一般行政管理事务、机关服务、事业运行以外</w:t>
      </w:r>
      <w:r>
        <w:rPr>
          <w:rFonts w:hint="eastAsia" w:ascii="仿宋_GB2312" w:hAnsi="Times New Roman" w:eastAsia="仿宋_GB2312" w:cs="仿宋_GB2312"/>
          <w:color w:val="000000"/>
          <w:sz w:val="32"/>
          <w:szCs w:val="32"/>
          <w:lang w:eastAsia="zh-CN"/>
        </w:rPr>
        <w:t>的</w:t>
      </w:r>
      <w:r>
        <w:rPr>
          <w:rFonts w:hint="eastAsia" w:ascii="仿宋_GB2312" w:hAnsi="Times New Roman" w:eastAsia="仿宋_GB2312" w:cs="仿宋_GB2312"/>
          <w:color w:val="000000"/>
          <w:sz w:val="32"/>
          <w:szCs w:val="32"/>
        </w:rPr>
        <w:t>用于中国共产党组织部门的事务支出。</w:t>
      </w:r>
    </w:p>
    <w:p w14:paraId="5FE5521D">
      <w:pPr>
        <w:pStyle w:val="5"/>
        <w:keepNext w:val="0"/>
        <w:keepLines w:val="0"/>
        <w:widowControl/>
        <w:suppressLineNumbers w:val="0"/>
        <w:spacing w:before="0" w:beforeAutospacing="0" w:after="0" w:afterAutospacing="0"/>
        <w:ind w:left="0" w:right="0" w:firstLine="640"/>
        <w:jc w:val="both"/>
        <w:rPr>
          <w:rFonts w:hint="default" w:ascii="Times New Roman" w:hAnsi="Times New Roman" w:cs="Times New Roman"/>
          <w:sz w:val="21"/>
          <w:szCs w:val="21"/>
        </w:rPr>
      </w:pPr>
      <w:r>
        <w:rPr>
          <w:rFonts w:hint="eastAsia" w:ascii="仿宋_GB2312" w:hAnsi="Times New Roman" w:eastAsia="仿宋_GB2312" w:cs="仿宋_GB2312"/>
          <w:color w:val="000000"/>
          <w:sz w:val="32"/>
          <w:szCs w:val="32"/>
        </w:rPr>
        <w:t>11.社会保障和就业（类）行政事业单位离退休（款）机关事业单位基本养老保险缴费支出（项）</w:t>
      </w:r>
      <w:r>
        <w:rPr>
          <w:rFonts w:hint="eastAsia" w:ascii="仿宋_GB2312" w:hAnsi="Times New Roman" w:eastAsia="仿宋_GB2312" w:cs="仿宋_GB2312"/>
          <w:color w:val="000000"/>
          <w:sz w:val="32"/>
          <w:szCs w:val="32"/>
          <w:lang w:eastAsia="zh-CN"/>
        </w:rPr>
        <w:t>：</w:t>
      </w:r>
      <w:r>
        <w:rPr>
          <w:rFonts w:hint="eastAsia" w:ascii="仿宋_GB2312" w:hAnsi="Times New Roman" w:eastAsia="仿宋_GB2312" w:cs="仿宋_GB2312"/>
          <w:color w:val="000000"/>
          <w:sz w:val="32"/>
          <w:szCs w:val="32"/>
        </w:rPr>
        <w:t>指行政事业单位实施养老保险制度由单位缴纳的基本养老保险费支出。</w:t>
      </w:r>
    </w:p>
    <w:p w14:paraId="6EC851EE">
      <w:pPr>
        <w:pStyle w:val="5"/>
        <w:keepNext w:val="0"/>
        <w:keepLines w:val="0"/>
        <w:widowControl/>
        <w:suppressLineNumbers w:val="0"/>
        <w:spacing w:before="0" w:beforeAutospacing="0" w:after="0" w:afterAutospacing="0"/>
        <w:ind w:left="0" w:right="0" w:firstLine="640"/>
        <w:jc w:val="both"/>
        <w:rPr>
          <w:rFonts w:hint="default" w:ascii="Times New Roman" w:hAnsi="Times New Roman" w:cs="Times New Roman"/>
          <w:sz w:val="21"/>
          <w:szCs w:val="21"/>
        </w:rPr>
      </w:pPr>
      <w:r>
        <w:rPr>
          <w:rFonts w:hint="eastAsia" w:ascii="仿宋_GB2312" w:hAnsi="Times New Roman" w:eastAsia="仿宋_GB2312" w:cs="仿宋_GB2312"/>
          <w:color w:val="000000"/>
          <w:sz w:val="32"/>
          <w:szCs w:val="32"/>
        </w:rPr>
        <w:t>12.社会保障和就业（类）行政事业单位离退休（款）机关事业单位职业年金缴费支出（项）</w:t>
      </w:r>
      <w:r>
        <w:rPr>
          <w:rFonts w:hint="eastAsia" w:ascii="仿宋_GB2312" w:hAnsi="Times New Roman" w:eastAsia="仿宋_GB2312" w:cs="仿宋_GB2312"/>
          <w:color w:val="000000"/>
          <w:sz w:val="32"/>
          <w:szCs w:val="32"/>
          <w:lang w:eastAsia="zh-CN"/>
        </w:rPr>
        <w:t>：</w:t>
      </w:r>
      <w:r>
        <w:rPr>
          <w:rFonts w:hint="eastAsia" w:ascii="仿宋_GB2312" w:hAnsi="Times New Roman" w:eastAsia="仿宋_GB2312" w:cs="仿宋_GB2312"/>
          <w:color w:val="000000"/>
          <w:sz w:val="32"/>
          <w:szCs w:val="32"/>
        </w:rPr>
        <w:t>指行政事业单位实施养老保险制度由单位缴纳的职业年金支出。</w:t>
      </w:r>
    </w:p>
    <w:p w14:paraId="34591790">
      <w:pPr>
        <w:pStyle w:val="5"/>
        <w:keepNext w:val="0"/>
        <w:keepLines w:val="0"/>
        <w:widowControl/>
        <w:suppressLineNumbers w:val="0"/>
        <w:spacing w:before="0" w:beforeAutospacing="0" w:after="0" w:afterAutospacing="0"/>
        <w:ind w:left="0" w:right="0" w:firstLine="640"/>
        <w:jc w:val="both"/>
        <w:rPr>
          <w:rFonts w:hint="default" w:ascii="Times New Roman" w:hAnsi="Times New Roman" w:cs="Times New Roman"/>
          <w:sz w:val="21"/>
          <w:szCs w:val="21"/>
        </w:rPr>
      </w:pPr>
      <w:r>
        <w:rPr>
          <w:rFonts w:hint="eastAsia" w:ascii="仿宋_GB2312" w:hAnsi="Times New Roman" w:eastAsia="仿宋_GB2312" w:cs="仿宋_GB2312"/>
          <w:color w:val="000000"/>
          <w:sz w:val="32"/>
          <w:szCs w:val="32"/>
        </w:rPr>
        <w:t>13.社会保障和就业支出（类）行政事业单位离退休（款）未归口管理的行政事业单位离退休（项）</w:t>
      </w:r>
      <w:r>
        <w:rPr>
          <w:rFonts w:hint="eastAsia" w:ascii="仿宋_GB2312" w:hAnsi="Times New Roman" w:eastAsia="仿宋_GB2312" w:cs="仿宋_GB2312"/>
          <w:color w:val="000000"/>
          <w:sz w:val="32"/>
          <w:szCs w:val="32"/>
          <w:lang w:eastAsia="zh-CN"/>
        </w:rPr>
        <w:t>：</w:t>
      </w:r>
      <w:r>
        <w:rPr>
          <w:rFonts w:hint="eastAsia" w:ascii="仿宋_GB2312" w:hAnsi="Times New Roman" w:eastAsia="仿宋_GB2312" w:cs="仿宋_GB2312"/>
          <w:color w:val="000000"/>
          <w:sz w:val="32"/>
          <w:szCs w:val="32"/>
        </w:rPr>
        <w:t>反映未实行归口管理</w:t>
      </w:r>
      <w:r>
        <w:rPr>
          <w:rFonts w:hint="eastAsia" w:ascii="仿宋_GB2312" w:hAnsi="Times New Roman" w:eastAsia="仿宋_GB2312" w:cs="仿宋_GB2312"/>
          <w:color w:val="000000"/>
          <w:sz w:val="32"/>
          <w:szCs w:val="32"/>
          <w:lang w:eastAsia="zh-CN"/>
        </w:rPr>
        <w:t>的</w:t>
      </w:r>
      <w:r>
        <w:rPr>
          <w:rFonts w:hint="eastAsia" w:ascii="仿宋_GB2312" w:hAnsi="Times New Roman" w:eastAsia="仿宋_GB2312" w:cs="仿宋_GB2312"/>
          <w:color w:val="000000"/>
          <w:sz w:val="32"/>
          <w:szCs w:val="32"/>
        </w:rPr>
        <w:t>行政单位开支的离退休经费。</w:t>
      </w:r>
    </w:p>
    <w:p w14:paraId="00A1A1E6">
      <w:pPr>
        <w:pStyle w:val="5"/>
        <w:keepNext w:val="0"/>
        <w:keepLines w:val="0"/>
        <w:widowControl/>
        <w:suppressLineNumbers w:val="0"/>
        <w:spacing w:before="0" w:beforeAutospacing="0" w:after="0" w:afterAutospacing="0"/>
        <w:ind w:left="0" w:right="0" w:firstLine="640"/>
        <w:jc w:val="both"/>
        <w:rPr>
          <w:rFonts w:hint="default" w:ascii="Times New Roman" w:hAnsi="Times New Roman" w:cs="Times New Roman"/>
          <w:sz w:val="21"/>
          <w:szCs w:val="21"/>
        </w:rPr>
      </w:pPr>
      <w:r>
        <w:rPr>
          <w:rFonts w:hint="eastAsia" w:ascii="仿宋_GB2312" w:hAnsi="Times New Roman" w:eastAsia="仿宋_GB2312" w:cs="仿宋_GB2312"/>
          <w:color w:val="000000"/>
          <w:sz w:val="32"/>
          <w:szCs w:val="32"/>
        </w:rPr>
        <w:t>14.社会保障和就业支出（类）行政事业单位离退休（款）其他社会保障和就业支出（项）：反映除上述项目以外其他用于社会保障和就业方面的支出。</w:t>
      </w:r>
    </w:p>
    <w:p w14:paraId="5C75F04F">
      <w:pPr>
        <w:pStyle w:val="5"/>
        <w:keepNext w:val="0"/>
        <w:keepLines w:val="0"/>
        <w:widowControl/>
        <w:suppressLineNumbers w:val="0"/>
        <w:spacing w:before="0" w:beforeAutospacing="0" w:after="0" w:afterAutospacing="0"/>
        <w:ind w:left="0" w:right="0" w:firstLine="640"/>
        <w:jc w:val="both"/>
        <w:rPr>
          <w:rFonts w:hint="default" w:ascii="Times New Roman" w:hAnsi="Times New Roman" w:cs="Times New Roman"/>
          <w:sz w:val="21"/>
          <w:szCs w:val="21"/>
        </w:rPr>
      </w:pPr>
      <w:r>
        <w:rPr>
          <w:rFonts w:hint="eastAsia" w:ascii="仿宋_GB2312" w:hAnsi="Times New Roman" w:eastAsia="仿宋_GB2312" w:cs="仿宋_GB2312"/>
          <w:color w:val="000000"/>
          <w:sz w:val="32"/>
          <w:szCs w:val="32"/>
        </w:rPr>
        <w:t>15.医疗卫生与计划生育（类）行政事业单位医疗（款）行政单位医疗（项）</w:t>
      </w:r>
      <w:r>
        <w:rPr>
          <w:rFonts w:hint="eastAsia" w:ascii="仿宋_GB2312" w:hAnsi="Times New Roman" w:eastAsia="仿宋_GB2312" w:cs="仿宋_GB2312"/>
          <w:color w:val="000000"/>
          <w:sz w:val="32"/>
          <w:szCs w:val="32"/>
          <w:lang w:eastAsia="zh-CN"/>
        </w:rPr>
        <w:t>：</w:t>
      </w:r>
      <w:r>
        <w:rPr>
          <w:rFonts w:hint="eastAsia" w:ascii="仿宋_GB2312" w:hAnsi="Times New Roman" w:eastAsia="仿宋_GB2312" w:cs="仿宋_GB2312"/>
          <w:color w:val="000000"/>
          <w:sz w:val="32"/>
          <w:szCs w:val="32"/>
        </w:rPr>
        <w:t>指财政部门集中安排的行政单位基本医疗保险缴费经费。</w:t>
      </w:r>
    </w:p>
    <w:p w14:paraId="05549265">
      <w:pPr>
        <w:pStyle w:val="5"/>
        <w:keepNext w:val="0"/>
        <w:keepLines w:val="0"/>
        <w:widowControl/>
        <w:suppressLineNumbers w:val="0"/>
        <w:spacing w:before="0" w:beforeAutospacing="0" w:after="0" w:afterAutospacing="0"/>
        <w:ind w:left="0" w:right="0" w:firstLine="640"/>
        <w:jc w:val="both"/>
        <w:rPr>
          <w:rFonts w:hint="default" w:ascii="Times New Roman" w:hAnsi="Times New Roman" w:cs="Times New Roman"/>
          <w:sz w:val="21"/>
          <w:szCs w:val="21"/>
        </w:rPr>
      </w:pPr>
      <w:r>
        <w:rPr>
          <w:rFonts w:hint="eastAsia" w:ascii="仿宋_GB2312" w:hAnsi="Times New Roman" w:eastAsia="仿宋_GB2312" w:cs="仿宋_GB2312"/>
          <w:color w:val="000000"/>
          <w:sz w:val="32"/>
          <w:szCs w:val="32"/>
        </w:rPr>
        <w:t>16.住房保障支出（类）住房改革支出（款）住房公积金（项）</w:t>
      </w:r>
      <w:r>
        <w:rPr>
          <w:rFonts w:hint="eastAsia" w:ascii="仿宋_GB2312" w:hAnsi="Times New Roman" w:eastAsia="仿宋_GB2312" w:cs="仿宋_GB2312"/>
          <w:color w:val="000000"/>
          <w:sz w:val="32"/>
          <w:szCs w:val="32"/>
          <w:lang w:eastAsia="zh-CN"/>
        </w:rPr>
        <w:t>：</w:t>
      </w:r>
      <w:r>
        <w:rPr>
          <w:rFonts w:hint="eastAsia" w:ascii="仿宋_GB2312" w:hAnsi="Times New Roman" w:eastAsia="仿宋_GB2312" w:cs="仿宋_GB2312"/>
          <w:color w:val="000000"/>
          <w:sz w:val="32"/>
          <w:szCs w:val="32"/>
        </w:rPr>
        <w:t>指行政事业单位按人力资源和社会保障部、财政部规定的基本工资和津贴补贴以及规定比例为职工缴纳的住房公积金。</w:t>
      </w:r>
    </w:p>
    <w:p w14:paraId="572540B3">
      <w:pPr>
        <w:pStyle w:val="5"/>
        <w:keepNext w:val="0"/>
        <w:keepLines w:val="0"/>
        <w:widowControl/>
        <w:suppressLineNumbers w:val="0"/>
        <w:spacing w:before="0" w:beforeAutospacing="0" w:after="0" w:afterAutospacing="0"/>
        <w:ind w:left="0" w:right="0" w:firstLine="640"/>
        <w:jc w:val="both"/>
        <w:rPr>
          <w:rFonts w:hint="default" w:ascii="Times New Roman" w:hAnsi="Times New Roman" w:cs="Times New Roman"/>
          <w:sz w:val="21"/>
          <w:szCs w:val="21"/>
        </w:rPr>
      </w:pPr>
      <w:r>
        <w:rPr>
          <w:rFonts w:hint="eastAsia" w:ascii="仿宋_GB2312" w:hAnsi="Times New Roman" w:eastAsia="仿宋_GB2312" w:cs="仿宋_GB2312"/>
          <w:color w:val="000000"/>
          <w:sz w:val="32"/>
          <w:szCs w:val="32"/>
        </w:rPr>
        <w:t>17.基本支出：指为保障机构正常运转、完成日常工作任务而发生的人员支出和公用支出。</w:t>
      </w:r>
    </w:p>
    <w:p w14:paraId="4654E349">
      <w:pPr>
        <w:pStyle w:val="5"/>
        <w:keepNext w:val="0"/>
        <w:keepLines w:val="0"/>
        <w:widowControl/>
        <w:suppressLineNumbers w:val="0"/>
        <w:spacing w:before="0" w:beforeAutospacing="0" w:after="0" w:afterAutospacing="0"/>
        <w:ind w:left="0" w:right="0" w:firstLine="640"/>
        <w:jc w:val="both"/>
        <w:rPr>
          <w:rFonts w:hint="default" w:ascii="Times New Roman" w:hAnsi="Times New Roman" w:cs="Times New Roman"/>
          <w:sz w:val="21"/>
          <w:szCs w:val="21"/>
        </w:rPr>
      </w:pPr>
      <w:r>
        <w:rPr>
          <w:rFonts w:hint="eastAsia" w:ascii="仿宋_GB2312" w:hAnsi="Times New Roman" w:eastAsia="仿宋_GB2312" w:cs="仿宋_GB2312"/>
          <w:color w:val="000000"/>
          <w:sz w:val="32"/>
          <w:szCs w:val="32"/>
        </w:rPr>
        <w:t>18.项目支出：指在基本支出之外为完成特定行政任务和事业发展目标所发生的支出。</w:t>
      </w:r>
    </w:p>
    <w:p w14:paraId="7F67933D">
      <w:pPr>
        <w:pStyle w:val="5"/>
        <w:keepNext w:val="0"/>
        <w:keepLines w:val="0"/>
        <w:widowControl/>
        <w:suppressLineNumbers w:val="0"/>
        <w:spacing w:before="0" w:beforeAutospacing="0" w:after="0" w:afterAutospacing="0"/>
        <w:ind w:left="0" w:right="0" w:firstLine="640"/>
        <w:jc w:val="both"/>
        <w:rPr>
          <w:rFonts w:hint="default" w:ascii="Times New Roman" w:hAnsi="Times New Roman" w:cs="Times New Roman"/>
          <w:sz w:val="21"/>
          <w:szCs w:val="21"/>
        </w:rPr>
      </w:pPr>
      <w:r>
        <w:rPr>
          <w:rFonts w:hint="eastAsia" w:ascii="仿宋_GB2312" w:hAnsi="Times New Roman" w:eastAsia="仿宋_GB2312" w:cs="仿宋_GB2312"/>
          <w:color w:val="000000"/>
          <w:sz w:val="32"/>
          <w:szCs w:val="32"/>
        </w:rPr>
        <w:t>19.经营支出：指事业单位在专业业务活动及其辅助活动之外开展非独立核算经营活动发生的支出。</w:t>
      </w:r>
    </w:p>
    <w:p w14:paraId="0CA36CCE">
      <w:pPr>
        <w:pStyle w:val="5"/>
        <w:keepNext w:val="0"/>
        <w:keepLines w:val="0"/>
        <w:widowControl/>
        <w:suppressLineNumbers w:val="0"/>
        <w:spacing w:before="0" w:beforeAutospacing="0" w:after="0" w:afterAutospacing="0" w:line="560" w:lineRule="atLeast"/>
        <w:ind w:left="0" w:right="0" w:firstLine="640"/>
        <w:rPr>
          <w:rFonts w:hint="eastAsia" w:ascii="仿宋" w:hAnsi="仿宋" w:eastAsia="仿宋" w:cs="仿宋"/>
          <w:color w:val="000000"/>
          <w:sz w:val="24"/>
          <w:szCs w:val="24"/>
        </w:rPr>
      </w:pPr>
      <w:r>
        <w:rPr>
          <w:rFonts w:hint="eastAsia" w:ascii="仿宋_GB2312" w:hAnsi="仿宋" w:eastAsia="仿宋_GB2312" w:cs="仿宋_GB2312"/>
          <w:color w:val="000000"/>
          <w:sz w:val="32"/>
          <w:szCs w:val="32"/>
        </w:rPr>
        <w:t>20.“三公”经费：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车辆购置支出（含车辆购置税）及租用费、燃料费、维修费、过路过桥费、保险费等支出；公务接待费反映单位按规定开支的各类公务接待（含外宾接待）支出。</w:t>
      </w:r>
    </w:p>
    <w:p w14:paraId="51C2BD72">
      <w:pPr>
        <w:pStyle w:val="5"/>
        <w:keepNext w:val="0"/>
        <w:keepLines w:val="0"/>
        <w:widowControl/>
        <w:suppressLineNumbers w:val="0"/>
        <w:spacing w:before="0" w:beforeAutospacing="0" w:after="0" w:afterAutospacing="0" w:line="560" w:lineRule="atLeast"/>
        <w:ind w:left="0" w:right="0" w:firstLine="640"/>
        <w:rPr>
          <w:rFonts w:hint="eastAsia" w:ascii="仿宋" w:hAnsi="仿宋" w:eastAsia="仿宋" w:cs="仿宋"/>
          <w:color w:val="000000"/>
          <w:sz w:val="24"/>
          <w:szCs w:val="24"/>
        </w:rPr>
      </w:pPr>
      <w:r>
        <w:rPr>
          <w:rFonts w:hint="eastAsia" w:ascii="仿宋_GB2312" w:hAnsi="仿宋" w:eastAsia="仿宋_GB2312" w:cs="仿宋_GB2312"/>
          <w:color w:val="000000"/>
          <w:sz w:val="32"/>
          <w:szCs w:val="32"/>
        </w:rPr>
        <w:t>21.机关运行经费：为保障行政单位（含参照公务员法管理的事业单位）运行用于购买货物和服务的各项资金，包括办公及印刷费、邮电费、差旅费、会议费、福利费、日常维修费、专用材料及一般设备购置费、办公用房水电费、办公用房取暖费、办公用房物业管理费、公务用车运行维护费以及其他费用。</w:t>
      </w:r>
    </w:p>
    <w:p w14:paraId="321FDA5E">
      <w:pPr>
        <w:pStyle w:val="5"/>
        <w:keepNext w:val="0"/>
        <w:keepLines w:val="0"/>
        <w:widowControl/>
        <w:suppressLineNumbers w:val="0"/>
        <w:spacing w:before="0" w:beforeAutospacing="0" w:after="0" w:afterAutospacing="0" w:line="600" w:lineRule="atLeast"/>
        <w:ind w:left="0" w:right="0"/>
        <w:jc w:val="center"/>
        <w:rPr>
          <w:rFonts w:hint="default" w:ascii="Times New Roman" w:hAnsi="Times New Roman" w:cs="Times New Roman"/>
          <w:sz w:val="21"/>
          <w:szCs w:val="21"/>
        </w:rPr>
      </w:pPr>
      <w:r>
        <w:rPr>
          <w:rFonts w:hint="eastAsia" w:ascii="宋体" w:hAnsi="宋体" w:eastAsia="宋体" w:cs="宋体"/>
          <w:b/>
          <w:bCs/>
          <w:color w:val="000000"/>
          <w:sz w:val="44"/>
          <w:szCs w:val="44"/>
        </w:rPr>
        <w:br w:type="page"/>
      </w:r>
      <w:r>
        <w:rPr>
          <w:rFonts w:hint="eastAsia" w:ascii="黑体" w:hAnsi="宋体" w:eastAsia="黑体" w:cs="黑体"/>
          <w:color w:val="000000"/>
          <w:sz w:val="44"/>
          <w:szCs w:val="44"/>
        </w:rPr>
        <w:t>第</w:t>
      </w:r>
      <w:r>
        <w:rPr>
          <w:rFonts w:hint="eastAsia" w:ascii="黑体" w:hAnsi="宋体" w:eastAsia="黑体" w:cs="黑体"/>
          <w:b w:val="0"/>
          <w:bCs w:val="0"/>
          <w:sz w:val="44"/>
          <w:szCs w:val="44"/>
        </w:rPr>
        <w:t>四部分附件</w:t>
      </w:r>
    </w:p>
    <w:p w14:paraId="2F4809F6">
      <w:pPr>
        <w:pStyle w:val="5"/>
        <w:keepNext w:val="0"/>
        <w:keepLines w:val="0"/>
        <w:widowControl/>
        <w:suppressLineNumbers w:val="0"/>
        <w:spacing w:before="0" w:beforeAutospacing="0" w:after="0" w:afterAutospacing="0" w:line="600" w:lineRule="atLeast"/>
        <w:ind w:left="0" w:right="0"/>
        <w:jc w:val="left"/>
        <w:rPr>
          <w:rFonts w:hint="default" w:ascii="Times New Roman" w:hAnsi="Times New Roman" w:cs="Times New Roman"/>
          <w:sz w:val="21"/>
          <w:szCs w:val="21"/>
        </w:rPr>
      </w:pPr>
      <w:r>
        <w:rPr>
          <w:rFonts w:hint="eastAsia" w:ascii="黑体" w:hAnsi="宋体" w:eastAsia="黑体" w:cs="黑体"/>
          <w:sz w:val="32"/>
          <w:szCs w:val="32"/>
        </w:rPr>
        <w:t>附件1</w:t>
      </w:r>
    </w:p>
    <w:p w14:paraId="2EA32F98">
      <w:pPr>
        <w:pStyle w:val="5"/>
        <w:keepNext w:val="0"/>
        <w:keepLines w:val="0"/>
        <w:widowControl/>
        <w:suppressLineNumbers w:val="0"/>
        <w:spacing w:before="0" w:beforeAutospacing="0" w:after="0" w:afterAutospacing="0" w:line="580" w:lineRule="atLeast"/>
        <w:ind w:left="0" w:right="0"/>
        <w:jc w:val="center"/>
        <w:rPr>
          <w:rFonts w:hint="default" w:ascii="Times New Roman" w:hAnsi="Times New Roman" w:cs="Times New Roman"/>
          <w:sz w:val="21"/>
          <w:szCs w:val="21"/>
        </w:rPr>
      </w:pPr>
      <w:r>
        <w:rPr>
          <w:rFonts w:hint="default" w:ascii="Times New Roman" w:hAnsi="Times New Roman" w:eastAsia="宋体" w:cs="Times New Roman"/>
          <w:sz w:val="21"/>
          <w:szCs w:val="21"/>
        </w:rPr>
        <w:t> </w:t>
      </w:r>
    </w:p>
    <w:p w14:paraId="0A4614AA">
      <w:pPr>
        <w:pStyle w:val="5"/>
        <w:keepNext w:val="0"/>
        <w:keepLines w:val="0"/>
        <w:widowControl/>
        <w:suppressLineNumbers w:val="0"/>
        <w:spacing w:before="0" w:beforeAutospacing="0" w:after="0" w:afterAutospacing="0" w:line="580" w:lineRule="atLeast"/>
        <w:ind w:left="0" w:right="0"/>
        <w:jc w:val="center"/>
        <w:rPr>
          <w:rFonts w:hint="default" w:ascii="Times New Roman" w:hAnsi="Times New Roman" w:cs="Times New Roman"/>
          <w:sz w:val="21"/>
          <w:szCs w:val="21"/>
        </w:rPr>
      </w:pPr>
      <w:r>
        <w:rPr>
          <w:rFonts w:hint="eastAsia" w:ascii="宋体" w:hAnsi="宋体" w:eastAsia="宋体" w:cs="宋体"/>
          <w:b/>
          <w:bCs/>
          <w:sz w:val="44"/>
          <w:szCs w:val="44"/>
          <w:shd w:val="clear" w:fill="FFFFFF"/>
        </w:rPr>
        <w:t>2020年度部门整体支出绩效评价</w:t>
      </w:r>
    </w:p>
    <w:p w14:paraId="432AE37A">
      <w:pPr>
        <w:pStyle w:val="5"/>
        <w:keepNext w:val="0"/>
        <w:keepLines w:val="0"/>
        <w:widowControl/>
        <w:suppressLineNumbers w:val="0"/>
        <w:spacing w:before="0" w:beforeAutospacing="0" w:after="0" w:afterAutospacing="0" w:line="580" w:lineRule="atLeast"/>
        <w:ind w:left="0" w:right="0"/>
        <w:jc w:val="center"/>
        <w:rPr>
          <w:rFonts w:hint="default" w:ascii="Times New Roman" w:hAnsi="Times New Roman" w:cs="Times New Roman"/>
          <w:sz w:val="21"/>
          <w:szCs w:val="21"/>
        </w:rPr>
      </w:pPr>
      <w:r>
        <w:rPr>
          <w:rFonts w:hint="eastAsia" w:ascii="宋体" w:hAnsi="宋体" w:eastAsia="宋体" w:cs="宋体"/>
          <w:b/>
          <w:bCs/>
          <w:sz w:val="44"/>
          <w:szCs w:val="44"/>
          <w:shd w:val="clear" w:fill="FFFFFF"/>
        </w:rPr>
        <w:t>报告</w:t>
      </w:r>
    </w:p>
    <w:p w14:paraId="690B4463">
      <w:pPr>
        <w:pStyle w:val="5"/>
        <w:keepNext w:val="0"/>
        <w:keepLines w:val="0"/>
        <w:widowControl/>
        <w:suppressLineNumbers w:val="0"/>
        <w:spacing w:before="0" w:beforeAutospacing="0" w:after="0" w:afterAutospacing="0" w:line="580" w:lineRule="atLeast"/>
        <w:ind w:left="0" w:right="0" w:firstLine="480"/>
        <w:jc w:val="left"/>
        <w:rPr>
          <w:rFonts w:hint="default" w:ascii="Times New Roman" w:hAnsi="Times New Roman" w:cs="Times New Roman"/>
          <w:sz w:val="21"/>
          <w:szCs w:val="21"/>
        </w:rPr>
      </w:pPr>
      <w:r>
        <w:rPr>
          <w:rFonts w:hint="default" w:ascii="Times New Roman" w:hAnsi="Times New Roman" w:eastAsia="宋体" w:cs="Times New Roman"/>
          <w:sz w:val="21"/>
          <w:szCs w:val="21"/>
        </w:rPr>
        <w:t> </w:t>
      </w:r>
    </w:p>
    <w:p w14:paraId="175642A0">
      <w:pPr>
        <w:pStyle w:val="5"/>
        <w:keepNext w:val="0"/>
        <w:keepLines w:val="0"/>
        <w:widowControl/>
        <w:suppressLineNumbers w:val="0"/>
        <w:spacing w:before="0" w:beforeAutospacing="0" w:after="0" w:afterAutospacing="0" w:line="580" w:lineRule="atLeast"/>
        <w:ind w:left="0" w:right="0" w:firstLine="720"/>
        <w:jc w:val="left"/>
        <w:rPr>
          <w:rFonts w:hint="default" w:ascii="Times New Roman" w:hAnsi="Times New Roman" w:cs="Times New Roman"/>
          <w:sz w:val="21"/>
          <w:szCs w:val="21"/>
        </w:rPr>
      </w:pPr>
      <w:r>
        <w:rPr>
          <w:rFonts w:hint="eastAsia" w:ascii="黑体" w:hAnsi="宋体" w:eastAsia="黑体" w:cs="黑体"/>
          <w:color w:val="000000"/>
          <w:sz w:val="36"/>
          <w:szCs w:val="36"/>
          <w:shd w:val="clear" w:fill="FFFFFF"/>
        </w:rPr>
        <w:t>一、部门（单位）概况</w:t>
      </w:r>
    </w:p>
    <w:p w14:paraId="5F8B3C4A">
      <w:pPr>
        <w:pStyle w:val="5"/>
        <w:keepNext w:val="0"/>
        <w:keepLines w:val="0"/>
        <w:widowControl/>
        <w:suppressLineNumbers w:val="0"/>
        <w:spacing w:before="0" w:beforeAutospacing="0" w:after="0" w:afterAutospacing="0" w:line="580" w:lineRule="atLeast"/>
        <w:ind w:left="0" w:right="0" w:firstLine="720"/>
        <w:jc w:val="left"/>
        <w:rPr>
          <w:rFonts w:hint="default" w:ascii="Times New Roman" w:hAnsi="Times New Roman" w:cs="Times New Roman"/>
          <w:sz w:val="21"/>
          <w:szCs w:val="21"/>
        </w:rPr>
      </w:pPr>
      <w:r>
        <w:rPr>
          <w:rFonts w:hint="default" w:ascii="Times New Roman" w:hAnsi="Times New Roman" w:eastAsia="宋体" w:cs="Times New Roman"/>
          <w:color w:val="000000"/>
          <w:sz w:val="36"/>
          <w:szCs w:val="36"/>
          <w:shd w:val="clear" w:fill="FFFFFF"/>
        </w:rPr>
        <w:t>（一）机构组成。</w:t>
      </w:r>
    </w:p>
    <w:p w14:paraId="4E6FD2B9">
      <w:pPr>
        <w:pStyle w:val="5"/>
        <w:keepNext w:val="0"/>
        <w:keepLines w:val="0"/>
        <w:widowControl/>
        <w:suppressLineNumbers w:val="0"/>
        <w:spacing w:before="0" w:beforeAutospacing="0" w:after="0" w:afterAutospacing="0" w:line="600" w:lineRule="atLeast"/>
        <w:ind w:left="0" w:right="0" w:firstLine="840"/>
        <w:jc w:val="both"/>
        <w:rPr>
          <w:rFonts w:hint="default" w:ascii="Times New Roman" w:hAnsi="Times New Roman" w:cs="Times New Roman"/>
          <w:sz w:val="21"/>
          <w:szCs w:val="21"/>
        </w:rPr>
      </w:pPr>
      <w:r>
        <w:rPr>
          <w:rFonts w:hint="eastAsia" w:ascii="仿宋" w:hAnsi="仿宋" w:eastAsia="仿宋" w:cs="仿宋"/>
          <w:sz w:val="28"/>
          <w:szCs w:val="28"/>
        </w:rPr>
        <w:t>县委党校属于参照公务员管理的预算单位，内设3个股室。无下属二级机构。</w:t>
      </w:r>
    </w:p>
    <w:p w14:paraId="5ABE647D">
      <w:pPr>
        <w:pStyle w:val="5"/>
        <w:keepNext w:val="0"/>
        <w:keepLines w:val="0"/>
        <w:widowControl/>
        <w:suppressLineNumbers w:val="0"/>
        <w:spacing w:before="0" w:beforeAutospacing="0" w:after="0" w:afterAutospacing="0" w:line="580" w:lineRule="atLeast"/>
        <w:ind w:left="0" w:right="0" w:firstLine="720"/>
        <w:jc w:val="left"/>
        <w:rPr>
          <w:rFonts w:hint="default" w:ascii="Times New Roman" w:hAnsi="Times New Roman" w:cs="Times New Roman"/>
          <w:sz w:val="21"/>
          <w:szCs w:val="21"/>
        </w:rPr>
      </w:pPr>
      <w:r>
        <w:rPr>
          <w:rFonts w:hint="eastAsia" w:ascii="黑体" w:hAnsi="宋体" w:eastAsia="黑体" w:cs="黑体"/>
          <w:color w:val="000000"/>
          <w:sz w:val="36"/>
          <w:szCs w:val="36"/>
          <w:shd w:val="clear" w:fill="FFFFFF"/>
        </w:rPr>
        <w:t>（二）机构职能。</w:t>
      </w:r>
    </w:p>
    <w:p w14:paraId="6F63B9EE">
      <w:pPr>
        <w:pStyle w:val="5"/>
        <w:keepNext w:val="0"/>
        <w:keepLines w:val="0"/>
        <w:widowControl/>
        <w:suppressLineNumbers w:val="0"/>
        <w:spacing w:before="0" w:beforeAutospacing="0" w:after="0" w:afterAutospacing="0" w:line="600" w:lineRule="atLeast"/>
        <w:ind w:left="420" w:right="0" w:firstLine="280"/>
        <w:jc w:val="both"/>
        <w:rPr>
          <w:rFonts w:hint="default" w:ascii="Times New Roman" w:hAnsi="Times New Roman" w:cs="Times New Roman"/>
          <w:sz w:val="21"/>
          <w:szCs w:val="21"/>
        </w:rPr>
      </w:pPr>
      <w:r>
        <w:rPr>
          <w:rFonts w:hint="eastAsia" w:ascii="仿宋" w:hAnsi="仿宋" w:eastAsia="仿宋" w:cs="仿宋"/>
          <w:sz w:val="28"/>
          <w:szCs w:val="28"/>
        </w:rPr>
        <w:t>1</w:t>
      </w:r>
      <w:r>
        <w:rPr>
          <w:rFonts w:hint="default" w:ascii="Times New Roman" w:hAnsi="Times New Roman" w:eastAsia="宋体" w:cs="Times New Roman"/>
          <w:color w:val="000000"/>
          <w:sz w:val="28"/>
          <w:szCs w:val="28"/>
          <w:shd w:val="clear" w:fill="FFFFFF"/>
        </w:rPr>
        <w:t>、</w:t>
      </w:r>
      <w:r>
        <w:rPr>
          <w:rFonts w:hint="eastAsia" w:ascii="仿宋" w:hAnsi="仿宋" w:eastAsia="仿宋" w:cs="仿宋"/>
          <w:sz w:val="28"/>
          <w:szCs w:val="28"/>
        </w:rPr>
        <w:t>根据县委对干部队伍建设的要求，有计划地培养县管党政领导干部，培训中青年后备干部和理论骨干、村级干部；有计划地搞好党员干部学历教育工作；协同组织、人事部门对学员在党校学习期间的表现进行考核鉴定。</w:t>
      </w:r>
    </w:p>
    <w:p w14:paraId="2E5D9D40">
      <w:pPr>
        <w:pStyle w:val="5"/>
        <w:keepNext w:val="0"/>
        <w:keepLines w:val="0"/>
        <w:widowControl/>
        <w:suppressLineNumbers w:val="0"/>
        <w:spacing w:before="0" w:beforeAutospacing="0" w:after="0" w:afterAutospacing="0" w:line="600" w:lineRule="atLeast"/>
        <w:ind w:left="420" w:right="0" w:firstLine="560"/>
        <w:jc w:val="both"/>
        <w:rPr>
          <w:rFonts w:hint="default" w:ascii="Times New Roman" w:hAnsi="Times New Roman" w:cs="Times New Roman"/>
          <w:sz w:val="21"/>
          <w:szCs w:val="21"/>
        </w:rPr>
      </w:pPr>
      <w:r>
        <w:rPr>
          <w:rFonts w:hint="eastAsia" w:ascii="仿宋" w:hAnsi="仿宋" w:eastAsia="仿宋" w:cs="仿宋"/>
          <w:sz w:val="28"/>
          <w:szCs w:val="28"/>
        </w:rPr>
        <w:t>2、研究、宣传马列主义、毛泽东思想、邓小平理论，围绕党的中心任务和县委的部署，对全县重大现实问题开展理论研究，将研究成果指教为教学服务，并为县委决策提供参考。</w:t>
      </w:r>
    </w:p>
    <w:p w14:paraId="1586DFE8">
      <w:pPr>
        <w:pStyle w:val="5"/>
        <w:keepNext w:val="0"/>
        <w:keepLines w:val="0"/>
        <w:widowControl/>
        <w:suppressLineNumbers w:val="0"/>
        <w:spacing w:before="0" w:beforeAutospacing="0" w:after="0" w:afterAutospacing="0" w:line="600" w:lineRule="atLeast"/>
        <w:ind w:left="420" w:right="0" w:firstLine="560"/>
        <w:jc w:val="both"/>
        <w:rPr>
          <w:rFonts w:hint="default" w:ascii="Times New Roman" w:hAnsi="Times New Roman" w:cs="Times New Roman"/>
          <w:sz w:val="21"/>
          <w:szCs w:val="21"/>
        </w:rPr>
      </w:pPr>
      <w:r>
        <w:rPr>
          <w:rFonts w:hint="eastAsia" w:ascii="仿宋" w:hAnsi="仿宋" w:eastAsia="仿宋" w:cs="仿宋"/>
          <w:sz w:val="28"/>
          <w:szCs w:val="28"/>
        </w:rPr>
        <w:t>3、负责对全县乡镇党校进行业务指导。</w:t>
      </w:r>
    </w:p>
    <w:p w14:paraId="53CE1D39">
      <w:pPr>
        <w:pStyle w:val="5"/>
        <w:keepNext w:val="0"/>
        <w:keepLines w:val="0"/>
        <w:widowControl/>
        <w:suppressLineNumbers w:val="0"/>
        <w:spacing w:before="0" w:beforeAutospacing="0" w:after="0" w:afterAutospacing="0" w:line="600" w:lineRule="atLeast"/>
        <w:ind w:left="420" w:right="0" w:firstLine="560"/>
        <w:jc w:val="both"/>
        <w:rPr>
          <w:rFonts w:hint="default" w:ascii="Times New Roman" w:hAnsi="Times New Roman" w:cs="Times New Roman"/>
          <w:sz w:val="21"/>
          <w:szCs w:val="21"/>
        </w:rPr>
      </w:pPr>
      <w:r>
        <w:rPr>
          <w:rFonts w:hint="eastAsia" w:ascii="仿宋" w:hAnsi="仿宋" w:eastAsia="仿宋" w:cs="仿宋"/>
          <w:sz w:val="28"/>
          <w:szCs w:val="28"/>
        </w:rPr>
        <w:t>4、承办县委交办的其他事项。</w:t>
      </w:r>
    </w:p>
    <w:p w14:paraId="0FC6B77D">
      <w:pPr>
        <w:pStyle w:val="5"/>
        <w:keepNext w:val="0"/>
        <w:keepLines w:val="0"/>
        <w:widowControl/>
        <w:suppressLineNumbers w:val="0"/>
        <w:spacing w:before="0" w:beforeAutospacing="0" w:after="0" w:afterAutospacing="0" w:line="580" w:lineRule="atLeast"/>
        <w:ind w:left="0" w:right="0" w:firstLine="560"/>
        <w:jc w:val="left"/>
        <w:rPr>
          <w:rFonts w:hint="default" w:ascii="Times New Roman" w:hAnsi="Times New Roman" w:cs="Times New Roman"/>
          <w:sz w:val="21"/>
          <w:szCs w:val="21"/>
        </w:rPr>
      </w:pPr>
      <w:r>
        <w:rPr>
          <w:rFonts w:hint="default" w:ascii="Times New Roman" w:hAnsi="Times New Roman" w:eastAsia="宋体" w:cs="Times New Roman"/>
          <w:sz w:val="21"/>
          <w:szCs w:val="21"/>
        </w:rPr>
        <w:t> </w:t>
      </w:r>
    </w:p>
    <w:p w14:paraId="31A6E145">
      <w:pPr>
        <w:pStyle w:val="5"/>
        <w:keepNext w:val="0"/>
        <w:keepLines w:val="0"/>
        <w:widowControl/>
        <w:suppressLineNumbers w:val="0"/>
        <w:spacing w:before="0" w:beforeAutospacing="0" w:after="0" w:afterAutospacing="0" w:line="580" w:lineRule="atLeast"/>
        <w:ind w:left="0" w:right="0" w:firstLine="560"/>
        <w:jc w:val="left"/>
        <w:rPr>
          <w:rFonts w:hint="default" w:ascii="Times New Roman" w:hAnsi="Times New Roman" w:cs="Times New Roman"/>
          <w:sz w:val="21"/>
          <w:szCs w:val="21"/>
        </w:rPr>
      </w:pPr>
      <w:r>
        <w:rPr>
          <w:rFonts w:hint="default" w:ascii="Times New Roman" w:hAnsi="Times New Roman" w:eastAsia="宋体" w:cs="Times New Roman"/>
          <w:sz w:val="21"/>
          <w:szCs w:val="21"/>
        </w:rPr>
        <w:t> </w:t>
      </w:r>
    </w:p>
    <w:p w14:paraId="5AA7FDA8">
      <w:pPr>
        <w:pStyle w:val="5"/>
        <w:keepNext w:val="0"/>
        <w:keepLines w:val="0"/>
        <w:widowControl/>
        <w:suppressLineNumbers w:val="0"/>
        <w:spacing w:before="0" w:beforeAutospacing="0" w:after="0" w:afterAutospacing="0" w:line="580" w:lineRule="atLeast"/>
        <w:ind w:left="0" w:right="0" w:firstLine="560"/>
        <w:jc w:val="left"/>
        <w:rPr>
          <w:rFonts w:hint="default" w:ascii="Times New Roman" w:hAnsi="Times New Roman" w:cs="Times New Roman"/>
          <w:sz w:val="21"/>
          <w:szCs w:val="21"/>
        </w:rPr>
      </w:pPr>
      <w:r>
        <w:rPr>
          <w:rFonts w:hint="default" w:ascii="Times New Roman" w:hAnsi="Times New Roman" w:eastAsia="宋体" w:cs="Times New Roman"/>
          <w:sz w:val="21"/>
          <w:szCs w:val="21"/>
        </w:rPr>
        <w:t> </w:t>
      </w:r>
    </w:p>
    <w:p w14:paraId="530FE45A">
      <w:pPr>
        <w:pStyle w:val="5"/>
        <w:keepNext w:val="0"/>
        <w:keepLines w:val="0"/>
        <w:widowControl/>
        <w:suppressLineNumbers w:val="0"/>
        <w:spacing w:before="0" w:beforeAutospacing="0" w:after="0" w:afterAutospacing="0" w:line="580" w:lineRule="atLeast"/>
        <w:ind w:left="0" w:right="0"/>
        <w:jc w:val="left"/>
        <w:rPr>
          <w:rFonts w:hint="default" w:ascii="Times New Roman" w:hAnsi="Times New Roman" w:cs="Times New Roman"/>
          <w:sz w:val="21"/>
          <w:szCs w:val="21"/>
        </w:rPr>
      </w:pPr>
      <w:r>
        <w:rPr>
          <w:rFonts w:hint="eastAsia" w:ascii="黑体" w:hAnsi="宋体" w:eastAsia="黑体" w:cs="黑体"/>
          <w:color w:val="000000"/>
          <w:sz w:val="36"/>
          <w:szCs w:val="36"/>
          <w:shd w:val="clear" w:fill="FFFFFF"/>
        </w:rPr>
        <w:t>（三）人员概况。</w:t>
      </w:r>
    </w:p>
    <w:p w14:paraId="14219FF0">
      <w:pPr>
        <w:pStyle w:val="5"/>
        <w:keepNext w:val="0"/>
        <w:keepLines w:val="0"/>
        <w:widowControl/>
        <w:suppressLineNumbers w:val="0"/>
        <w:spacing w:before="0" w:beforeAutospacing="0" w:after="0" w:afterAutospacing="0" w:line="600" w:lineRule="atLeast"/>
        <w:ind w:left="365" w:right="0" w:firstLine="280"/>
        <w:jc w:val="both"/>
        <w:rPr>
          <w:rFonts w:hint="default" w:ascii="Times New Roman" w:hAnsi="Times New Roman" w:cs="Times New Roman"/>
          <w:sz w:val="21"/>
          <w:szCs w:val="21"/>
        </w:rPr>
      </w:pPr>
      <w:r>
        <w:rPr>
          <w:rFonts w:hint="eastAsia" w:ascii="仿宋" w:hAnsi="仿宋" w:eastAsia="仿宋" w:cs="仿宋"/>
          <w:sz w:val="28"/>
          <w:szCs w:val="28"/>
        </w:rPr>
        <w:t>县委党校总编制10名，其中：行政编制3名，工勤编制2名，参公事业编制5名。在职人员总数10名，其中：行政3名，工勤2名，参公事业5名。离休0名。年末实有人数10人。</w:t>
      </w:r>
    </w:p>
    <w:p w14:paraId="07EFD50A">
      <w:pPr>
        <w:pStyle w:val="5"/>
        <w:keepNext w:val="0"/>
        <w:keepLines w:val="0"/>
        <w:widowControl/>
        <w:suppressLineNumbers w:val="0"/>
        <w:spacing w:before="0" w:beforeAutospacing="0" w:after="0" w:afterAutospacing="0" w:line="580" w:lineRule="atLeast"/>
        <w:ind w:left="0" w:right="0" w:firstLine="420"/>
        <w:jc w:val="left"/>
        <w:rPr>
          <w:rFonts w:hint="default" w:ascii="Times New Roman" w:hAnsi="Times New Roman" w:cs="Times New Roman"/>
          <w:sz w:val="21"/>
          <w:szCs w:val="21"/>
        </w:rPr>
      </w:pPr>
      <w:r>
        <w:rPr>
          <w:rFonts w:hint="default" w:ascii="Times New Roman" w:hAnsi="Times New Roman" w:eastAsia="宋体" w:cs="Times New Roman"/>
          <w:sz w:val="21"/>
          <w:szCs w:val="21"/>
        </w:rPr>
        <w:t> </w:t>
      </w:r>
    </w:p>
    <w:p w14:paraId="5CE73071">
      <w:pPr>
        <w:pStyle w:val="5"/>
        <w:keepNext w:val="0"/>
        <w:keepLines w:val="0"/>
        <w:widowControl/>
        <w:suppressLineNumbers w:val="0"/>
        <w:spacing w:before="0" w:beforeAutospacing="0" w:after="0" w:afterAutospacing="0" w:line="580" w:lineRule="atLeast"/>
        <w:ind w:left="0" w:right="0" w:firstLine="720"/>
        <w:jc w:val="left"/>
        <w:rPr>
          <w:rFonts w:hint="default" w:ascii="Times New Roman" w:hAnsi="Times New Roman" w:cs="Times New Roman"/>
          <w:sz w:val="21"/>
          <w:szCs w:val="21"/>
        </w:rPr>
      </w:pPr>
      <w:r>
        <w:rPr>
          <w:rFonts w:hint="eastAsia" w:ascii="黑体" w:hAnsi="宋体" w:eastAsia="黑体" w:cs="黑体"/>
          <w:color w:val="000000"/>
          <w:sz w:val="36"/>
          <w:szCs w:val="36"/>
          <w:shd w:val="clear" w:fill="FFFFFF"/>
        </w:rPr>
        <w:t>二、部门财政资金收支情况</w:t>
      </w:r>
    </w:p>
    <w:p w14:paraId="73AB9C3E">
      <w:pPr>
        <w:pStyle w:val="5"/>
        <w:keepNext w:val="0"/>
        <w:keepLines w:val="0"/>
        <w:widowControl/>
        <w:suppressLineNumbers w:val="0"/>
        <w:spacing w:before="0" w:beforeAutospacing="0" w:after="0" w:afterAutospacing="0" w:line="580" w:lineRule="atLeast"/>
        <w:ind w:left="0" w:right="0" w:firstLine="720"/>
        <w:jc w:val="left"/>
        <w:rPr>
          <w:rFonts w:hint="default" w:ascii="Times New Roman" w:hAnsi="Times New Roman" w:cs="Times New Roman"/>
          <w:sz w:val="21"/>
          <w:szCs w:val="21"/>
        </w:rPr>
      </w:pPr>
      <w:r>
        <w:rPr>
          <w:rFonts w:hint="eastAsia" w:ascii="黑体" w:hAnsi="宋体" w:eastAsia="黑体" w:cs="黑体"/>
          <w:color w:val="000000"/>
          <w:sz w:val="36"/>
          <w:szCs w:val="36"/>
          <w:shd w:val="clear" w:fill="FFFFFF"/>
        </w:rPr>
        <w:t>（一）部门财政资金收入情况。</w:t>
      </w:r>
    </w:p>
    <w:p w14:paraId="20403EED">
      <w:pPr>
        <w:pStyle w:val="5"/>
        <w:keepNext w:val="0"/>
        <w:keepLines w:val="0"/>
        <w:widowControl/>
        <w:suppressLineNumbers w:val="0"/>
        <w:spacing w:before="0" w:beforeAutospacing="0" w:after="0" w:afterAutospacing="0" w:line="580" w:lineRule="atLeast"/>
        <w:ind w:left="0" w:right="0" w:firstLine="1120"/>
        <w:jc w:val="left"/>
        <w:rPr>
          <w:rFonts w:hint="default" w:ascii="Times New Roman" w:hAnsi="Times New Roman" w:cs="Times New Roman"/>
          <w:sz w:val="21"/>
          <w:szCs w:val="21"/>
        </w:rPr>
      </w:pPr>
      <w:r>
        <w:rPr>
          <w:rFonts w:hint="eastAsia" w:ascii="仿宋" w:hAnsi="仿宋" w:eastAsia="仿宋" w:cs="仿宋"/>
          <w:sz w:val="28"/>
          <w:szCs w:val="28"/>
        </w:rPr>
        <w:t>2019年度本年收入197.5万元，其中：财政拨款收入197.5万元；上级补助收入0万元；事业收入0万元；经营收入0</w:t>
      </w:r>
      <w:r>
        <w:rPr>
          <w:rFonts w:hint="eastAsia" w:ascii="仿宋" w:hAnsi="仿宋" w:cs="仿宋"/>
          <w:sz w:val="28"/>
          <w:szCs w:val="28"/>
          <w:lang w:eastAsia="zh-CN"/>
        </w:rPr>
        <w:t>万元</w:t>
      </w:r>
      <w:r>
        <w:rPr>
          <w:rFonts w:hint="eastAsia" w:ascii="仿宋" w:hAnsi="仿宋" w:eastAsia="仿宋" w:cs="仿宋"/>
          <w:sz w:val="28"/>
          <w:szCs w:val="28"/>
        </w:rPr>
        <w:t>；附属单位上缴收入 0万元；其他收入 0万元。</w:t>
      </w:r>
    </w:p>
    <w:p w14:paraId="201224B8">
      <w:pPr>
        <w:pStyle w:val="5"/>
        <w:keepNext w:val="0"/>
        <w:keepLines w:val="0"/>
        <w:widowControl/>
        <w:suppressLineNumbers w:val="0"/>
        <w:spacing w:before="0" w:beforeAutospacing="0" w:after="0" w:afterAutospacing="0" w:line="580" w:lineRule="atLeast"/>
        <w:ind w:left="420" w:right="0"/>
        <w:jc w:val="left"/>
        <w:rPr>
          <w:rFonts w:hint="default" w:ascii="Times New Roman" w:hAnsi="Times New Roman" w:cs="Times New Roman"/>
          <w:sz w:val="21"/>
          <w:szCs w:val="21"/>
        </w:rPr>
      </w:pPr>
      <w:r>
        <w:rPr>
          <w:rFonts w:hint="default" w:ascii="Times New Roman" w:hAnsi="Times New Roman" w:eastAsia="宋体" w:cs="Times New Roman"/>
          <w:sz w:val="21"/>
          <w:szCs w:val="21"/>
        </w:rPr>
        <w:t> </w:t>
      </w:r>
    </w:p>
    <w:p w14:paraId="57A9135C">
      <w:pPr>
        <w:pStyle w:val="5"/>
        <w:keepNext w:val="0"/>
        <w:keepLines w:val="0"/>
        <w:widowControl/>
        <w:suppressLineNumbers w:val="0"/>
        <w:spacing w:before="0" w:beforeAutospacing="0" w:after="0" w:afterAutospacing="0" w:line="580" w:lineRule="atLeast"/>
        <w:ind w:left="0" w:right="0" w:firstLine="720"/>
        <w:jc w:val="left"/>
        <w:rPr>
          <w:rFonts w:hint="default" w:ascii="Times New Roman" w:hAnsi="Times New Roman" w:cs="Times New Roman"/>
          <w:sz w:val="21"/>
          <w:szCs w:val="21"/>
        </w:rPr>
      </w:pPr>
      <w:r>
        <w:rPr>
          <w:rFonts w:hint="eastAsia" w:ascii="黑体" w:hAnsi="宋体" w:eastAsia="黑体" w:cs="黑体"/>
          <w:color w:val="000000"/>
          <w:sz w:val="36"/>
          <w:szCs w:val="36"/>
          <w:shd w:val="clear" w:fill="FFFFFF"/>
        </w:rPr>
        <w:t>（二）部门财政资金支出情况。</w:t>
      </w:r>
    </w:p>
    <w:p w14:paraId="6449DF57">
      <w:pPr>
        <w:pStyle w:val="5"/>
        <w:keepNext w:val="0"/>
        <w:keepLines w:val="0"/>
        <w:widowControl/>
        <w:suppressLineNumbers w:val="0"/>
        <w:spacing w:before="0" w:beforeAutospacing="0" w:after="0" w:afterAutospacing="0" w:line="580" w:lineRule="atLeast"/>
        <w:ind w:left="0" w:right="0" w:firstLine="1120"/>
        <w:jc w:val="left"/>
        <w:rPr>
          <w:rFonts w:hint="default" w:ascii="Times New Roman" w:hAnsi="Times New Roman" w:cs="Times New Roman"/>
          <w:sz w:val="21"/>
          <w:szCs w:val="21"/>
        </w:rPr>
      </w:pPr>
      <w:r>
        <w:rPr>
          <w:rFonts w:hint="eastAsia" w:ascii="仿宋" w:hAnsi="仿宋" w:eastAsia="仿宋" w:cs="仿宋"/>
          <w:sz w:val="28"/>
          <w:szCs w:val="28"/>
        </w:rPr>
        <w:t>2019年度支出合计198.9万元，其中：基本支出190.5万元；项目支出8.4万元；上缴上级支出 0万元；经营支出 0万元；对附属单位补助支出 0万元。</w:t>
      </w:r>
    </w:p>
    <w:p w14:paraId="2D1F54B8">
      <w:pPr>
        <w:pStyle w:val="5"/>
        <w:keepNext w:val="0"/>
        <w:keepLines w:val="0"/>
        <w:widowControl/>
        <w:suppressLineNumbers w:val="0"/>
        <w:spacing w:before="0" w:beforeAutospacing="0" w:after="0" w:afterAutospacing="0" w:line="580" w:lineRule="atLeast"/>
        <w:ind w:left="0" w:right="0"/>
        <w:jc w:val="left"/>
        <w:rPr>
          <w:rFonts w:hint="default" w:ascii="Times New Roman" w:hAnsi="Times New Roman" w:cs="Times New Roman"/>
          <w:sz w:val="21"/>
          <w:szCs w:val="21"/>
        </w:rPr>
      </w:pPr>
      <w:r>
        <w:rPr>
          <w:rFonts w:hint="default" w:ascii="Times New Roman" w:hAnsi="Times New Roman" w:eastAsia="宋体" w:cs="Times New Roman"/>
          <w:sz w:val="21"/>
          <w:szCs w:val="21"/>
        </w:rPr>
        <w:t> </w:t>
      </w:r>
    </w:p>
    <w:p w14:paraId="2F35905D">
      <w:pPr>
        <w:pStyle w:val="5"/>
        <w:keepNext w:val="0"/>
        <w:keepLines w:val="0"/>
        <w:widowControl/>
        <w:suppressLineNumbers w:val="0"/>
        <w:spacing w:before="0" w:beforeAutospacing="0" w:after="0" w:afterAutospacing="0" w:line="580" w:lineRule="atLeast"/>
        <w:ind w:left="0" w:right="0" w:firstLine="720"/>
        <w:jc w:val="left"/>
        <w:rPr>
          <w:rFonts w:hint="default" w:ascii="Times New Roman" w:hAnsi="Times New Roman" w:cs="Times New Roman"/>
          <w:sz w:val="21"/>
          <w:szCs w:val="21"/>
        </w:rPr>
      </w:pPr>
      <w:r>
        <w:rPr>
          <w:rFonts w:hint="eastAsia" w:ascii="黑体" w:hAnsi="宋体" w:eastAsia="黑体" w:cs="黑体"/>
          <w:color w:val="000000"/>
          <w:sz w:val="36"/>
          <w:szCs w:val="36"/>
          <w:shd w:val="clear" w:fill="FFFFFF"/>
        </w:rPr>
        <w:t>三、部门整体预算绩效管理情况</w:t>
      </w:r>
    </w:p>
    <w:p w14:paraId="47F96BE1">
      <w:pPr>
        <w:pStyle w:val="5"/>
        <w:keepNext w:val="0"/>
        <w:keepLines w:val="0"/>
        <w:widowControl/>
        <w:suppressLineNumbers w:val="0"/>
        <w:spacing w:before="0" w:beforeAutospacing="0" w:after="0" w:afterAutospacing="0" w:line="580" w:lineRule="atLeast"/>
        <w:ind w:left="0" w:right="0" w:firstLine="720"/>
        <w:jc w:val="left"/>
        <w:rPr>
          <w:rFonts w:hint="default" w:ascii="Times New Roman" w:hAnsi="Times New Roman" w:cs="Times New Roman"/>
          <w:sz w:val="21"/>
          <w:szCs w:val="21"/>
        </w:rPr>
      </w:pPr>
      <w:r>
        <w:rPr>
          <w:rFonts w:hint="eastAsia" w:ascii="黑体" w:hAnsi="宋体" w:eastAsia="黑体" w:cs="黑体"/>
          <w:color w:val="000000"/>
          <w:sz w:val="36"/>
          <w:szCs w:val="36"/>
          <w:shd w:val="clear" w:fill="FFFFFF"/>
        </w:rPr>
        <w:t>（一）部门预算管理。</w:t>
      </w:r>
    </w:p>
    <w:p w14:paraId="60E85BBA">
      <w:pPr>
        <w:pStyle w:val="5"/>
        <w:keepNext w:val="0"/>
        <w:keepLines w:val="0"/>
        <w:widowControl/>
        <w:suppressLineNumbers w:val="0"/>
        <w:spacing w:before="0" w:beforeAutospacing="0" w:after="0" w:afterAutospacing="0" w:line="580" w:lineRule="atLeast"/>
        <w:ind w:left="0" w:right="0" w:firstLine="1176"/>
        <w:jc w:val="left"/>
        <w:rPr>
          <w:rFonts w:hint="default" w:ascii="Times New Roman" w:hAnsi="Times New Roman" w:cs="Times New Roman"/>
          <w:sz w:val="21"/>
          <w:szCs w:val="21"/>
        </w:rPr>
      </w:pPr>
      <w:r>
        <w:rPr>
          <w:rFonts w:hint="eastAsia" w:ascii="仿宋" w:hAnsi="仿宋" w:eastAsia="仿宋" w:cs="仿宋"/>
          <w:color w:val="000000"/>
          <w:spacing w:val="7"/>
          <w:sz w:val="28"/>
          <w:szCs w:val="28"/>
        </w:rPr>
        <w:t>中共峨边彝族自治县委党校</w:t>
      </w:r>
      <w:r>
        <w:rPr>
          <w:rFonts w:hint="eastAsia" w:ascii="仿宋" w:hAnsi="仿宋" w:eastAsia="仿宋" w:cs="仿宋"/>
          <w:color w:val="000000"/>
          <w:spacing w:val="3"/>
          <w:sz w:val="28"/>
          <w:szCs w:val="28"/>
        </w:rPr>
        <w:t>2019</w:t>
      </w:r>
      <w:r>
        <w:rPr>
          <w:rFonts w:hint="eastAsia" w:ascii="仿宋" w:hAnsi="仿宋" w:eastAsia="仿宋" w:cs="仿宋"/>
          <w:color w:val="000000"/>
          <w:spacing w:val="7"/>
          <w:sz w:val="28"/>
          <w:szCs w:val="28"/>
        </w:rPr>
        <w:t>年总支出</w:t>
      </w:r>
      <w:r>
        <w:rPr>
          <w:rFonts w:hint="eastAsia" w:ascii="仿宋" w:hAnsi="仿宋" w:eastAsia="仿宋" w:cs="仿宋"/>
          <w:color w:val="000000"/>
          <w:sz w:val="28"/>
          <w:szCs w:val="28"/>
        </w:rPr>
        <w:t>198.9万</w:t>
      </w:r>
      <w:r>
        <w:rPr>
          <w:rFonts w:hint="eastAsia" w:ascii="仿宋" w:hAnsi="仿宋" w:eastAsia="仿宋" w:cs="仿宋"/>
          <w:color w:val="000000"/>
          <w:spacing w:val="6"/>
          <w:sz w:val="28"/>
          <w:szCs w:val="28"/>
        </w:rPr>
        <w:t>元。分项目如下：</w:t>
      </w:r>
    </w:p>
    <w:p w14:paraId="66589D60">
      <w:pPr>
        <w:pStyle w:val="5"/>
        <w:keepNext w:val="0"/>
        <w:keepLines w:val="0"/>
        <w:widowControl/>
        <w:suppressLineNumbers w:val="0"/>
        <w:spacing w:before="0" w:beforeAutospacing="0" w:after="0" w:afterAutospacing="0" w:line="580" w:lineRule="atLeast"/>
        <w:ind w:left="0" w:right="0" w:firstLine="975"/>
        <w:jc w:val="left"/>
        <w:rPr>
          <w:rFonts w:hint="default" w:ascii="Times New Roman" w:hAnsi="Times New Roman" w:cs="Times New Roman"/>
          <w:sz w:val="21"/>
          <w:szCs w:val="21"/>
        </w:rPr>
      </w:pPr>
      <w:r>
        <w:rPr>
          <w:rFonts w:hint="eastAsia" w:ascii="仿宋" w:hAnsi="仿宋" w:eastAsia="仿宋" w:cs="仿宋"/>
          <w:b/>
          <w:bCs/>
          <w:color w:val="000000"/>
          <w:spacing w:val="22"/>
          <w:sz w:val="28"/>
          <w:szCs w:val="28"/>
        </w:rPr>
        <w:t>1、基本支出</w:t>
      </w:r>
    </w:p>
    <w:p w14:paraId="13BFC82C">
      <w:pPr>
        <w:pStyle w:val="5"/>
        <w:keepNext w:val="0"/>
        <w:keepLines w:val="0"/>
        <w:widowControl/>
        <w:suppressLineNumbers w:val="0"/>
        <w:spacing w:before="0" w:beforeAutospacing="0" w:after="0" w:afterAutospacing="0" w:line="580" w:lineRule="atLeast"/>
        <w:ind w:left="0" w:right="0" w:firstLine="1120"/>
        <w:jc w:val="left"/>
        <w:rPr>
          <w:rFonts w:hint="default" w:ascii="Times New Roman" w:hAnsi="Times New Roman" w:cs="Times New Roman"/>
          <w:sz w:val="21"/>
          <w:szCs w:val="21"/>
        </w:rPr>
      </w:pPr>
      <w:r>
        <w:rPr>
          <w:rFonts w:hint="eastAsia" w:ascii="仿宋" w:hAnsi="仿宋" w:eastAsia="仿宋" w:cs="仿宋"/>
          <w:sz w:val="28"/>
          <w:szCs w:val="28"/>
        </w:rPr>
        <w:t>中共峨边彝族自治县委党校基本支出的范围和主要用途包括为维持部门日常运转的人员经费和日常公用经费。2019年经费基本支出190.5万元，具体使用情况如下：</w:t>
      </w:r>
    </w:p>
    <w:tbl>
      <w:tblPr>
        <w:tblW w:w="6166" w:type="dxa"/>
        <w:tblInd w:w="135"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autofit"/>
        <w:tblCellMar>
          <w:top w:w="15" w:type="dxa"/>
          <w:left w:w="15" w:type="dxa"/>
          <w:bottom w:w="15" w:type="dxa"/>
          <w:right w:w="15" w:type="dxa"/>
        </w:tblCellMar>
      </w:tblPr>
      <w:tblGrid>
        <w:gridCol w:w="3249"/>
        <w:gridCol w:w="2917"/>
      </w:tblGrid>
      <w:tr w14:paraId="47AC2550">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CellMar>
            <w:top w:w="15" w:type="dxa"/>
            <w:left w:w="15" w:type="dxa"/>
            <w:bottom w:w="15" w:type="dxa"/>
            <w:right w:w="15" w:type="dxa"/>
          </w:tblCellMar>
        </w:tblPrEx>
        <w:tc>
          <w:tcPr>
            <w:tcW w:w="3249" w:type="dxa"/>
            <w:tcBorders>
              <w:top w:val="single" w:color="auto" w:sz="8" w:space="0"/>
              <w:left w:val="single" w:color="auto" w:sz="8" w:space="0"/>
              <w:bottom w:val="single" w:color="auto" w:sz="8" w:space="0"/>
              <w:right w:val="single" w:color="auto" w:sz="8" w:space="0"/>
            </w:tcBorders>
            <w:shd w:val="clear"/>
            <w:tcMar>
              <w:top w:w="0" w:type="dxa"/>
              <w:left w:w="108" w:type="dxa"/>
              <w:bottom w:w="0" w:type="dxa"/>
              <w:right w:w="108" w:type="dxa"/>
            </w:tcMar>
            <w:vAlign w:val="top"/>
          </w:tcPr>
          <w:p w14:paraId="61613F82">
            <w:pPr>
              <w:pStyle w:val="5"/>
              <w:keepNext w:val="0"/>
              <w:keepLines w:val="0"/>
              <w:widowControl/>
              <w:suppressLineNumbers w:val="0"/>
              <w:spacing w:before="0" w:beforeAutospacing="0" w:after="0" w:afterAutospacing="0" w:line="580" w:lineRule="atLeast"/>
              <w:ind w:left="0" w:right="0"/>
              <w:jc w:val="left"/>
              <w:rPr>
                <w:rFonts w:hint="default" w:ascii="Times New Roman" w:hAnsi="Times New Roman" w:cs="Times New Roman"/>
                <w:sz w:val="21"/>
                <w:szCs w:val="21"/>
              </w:rPr>
            </w:pPr>
            <w:r>
              <w:rPr>
                <w:rFonts w:hint="eastAsia" w:ascii="仿宋" w:hAnsi="仿宋" w:eastAsia="仿宋" w:cs="仿宋"/>
                <w:sz w:val="21"/>
                <w:szCs w:val="21"/>
              </w:rPr>
              <w:t>项目名称</w:t>
            </w:r>
          </w:p>
        </w:tc>
        <w:tc>
          <w:tcPr>
            <w:tcW w:w="2917" w:type="dxa"/>
            <w:tcBorders>
              <w:top w:val="single" w:color="auto" w:sz="8" w:space="0"/>
              <w:left w:val="nil"/>
              <w:bottom w:val="single" w:color="auto" w:sz="8" w:space="0"/>
              <w:right w:val="single" w:color="auto" w:sz="8" w:space="0"/>
            </w:tcBorders>
            <w:shd w:val="clear"/>
            <w:tcMar>
              <w:top w:w="0" w:type="dxa"/>
              <w:left w:w="108" w:type="dxa"/>
              <w:bottom w:w="0" w:type="dxa"/>
              <w:right w:w="108" w:type="dxa"/>
            </w:tcMar>
            <w:vAlign w:val="top"/>
          </w:tcPr>
          <w:p w14:paraId="6C09DE59">
            <w:pPr>
              <w:pStyle w:val="5"/>
              <w:keepNext w:val="0"/>
              <w:keepLines w:val="0"/>
              <w:widowControl/>
              <w:suppressLineNumbers w:val="0"/>
              <w:spacing w:before="0" w:beforeAutospacing="0" w:after="0" w:afterAutospacing="0" w:line="580" w:lineRule="atLeast"/>
              <w:ind w:left="0" w:right="0"/>
              <w:jc w:val="left"/>
              <w:rPr>
                <w:rFonts w:hint="default" w:ascii="Times New Roman" w:hAnsi="Times New Roman" w:cs="Times New Roman"/>
                <w:sz w:val="21"/>
                <w:szCs w:val="21"/>
              </w:rPr>
            </w:pPr>
            <w:r>
              <w:rPr>
                <w:rFonts w:hint="eastAsia" w:ascii="仿宋" w:hAnsi="仿宋" w:eastAsia="仿宋" w:cs="仿宋"/>
                <w:sz w:val="21"/>
                <w:szCs w:val="21"/>
              </w:rPr>
              <w:t>金额（万元）</w:t>
            </w:r>
          </w:p>
        </w:tc>
      </w:tr>
      <w:tr w14:paraId="7E249F32">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c>
          <w:tcPr>
            <w:tcW w:w="3249" w:type="dxa"/>
            <w:tcBorders>
              <w:top w:val="nil"/>
              <w:left w:val="single" w:color="auto" w:sz="8" w:space="0"/>
              <w:bottom w:val="single" w:color="auto" w:sz="8" w:space="0"/>
              <w:right w:val="single" w:color="auto" w:sz="8" w:space="0"/>
            </w:tcBorders>
            <w:shd w:val="clear"/>
            <w:tcMar>
              <w:top w:w="0" w:type="dxa"/>
              <w:left w:w="108" w:type="dxa"/>
              <w:bottom w:w="0" w:type="dxa"/>
              <w:right w:w="108" w:type="dxa"/>
            </w:tcMar>
            <w:vAlign w:val="top"/>
          </w:tcPr>
          <w:p w14:paraId="010408C8">
            <w:pPr>
              <w:pStyle w:val="5"/>
              <w:keepNext w:val="0"/>
              <w:keepLines w:val="0"/>
              <w:widowControl/>
              <w:suppressLineNumbers w:val="0"/>
              <w:spacing w:before="0" w:beforeAutospacing="0" w:after="0" w:afterAutospacing="0" w:line="580" w:lineRule="atLeast"/>
              <w:ind w:left="0" w:right="0"/>
              <w:jc w:val="left"/>
              <w:rPr>
                <w:rFonts w:hint="default" w:ascii="Times New Roman" w:hAnsi="Times New Roman" w:cs="Times New Roman"/>
                <w:sz w:val="21"/>
                <w:szCs w:val="21"/>
              </w:rPr>
            </w:pPr>
            <w:r>
              <w:rPr>
                <w:rFonts w:hint="eastAsia" w:ascii="仿宋" w:hAnsi="仿宋" w:eastAsia="仿宋" w:cs="仿宋"/>
                <w:sz w:val="21"/>
                <w:szCs w:val="21"/>
              </w:rPr>
              <w:t>基本工资</w:t>
            </w:r>
          </w:p>
        </w:tc>
        <w:tc>
          <w:tcPr>
            <w:tcW w:w="2917" w:type="dxa"/>
            <w:tcBorders>
              <w:top w:val="nil"/>
              <w:left w:val="nil"/>
              <w:bottom w:val="single" w:color="auto" w:sz="8" w:space="0"/>
              <w:right w:val="single" w:color="auto" w:sz="8" w:space="0"/>
            </w:tcBorders>
            <w:shd w:val="clear"/>
            <w:tcMar>
              <w:top w:w="0" w:type="dxa"/>
              <w:left w:w="108" w:type="dxa"/>
              <w:bottom w:w="0" w:type="dxa"/>
              <w:right w:w="108" w:type="dxa"/>
            </w:tcMar>
            <w:vAlign w:val="top"/>
          </w:tcPr>
          <w:p w14:paraId="2F4EFE00">
            <w:pPr>
              <w:pStyle w:val="5"/>
              <w:keepNext w:val="0"/>
              <w:keepLines w:val="0"/>
              <w:widowControl/>
              <w:suppressLineNumbers w:val="0"/>
              <w:spacing w:before="0" w:beforeAutospacing="0" w:after="0" w:afterAutospacing="0" w:line="580" w:lineRule="atLeast"/>
              <w:ind w:left="0" w:right="0"/>
              <w:jc w:val="left"/>
              <w:rPr>
                <w:rFonts w:hint="default" w:ascii="Times New Roman" w:hAnsi="Times New Roman" w:cs="Times New Roman"/>
                <w:sz w:val="21"/>
                <w:szCs w:val="21"/>
              </w:rPr>
            </w:pPr>
            <w:r>
              <w:rPr>
                <w:rFonts w:hint="eastAsia" w:ascii="仿宋" w:hAnsi="仿宋" w:eastAsia="仿宋" w:cs="仿宋"/>
                <w:sz w:val="21"/>
                <w:szCs w:val="21"/>
              </w:rPr>
              <w:t>42.6</w:t>
            </w:r>
          </w:p>
        </w:tc>
      </w:tr>
      <w:tr w14:paraId="297CF94D">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c>
          <w:tcPr>
            <w:tcW w:w="3249" w:type="dxa"/>
            <w:tcBorders>
              <w:top w:val="nil"/>
              <w:left w:val="single" w:color="auto" w:sz="8" w:space="0"/>
              <w:bottom w:val="single" w:color="auto" w:sz="8" w:space="0"/>
              <w:right w:val="single" w:color="auto" w:sz="8" w:space="0"/>
            </w:tcBorders>
            <w:shd w:val="clear"/>
            <w:tcMar>
              <w:top w:w="0" w:type="dxa"/>
              <w:left w:w="108" w:type="dxa"/>
              <w:bottom w:w="0" w:type="dxa"/>
              <w:right w:w="108" w:type="dxa"/>
            </w:tcMar>
            <w:vAlign w:val="top"/>
          </w:tcPr>
          <w:p w14:paraId="68AD2C7B">
            <w:pPr>
              <w:pStyle w:val="5"/>
              <w:keepNext w:val="0"/>
              <w:keepLines w:val="0"/>
              <w:widowControl/>
              <w:suppressLineNumbers w:val="0"/>
              <w:spacing w:before="0" w:beforeAutospacing="0" w:after="0" w:afterAutospacing="0" w:line="580" w:lineRule="atLeast"/>
              <w:ind w:left="0" w:right="0"/>
              <w:jc w:val="left"/>
              <w:rPr>
                <w:rFonts w:hint="default" w:ascii="Times New Roman" w:hAnsi="Times New Roman" w:cs="Times New Roman"/>
                <w:sz w:val="21"/>
                <w:szCs w:val="21"/>
              </w:rPr>
            </w:pPr>
            <w:r>
              <w:rPr>
                <w:rFonts w:hint="eastAsia" w:ascii="仿宋" w:hAnsi="仿宋" w:eastAsia="仿宋" w:cs="仿宋"/>
                <w:sz w:val="21"/>
                <w:szCs w:val="21"/>
              </w:rPr>
              <w:t>津贴补贴</w:t>
            </w:r>
          </w:p>
        </w:tc>
        <w:tc>
          <w:tcPr>
            <w:tcW w:w="2917" w:type="dxa"/>
            <w:tcBorders>
              <w:top w:val="nil"/>
              <w:left w:val="nil"/>
              <w:bottom w:val="single" w:color="auto" w:sz="8" w:space="0"/>
              <w:right w:val="single" w:color="auto" w:sz="8" w:space="0"/>
            </w:tcBorders>
            <w:shd w:val="clear"/>
            <w:tcMar>
              <w:top w:w="0" w:type="dxa"/>
              <w:left w:w="108" w:type="dxa"/>
              <w:bottom w:w="0" w:type="dxa"/>
              <w:right w:w="108" w:type="dxa"/>
            </w:tcMar>
            <w:vAlign w:val="top"/>
          </w:tcPr>
          <w:p w14:paraId="18848577">
            <w:pPr>
              <w:pStyle w:val="5"/>
              <w:keepNext w:val="0"/>
              <w:keepLines w:val="0"/>
              <w:widowControl/>
              <w:suppressLineNumbers w:val="0"/>
              <w:spacing w:before="0" w:beforeAutospacing="0" w:after="0" w:afterAutospacing="0" w:line="580" w:lineRule="atLeast"/>
              <w:ind w:left="0" w:right="0"/>
              <w:jc w:val="left"/>
              <w:rPr>
                <w:rFonts w:hint="default" w:ascii="Times New Roman" w:hAnsi="Times New Roman" w:cs="Times New Roman"/>
                <w:sz w:val="21"/>
                <w:szCs w:val="21"/>
              </w:rPr>
            </w:pPr>
            <w:r>
              <w:rPr>
                <w:rFonts w:hint="eastAsia" w:ascii="仿宋" w:hAnsi="仿宋" w:eastAsia="仿宋" w:cs="仿宋"/>
                <w:sz w:val="21"/>
                <w:szCs w:val="21"/>
              </w:rPr>
              <w:t>67.9</w:t>
            </w:r>
          </w:p>
        </w:tc>
      </w:tr>
      <w:tr w14:paraId="46D5F83B">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c>
          <w:tcPr>
            <w:tcW w:w="3249" w:type="dxa"/>
            <w:tcBorders>
              <w:top w:val="nil"/>
              <w:left w:val="single" w:color="auto" w:sz="8" w:space="0"/>
              <w:bottom w:val="single" w:color="auto" w:sz="8" w:space="0"/>
              <w:right w:val="single" w:color="auto" w:sz="8" w:space="0"/>
            </w:tcBorders>
            <w:shd w:val="clear"/>
            <w:tcMar>
              <w:top w:w="0" w:type="dxa"/>
              <w:left w:w="108" w:type="dxa"/>
              <w:bottom w:w="0" w:type="dxa"/>
              <w:right w:w="108" w:type="dxa"/>
            </w:tcMar>
            <w:vAlign w:val="top"/>
          </w:tcPr>
          <w:p w14:paraId="5E3B520D">
            <w:pPr>
              <w:pStyle w:val="5"/>
              <w:keepNext w:val="0"/>
              <w:keepLines w:val="0"/>
              <w:widowControl/>
              <w:suppressLineNumbers w:val="0"/>
              <w:spacing w:before="0" w:beforeAutospacing="0" w:after="0" w:afterAutospacing="0" w:line="580" w:lineRule="atLeast"/>
              <w:ind w:left="0" w:right="0"/>
              <w:jc w:val="left"/>
              <w:rPr>
                <w:rFonts w:hint="default" w:ascii="Times New Roman" w:hAnsi="Times New Roman" w:cs="Times New Roman"/>
                <w:sz w:val="21"/>
                <w:szCs w:val="21"/>
              </w:rPr>
            </w:pPr>
            <w:r>
              <w:rPr>
                <w:rFonts w:hint="eastAsia" w:ascii="仿宋" w:hAnsi="仿宋" w:eastAsia="仿宋" w:cs="仿宋"/>
                <w:sz w:val="21"/>
                <w:szCs w:val="21"/>
              </w:rPr>
              <w:t>社会保障缴费</w:t>
            </w:r>
          </w:p>
        </w:tc>
        <w:tc>
          <w:tcPr>
            <w:tcW w:w="2917" w:type="dxa"/>
            <w:tcBorders>
              <w:top w:val="nil"/>
              <w:left w:val="nil"/>
              <w:bottom w:val="single" w:color="auto" w:sz="8" w:space="0"/>
              <w:right w:val="single" w:color="auto" w:sz="8" w:space="0"/>
            </w:tcBorders>
            <w:shd w:val="clear"/>
            <w:tcMar>
              <w:top w:w="0" w:type="dxa"/>
              <w:left w:w="108" w:type="dxa"/>
              <w:bottom w:w="0" w:type="dxa"/>
              <w:right w:w="108" w:type="dxa"/>
            </w:tcMar>
            <w:vAlign w:val="top"/>
          </w:tcPr>
          <w:p w14:paraId="6E81A480">
            <w:pPr>
              <w:pStyle w:val="5"/>
              <w:keepNext w:val="0"/>
              <w:keepLines w:val="0"/>
              <w:widowControl/>
              <w:suppressLineNumbers w:val="0"/>
              <w:spacing w:before="0" w:beforeAutospacing="0" w:after="0" w:afterAutospacing="0" w:line="580" w:lineRule="atLeast"/>
              <w:ind w:left="0" w:right="0"/>
              <w:jc w:val="left"/>
              <w:rPr>
                <w:rFonts w:hint="default" w:ascii="Times New Roman" w:hAnsi="Times New Roman" w:cs="Times New Roman"/>
                <w:sz w:val="21"/>
                <w:szCs w:val="21"/>
              </w:rPr>
            </w:pPr>
            <w:r>
              <w:rPr>
                <w:rFonts w:hint="eastAsia" w:ascii="仿宋" w:hAnsi="仿宋" w:eastAsia="仿宋" w:cs="仿宋"/>
                <w:sz w:val="21"/>
                <w:szCs w:val="21"/>
              </w:rPr>
              <w:t>37.8</w:t>
            </w:r>
          </w:p>
        </w:tc>
      </w:tr>
      <w:tr w14:paraId="30FFA0DC">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c>
          <w:tcPr>
            <w:tcW w:w="3249" w:type="dxa"/>
            <w:tcBorders>
              <w:top w:val="nil"/>
              <w:left w:val="single" w:color="auto" w:sz="8" w:space="0"/>
              <w:bottom w:val="single" w:color="auto" w:sz="8" w:space="0"/>
              <w:right w:val="single" w:color="auto" w:sz="8" w:space="0"/>
            </w:tcBorders>
            <w:shd w:val="clear"/>
            <w:tcMar>
              <w:top w:w="0" w:type="dxa"/>
              <w:left w:w="108" w:type="dxa"/>
              <w:bottom w:w="0" w:type="dxa"/>
              <w:right w:w="108" w:type="dxa"/>
            </w:tcMar>
            <w:vAlign w:val="top"/>
          </w:tcPr>
          <w:p w14:paraId="644CBC2D">
            <w:pPr>
              <w:pStyle w:val="5"/>
              <w:keepNext w:val="0"/>
              <w:keepLines w:val="0"/>
              <w:widowControl/>
              <w:suppressLineNumbers w:val="0"/>
              <w:spacing w:before="0" w:beforeAutospacing="0" w:after="0" w:afterAutospacing="0" w:line="580" w:lineRule="atLeast"/>
              <w:ind w:left="0" w:right="0"/>
              <w:jc w:val="left"/>
              <w:rPr>
                <w:rFonts w:hint="default" w:ascii="Times New Roman" w:hAnsi="Times New Roman" w:cs="Times New Roman"/>
                <w:sz w:val="21"/>
                <w:szCs w:val="21"/>
              </w:rPr>
            </w:pPr>
            <w:r>
              <w:rPr>
                <w:rFonts w:hint="eastAsia" w:ascii="仿宋" w:hAnsi="仿宋" w:eastAsia="仿宋" w:cs="仿宋"/>
                <w:sz w:val="21"/>
                <w:szCs w:val="21"/>
              </w:rPr>
              <w:t>其他工资福利支出</w:t>
            </w:r>
          </w:p>
        </w:tc>
        <w:tc>
          <w:tcPr>
            <w:tcW w:w="2917" w:type="dxa"/>
            <w:tcBorders>
              <w:top w:val="nil"/>
              <w:left w:val="nil"/>
              <w:bottom w:val="single" w:color="auto" w:sz="8" w:space="0"/>
              <w:right w:val="single" w:color="auto" w:sz="8" w:space="0"/>
            </w:tcBorders>
            <w:shd w:val="clear"/>
            <w:tcMar>
              <w:top w:w="0" w:type="dxa"/>
              <w:left w:w="108" w:type="dxa"/>
              <w:bottom w:w="0" w:type="dxa"/>
              <w:right w:w="108" w:type="dxa"/>
            </w:tcMar>
            <w:vAlign w:val="top"/>
          </w:tcPr>
          <w:p w14:paraId="448199D7">
            <w:pPr>
              <w:pStyle w:val="5"/>
              <w:keepNext w:val="0"/>
              <w:keepLines w:val="0"/>
              <w:widowControl/>
              <w:suppressLineNumbers w:val="0"/>
              <w:spacing w:before="0" w:beforeAutospacing="0" w:after="0" w:afterAutospacing="0" w:line="580" w:lineRule="atLeast"/>
              <w:ind w:left="0" w:right="0"/>
              <w:jc w:val="left"/>
              <w:rPr>
                <w:rFonts w:hint="default" w:ascii="Times New Roman" w:hAnsi="Times New Roman" w:cs="Times New Roman"/>
                <w:sz w:val="21"/>
                <w:szCs w:val="21"/>
              </w:rPr>
            </w:pPr>
            <w:r>
              <w:rPr>
                <w:rFonts w:hint="eastAsia" w:ascii="仿宋" w:hAnsi="仿宋" w:eastAsia="仿宋" w:cs="仿宋"/>
                <w:sz w:val="21"/>
                <w:szCs w:val="21"/>
              </w:rPr>
              <w:t>3</w:t>
            </w:r>
          </w:p>
        </w:tc>
      </w:tr>
      <w:tr w14:paraId="31883FF7">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c>
          <w:tcPr>
            <w:tcW w:w="3249" w:type="dxa"/>
            <w:tcBorders>
              <w:top w:val="nil"/>
              <w:left w:val="single" w:color="auto" w:sz="8" w:space="0"/>
              <w:bottom w:val="single" w:color="auto" w:sz="8" w:space="0"/>
              <w:right w:val="single" w:color="auto" w:sz="8" w:space="0"/>
            </w:tcBorders>
            <w:shd w:val="clear"/>
            <w:tcMar>
              <w:top w:w="0" w:type="dxa"/>
              <w:left w:w="108" w:type="dxa"/>
              <w:bottom w:w="0" w:type="dxa"/>
              <w:right w:w="108" w:type="dxa"/>
            </w:tcMar>
            <w:vAlign w:val="top"/>
          </w:tcPr>
          <w:p w14:paraId="7FB963C5">
            <w:pPr>
              <w:pStyle w:val="5"/>
              <w:keepNext w:val="0"/>
              <w:keepLines w:val="0"/>
              <w:widowControl/>
              <w:suppressLineNumbers w:val="0"/>
              <w:spacing w:before="0" w:beforeAutospacing="0" w:after="0" w:afterAutospacing="0" w:line="580" w:lineRule="atLeast"/>
              <w:ind w:left="0" w:right="0"/>
              <w:jc w:val="left"/>
              <w:rPr>
                <w:rFonts w:hint="default" w:ascii="Times New Roman" w:hAnsi="Times New Roman" w:cs="Times New Roman"/>
                <w:sz w:val="21"/>
                <w:szCs w:val="21"/>
              </w:rPr>
            </w:pPr>
            <w:r>
              <w:rPr>
                <w:rFonts w:hint="eastAsia" w:ascii="仿宋" w:hAnsi="仿宋" w:eastAsia="仿宋" w:cs="仿宋"/>
                <w:sz w:val="21"/>
                <w:szCs w:val="21"/>
              </w:rPr>
              <w:t>办公费</w:t>
            </w:r>
          </w:p>
        </w:tc>
        <w:tc>
          <w:tcPr>
            <w:tcW w:w="2917" w:type="dxa"/>
            <w:tcBorders>
              <w:top w:val="nil"/>
              <w:left w:val="nil"/>
              <w:bottom w:val="single" w:color="auto" w:sz="8" w:space="0"/>
              <w:right w:val="single" w:color="auto" w:sz="8" w:space="0"/>
            </w:tcBorders>
            <w:shd w:val="clear"/>
            <w:tcMar>
              <w:top w:w="0" w:type="dxa"/>
              <w:left w:w="108" w:type="dxa"/>
              <w:bottom w:w="0" w:type="dxa"/>
              <w:right w:w="108" w:type="dxa"/>
            </w:tcMar>
            <w:vAlign w:val="top"/>
          </w:tcPr>
          <w:p w14:paraId="4DE731CA">
            <w:pPr>
              <w:pStyle w:val="5"/>
              <w:keepNext w:val="0"/>
              <w:keepLines w:val="0"/>
              <w:widowControl/>
              <w:suppressLineNumbers w:val="0"/>
              <w:spacing w:before="0" w:beforeAutospacing="0" w:after="0" w:afterAutospacing="0" w:line="580" w:lineRule="atLeast"/>
              <w:ind w:left="0" w:right="0"/>
              <w:jc w:val="left"/>
              <w:rPr>
                <w:rFonts w:hint="default" w:ascii="Times New Roman" w:hAnsi="Times New Roman" w:cs="Times New Roman"/>
                <w:sz w:val="21"/>
                <w:szCs w:val="21"/>
              </w:rPr>
            </w:pPr>
            <w:r>
              <w:rPr>
                <w:rFonts w:hint="eastAsia" w:ascii="仿宋" w:hAnsi="仿宋" w:eastAsia="仿宋" w:cs="仿宋"/>
                <w:sz w:val="21"/>
                <w:szCs w:val="21"/>
              </w:rPr>
              <w:t>3.7</w:t>
            </w:r>
          </w:p>
        </w:tc>
      </w:tr>
      <w:tr w14:paraId="4964EDFF">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c>
          <w:tcPr>
            <w:tcW w:w="3249" w:type="dxa"/>
            <w:tcBorders>
              <w:top w:val="nil"/>
              <w:left w:val="single" w:color="auto" w:sz="8" w:space="0"/>
              <w:bottom w:val="single" w:color="auto" w:sz="8" w:space="0"/>
              <w:right w:val="single" w:color="auto" w:sz="8" w:space="0"/>
            </w:tcBorders>
            <w:shd w:val="clear"/>
            <w:tcMar>
              <w:top w:w="0" w:type="dxa"/>
              <w:left w:w="108" w:type="dxa"/>
              <w:bottom w:w="0" w:type="dxa"/>
              <w:right w:w="108" w:type="dxa"/>
            </w:tcMar>
            <w:vAlign w:val="top"/>
          </w:tcPr>
          <w:p w14:paraId="6A49A4A1">
            <w:pPr>
              <w:pStyle w:val="5"/>
              <w:keepNext w:val="0"/>
              <w:keepLines w:val="0"/>
              <w:widowControl/>
              <w:suppressLineNumbers w:val="0"/>
              <w:spacing w:before="0" w:beforeAutospacing="0" w:after="0" w:afterAutospacing="0" w:line="580" w:lineRule="atLeast"/>
              <w:ind w:left="0" w:right="0"/>
              <w:jc w:val="left"/>
              <w:rPr>
                <w:rFonts w:hint="default" w:ascii="Times New Roman" w:hAnsi="Times New Roman" w:cs="Times New Roman"/>
                <w:sz w:val="21"/>
                <w:szCs w:val="21"/>
              </w:rPr>
            </w:pPr>
            <w:r>
              <w:rPr>
                <w:rFonts w:hint="eastAsia" w:ascii="仿宋" w:hAnsi="仿宋" w:eastAsia="仿宋" w:cs="仿宋"/>
                <w:sz w:val="21"/>
                <w:szCs w:val="21"/>
              </w:rPr>
              <w:t>邮电费</w:t>
            </w:r>
          </w:p>
        </w:tc>
        <w:tc>
          <w:tcPr>
            <w:tcW w:w="2917" w:type="dxa"/>
            <w:tcBorders>
              <w:top w:val="nil"/>
              <w:left w:val="nil"/>
              <w:bottom w:val="single" w:color="auto" w:sz="8" w:space="0"/>
              <w:right w:val="single" w:color="auto" w:sz="8" w:space="0"/>
            </w:tcBorders>
            <w:shd w:val="clear"/>
            <w:tcMar>
              <w:top w:w="0" w:type="dxa"/>
              <w:left w:w="108" w:type="dxa"/>
              <w:bottom w:w="0" w:type="dxa"/>
              <w:right w:w="108" w:type="dxa"/>
            </w:tcMar>
            <w:vAlign w:val="top"/>
          </w:tcPr>
          <w:p w14:paraId="34206B17">
            <w:pPr>
              <w:pStyle w:val="5"/>
              <w:keepNext w:val="0"/>
              <w:keepLines w:val="0"/>
              <w:widowControl/>
              <w:suppressLineNumbers w:val="0"/>
              <w:spacing w:before="0" w:beforeAutospacing="0" w:after="0" w:afterAutospacing="0" w:line="580" w:lineRule="atLeast"/>
              <w:ind w:left="0" w:right="0"/>
              <w:jc w:val="left"/>
              <w:rPr>
                <w:rFonts w:hint="default" w:ascii="Times New Roman" w:hAnsi="Times New Roman" w:cs="Times New Roman"/>
                <w:sz w:val="21"/>
                <w:szCs w:val="21"/>
              </w:rPr>
            </w:pPr>
            <w:r>
              <w:rPr>
                <w:rFonts w:hint="eastAsia" w:ascii="仿宋" w:hAnsi="仿宋" w:eastAsia="仿宋" w:cs="仿宋"/>
                <w:sz w:val="21"/>
                <w:szCs w:val="21"/>
              </w:rPr>
              <w:t>3.1</w:t>
            </w:r>
          </w:p>
        </w:tc>
      </w:tr>
      <w:tr w14:paraId="32BBBDCF">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c>
          <w:tcPr>
            <w:tcW w:w="3249" w:type="dxa"/>
            <w:tcBorders>
              <w:top w:val="nil"/>
              <w:left w:val="single" w:color="auto" w:sz="8" w:space="0"/>
              <w:bottom w:val="single" w:color="auto" w:sz="8" w:space="0"/>
              <w:right w:val="single" w:color="auto" w:sz="8" w:space="0"/>
            </w:tcBorders>
            <w:shd w:val="clear"/>
            <w:tcMar>
              <w:top w:w="0" w:type="dxa"/>
              <w:left w:w="108" w:type="dxa"/>
              <w:bottom w:w="0" w:type="dxa"/>
              <w:right w:w="108" w:type="dxa"/>
            </w:tcMar>
            <w:vAlign w:val="top"/>
          </w:tcPr>
          <w:p w14:paraId="341F0B66">
            <w:pPr>
              <w:pStyle w:val="5"/>
              <w:keepNext w:val="0"/>
              <w:keepLines w:val="0"/>
              <w:widowControl/>
              <w:suppressLineNumbers w:val="0"/>
              <w:spacing w:before="0" w:beforeAutospacing="0" w:after="0" w:afterAutospacing="0" w:line="580" w:lineRule="atLeast"/>
              <w:ind w:left="0" w:right="0"/>
              <w:jc w:val="left"/>
              <w:rPr>
                <w:rFonts w:hint="default" w:ascii="Times New Roman" w:hAnsi="Times New Roman" w:cs="Times New Roman"/>
                <w:sz w:val="21"/>
                <w:szCs w:val="21"/>
              </w:rPr>
            </w:pPr>
            <w:r>
              <w:rPr>
                <w:rFonts w:hint="eastAsia" w:ascii="仿宋" w:hAnsi="仿宋" w:eastAsia="仿宋" w:cs="仿宋"/>
                <w:sz w:val="21"/>
                <w:szCs w:val="21"/>
              </w:rPr>
              <w:t>交通费</w:t>
            </w:r>
          </w:p>
        </w:tc>
        <w:tc>
          <w:tcPr>
            <w:tcW w:w="2917" w:type="dxa"/>
            <w:tcBorders>
              <w:top w:val="nil"/>
              <w:left w:val="nil"/>
              <w:bottom w:val="single" w:color="auto" w:sz="8" w:space="0"/>
              <w:right w:val="single" w:color="auto" w:sz="8" w:space="0"/>
            </w:tcBorders>
            <w:shd w:val="clear"/>
            <w:tcMar>
              <w:top w:w="0" w:type="dxa"/>
              <w:left w:w="108" w:type="dxa"/>
              <w:bottom w:w="0" w:type="dxa"/>
              <w:right w:w="108" w:type="dxa"/>
            </w:tcMar>
            <w:vAlign w:val="top"/>
          </w:tcPr>
          <w:p w14:paraId="33733883">
            <w:pPr>
              <w:pStyle w:val="5"/>
              <w:keepNext w:val="0"/>
              <w:keepLines w:val="0"/>
              <w:widowControl/>
              <w:suppressLineNumbers w:val="0"/>
              <w:spacing w:before="0" w:beforeAutospacing="0" w:after="0" w:afterAutospacing="0" w:line="580" w:lineRule="atLeast"/>
              <w:ind w:left="0" w:right="0"/>
              <w:jc w:val="left"/>
              <w:rPr>
                <w:rFonts w:hint="default" w:ascii="Times New Roman" w:hAnsi="Times New Roman" w:cs="Times New Roman"/>
                <w:sz w:val="21"/>
                <w:szCs w:val="21"/>
              </w:rPr>
            </w:pPr>
            <w:r>
              <w:rPr>
                <w:rFonts w:hint="eastAsia" w:ascii="仿宋" w:hAnsi="仿宋" w:eastAsia="仿宋" w:cs="仿宋"/>
                <w:sz w:val="21"/>
                <w:szCs w:val="21"/>
              </w:rPr>
              <w:t>7.5</w:t>
            </w:r>
          </w:p>
        </w:tc>
      </w:tr>
      <w:tr w14:paraId="489B94D4">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c>
          <w:tcPr>
            <w:tcW w:w="3249" w:type="dxa"/>
            <w:tcBorders>
              <w:top w:val="nil"/>
              <w:left w:val="single" w:color="auto" w:sz="8" w:space="0"/>
              <w:bottom w:val="single" w:color="auto" w:sz="8" w:space="0"/>
              <w:right w:val="single" w:color="auto" w:sz="8" w:space="0"/>
            </w:tcBorders>
            <w:shd w:val="clear"/>
            <w:tcMar>
              <w:top w:w="0" w:type="dxa"/>
              <w:left w:w="108" w:type="dxa"/>
              <w:bottom w:w="0" w:type="dxa"/>
              <w:right w:w="108" w:type="dxa"/>
            </w:tcMar>
            <w:vAlign w:val="top"/>
          </w:tcPr>
          <w:p w14:paraId="12E4C6D1">
            <w:pPr>
              <w:pStyle w:val="5"/>
              <w:keepNext w:val="0"/>
              <w:keepLines w:val="0"/>
              <w:widowControl/>
              <w:suppressLineNumbers w:val="0"/>
              <w:spacing w:before="0" w:beforeAutospacing="0" w:after="0" w:afterAutospacing="0" w:line="580" w:lineRule="atLeast"/>
              <w:ind w:left="0" w:right="0"/>
              <w:jc w:val="left"/>
              <w:rPr>
                <w:rFonts w:hint="default" w:ascii="Times New Roman" w:hAnsi="Times New Roman" w:cs="Times New Roman"/>
                <w:sz w:val="21"/>
                <w:szCs w:val="21"/>
              </w:rPr>
            </w:pPr>
            <w:r>
              <w:rPr>
                <w:rFonts w:hint="eastAsia" w:ascii="仿宋" w:hAnsi="仿宋" w:eastAsia="仿宋" w:cs="仿宋"/>
                <w:sz w:val="21"/>
                <w:szCs w:val="21"/>
              </w:rPr>
              <w:t>差旅费</w:t>
            </w:r>
          </w:p>
        </w:tc>
        <w:tc>
          <w:tcPr>
            <w:tcW w:w="2917" w:type="dxa"/>
            <w:tcBorders>
              <w:top w:val="nil"/>
              <w:left w:val="nil"/>
              <w:bottom w:val="single" w:color="auto" w:sz="8" w:space="0"/>
              <w:right w:val="single" w:color="auto" w:sz="8" w:space="0"/>
            </w:tcBorders>
            <w:shd w:val="clear"/>
            <w:tcMar>
              <w:top w:w="0" w:type="dxa"/>
              <w:left w:w="108" w:type="dxa"/>
              <w:bottom w:w="0" w:type="dxa"/>
              <w:right w:w="108" w:type="dxa"/>
            </w:tcMar>
            <w:vAlign w:val="top"/>
          </w:tcPr>
          <w:p w14:paraId="5DA5D3F3">
            <w:pPr>
              <w:pStyle w:val="5"/>
              <w:keepNext w:val="0"/>
              <w:keepLines w:val="0"/>
              <w:widowControl/>
              <w:suppressLineNumbers w:val="0"/>
              <w:spacing w:before="0" w:beforeAutospacing="0" w:after="0" w:afterAutospacing="0" w:line="580" w:lineRule="atLeast"/>
              <w:ind w:left="0" w:right="0"/>
              <w:jc w:val="left"/>
              <w:rPr>
                <w:rFonts w:hint="default" w:ascii="Times New Roman" w:hAnsi="Times New Roman" w:cs="Times New Roman"/>
                <w:sz w:val="21"/>
                <w:szCs w:val="21"/>
              </w:rPr>
            </w:pPr>
            <w:r>
              <w:rPr>
                <w:rFonts w:hint="eastAsia" w:ascii="仿宋" w:hAnsi="仿宋" w:eastAsia="仿宋" w:cs="仿宋"/>
                <w:sz w:val="21"/>
                <w:szCs w:val="21"/>
              </w:rPr>
              <w:t>2</w:t>
            </w:r>
          </w:p>
        </w:tc>
      </w:tr>
      <w:tr w14:paraId="6DAC9895">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c>
          <w:tcPr>
            <w:tcW w:w="3249" w:type="dxa"/>
            <w:tcBorders>
              <w:top w:val="nil"/>
              <w:left w:val="single" w:color="auto" w:sz="8" w:space="0"/>
              <w:bottom w:val="single" w:color="auto" w:sz="8" w:space="0"/>
              <w:right w:val="single" w:color="auto" w:sz="8" w:space="0"/>
            </w:tcBorders>
            <w:shd w:val="clear"/>
            <w:tcMar>
              <w:top w:w="0" w:type="dxa"/>
              <w:left w:w="108" w:type="dxa"/>
              <w:bottom w:w="0" w:type="dxa"/>
              <w:right w:w="108" w:type="dxa"/>
            </w:tcMar>
            <w:vAlign w:val="top"/>
          </w:tcPr>
          <w:p w14:paraId="19EE7783">
            <w:pPr>
              <w:pStyle w:val="5"/>
              <w:keepNext w:val="0"/>
              <w:keepLines w:val="0"/>
              <w:widowControl/>
              <w:suppressLineNumbers w:val="0"/>
              <w:spacing w:before="0" w:beforeAutospacing="0" w:after="0" w:afterAutospacing="0" w:line="580" w:lineRule="atLeast"/>
              <w:ind w:left="0" w:right="0"/>
              <w:jc w:val="left"/>
              <w:rPr>
                <w:rFonts w:hint="default" w:ascii="Times New Roman" w:hAnsi="Times New Roman" w:cs="Times New Roman"/>
                <w:sz w:val="21"/>
                <w:szCs w:val="21"/>
              </w:rPr>
            </w:pPr>
            <w:r>
              <w:rPr>
                <w:rFonts w:hint="eastAsia" w:ascii="仿宋" w:hAnsi="仿宋" w:eastAsia="仿宋" w:cs="仿宋"/>
                <w:sz w:val="21"/>
                <w:szCs w:val="21"/>
              </w:rPr>
              <w:t>福利费</w:t>
            </w:r>
          </w:p>
        </w:tc>
        <w:tc>
          <w:tcPr>
            <w:tcW w:w="2917" w:type="dxa"/>
            <w:tcBorders>
              <w:top w:val="nil"/>
              <w:left w:val="nil"/>
              <w:bottom w:val="single" w:color="auto" w:sz="8" w:space="0"/>
              <w:right w:val="single" w:color="auto" w:sz="8" w:space="0"/>
            </w:tcBorders>
            <w:shd w:val="clear"/>
            <w:tcMar>
              <w:top w:w="0" w:type="dxa"/>
              <w:left w:w="108" w:type="dxa"/>
              <w:bottom w:w="0" w:type="dxa"/>
              <w:right w:w="108" w:type="dxa"/>
            </w:tcMar>
            <w:vAlign w:val="top"/>
          </w:tcPr>
          <w:p w14:paraId="061B2AF3">
            <w:pPr>
              <w:pStyle w:val="5"/>
              <w:keepNext w:val="0"/>
              <w:keepLines w:val="0"/>
              <w:widowControl/>
              <w:suppressLineNumbers w:val="0"/>
              <w:spacing w:before="0" w:beforeAutospacing="0" w:after="0" w:afterAutospacing="0" w:line="580" w:lineRule="atLeast"/>
              <w:ind w:left="0" w:right="0"/>
              <w:jc w:val="left"/>
              <w:rPr>
                <w:rFonts w:hint="default" w:ascii="Times New Roman" w:hAnsi="Times New Roman" w:cs="Times New Roman"/>
                <w:sz w:val="21"/>
                <w:szCs w:val="21"/>
              </w:rPr>
            </w:pPr>
            <w:r>
              <w:rPr>
                <w:rFonts w:hint="eastAsia" w:ascii="仿宋" w:hAnsi="仿宋" w:eastAsia="仿宋" w:cs="仿宋"/>
                <w:sz w:val="21"/>
                <w:szCs w:val="21"/>
              </w:rPr>
              <w:t>3.5</w:t>
            </w:r>
          </w:p>
        </w:tc>
      </w:tr>
      <w:tr w14:paraId="6DC9FB25">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rHeight w:val="579" w:hRule="atLeast"/>
        </w:trPr>
        <w:tc>
          <w:tcPr>
            <w:tcW w:w="3249" w:type="dxa"/>
            <w:tcBorders>
              <w:top w:val="nil"/>
              <w:left w:val="single" w:color="auto" w:sz="8" w:space="0"/>
              <w:bottom w:val="single" w:color="auto" w:sz="8" w:space="0"/>
              <w:right w:val="single" w:color="auto" w:sz="8" w:space="0"/>
            </w:tcBorders>
            <w:shd w:val="clear"/>
            <w:tcMar>
              <w:top w:w="0" w:type="dxa"/>
              <w:left w:w="108" w:type="dxa"/>
              <w:bottom w:w="0" w:type="dxa"/>
              <w:right w:w="108" w:type="dxa"/>
            </w:tcMar>
            <w:vAlign w:val="top"/>
          </w:tcPr>
          <w:p w14:paraId="24102341">
            <w:pPr>
              <w:pStyle w:val="5"/>
              <w:keepNext w:val="0"/>
              <w:keepLines w:val="0"/>
              <w:widowControl/>
              <w:suppressLineNumbers w:val="0"/>
              <w:spacing w:before="0" w:beforeAutospacing="0" w:after="0" w:afterAutospacing="0" w:line="580" w:lineRule="atLeast"/>
              <w:ind w:left="0" w:right="0"/>
              <w:jc w:val="left"/>
              <w:rPr>
                <w:rFonts w:hint="default" w:ascii="Times New Roman" w:hAnsi="Times New Roman" w:cs="Times New Roman"/>
                <w:sz w:val="21"/>
                <w:szCs w:val="21"/>
              </w:rPr>
            </w:pPr>
            <w:r>
              <w:rPr>
                <w:rFonts w:hint="eastAsia" w:ascii="仿宋" w:hAnsi="仿宋" w:eastAsia="仿宋" w:cs="仿宋"/>
                <w:sz w:val="21"/>
                <w:szCs w:val="21"/>
              </w:rPr>
              <w:t>工会经费</w:t>
            </w:r>
          </w:p>
        </w:tc>
        <w:tc>
          <w:tcPr>
            <w:tcW w:w="2917" w:type="dxa"/>
            <w:tcBorders>
              <w:top w:val="nil"/>
              <w:left w:val="nil"/>
              <w:bottom w:val="single" w:color="auto" w:sz="8" w:space="0"/>
              <w:right w:val="single" w:color="auto" w:sz="8" w:space="0"/>
            </w:tcBorders>
            <w:shd w:val="clear"/>
            <w:tcMar>
              <w:top w:w="0" w:type="dxa"/>
              <w:left w:w="108" w:type="dxa"/>
              <w:bottom w:w="0" w:type="dxa"/>
              <w:right w:w="108" w:type="dxa"/>
            </w:tcMar>
            <w:vAlign w:val="top"/>
          </w:tcPr>
          <w:p w14:paraId="7F2FF0A3">
            <w:pPr>
              <w:pStyle w:val="5"/>
              <w:keepNext w:val="0"/>
              <w:keepLines w:val="0"/>
              <w:widowControl/>
              <w:suppressLineNumbers w:val="0"/>
              <w:spacing w:before="0" w:beforeAutospacing="0" w:after="0" w:afterAutospacing="0" w:line="580" w:lineRule="atLeast"/>
              <w:ind w:left="0" w:right="0"/>
              <w:jc w:val="left"/>
              <w:rPr>
                <w:rFonts w:hint="default" w:ascii="Times New Roman" w:hAnsi="Times New Roman" w:cs="Times New Roman"/>
                <w:sz w:val="21"/>
                <w:szCs w:val="21"/>
              </w:rPr>
            </w:pPr>
            <w:r>
              <w:rPr>
                <w:rFonts w:hint="eastAsia" w:ascii="仿宋" w:hAnsi="仿宋" w:eastAsia="仿宋" w:cs="仿宋"/>
                <w:sz w:val="21"/>
                <w:szCs w:val="21"/>
              </w:rPr>
              <w:t>1.3</w:t>
            </w:r>
          </w:p>
        </w:tc>
      </w:tr>
      <w:tr w14:paraId="4D880DBC">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c>
          <w:tcPr>
            <w:tcW w:w="3249" w:type="dxa"/>
            <w:tcBorders>
              <w:top w:val="nil"/>
              <w:left w:val="single" w:color="auto" w:sz="8" w:space="0"/>
              <w:bottom w:val="single" w:color="auto" w:sz="8" w:space="0"/>
              <w:right w:val="single" w:color="auto" w:sz="8" w:space="0"/>
            </w:tcBorders>
            <w:shd w:val="clear"/>
            <w:tcMar>
              <w:top w:w="0" w:type="dxa"/>
              <w:left w:w="108" w:type="dxa"/>
              <w:bottom w:w="0" w:type="dxa"/>
              <w:right w:w="108" w:type="dxa"/>
            </w:tcMar>
            <w:vAlign w:val="top"/>
          </w:tcPr>
          <w:p w14:paraId="70E6C547">
            <w:pPr>
              <w:pStyle w:val="5"/>
              <w:keepNext w:val="0"/>
              <w:keepLines w:val="0"/>
              <w:widowControl/>
              <w:suppressLineNumbers w:val="0"/>
              <w:spacing w:before="0" w:beforeAutospacing="0" w:after="0" w:afterAutospacing="0" w:line="580" w:lineRule="atLeast"/>
              <w:ind w:left="0" w:right="0"/>
              <w:jc w:val="left"/>
              <w:rPr>
                <w:rFonts w:hint="default" w:ascii="Times New Roman" w:hAnsi="Times New Roman" w:cs="Times New Roman"/>
                <w:sz w:val="21"/>
                <w:szCs w:val="21"/>
              </w:rPr>
            </w:pPr>
            <w:r>
              <w:rPr>
                <w:rFonts w:hint="eastAsia" w:ascii="仿宋" w:hAnsi="仿宋" w:eastAsia="仿宋" w:cs="仿宋"/>
                <w:sz w:val="21"/>
                <w:szCs w:val="21"/>
              </w:rPr>
              <w:t>其他商品服务支出</w:t>
            </w:r>
          </w:p>
        </w:tc>
        <w:tc>
          <w:tcPr>
            <w:tcW w:w="2917" w:type="dxa"/>
            <w:tcBorders>
              <w:top w:val="nil"/>
              <w:left w:val="nil"/>
              <w:bottom w:val="single" w:color="auto" w:sz="8" w:space="0"/>
              <w:right w:val="single" w:color="auto" w:sz="8" w:space="0"/>
            </w:tcBorders>
            <w:shd w:val="clear"/>
            <w:tcMar>
              <w:top w:w="0" w:type="dxa"/>
              <w:left w:w="108" w:type="dxa"/>
              <w:bottom w:w="0" w:type="dxa"/>
              <w:right w:w="108" w:type="dxa"/>
            </w:tcMar>
            <w:vAlign w:val="top"/>
          </w:tcPr>
          <w:p w14:paraId="177B9D24">
            <w:pPr>
              <w:pStyle w:val="5"/>
              <w:keepNext w:val="0"/>
              <w:keepLines w:val="0"/>
              <w:widowControl/>
              <w:suppressLineNumbers w:val="0"/>
              <w:spacing w:before="0" w:beforeAutospacing="0" w:after="0" w:afterAutospacing="0" w:line="580" w:lineRule="atLeast"/>
              <w:ind w:left="0" w:right="0"/>
              <w:jc w:val="left"/>
              <w:rPr>
                <w:rFonts w:hint="default" w:ascii="Times New Roman" w:hAnsi="Times New Roman" w:cs="Times New Roman"/>
                <w:sz w:val="21"/>
                <w:szCs w:val="21"/>
              </w:rPr>
            </w:pPr>
            <w:r>
              <w:rPr>
                <w:rFonts w:hint="eastAsia" w:ascii="仿宋" w:hAnsi="仿宋" w:eastAsia="仿宋" w:cs="仿宋"/>
                <w:sz w:val="21"/>
                <w:szCs w:val="21"/>
              </w:rPr>
              <w:t>3.7</w:t>
            </w:r>
          </w:p>
        </w:tc>
      </w:tr>
      <w:tr w14:paraId="61080C8D">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c>
          <w:tcPr>
            <w:tcW w:w="3249" w:type="dxa"/>
            <w:tcBorders>
              <w:top w:val="nil"/>
              <w:left w:val="single" w:color="auto" w:sz="8" w:space="0"/>
              <w:bottom w:val="single" w:color="auto" w:sz="8" w:space="0"/>
              <w:right w:val="single" w:color="auto" w:sz="8" w:space="0"/>
            </w:tcBorders>
            <w:shd w:val="clear"/>
            <w:tcMar>
              <w:top w:w="0" w:type="dxa"/>
              <w:left w:w="108" w:type="dxa"/>
              <w:bottom w:w="0" w:type="dxa"/>
              <w:right w:w="108" w:type="dxa"/>
            </w:tcMar>
            <w:vAlign w:val="top"/>
          </w:tcPr>
          <w:p w14:paraId="2357C7A8">
            <w:pPr>
              <w:pStyle w:val="5"/>
              <w:keepNext w:val="0"/>
              <w:keepLines w:val="0"/>
              <w:widowControl/>
              <w:suppressLineNumbers w:val="0"/>
              <w:spacing w:before="0" w:beforeAutospacing="0" w:after="0" w:afterAutospacing="0" w:line="580" w:lineRule="atLeast"/>
              <w:ind w:left="0" w:right="0"/>
              <w:jc w:val="left"/>
              <w:rPr>
                <w:rFonts w:hint="default" w:ascii="Times New Roman" w:hAnsi="Times New Roman" w:cs="Times New Roman"/>
                <w:sz w:val="21"/>
                <w:szCs w:val="21"/>
              </w:rPr>
            </w:pPr>
            <w:r>
              <w:rPr>
                <w:rFonts w:hint="eastAsia" w:ascii="仿宋" w:hAnsi="仿宋" w:eastAsia="仿宋" w:cs="仿宋"/>
                <w:sz w:val="21"/>
                <w:szCs w:val="21"/>
              </w:rPr>
              <w:t>离休及对个人和家庭的补助</w:t>
            </w:r>
          </w:p>
        </w:tc>
        <w:tc>
          <w:tcPr>
            <w:tcW w:w="2917" w:type="dxa"/>
            <w:tcBorders>
              <w:top w:val="nil"/>
              <w:left w:val="nil"/>
              <w:bottom w:val="single" w:color="auto" w:sz="8" w:space="0"/>
              <w:right w:val="single" w:color="auto" w:sz="8" w:space="0"/>
            </w:tcBorders>
            <w:shd w:val="clear"/>
            <w:tcMar>
              <w:top w:w="0" w:type="dxa"/>
              <w:left w:w="108" w:type="dxa"/>
              <w:bottom w:w="0" w:type="dxa"/>
              <w:right w:w="108" w:type="dxa"/>
            </w:tcMar>
            <w:vAlign w:val="top"/>
          </w:tcPr>
          <w:p w14:paraId="68D2396D">
            <w:pPr>
              <w:pStyle w:val="5"/>
              <w:keepNext w:val="0"/>
              <w:keepLines w:val="0"/>
              <w:widowControl/>
              <w:suppressLineNumbers w:val="0"/>
              <w:spacing w:before="0" w:beforeAutospacing="0" w:after="0" w:afterAutospacing="0" w:line="580" w:lineRule="atLeast"/>
              <w:ind w:left="0" w:right="0"/>
              <w:jc w:val="left"/>
              <w:rPr>
                <w:rFonts w:hint="default" w:ascii="Times New Roman" w:hAnsi="Times New Roman" w:cs="Times New Roman"/>
                <w:sz w:val="21"/>
                <w:szCs w:val="21"/>
              </w:rPr>
            </w:pPr>
            <w:r>
              <w:rPr>
                <w:rFonts w:hint="eastAsia" w:ascii="仿宋" w:hAnsi="仿宋" w:eastAsia="仿宋" w:cs="仿宋"/>
                <w:sz w:val="21"/>
                <w:szCs w:val="21"/>
              </w:rPr>
              <w:t>14.4</w:t>
            </w:r>
          </w:p>
        </w:tc>
      </w:tr>
      <w:tr w14:paraId="63C46FA7">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c>
          <w:tcPr>
            <w:tcW w:w="3249" w:type="dxa"/>
            <w:tcBorders>
              <w:top w:val="nil"/>
              <w:left w:val="single" w:color="auto" w:sz="8" w:space="0"/>
              <w:bottom w:val="single" w:color="auto" w:sz="8" w:space="0"/>
              <w:right w:val="single" w:color="auto" w:sz="8" w:space="0"/>
            </w:tcBorders>
            <w:shd w:val="clear"/>
            <w:tcMar>
              <w:top w:w="0" w:type="dxa"/>
              <w:left w:w="108" w:type="dxa"/>
              <w:bottom w:w="0" w:type="dxa"/>
              <w:right w:w="108" w:type="dxa"/>
            </w:tcMar>
            <w:vAlign w:val="top"/>
          </w:tcPr>
          <w:p w14:paraId="65FA4012">
            <w:pPr>
              <w:pStyle w:val="5"/>
              <w:keepNext w:val="0"/>
              <w:keepLines w:val="0"/>
              <w:widowControl/>
              <w:suppressLineNumbers w:val="0"/>
              <w:spacing w:before="0" w:beforeAutospacing="0" w:after="0" w:afterAutospacing="0" w:line="580" w:lineRule="atLeast"/>
              <w:ind w:left="0" w:right="0"/>
              <w:jc w:val="left"/>
              <w:rPr>
                <w:rFonts w:hint="default" w:ascii="Times New Roman" w:hAnsi="Times New Roman" w:cs="Times New Roman"/>
                <w:sz w:val="21"/>
                <w:szCs w:val="21"/>
              </w:rPr>
            </w:pPr>
            <w:r>
              <w:rPr>
                <w:rFonts w:hint="eastAsia" w:ascii="仿宋" w:hAnsi="仿宋" w:eastAsia="仿宋" w:cs="仿宋"/>
                <w:color w:val="000000"/>
                <w:sz w:val="21"/>
                <w:szCs w:val="21"/>
              </w:rPr>
              <w:t>小计</w:t>
            </w:r>
          </w:p>
        </w:tc>
        <w:tc>
          <w:tcPr>
            <w:tcW w:w="2917" w:type="dxa"/>
            <w:tcBorders>
              <w:top w:val="nil"/>
              <w:left w:val="nil"/>
              <w:bottom w:val="single" w:color="auto" w:sz="8" w:space="0"/>
              <w:right w:val="single" w:color="auto" w:sz="8" w:space="0"/>
            </w:tcBorders>
            <w:shd w:val="clear"/>
            <w:tcMar>
              <w:top w:w="0" w:type="dxa"/>
              <w:left w:w="108" w:type="dxa"/>
              <w:bottom w:w="0" w:type="dxa"/>
              <w:right w:w="108" w:type="dxa"/>
            </w:tcMar>
            <w:vAlign w:val="top"/>
          </w:tcPr>
          <w:p w14:paraId="7F6EC974">
            <w:pPr>
              <w:pStyle w:val="5"/>
              <w:keepNext w:val="0"/>
              <w:keepLines w:val="0"/>
              <w:widowControl/>
              <w:suppressLineNumbers w:val="0"/>
              <w:spacing w:before="0" w:beforeAutospacing="0" w:after="0" w:afterAutospacing="0" w:line="580" w:lineRule="atLeast"/>
              <w:ind w:left="0" w:right="0"/>
              <w:jc w:val="left"/>
              <w:rPr>
                <w:rFonts w:hint="default" w:ascii="Times New Roman" w:hAnsi="Times New Roman" w:cs="Times New Roman"/>
                <w:sz w:val="21"/>
                <w:szCs w:val="21"/>
              </w:rPr>
            </w:pPr>
            <w:r>
              <w:rPr>
                <w:rFonts w:hint="eastAsia" w:ascii="仿宋" w:hAnsi="仿宋" w:eastAsia="仿宋" w:cs="仿宋"/>
                <w:sz w:val="21"/>
                <w:szCs w:val="21"/>
              </w:rPr>
              <w:t>190.5</w:t>
            </w:r>
          </w:p>
        </w:tc>
      </w:tr>
    </w:tbl>
    <w:p w14:paraId="4733E08D">
      <w:pPr>
        <w:pStyle w:val="5"/>
        <w:keepNext w:val="0"/>
        <w:keepLines w:val="0"/>
        <w:widowControl/>
        <w:suppressLineNumbers w:val="0"/>
        <w:spacing w:before="0" w:beforeAutospacing="0" w:after="0" w:afterAutospacing="0" w:line="580" w:lineRule="atLeast"/>
        <w:ind w:left="0" w:right="0" w:firstLine="560"/>
        <w:jc w:val="left"/>
        <w:rPr>
          <w:rFonts w:hint="default" w:ascii="Times New Roman" w:hAnsi="Times New Roman" w:cs="Times New Roman"/>
          <w:sz w:val="21"/>
          <w:szCs w:val="21"/>
        </w:rPr>
      </w:pPr>
      <w:r>
        <w:rPr>
          <w:rFonts w:hint="default" w:ascii="Times New Roman" w:hAnsi="Times New Roman" w:eastAsia="宋体" w:cs="Times New Roman"/>
          <w:sz w:val="21"/>
          <w:szCs w:val="21"/>
        </w:rPr>
        <w:t> </w:t>
      </w:r>
    </w:p>
    <w:p w14:paraId="3C32F190">
      <w:pPr>
        <w:pStyle w:val="5"/>
        <w:keepNext w:val="0"/>
        <w:keepLines w:val="0"/>
        <w:widowControl/>
        <w:suppressLineNumbers w:val="0"/>
        <w:spacing w:before="0" w:beforeAutospacing="0" w:after="0" w:afterAutospacing="0" w:line="580" w:lineRule="atLeast"/>
        <w:ind w:left="0" w:right="0" w:firstLine="560"/>
        <w:jc w:val="left"/>
        <w:rPr>
          <w:rFonts w:hint="default" w:ascii="Times New Roman" w:hAnsi="Times New Roman" w:cs="Times New Roman"/>
          <w:sz w:val="21"/>
          <w:szCs w:val="21"/>
        </w:rPr>
      </w:pPr>
      <w:r>
        <w:rPr>
          <w:rFonts w:hint="default" w:ascii="Times New Roman" w:hAnsi="Times New Roman" w:eastAsia="宋体" w:cs="Times New Roman"/>
          <w:sz w:val="21"/>
          <w:szCs w:val="21"/>
        </w:rPr>
        <w:t> </w:t>
      </w:r>
    </w:p>
    <w:p w14:paraId="2D78C757">
      <w:pPr>
        <w:pStyle w:val="5"/>
        <w:keepNext w:val="0"/>
        <w:keepLines w:val="0"/>
        <w:widowControl/>
        <w:suppressLineNumbers w:val="0"/>
        <w:spacing w:before="0" w:beforeAutospacing="0" w:after="0" w:afterAutospacing="0" w:line="580" w:lineRule="atLeast"/>
        <w:ind w:left="822" w:right="0" w:hanging="274"/>
        <w:jc w:val="left"/>
        <w:rPr>
          <w:rFonts w:hint="default" w:ascii="Times New Roman" w:hAnsi="Times New Roman" w:cs="Times New Roman"/>
          <w:sz w:val="21"/>
          <w:szCs w:val="21"/>
        </w:rPr>
      </w:pPr>
      <w:r>
        <w:rPr>
          <w:rFonts w:hint="eastAsia" w:ascii="仿宋" w:hAnsi="仿宋" w:eastAsia="仿宋" w:cs="仿宋"/>
          <w:color w:val="000000"/>
          <w:spacing w:val="-3"/>
          <w:sz w:val="28"/>
          <w:szCs w:val="28"/>
        </w:rPr>
        <w:t> </w:t>
      </w:r>
      <w:r>
        <w:rPr>
          <w:rFonts w:hint="eastAsia" w:ascii="仿宋" w:hAnsi="仿宋" w:eastAsia="仿宋" w:cs="仿宋"/>
          <w:b/>
          <w:bCs/>
          <w:color w:val="000000"/>
          <w:sz w:val="28"/>
          <w:szCs w:val="28"/>
        </w:rPr>
        <w:t>2</w:t>
      </w:r>
      <w:r>
        <w:rPr>
          <w:rFonts w:hint="eastAsia" w:ascii="仿宋" w:hAnsi="仿宋" w:eastAsia="仿宋" w:cs="仿宋"/>
          <w:b/>
          <w:bCs/>
          <w:color w:val="000000"/>
          <w:spacing w:val="22"/>
          <w:sz w:val="28"/>
          <w:szCs w:val="28"/>
        </w:rPr>
        <w:t>、“三公经费”</w:t>
      </w:r>
    </w:p>
    <w:p w14:paraId="4A280BF7">
      <w:pPr>
        <w:pStyle w:val="5"/>
        <w:keepNext w:val="0"/>
        <w:keepLines w:val="0"/>
        <w:widowControl/>
        <w:suppressLineNumbers w:val="0"/>
        <w:spacing w:before="0" w:beforeAutospacing="0" w:after="0" w:afterAutospacing="0" w:line="580" w:lineRule="atLeast"/>
        <w:ind w:left="0" w:right="0" w:firstLine="1120"/>
        <w:jc w:val="left"/>
        <w:rPr>
          <w:rFonts w:hint="default" w:ascii="Times New Roman" w:hAnsi="Times New Roman" w:cs="Times New Roman"/>
          <w:sz w:val="21"/>
          <w:szCs w:val="21"/>
        </w:rPr>
      </w:pPr>
      <w:r>
        <w:rPr>
          <w:rFonts w:hint="eastAsia" w:ascii="仿宋" w:hAnsi="仿宋" w:eastAsia="仿宋" w:cs="仿宋"/>
          <w:sz w:val="28"/>
          <w:szCs w:val="28"/>
        </w:rPr>
        <w:t>中共峨边彝族自治县委党校2019年度加强了财务管理，落实厉行节0约的各项规定，“三公”经费实现了有效压减。2019年度的“三公”经费中，未列支因公出国（境）费用，公务接待费和公务用车购置及运行费比上年度</w:t>
      </w:r>
      <w:r>
        <w:rPr>
          <w:rFonts w:hint="eastAsia" w:ascii="仿宋" w:hAnsi="仿宋" w:cs="仿宋"/>
          <w:sz w:val="28"/>
          <w:szCs w:val="28"/>
          <w:lang w:eastAsia="zh-CN"/>
        </w:rPr>
        <w:t>减少</w:t>
      </w:r>
      <w:r>
        <w:rPr>
          <w:rFonts w:hint="eastAsia" w:ascii="仿宋" w:hAnsi="仿宋" w:eastAsia="仿宋" w:cs="仿宋"/>
          <w:sz w:val="28"/>
          <w:szCs w:val="28"/>
        </w:rPr>
        <w:t>0.18万元，2019年“三公”经费实际支出0万元。</w:t>
      </w:r>
    </w:p>
    <w:p w14:paraId="1DC0BA08">
      <w:pPr>
        <w:pStyle w:val="5"/>
        <w:keepNext w:val="0"/>
        <w:keepLines w:val="0"/>
        <w:widowControl/>
        <w:suppressLineNumbers w:val="0"/>
        <w:spacing w:before="0" w:beforeAutospacing="0" w:after="0" w:afterAutospacing="0" w:line="580" w:lineRule="atLeast"/>
        <w:ind w:left="0" w:right="0" w:firstLine="975"/>
        <w:jc w:val="left"/>
        <w:rPr>
          <w:rFonts w:hint="default" w:ascii="Times New Roman" w:hAnsi="Times New Roman" w:cs="Times New Roman"/>
          <w:sz w:val="21"/>
          <w:szCs w:val="21"/>
        </w:rPr>
      </w:pPr>
      <w:r>
        <w:rPr>
          <w:rFonts w:hint="eastAsia" w:ascii="仿宋" w:hAnsi="仿宋" w:eastAsia="仿宋" w:cs="仿宋"/>
          <w:b/>
          <w:bCs/>
          <w:color w:val="000000"/>
          <w:spacing w:val="22"/>
          <w:sz w:val="28"/>
          <w:szCs w:val="28"/>
        </w:rPr>
        <w:t>3、项目资金</w:t>
      </w:r>
    </w:p>
    <w:p w14:paraId="0FED0D8D">
      <w:pPr>
        <w:pStyle w:val="5"/>
        <w:keepNext w:val="0"/>
        <w:keepLines w:val="0"/>
        <w:widowControl/>
        <w:suppressLineNumbers w:val="0"/>
        <w:spacing w:before="0" w:beforeAutospacing="0" w:after="0" w:afterAutospacing="0" w:line="580" w:lineRule="atLeast"/>
        <w:ind w:left="0" w:right="0" w:firstLine="1120"/>
        <w:jc w:val="left"/>
        <w:rPr>
          <w:rFonts w:hint="default" w:ascii="Times New Roman" w:hAnsi="Times New Roman" w:cs="Times New Roman"/>
          <w:sz w:val="21"/>
          <w:szCs w:val="21"/>
        </w:rPr>
      </w:pPr>
      <w:r>
        <w:rPr>
          <w:rFonts w:hint="eastAsia" w:ascii="仿宋" w:hAnsi="仿宋" w:eastAsia="仿宋" w:cs="仿宋"/>
          <w:sz w:val="28"/>
          <w:szCs w:val="28"/>
        </w:rPr>
        <w:t>中共峨边彝族自治县委党校</w:t>
      </w:r>
      <w:r>
        <w:rPr>
          <w:rFonts w:hint="eastAsia" w:ascii="仿宋" w:hAnsi="仿宋" w:eastAsia="仿宋" w:cs="仿宋"/>
          <w:color w:val="000000"/>
          <w:spacing w:val="7"/>
          <w:sz w:val="28"/>
          <w:szCs w:val="28"/>
        </w:rPr>
        <w:t>项目资金支出8.4</w:t>
      </w:r>
      <w:r>
        <w:rPr>
          <w:rFonts w:hint="eastAsia" w:ascii="仿宋" w:hAnsi="仿宋" w:eastAsia="仿宋" w:cs="仿宋"/>
          <w:color w:val="000000"/>
          <w:sz w:val="28"/>
          <w:szCs w:val="28"/>
        </w:rPr>
        <w:t>万元，主要包括科研费、教师培训费、校园维护费、市下专业化教学点工作经费、</w:t>
      </w:r>
      <w:r>
        <w:rPr>
          <w:rFonts w:hint="eastAsia" w:ascii="仿宋" w:hAnsi="仿宋" w:eastAsia="仿宋" w:cs="仿宋"/>
          <w:color w:val="000000"/>
          <w:spacing w:val="7"/>
          <w:sz w:val="28"/>
          <w:szCs w:val="28"/>
        </w:rPr>
        <w:t>具体使用和管理情况如下：</w:t>
      </w:r>
    </w:p>
    <w:tbl>
      <w:tblPr>
        <w:tblW w:w="6194" w:type="dxa"/>
        <w:tblInd w:w="1788"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autofit"/>
        <w:tblCellMar>
          <w:top w:w="15" w:type="dxa"/>
          <w:left w:w="15" w:type="dxa"/>
          <w:bottom w:w="15" w:type="dxa"/>
          <w:right w:w="15" w:type="dxa"/>
        </w:tblCellMar>
      </w:tblPr>
      <w:tblGrid>
        <w:gridCol w:w="3323"/>
        <w:gridCol w:w="2871"/>
      </w:tblGrid>
      <w:tr w14:paraId="6EBF3C6D">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CellMar>
            <w:top w:w="15" w:type="dxa"/>
            <w:left w:w="15" w:type="dxa"/>
            <w:bottom w:w="15" w:type="dxa"/>
            <w:right w:w="15" w:type="dxa"/>
          </w:tblCellMar>
        </w:tblPrEx>
        <w:tc>
          <w:tcPr>
            <w:tcW w:w="3323" w:type="dxa"/>
            <w:tcBorders>
              <w:top w:val="single" w:color="auto" w:sz="8" w:space="0"/>
              <w:left w:val="single" w:color="auto" w:sz="8" w:space="0"/>
              <w:bottom w:val="single" w:color="auto" w:sz="8" w:space="0"/>
              <w:right w:val="single" w:color="auto" w:sz="8" w:space="0"/>
            </w:tcBorders>
            <w:shd w:val="clear"/>
            <w:tcMar>
              <w:top w:w="0" w:type="dxa"/>
              <w:left w:w="108" w:type="dxa"/>
              <w:bottom w:w="0" w:type="dxa"/>
              <w:right w:w="108" w:type="dxa"/>
            </w:tcMar>
            <w:vAlign w:val="top"/>
          </w:tcPr>
          <w:p w14:paraId="632E86A3">
            <w:pPr>
              <w:pStyle w:val="5"/>
              <w:keepNext w:val="0"/>
              <w:keepLines w:val="0"/>
              <w:widowControl/>
              <w:suppressLineNumbers w:val="0"/>
              <w:spacing w:before="0" w:beforeAutospacing="0" w:after="0" w:afterAutospacing="0" w:line="580" w:lineRule="atLeast"/>
              <w:ind w:left="0" w:right="0"/>
              <w:jc w:val="left"/>
              <w:rPr>
                <w:rFonts w:hint="default" w:ascii="Times New Roman" w:hAnsi="Times New Roman" w:cs="Times New Roman"/>
                <w:sz w:val="21"/>
                <w:szCs w:val="21"/>
              </w:rPr>
            </w:pPr>
            <w:r>
              <w:rPr>
                <w:rFonts w:hint="eastAsia" w:ascii="仿宋" w:hAnsi="仿宋" w:eastAsia="仿宋" w:cs="仿宋"/>
                <w:sz w:val="21"/>
                <w:szCs w:val="21"/>
              </w:rPr>
              <w:t>项目名称</w:t>
            </w:r>
          </w:p>
        </w:tc>
        <w:tc>
          <w:tcPr>
            <w:tcW w:w="2871" w:type="dxa"/>
            <w:tcBorders>
              <w:top w:val="single" w:color="auto" w:sz="8" w:space="0"/>
              <w:left w:val="nil"/>
              <w:bottom w:val="single" w:color="auto" w:sz="8" w:space="0"/>
              <w:right w:val="single" w:color="auto" w:sz="8" w:space="0"/>
            </w:tcBorders>
            <w:shd w:val="clear"/>
            <w:tcMar>
              <w:top w:w="0" w:type="dxa"/>
              <w:left w:w="108" w:type="dxa"/>
              <w:bottom w:w="0" w:type="dxa"/>
              <w:right w:w="108" w:type="dxa"/>
            </w:tcMar>
            <w:vAlign w:val="top"/>
          </w:tcPr>
          <w:p w14:paraId="5831998B">
            <w:pPr>
              <w:pStyle w:val="5"/>
              <w:keepNext w:val="0"/>
              <w:keepLines w:val="0"/>
              <w:widowControl/>
              <w:suppressLineNumbers w:val="0"/>
              <w:spacing w:before="0" w:beforeAutospacing="0" w:after="0" w:afterAutospacing="0" w:line="580" w:lineRule="atLeast"/>
              <w:ind w:left="0" w:right="0"/>
              <w:jc w:val="left"/>
              <w:rPr>
                <w:rFonts w:hint="default" w:ascii="Times New Roman" w:hAnsi="Times New Roman" w:cs="Times New Roman"/>
                <w:sz w:val="21"/>
                <w:szCs w:val="21"/>
              </w:rPr>
            </w:pPr>
            <w:r>
              <w:rPr>
                <w:rFonts w:hint="eastAsia" w:ascii="仿宋" w:hAnsi="仿宋" w:eastAsia="仿宋" w:cs="仿宋"/>
                <w:sz w:val="21"/>
                <w:szCs w:val="21"/>
              </w:rPr>
              <w:t>金额（万元）</w:t>
            </w:r>
          </w:p>
        </w:tc>
      </w:tr>
      <w:tr w14:paraId="0327EB9F">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c>
          <w:tcPr>
            <w:tcW w:w="3323" w:type="dxa"/>
            <w:tcBorders>
              <w:top w:val="nil"/>
              <w:left w:val="single" w:color="auto" w:sz="8" w:space="0"/>
              <w:bottom w:val="single" w:color="auto" w:sz="8" w:space="0"/>
              <w:right w:val="single" w:color="auto" w:sz="8" w:space="0"/>
            </w:tcBorders>
            <w:shd w:val="clear"/>
            <w:tcMar>
              <w:top w:w="0" w:type="dxa"/>
              <w:left w:w="108" w:type="dxa"/>
              <w:bottom w:w="0" w:type="dxa"/>
              <w:right w:w="108" w:type="dxa"/>
            </w:tcMar>
            <w:vAlign w:val="top"/>
          </w:tcPr>
          <w:p w14:paraId="24ACCC1E">
            <w:pPr>
              <w:pStyle w:val="5"/>
              <w:keepNext w:val="0"/>
              <w:keepLines w:val="0"/>
              <w:widowControl/>
              <w:suppressLineNumbers w:val="0"/>
              <w:spacing w:before="0" w:beforeAutospacing="0" w:after="0" w:afterAutospacing="0" w:line="580" w:lineRule="atLeast"/>
              <w:ind w:left="0" w:right="0"/>
              <w:jc w:val="left"/>
              <w:rPr>
                <w:rFonts w:hint="default" w:ascii="Times New Roman" w:hAnsi="Times New Roman" w:cs="Times New Roman"/>
                <w:sz w:val="21"/>
                <w:szCs w:val="21"/>
              </w:rPr>
            </w:pPr>
            <w:r>
              <w:rPr>
                <w:rFonts w:hint="eastAsia" w:ascii="仿宋" w:hAnsi="仿宋" w:eastAsia="仿宋" w:cs="仿宋"/>
                <w:color w:val="000000"/>
                <w:spacing w:val="7"/>
                <w:sz w:val="21"/>
                <w:szCs w:val="21"/>
              </w:rPr>
              <w:t>科研费—办公费</w:t>
            </w:r>
          </w:p>
        </w:tc>
        <w:tc>
          <w:tcPr>
            <w:tcW w:w="2871" w:type="dxa"/>
            <w:tcBorders>
              <w:top w:val="nil"/>
              <w:left w:val="nil"/>
              <w:bottom w:val="single" w:color="auto" w:sz="8" w:space="0"/>
              <w:right w:val="single" w:color="auto" w:sz="8" w:space="0"/>
            </w:tcBorders>
            <w:shd w:val="clear"/>
            <w:tcMar>
              <w:top w:w="0" w:type="dxa"/>
              <w:left w:w="108" w:type="dxa"/>
              <w:bottom w:w="0" w:type="dxa"/>
              <w:right w:w="108" w:type="dxa"/>
            </w:tcMar>
            <w:vAlign w:val="top"/>
          </w:tcPr>
          <w:p w14:paraId="10BF28DC">
            <w:pPr>
              <w:pStyle w:val="5"/>
              <w:keepNext w:val="0"/>
              <w:keepLines w:val="0"/>
              <w:widowControl/>
              <w:suppressLineNumbers w:val="0"/>
              <w:spacing w:before="0" w:beforeAutospacing="0" w:after="0" w:afterAutospacing="0" w:line="580" w:lineRule="atLeast"/>
              <w:ind w:left="0" w:right="0"/>
              <w:jc w:val="left"/>
              <w:rPr>
                <w:rFonts w:hint="default" w:ascii="Times New Roman" w:hAnsi="Times New Roman" w:cs="Times New Roman"/>
                <w:sz w:val="21"/>
                <w:szCs w:val="21"/>
              </w:rPr>
            </w:pPr>
            <w:r>
              <w:rPr>
                <w:rFonts w:hint="eastAsia" w:ascii="仿宋" w:hAnsi="仿宋" w:eastAsia="仿宋" w:cs="仿宋"/>
                <w:color w:val="000000"/>
                <w:spacing w:val="7"/>
                <w:sz w:val="21"/>
                <w:szCs w:val="21"/>
              </w:rPr>
              <w:t>1.6</w:t>
            </w:r>
          </w:p>
        </w:tc>
      </w:tr>
      <w:tr w14:paraId="097013A0">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c>
          <w:tcPr>
            <w:tcW w:w="3323" w:type="dxa"/>
            <w:tcBorders>
              <w:top w:val="nil"/>
              <w:left w:val="single" w:color="auto" w:sz="8" w:space="0"/>
              <w:bottom w:val="single" w:color="auto" w:sz="8" w:space="0"/>
              <w:right w:val="single" w:color="auto" w:sz="8" w:space="0"/>
            </w:tcBorders>
            <w:shd w:val="clear"/>
            <w:tcMar>
              <w:top w:w="0" w:type="dxa"/>
              <w:left w:w="108" w:type="dxa"/>
              <w:bottom w:w="0" w:type="dxa"/>
              <w:right w:w="108" w:type="dxa"/>
            </w:tcMar>
            <w:vAlign w:val="top"/>
          </w:tcPr>
          <w:p w14:paraId="4811668C">
            <w:pPr>
              <w:pStyle w:val="5"/>
              <w:keepNext w:val="0"/>
              <w:keepLines w:val="0"/>
              <w:widowControl/>
              <w:suppressLineNumbers w:val="0"/>
              <w:spacing w:before="0" w:beforeAutospacing="0" w:after="0" w:afterAutospacing="0" w:line="580" w:lineRule="atLeast"/>
              <w:ind w:left="0" w:right="0"/>
              <w:jc w:val="left"/>
              <w:rPr>
                <w:rFonts w:hint="default" w:ascii="Times New Roman" w:hAnsi="Times New Roman" w:cs="Times New Roman"/>
                <w:sz w:val="21"/>
                <w:szCs w:val="21"/>
              </w:rPr>
            </w:pPr>
            <w:r>
              <w:rPr>
                <w:rFonts w:hint="eastAsia" w:ascii="仿宋" w:hAnsi="仿宋" w:eastAsia="仿宋" w:cs="仿宋"/>
                <w:color w:val="000000"/>
                <w:spacing w:val="7"/>
                <w:sz w:val="21"/>
                <w:szCs w:val="21"/>
              </w:rPr>
              <w:t>科研费—差旅费</w:t>
            </w:r>
          </w:p>
        </w:tc>
        <w:tc>
          <w:tcPr>
            <w:tcW w:w="2871" w:type="dxa"/>
            <w:tcBorders>
              <w:top w:val="nil"/>
              <w:left w:val="nil"/>
              <w:bottom w:val="single" w:color="auto" w:sz="8" w:space="0"/>
              <w:right w:val="single" w:color="auto" w:sz="8" w:space="0"/>
            </w:tcBorders>
            <w:shd w:val="clear"/>
            <w:tcMar>
              <w:top w:w="0" w:type="dxa"/>
              <w:left w:w="108" w:type="dxa"/>
              <w:bottom w:w="0" w:type="dxa"/>
              <w:right w:w="108" w:type="dxa"/>
            </w:tcMar>
            <w:vAlign w:val="top"/>
          </w:tcPr>
          <w:p w14:paraId="32C4990F">
            <w:pPr>
              <w:pStyle w:val="5"/>
              <w:keepNext w:val="0"/>
              <w:keepLines w:val="0"/>
              <w:widowControl/>
              <w:suppressLineNumbers w:val="0"/>
              <w:spacing w:before="0" w:beforeAutospacing="0" w:after="0" w:afterAutospacing="0" w:line="580" w:lineRule="atLeast"/>
              <w:ind w:left="0" w:right="0"/>
              <w:jc w:val="left"/>
              <w:rPr>
                <w:rFonts w:hint="default" w:ascii="Times New Roman" w:hAnsi="Times New Roman" w:cs="Times New Roman"/>
                <w:sz w:val="21"/>
                <w:szCs w:val="21"/>
              </w:rPr>
            </w:pPr>
            <w:r>
              <w:rPr>
                <w:rFonts w:hint="eastAsia" w:ascii="仿宋" w:hAnsi="仿宋" w:eastAsia="仿宋" w:cs="仿宋"/>
                <w:color w:val="000000"/>
                <w:spacing w:val="7"/>
                <w:sz w:val="21"/>
                <w:szCs w:val="21"/>
              </w:rPr>
              <w:t>0.2</w:t>
            </w:r>
          </w:p>
        </w:tc>
      </w:tr>
      <w:tr w14:paraId="4BA84512">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c>
          <w:tcPr>
            <w:tcW w:w="3323" w:type="dxa"/>
            <w:tcBorders>
              <w:top w:val="nil"/>
              <w:left w:val="single" w:color="auto" w:sz="8" w:space="0"/>
              <w:bottom w:val="single" w:color="auto" w:sz="8" w:space="0"/>
              <w:right w:val="single" w:color="auto" w:sz="8" w:space="0"/>
            </w:tcBorders>
            <w:shd w:val="clear"/>
            <w:tcMar>
              <w:top w:w="0" w:type="dxa"/>
              <w:left w:w="108" w:type="dxa"/>
              <w:bottom w:w="0" w:type="dxa"/>
              <w:right w:w="108" w:type="dxa"/>
            </w:tcMar>
            <w:vAlign w:val="top"/>
          </w:tcPr>
          <w:p w14:paraId="6400DBD4">
            <w:pPr>
              <w:pStyle w:val="5"/>
              <w:keepNext w:val="0"/>
              <w:keepLines w:val="0"/>
              <w:widowControl/>
              <w:suppressLineNumbers w:val="0"/>
              <w:spacing w:before="0" w:beforeAutospacing="0" w:after="0" w:afterAutospacing="0" w:line="580" w:lineRule="atLeast"/>
              <w:ind w:left="0" w:right="0"/>
              <w:jc w:val="left"/>
              <w:rPr>
                <w:rFonts w:hint="default" w:ascii="Times New Roman" w:hAnsi="Times New Roman" w:cs="Times New Roman"/>
                <w:sz w:val="21"/>
                <w:szCs w:val="21"/>
              </w:rPr>
            </w:pPr>
            <w:r>
              <w:rPr>
                <w:rFonts w:hint="eastAsia" w:ascii="仿宋" w:hAnsi="仿宋" w:eastAsia="仿宋" w:cs="仿宋"/>
                <w:color w:val="000000"/>
                <w:spacing w:val="7"/>
                <w:sz w:val="21"/>
                <w:szCs w:val="21"/>
              </w:rPr>
              <w:t>教师培训费—办公费</w:t>
            </w:r>
          </w:p>
        </w:tc>
        <w:tc>
          <w:tcPr>
            <w:tcW w:w="2871" w:type="dxa"/>
            <w:tcBorders>
              <w:top w:val="nil"/>
              <w:left w:val="nil"/>
              <w:bottom w:val="single" w:color="auto" w:sz="8" w:space="0"/>
              <w:right w:val="single" w:color="auto" w:sz="8" w:space="0"/>
            </w:tcBorders>
            <w:shd w:val="clear"/>
            <w:tcMar>
              <w:top w:w="0" w:type="dxa"/>
              <w:left w:w="108" w:type="dxa"/>
              <w:bottom w:w="0" w:type="dxa"/>
              <w:right w:w="108" w:type="dxa"/>
            </w:tcMar>
            <w:vAlign w:val="top"/>
          </w:tcPr>
          <w:p w14:paraId="5865515E">
            <w:pPr>
              <w:pStyle w:val="5"/>
              <w:keepNext w:val="0"/>
              <w:keepLines w:val="0"/>
              <w:widowControl/>
              <w:suppressLineNumbers w:val="0"/>
              <w:spacing w:before="0" w:beforeAutospacing="0" w:after="0" w:afterAutospacing="0" w:line="580" w:lineRule="atLeast"/>
              <w:ind w:left="0" w:right="0"/>
              <w:jc w:val="left"/>
              <w:rPr>
                <w:rFonts w:hint="default" w:ascii="Times New Roman" w:hAnsi="Times New Roman" w:cs="Times New Roman"/>
                <w:sz w:val="21"/>
                <w:szCs w:val="21"/>
              </w:rPr>
            </w:pPr>
            <w:r>
              <w:rPr>
                <w:rFonts w:hint="eastAsia" w:ascii="仿宋" w:hAnsi="仿宋" w:eastAsia="仿宋" w:cs="仿宋"/>
                <w:color w:val="000000"/>
                <w:spacing w:val="7"/>
                <w:sz w:val="21"/>
                <w:szCs w:val="21"/>
              </w:rPr>
              <w:t>0.94</w:t>
            </w:r>
          </w:p>
        </w:tc>
      </w:tr>
      <w:tr w14:paraId="34A8B39F">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c>
          <w:tcPr>
            <w:tcW w:w="3323" w:type="dxa"/>
            <w:tcBorders>
              <w:top w:val="nil"/>
              <w:left w:val="single" w:color="auto" w:sz="8" w:space="0"/>
              <w:bottom w:val="single" w:color="auto" w:sz="8" w:space="0"/>
              <w:right w:val="single" w:color="auto" w:sz="8" w:space="0"/>
            </w:tcBorders>
            <w:shd w:val="clear"/>
            <w:tcMar>
              <w:top w:w="0" w:type="dxa"/>
              <w:left w:w="108" w:type="dxa"/>
              <w:bottom w:w="0" w:type="dxa"/>
              <w:right w:w="108" w:type="dxa"/>
            </w:tcMar>
            <w:vAlign w:val="top"/>
          </w:tcPr>
          <w:p w14:paraId="68E7DA64">
            <w:pPr>
              <w:pStyle w:val="5"/>
              <w:keepNext w:val="0"/>
              <w:keepLines w:val="0"/>
              <w:widowControl/>
              <w:suppressLineNumbers w:val="0"/>
              <w:spacing w:before="0" w:beforeAutospacing="0" w:after="0" w:afterAutospacing="0" w:line="580" w:lineRule="atLeast"/>
              <w:ind w:left="0" w:right="0"/>
              <w:jc w:val="left"/>
              <w:rPr>
                <w:rFonts w:hint="default" w:ascii="Times New Roman" w:hAnsi="Times New Roman" w:cs="Times New Roman"/>
                <w:sz w:val="21"/>
                <w:szCs w:val="21"/>
              </w:rPr>
            </w:pPr>
            <w:r>
              <w:rPr>
                <w:rFonts w:hint="eastAsia" w:ascii="仿宋" w:hAnsi="仿宋" w:eastAsia="仿宋" w:cs="仿宋"/>
                <w:color w:val="000000"/>
                <w:spacing w:val="7"/>
                <w:sz w:val="21"/>
                <w:szCs w:val="21"/>
              </w:rPr>
              <w:t>教师培训费—差旅费</w:t>
            </w:r>
          </w:p>
        </w:tc>
        <w:tc>
          <w:tcPr>
            <w:tcW w:w="2871" w:type="dxa"/>
            <w:tcBorders>
              <w:top w:val="nil"/>
              <w:left w:val="nil"/>
              <w:bottom w:val="single" w:color="auto" w:sz="8" w:space="0"/>
              <w:right w:val="single" w:color="auto" w:sz="8" w:space="0"/>
            </w:tcBorders>
            <w:shd w:val="clear"/>
            <w:tcMar>
              <w:top w:w="0" w:type="dxa"/>
              <w:left w:w="108" w:type="dxa"/>
              <w:bottom w:w="0" w:type="dxa"/>
              <w:right w:w="108" w:type="dxa"/>
            </w:tcMar>
            <w:vAlign w:val="top"/>
          </w:tcPr>
          <w:p w14:paraId="5FA93ACB">
            <w:pPr>
              <w:pStyle w:val="5"/>
              <w:keepNext w:val="0"/>
              <w:keepLines w:val="0"/>
              <w:widowControl/>
              <w:suppressLineNumbers w:val="0"/>
              <w:spacing w:before="0" w:beforeAutospacing="0" w:after="0" w:afterAutospacing="0" w:line="580" w:lineRule="atLeast"/>
              <w:ind w:left="0" w:right="0"/>
              <w:jc w:val="left"/>
              <w:rPr>
                <w:rFonts w:hint="default" w:ascii="Times New Roman" w:hAnsi="Times New Roman" w:cs="Times New Roman"/>
                <w:sz w:val="21"/>
                <w:szCs w:val="21"/>
              </w:rPr>
            </w:pPr>
            <w:r>
              <w:rPr>
                <w:rFonts w:hint="eastAsia" w:ascii="仿宋" w:hAnsi="仿宋" w:eastAsia="仿宋" w:cs="仿宋"/>
                <w:color w:val="000000"/>
                <w:spacing w:val="7"/>
                <w:sz w:val="21"/>
                <w:szCs w:val="21"/>
              </w:rPr>
              <w:t>1.5</w:t>
            </w:r>
          </w:p>
        </w:tc>
      </w:tr>
      <w:tr w14:paraId="0AA23F4C">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c>
          <w:tcPr>
            <w:tcW w:w="3323" w:type="dxa"/>
            <w:tcBorders>
              <w:top w:val="nil"/>
              <w:left w:val="single" w:color="auto" w:sz="8" w:space="0"/>
              <w:bottom w:val="single" w:color="auto" w:sz="8" w:space="0"/>
              <w:right w:val="single" w:color="auto" w:sz="8" w:space="0"/>
            </w:tcBorders>
            <w:shd w:val="clear"/>
            <w:tcMar>
              <w:top w:w="0" w:type="dxa"/>
              <w:left w:w="108" w:type="dxa"/>
              <w:bottom w:w="0" w:type="dxa"/>
              <w:right w:w="108" w:type="dxa"/>
            </w:tcMar>
            <w:vAlign w:val="top"/>
          </w:tcPr>
          <w:p w14:paraId="1039E6E5">
            <w:pPr>
              <w:pStyle w:val="5"/>
              <w:keepNext w:val="0"/>
              <w:keepLines w:val="0"/>
              <w:widowControl/>
              <w:suppressLineNumbers w:val="0"/>
              <w:spacing w:before="0" w:beforeAutospacing="0" w:after="0" w:afterAutospacing="0" w:line="580" w:lineRule="atLeast"/>
              <w:ind w:left="0" w:right="0"/>
              <w:jc w:val="left"/>
              <w:rPr>
                <w:rFonts w:hint="default" w:ascii="Times New Roman" w:hAnsi="Times New Roman" w:cs="Times New Roman"/>
                <w:sz w:val="21"/>
                <w:szCs w:val="21"/>
              </w:rPr>
            </w:pPr>
            <w:r>
              <w:rPr>
                <w:rFonts w:hint="eastAsia" w:ascii="仿宋" w:hAnsi="仿宋" w:eastAsia="仿宋" w:cs="仿宋"/>
                <w:color w:val="000000"/>
                <w:spacing w:val="7"/>
                <w:sz w:val="21"/>
                <w:szCs w:val="21"/>
              </w:rPr>
              <w:t>教师培训费—培训费</w:t>
            </w:r>
          </w:p>
        </w:tc>
        <w:tc>
          <w:tcPr>
            <w:tcW w:w="2871" w:type="dxa"/>
            <w:tcBorders>
              <w:top w:val="nil"/>
              <w:left w:val="nil"/>
              <w:bottom w:val="single" w:color="auto" w:sz="8" w:space="0"/>
              <w:right w:val="single" w:color="auto" w:sz="8" w:space="0"/>
            </w:tcBorders>
            <w:shd w:val="clear"/>
            <w:tcMar>
              <w:top w:w="0" w:type="dxa"/>
              <w:left w:w="108" w:type="dxa"/>
              <w:bottom w:w="0" w:type="dxa"/>
              <w:right w:w="108" w:type="dxa"/>
            </w:tcMar>
            <w:vAlign w:val="top"/>
          </w:tcPr>
          <w:p w14:paraId="4D49D350">
            <w:pPr>
              <w:pStyle w:val="5"/>
              <w:keepNext w:val="0"/>
              <w:keepLines w:val="0"/>
              <w:widowControl/>
              <w:suppressLineNumbers w:val="0"/>
              <w:spacing w:before="0" w:beforeAutospacing="0" w:after="0" w:afterAutospacing="0" w:line="580" w:lineRule="atLeast"/>
              <w:ind w:left="0" w:right="0"/>
              <w:jc w:val="left"/>
              <w:rPr>
                <w:rFonts w:hint="default" w:ascii="Times New Roman" w:hAnsi="Times New Roman" w:cs="Times New Roman"/>
                <w:sz w:val="21"/>
                <w:szCs w:val="21"/>
              </w:rPr>
            </w:pPr>
            <w:r>
              <w:rPr>
                <w:rFonts w:hint="eastAsia" w:ascii="仿宋" w:hAnsi="仿宋" w:eastAsia="仿宋" w:cs="仿宋"/>
                <w:color w:val="000000"/>
                <w:spacing w:val="7"/>
                <w:sz w:val="21"/>
                <w:szCs w:val="21"/>
              </w:rPr>
              <w:t>0.23</w:t>
            </w:r>
          </w:p>
        </w:tc>
      </w:tr>
      <w:tr w14:paraId="0F78C03C">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rHeight w:val="696" w:hRule="atLeast"/>
        </w:trPr>
        <w:tc>
          <w:tcPr>
            <w:tcW w:w="3323" w:type="dxa"/>
            <w:tcBorders>
              <w:top w:val="nil"/>
              <w:left w:val="single" w:color="auto" w:sz="8" w:space="0"/>
              <w:bottom w:val="single" w:color="auto" w:sz="8" w:space="0"/>
              <w:right w:val="single" w:color="auto" w:sz="8" w:space="0"/>
            </w:tcBorders>
            <w:shd w:val="clear"/>
            <w:tcMar>
              <w:top w:w="0" w:type="dxa"/>
              <w:left w:w="108" w:type="dxa"/>
              <w:bottom w:w="0" w:type="dxa"/>
              <w:right w:w="108" w:type="dxa"/>
            </w:tcMar>
            <w:vAlign w:val="top"/>
          </w:tcPr>
          <w:p w14:paraId="2A5A68F6">
            <w:pPr>
              <w:pStyle w:val="5"/>
              <w:keepNext w:val="0"/>
              <w:keepLines w:val="0"/>
              <w:widowControl/>
              <w:suppressLineNumbers w:val="0"/>
              <w:spacing w:before="0" w:beforeAutospacing="0" w:after="0" w:afterAutospacing="0" w:line="360" w:lineRule="auto"/>
              <w:ind w:left="0" w:right="0"/>
              <w:jc w:val="left"/>
              <w:rPr>
                <w:rFonts w:hint="default" w:ascii="Times New Roman" w:hAnsi="Times New Roman" w:cs="Times New Roman"/>
                <w:sz w:val="21"/>
                <w:szCs w:val="21"/>
              </w:rPr>
            </w:pPr>
            <w:r>
              <w:rPr>
                <w:rFonts w:hint="eastAsia" w:ascii="仿宋" w:hAnsi="仿宋" w:eastAsia="仿宋" w:cs="仿宋"/>
                <w:color w:val="000000"/>
                <w:spacing w:val="7"/>
                <w:sz w:val="21"/>
                <w:szCs w:val="21"/>
              </w:rPr>
              <w:t>教师培训费—其他商品和服务支出</w:t>
            </w:r>
          </w:p>
        </w:tc>
        <w:tc>
          <w:tcPr>
            <w:tcW w:w="2871" w:type="dxa"/>
            <w:tcBorders>
              <w:top w:val="nil"/>
              <w:left w:val="nil"/>
              <w:bottom w:val="single" w:color="auto" w:sz="8" w:space="0"/>
              <w:right w:val="single" w:color="auto" w:sz="8" w:space="0"/>
            </w:tcBorders>
            <w:shd w:val="clear"/>
            <w:tcMar>
              <w:top w:w="0" w:type="dxa"/>
              <w:left w:w="108" w:type="dxa"/>
              <w:bottom w:w="0" w:type="dxa"/>
              <w:right w:w="108" w:type="dxa"/>
            </w:tcMar>
            <w:vAlign w:val="top"/>
          </w:tcPr>
          <w:p w14:paraId="27BDFBAD">
            <w:pPr>
              <w:pStyle w:val="5"/>
              <w:keepNext w:val="0"/>
              <w:keepLines w:val="0"/>
              <w:widowControl/>
              <w:suppressLineNumbers w:val="0"/>
              <w:spacing w:before="0" w:beforeAutospacing="0" w:after="0" w:afterAutospacing="0" w:line="580" w:lineRule="atLeast"/>
              <w:ind w:left="0" w:right="0"/>
              <w:jc w:val="left"/>
              <w:rPr>
                <w:rFonts w:hint="default" w:ascii="Times New Roman" w:hAnsi="Times New Roman" w:cs="Times New Roman"/>
                <w:sz w:val="21"/>
                <w:szCs w:val="21"/>
              </w:rPr>
            </w:pPr>
            <w:r>
              <w:rPr>
                <w:rFonts w:hint="eastAsia" w:ascii="仿宋" w:hAnsi="仿宋" w:eastAsia="仿宋" w:cs="仿宋"/>
                <w:color w:val="000000"/>
                <w:spacing w:val="7"/>
                <w:sz w:val="21"/>
                <w:szCs w:val="21"/>
              </w:rPr>
              <w:t>0.73</w:t>
            </w:r>
          </w:p>
        </w:tc>
      </w:tr>
      <w:tr w14:paraId="52576333">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c>
          <w:tcPr>
            <w:tcW w:w="3323" w:type="dxa"/>
            <w:tcBorders>
              <w:top w:val="nil"/>
              <w:left w:val="single" w:color="auto" w:sz="8" w:space="0"/>
              <w:bottom w:val="single" w:color="auto" w:sz="8" w:space="0"/>
              <w:right w:val="single" w:color="auto" w:sz="8" w:space="0"/>
            </w:tcBorders>
            <w:shd w:val="clear"/>
            <w:tcMar>
              <w:top w:w="0" w:type="dxa"/>
              <w:left w:w="108" w:type="dxa"/>
              <w:bottom w:w="0" w:type="dxa"/>
              <w:right w:w="108" w:type="dxa"/>
            </w:tcMar>
            <w:vAlign w:val="top"/>
          </w:tcPr>
          <w:p w14:paraId="1DF3FB0D">
            <w:pPr>
              <w:pStyle w:val="5"/>
              <w:keepNext w:val="0"/>
              <w:keepLines w:val="0"/>
              <w:widowControl/>
              <w:suppressLineNumbers w:val="0"/>
              <w:spacing w:before="0" w:beforeAutospacing="0" w:after="0" w:afterAutospacing="0" w:line="580" w:lineRule="atLeast"/>
              <w:ind w:left="0" w:right="0"/>
              <w:jc w:val="left"/>
              <w:rPr>
                <w:rFonts w:hint="default" w:ascii="Times New Roman" w:hAnsi="Times New Roman" w:cs="Times New Roman"/>
                <w:sz w:val="21"/>
                <w:szCs w:val="21"/>
              </w:rPr>
            </w:pPr>
            <w:r>
              <w:rPr>
                <w:rFonts w:hint="eastAsia" w:ascii="仿宋" w:hAnsi="仿宋" w:eastAsia="仿宋" w:cs="仿宋"/>
                <w:color w:val="000000"/>
                <w:spacing w:val="7"/>
                <w:sz w:val="21"/>
                <w:szCs w:val="21"/>
              </w:rPr>
              <w:t>校园维护费—维修费</w:t>
            </w:r>
          </w:p>
        </w:tc>
        <w:tc>
          <w:tcPr>
            <w:tcW w:w="2871" w:type="dxa"/>
            <w:tcBorders>
              <w:top w:val="nil"/>
              <w:left w:val="nil"/>
              <w:bottom w:val="single" w:color="auto" w:sz="8" w:space="0"/>
              <w:right w:val="single" w:color="auto" w:sz="8" w:space="0"/>
            </w:tcBorders>
            <w:shd w:val="clear"/>
            <w:tcMar>
              <w:top w:w="0" w:type="dxa"/>
              <w:left w:w="108" w:type="dxa"/>
              <w:bottom w:w="0" w:type="dxa"/>
              <w:right w:w="108" w:type="dxa"/>
            </w:tcMar>
            <w:vAlign w:val="top"/>
          </w:tcPr>
          <w:p w14:paraId="18E58E02">
            <w:pPr>
              <w:pStyle w:val="5"/>
              <w:keepNext w:val="0"/>
              <w:keepLines w:val="0"/>
              <w:widowControl/>
              <w:suppressLineNumbers w:val="0"/>
              <w:spacing w:before="0" w:beforeAutospacing="0" w:after="0" w:afterAutospacing="0" w:line="580" w:lineRule="atLeast"/>
              <w:ind w:left="0" w:right="0"/>
              <w:jc w:val="left"/>
              <w:rPr>
                <w:rFonts w:hint="default" w:ascii="Times New Roman" w:hAnsi="Times New Roman" w:cs="Times New Roman"/>
                <w:sz w:val="21"/>
                <w:szCs w:val="21"/>
              </w:rPr>
            </w:pPr>
            <w:r>
              <w:rPr>
                <w:rFonts w:hint="eastAsia" w:ascii="仿宋" w:hAnsi="仿宋" w:eastAsia="仿宋" w:cs="仿宋"/>
                <w:color w:val="000000"/>
                <w:spacing w:val="7"/>
                <w:sz w:val="21"/>
                <w:szCs w:val="21"/>
              </w:rPr>
              <w:t>0.8</w:t>
            </w:r>
          </w:p>
        </w:tc>
      </w:tr>
      <w:tr w14:paraId="67588E57">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rHeight w:val="447" w:hRule="atLeast"/>
        </w:trPr>
        <w:tc>
          <w:tcPr>
            <w:tcW w:w="3323" w:type="dxa"/>
            <w:tcBorders>
              <w:top w:val="nil"/>
              <w:left w:val="single" w:color="auto" w:sz="8" w:space="0"/>
              <w:bottom w:val="single" w:color="auto" w:sz="8" w:space="0"/>
              <w:right w:val="single" w:color="auto" w:sz="8" w:space="0"/>
            </w:tcBorders>
            <w:shd w:val="clear"/>
            <w:tcMar>
              <w:top w:w="0" w:type="dxa"/>
              <w:left w:w="108" w:type="dxa"/>
              <w:bottom w:w="0" w:type="dxa"/>
              <w:right w:w="108" w:type="dxa"/>
            </w:tcMar>
            <w:vAlign w:val="top"/>
          </w:tcPr>
          <w:p w14:paraId="325BADB8">
            <w:pPr>
              <w:pStyle w:val="5"/>
              <w:keepNext w:val="0"/>
              <w:keepLines w:val="0"/>
              <w:widowControl/>
              <w:suppressLineNumbers w:val="0"/>
              <w:spacing w:before="0" w:beforeAutospacing="0" w:after="0" w:afterAutospacing="0" w:line="360" w:lineRule="auto"/>
              <w:ind w:left="0" w:right="0"/>
              <w:jc w:val="left"/>
              <w:rPr>
                <w:rFonts w:hint="default" w:ascii="Times New Roman" w:hAnsi="Times New Roman" w:cs="Times New Roman"/>
                <w:sz w:val="21"/>
                <w:szCs w:val="21"/>
              </w:rPr>
            </w:pPr>
            <w:r>
              <w:rPr>
                <w:rFonts w:hint="eastAsia" w:ascii="仿宋" w:hAnsi="仿宋" w:eastAsia="仿宋" w:cs="仿宋"/>
                <w:color w:val="000000"/>
                <w:spacing w:val="7"/>
                <w:sz w:val="21"/>
                <w:szCs w:val="21"/>
              </w:rPr>
              <w:t>市下专业化教学点工作经费—办公费</w:t>
            </w:r>
          </w:p>
        </w:tc>
        <w:tc>
          <w:tcPr>
            <w:tcW w:w="2871" w:type="dxa"/>
            <w:tcBorders>
              <w:top w:val="nil"/>
              <w:left w:val="nil"/>
              <w:bottom w:val="single" w:color="auto" w:sz="8" w:space="0"/>
              <w:right w:val="single" w:color="auto" w:sz="8" w:space="0"/>
            </w:tcBorders>
            <w:shd w:val="clear"/>
            <w:tcMar>
              <w:top w:w="0" w:type="dxa"/>
              <w:left w:w="108" w:type="dxa"/>
              <w:bottom w:w="0" w:type="dxa"/>
              <w:right w:w="108" w:type="dxa"/>
            </w:tcMar>
            <w:vAlign w:val="top"/>
          </w:tcPr>
          <w:p w14:paraId="555B3A1C">
            <w:pPr>
              <w:pStyle w:val="5"/>
              <w:keepNext w:val="0"/>
              <w:keepLines w:val="0"/>
              <w:widowControl/>
              <w:suppressLineNumbers w:val="0"/>
              <w:spacing w:before="0" w:beforeAutospacing="0" w:after="0" w:afterAutospacing="0" w:line="580" w:lineRule="atLeast"/>
              <w:ind w:left="0" w:right="0"/>
              <w:jc w:val="left"/>
              <w:rPr>
                <w:rFonts w:hint="default" w:ascii="Times New Roman" w:hAnsi="Times New Roman" w:cs="Times New Roman"/>
                <w:sz w:val="21"/>
                <w:szCs w:val="21"/>
              </w:rPr>
            </w:pPr>
            <w:r>
              <w:rPr>
                <w:rFonts w:hint="eastAsia" w:ascii="仿宋" w:hAnsi="仿宋" w:eastAsia="仿宋" w:cs="仿宋"/>
                <w:color w:val="000000"/>
                <w:spacing w:val="7"/>
                <w:sz w:val="21"/>
                <w:szCs w:val="21"/>
              </w:rPr>
              <w:t>1</w:t>
            </w:r>
          </w:p>
        </w:tc>
      </w:tr>
      <w:tr w14:paraId="258E7E99">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rHeight w:val="585" w:hRule="atLeast"/>
        </w:trPr>
        <w:tc>
          <w:tcPr>
            <w:tcW w:w="3323" w:type="dxa"/>
            <w:tcBorders>
              <w:top w:val="nil"/>
              <w:left w:val="single" w:color="auto" w:sz="8" w:space="0"/>
              <w:bottom w:val="single" w:color="auto" w:sz="8" w:space="0"/>
              <w:right w:val="single" w:color="auto" w:sz="8" w:space="0"/>
            </w:tcBorders>
            <w:shd w:val="clear"/>
            <w:tcMar>
              <w:top w:w="0" w:type="dxa"/>
              <w:left w:w="108" w:type="dxa"/>
              <w:bottom w:w="0" w:type="dxa"/>
              <w:right w:w="108" w:type="dxa"/>
            </w:tcMar>
            <w:vAlign w:val="top"/>
          </w:tcPr>
          <w:p w14:paraId="4CC27DEA">
            <w:pPr>
              <w:pStyle w:val="5"/>
              <w:keepNext w:val="0"/>
              <w:keepLines w:val="0"/>
              <w:widowControl/>
              <w:suppressLineNumbers w:val="0"/>
              <w:spacing w:before="0" w:beforeAutospacing="0" w:after="0" w:afterAutospacing="0" w:line="360" w:lineRule="auto"/>
              <w:ind w:left="0" w:right="0"/>
              <w:jc w:val="left"/>
              <w:rPr>
                <w:rFonts w:hint="default" w:ascii="Times New Roman" w:hAnsi="Times New Roman" w:cs="Times New Roman"/>
                <w:sz w:val="21"/>
                <w:szCs w:val="21"/>
              </w:rPr>
            </w:pPr>
            <w:r>
              <w:rPr>
                <w:rFonts w:hint="eastAsia" w:ascii="仿宋" w:hAnsi="仿宋" w:eastAsia="仿宋" w:cs="仿宋"/>
                <w:color w:val="000000"/>
                <w:spacing w:val="7"/>
                <w:sz w:val="21"/>
                <w:szCs w:val="21"/>
              </w:rPr>
              <w:t>市下专业化教学点工作经费—其他商品和服务支出</w:t>
            </w:r>
          </w:p>
        </w:tc>
        <w:tc>
          <w:tcPr>
            <w:tcW w:w="2871" w:type="dxa"/>
            <w:tcBorders>
              <w:top w:val="nil"/>
              <w:left w:val="nil"/>
              <w:bottom w:val="single" w:color="auto" w:sz="8" w:space="0"/>
              <w:right w:val="single" w:color="auto" w:sz="8" w:space="0"/>
            </w:tcBorders>
            <w:shd w:val="clear"/>
            <w:tcMar>
              <w:top w:w="0" w:type="dxa"/>
              <w:left w:w="108" w:type="dxa"/>
              <w:bottom w:w="0" w:type="dxa"/>
              <w:right w:w="108" w:type="dxa"/>
            </w:tcMar>
            <w:vAlign w:val="top"/>
          </w:tcPr>
          <w:p w14:paraId="35BAF4EF">
            <w:pPr>
              <w:pStyle w:val="5"/>
              <w:keepNext w:val="0"/>
              <w:keepLines w:val="0"/>
              <w:widowControl/>
              <w:suppressLineNumbers w:val="0"/>
              <w:spacing w:before="0" w:beforeAutospacing="0" w:after="0" w:afterAutospacing="0" w:line="580" w:lineRule="atLeast"/>
              <w:ind w:left="0" w:right="0"/>
              <w:jc w:val="left"/>
              <w:rPr>
                <w:rFonts w:hint="default" w:ascii="Times New Roman" w:hAnsi="Times New Roman" w:cs="Times New Roman"/>
                <w:sz w:val="21"/>
                <w:szCs w:val="21"/>
              </w:rPr>
            </w:pPr>
            <w:r>
              <w:rPr>
                <w:rFonts w:hint="eastAsia" w:ascii="仿宋" w:hAnsi="仿宋" w:eastAsia="仿宋" w:cs="仿宋"/>
                <w:color w:val="000000"/>
                <w:spacing w:val="7"/>
                <w:sz w:val="21"/>
                <w:szCs w:val="21"/>
              </w:rPr>
              <w:t>1.4</w:t>
            </w:r>
          </w:p>
        </w:tc>
      </w:tr>
      <w:tr w14:paraId="185ACC46">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c>
          <w:tcPr>
            <w:tcW w:w="3323" w:type="dxa"/>
            <w:tcBorders>
              <w:top w:val="nil"/>
              <w:left w:val="single" w:color="auto" w:sz="8" w:space="0"/>
              <w:bottom w:val="single" w:color="auto" w:sz="8" w:space="0"/>
              <w:right w:val="single" w:color="auto" w:sz="8" w:space="0"/>
            </w:tcBorders>
            <w:shd w:val="clear"/>
            <w:tcMar>
              <w:top w:w="0" w:type="dxa"/>
              <w:left w:w="108" w:type="dxa"/>
              <w:bottom w:w="0" w:type="dxa"/>
              <w:right w:w="108" w:type="dxa"/>
            </w:tcMar>
            <w:vAlign w:val="top"/>
          </w:tcPr>
          <w:p w14:paraId="6BB1D860">
            <w:pPr>
              <w:pStyle w:val="5"/>
              <w:keepNext w:val="0"/>
              <w:keepLines w:val="0"/>
              <w:widowControl/>
              <w:suppressLineNumbers w:val="0"/>
              <w:spacing w:before="0" w:beforeAutospacing="0" w:after="0" w:afterAutospacing="0" w:line="580" w:lineRule="atLeast"/>
              <w:ind w:left="0" w:right="0"/>
              <w:jc w:val="left"/>
              <w:rPr>
                <w:rFonts w:hint="default" w:ascii="Times New Roman" w:hAnsi="Times New Roman" w:cs="Times New Roman"/>
                <w:sz w:val="21"/>
                <w:szCs w:val="21"/>
              </w:rPr>
            </w:pPr>
            <w:r>
              <w:rPr>
                <w:rFonts w:hint="eastAsia" w:ascii="仿宋" w:hAnsi="仿宋" w:eastAsia="仿宋" w:cs="仿宋"/>
                <w:color w:val="000000"/>
                <w:spacing w:val="7"/>
                <w:sz w:val="21"/>
                <w:szCs w:val="21"/>
              </w:rPr>
              <w:t>小计</w:t>
            </w:r>
          </w:p>
        </w:tc>
        <w:tc>
          <w:tcPr>
            <w:tcW w:w="2871" w:type="dxa"/>
            <w:tcBorders>
              <w:top w:val="nil"/>
              <w:left w:val="nil"/>
              <w:bottom w:val="single" w:color="auto" w:sz="8" w:space="0"/>
              <w:right w:val="single" w:color="auto" w:sz="8" w:space="0"/>
            </w:tcBorders>
            <w:shd w:val="clear"/>
            <w:tcMar>
              <w:top w:w="0" w:type="dxa"/>
              <w:left w:w="108" w:type="dxa"/>
              <w:bottom w:w="0" w:type="dxa"/>
              <w:right w:w="108" w:type="dxa"/>
            </w:tcMar>
            <w:vAlign w:val="top"/>
          </w:tcPr>
          <w:p w14:paraId="4B7B6D5D">
            <w:pPr>
              <w:pStyle w:val="5"/>
              <w:keepNext w:val="0"/>
              <w:keepLines w:val="0"/>
              <w:widowControl/>
              <w:suppressLineNumbers w:val="0"/>
              <w:spacing w:before="0" w:beforeAutospacing="0" w:after="0" w:afterAutospacing="0" w:line="580" w:lineRule="atLeast"/>
              <w:ind w:left="0" w:right="0"/>
              <w:jc w:val="left"/>
              <w:rPr>
                <w:rFonts w:hint="default" w:ascii="Times New Roman" w:hAnsi="Times New Roman" w:cs="Times New Roman"/>
                <w:sz w:val="21"/>
                <w:szCs w:val="21"/>
              </w:rPr>
            </w:pPr>
            <w:r>
              <w:rPr>
                <w:rFonts w:hint="eastAsia" w:ascii="仿宋" w:hAnsi="仿宋" w:eastAsia="仿宋" w:cs="仿宋"/>
                <w:color w:val="000000"/>
                <w:spacing w:val="7"/>
                <w:sz w:val="21"/>
                <w:szCs w:val="21"/>
              </w:rPr>
              <w:t>8.4</w:t>
            </w:r>
          </w:p>
        </w:tc>
      </w:tr>
    </w:tbl>
    <w:p w14:paraId="447360FC">
      <w:pPr>
        <w:pStyle w:val="5"/>
        <w:keepNext w:val="0"/>
        <w:keepLines w:val="0"/>
        <w:widowControl/>
        <w:suppressLineNumbers w:val="0"/>
        <w:spacing w:before="0" w:beforeAutospacing="0" w:after="0" w:afterAutospacing="0" w:line="580" w:lineRule="atLeast"/>
        <w:ind w:left="630" w:right="0" w:firstLine="448"/>
        <w:jc w:val="left"/>
        <w:rPr>
          <w:rFonts w:hint="default" w:ascii="Times New Roman" w:hAnsi="Times New Roman" w:cs="Times New Roman"/>
          <w:sz w:val="21"/>
          <w:szCs w:val="21"/>
        </w:rPr>
      </w:pPr>
      <w:r>
        <w:rPr>
          <w:rFonts w:hint="default" w:ascii="Times New Roman" w:hAnsi="Times New Roman" w:eastAsia="宋体" w:cs="Times New Roman"/>
          <w:sz w:val="21"/>
          <w:szCs w:val="21"/>
        </w:rPr>
        <w:t> </w:t>
      </w:r>
    </w:p>
    <w:p w14:paraId="5AAA24D1">
      <w:pPr>
        <w:pStyle w:val="5"/>
        <w:keepNext w:val="0"/>
        <w:keepLines w:val="0"/>
        <w:widowControl/>
        <w:suppressLineNumbers w:val="0"/>
        <w:spacing w:before="0" w:beforeAutospacing="0" w:after="0" w:afterAutospacing="0" w:line="580" w:lineRule="atLeast"/>
        <w:ind w:left="0" w:right="0" w:firstLine="975"/>
        <w:jc w:val="left"/>
        <w:rPr>
          <w:rFonts w:hint="default" w:ascii="Times New Roman" w:hAnsi="Times New Roman" w:cs="Times New Roman"/>
          <w:sz w:val="21"/>
          <w:szCs w:val="21"/>
        </w:rPr>
      </w:pPr>
      <w:r>
        <w:rPr>
          <w:rFonts w:hint="eastAsia" w:ascii="仿宋" w:hAnsi="仿宋" w:eastAsia="仿宋" w:cs="仿宋"/>
          <w:b/>
          <w:bCs/>
          <w:color w:val="000000"/>
          <w:spacing w:val="22"/>
          <w:sz w:val="28"/>
          <w:szCs w:val="28"/>
        </w:rPr>
        <w:t>4、部门整体支出绩效情况</w:t>
      </w:r>
    </w:p>
    <w:p w14:paraId="5EA05F5A">
      <w:pPr>
        <w:pStyle w:val="5"/>
        <w:keepNext w:val="0"/>
        <w:keepLines w:val="0"/>
        <w:widowControl/>
        <w:suppressLineNumbers w:val="0"/>
        <w:spacing w:before="0" w:beforeAutospacing="0" w:after="0" w:afterAutospacing="0" w:line="580" w:lineRule="atLeast"/>
        <w:ind w:left="0" w:right="0" w:firstLine="1208"/>
        <w:jc w:val="left"/>
        <w:rPr>
          <w:rFonts w:hint="default" w:ascii="Times New Roman" w:hAnsi="Times New Roman" w:cs="Times New Roman"/>
          <w:sz w:val="21"/>
          <w:szCs w:val="21"/>
        </w:rPr>
      </w:pPr>
      <w:r>
        <w:rPr>
          <w:rFonts w:hint="eastAsia" w:ascii="仿宋" w:hAnsi="仿宋" w:eastAsia="仿宋" w:cs="仿宋"/>
          <w:color w:val="000000"/>
          <w:spacing w:val="11"/>
          <w:sz w:val="28"/>
          <w:szCs w:val="28"/>
        </w:rPr>
        <w:t>2019</w:t>
      </w:r>
      <w:r>
        <w:rPr>
          <w:rFonts w:hint="eastAsia" w:ascii="仿宋" w:hAnsi="仿宋" w:eastAsia="仿宋" w:cs="仿宋"/>
          <w:color w:val="000000"/>
          <w:spacing w:val="22"/>
          <w:sz w:val="28"/>
          <w:szCs w:val="28"/>
        </w:rPr>
        <w:t>年，</w:t>
      </w:r>
      <w:r>
        <w:rPr>
          <w:rFonts w:hint="eastAsia" w:ascii="仿宋" w:hAnsi="仿宋" w:eastAsia="仿宋" w:cs="仿宋"/>
          <w:sz w:val="28"/>
          <w:szCs w:val="28"/>
        </w:rPr>
        <w:t>中共峨边彝族自治县委党校</w:t>
      </w:r>
      <w:r>
        <w:rPr>
          <w:rFonts w:hint="eastAsia" w:ascii="仿宋" w:hAnsi="仿宋" w:eastAsia="仿宋" w:cs="仿宋"/>
          <w:color w:val="000000"/>
          <w:spacing w:val="11"/>
          <w:sz w:val="28"/>
          <w:szCs w:val="28"/>
        </w:rPr>
        <w:t>深入学习贯彻落实党的十九大精神及</w:t>
      </w:r>
      <w:r>
        <w:rPr>
          <w:rFonts w:hint="eastAsia" w:ascii="仿宋" w:hAnsi="仿宋" w:cs="仿宋"/>
          <w:color w:val="000000"/>
          <w:spacing w:val="11"/>
          <w:sz w:val="28"/>
          <w:szCs w:val="28"/>
          <w:lang w:eastAsia="zh-CN"/>
        </w:rPr>
        <w:t>习近平总书记系列重要讲话精</w:t>
      </w:r>
      <w:bookmarkStart w:id="0" w:name="_GoBack"/>
      <w:bookmarkEnd w:id="0"/>
      <w:r>
        <w:rPr>
          <w:rFonts w:hint="eastAsia" w:ascii="仿宋" w:hAnsi="仿宋" w:cs="仿宋"/>
          <w:color w:val="000000"/>
          <w:spacing w:val="11"/>
          <w:sz w:val="28"/>
          <w:szCs w:val="28"/>
          <w:lang w:eastAsia="zh-CN"/>
        </w:rPr>
        <w:t>神</w:t>
      </w:r>
      <w:r>
        <w:rPr>
          <w:rFonts w:hint="eastAsia" w:ascii="仿宋" w:hAnsi="仿宋" w:eastAsia="仿宋" w:cs="仿宋"/>
          <w:color w:val="000000"/>
          <w:spacing w:val="11"/>
          <w:sz w:val="28"/>
          <w:szCs w:val="28"/>
        </w:rPr>
        <w:t>，以习近平新时代中国特色社会主义思想为指导，认真贯彻执行《</w:t>
      </w:r>
      <w:r>
        <w:rPr>
          <w:rFonts w:hint="eastAsia" w:ascii="仿宋" w:hAnsi="仿宋" w:cs="仿宋"/>
          <w:color w:val="000000"/>
          <w:spacing w:val="11"/>
          <w:sz w:val="28"/>
          <w:szCs w:val="28"/>
          <w:lang w:eastAsia="zh-CN"/>
        </w:rPr>
        <w:t>中国共产党党校（行政学院）工作条例</w:t>
      </w:r>
      <w:r>
        <w:rPr>
          <w:rFonts w:hint="eastAsia" w:ascii="仿宋" w:hAnsi="仿宋" w:eastAsia="仿宋" w:cs="仿宋"/>
          <w:color w:val="000000"/>
          <w:spacing w:val="11"/>
          <w:sz w:val="28"/>
          <w:szCs w:val="28"/>
        </w:rPr>
        <w:t>》和习近平在全国党校工作会议上的讲话精神，紧紧围绕</w:t>
      </w:r>
      <w:r>
        <w:rPr>
          <w:rFonts w:hint="eastAsia" w:ascii="仿宋" w:hAnsi="仿宋" w:cs="仿宋"/>
          <w:color w:val="000000"/>
          <w:spacing w:val="11"/>
          <w:sz w:val="28"/>
          <w:szCs w:val="28"/>
          <w:lang w:eastAsia="zh-CN"/>
        </w:rPr>
        <w:t>县委、县政府</w:t>
      </w:r>
      <w:r>
        <w:rPr>
          <w:rFonts w:hint="eastAsia" w:ascii="仿宋" w:hAnsi="仿宋" w:eastAsia="仿宋" w:cs="仿宋"/>
          <w:color w:val="000000"/>
          <w:spacing w:val="11"/>
          <w:sz w:val="28"/>
          <w:szCs w:val="28"/>
        </w:rPr>
        <w:t>工作的总体思路及工作部署，以</w:t>
      </w:r>
      <w:r>
        <w:rPr>
          <w:rFonts w:hint="eastAsia" w:ascii="仿宋" w:hAnsi="仿宋" w:cs="仿宋"/>
          <w:color w:val="000000"/>
          <w:spacing w:val="11"/>
          <w:sz w:val="28"/>
          <w:szCs w:val="28"/>
          <w:lang w:eastAsia="zh-CN"/>
        </w:rPr>
        <w:t>县委、县政府</w:t>
      </w:r>
      <w:r>
        <w:rPr>
          <w:rFonts w:hint="eastAsia" w:ascii="仿宋" w:hAnsi="仿宋" w:eastAsia="仿宋" w:cs="仿宋"/>
          <w:color w:val="000000"/>
          <w:spacing w:val="11"/>
          <w:sz w:val="28"/>
          <w:szCs w:val="28"/>
        </w:rPr>
        <w:t>下达我校的年度工作目标为导向，扎扎实实开展工作，取得了一定成绩。</w:t>
      </w:r>
    </w:p>
    <w:p w14:paraId="60FB79D0">
      <w:pPr>
        <w:pStyle w:val="5"/>
        <w:keepNext w:val="0"/>
        <w:keepLines w:val="0"/>
        <w:widowControl/>
        <w:suppressLineNumbers w:val="0"/>
        <w:spacing w:before="0" w:beforeAutospacing="0" w:after="0" w:afterAutospacing="0" w:line="580" w:lineRule="atLeast"/>
        <w:ind w:left="0" w:right="0" w:firstLine="650"/>
        <w:jc w:val="left"/>
        <w:rPr>
          <w:rFonts w:hint="default" w:ascii="Times New Roman" w:hAnsi="Times New Roman" w:cs="Times New Roman"/>
          <w:sz w:val="21"/>
          <w:szCs w:val="21"/>
        </w:rPr>
      </w:pPr>
      <w:r>
        <w:rPr>
          <w:rFonts w:hint="eastAsia" w:ascii="仿宋" w:hAnsi="仿宋" w:eastAsia="仿宋" w:cs="仿宋"/>
          <w:b/>
          <w:bCs/>
          <w:color w:val="000000"/>
          <w:spacing w:val="22"/>
          <w:sz w:val="28"/>
          <w:szCs w:val="28"/>
        </w:rPr>
        <w:t>（1）扛起使命担当，全力脱贫攻坚</w:t>
      </w:r>
    </w:p>
    <w:p w14:paraId="63BD96EB">
      <w:pPr>
        <w:pStyle w:val="5"/>
        <w:keepNext w:val="0"/>
        <w:keepLines w:val="0"/>
        <w:widowControl/>
        <w:suppressLineNumbers w:val="0"/>
        <w:spacing w:before="0" w:beforeAutospacing="0" w:after="0" w:afterAutospacing="0" w:line="580" w:lineRule="atLeast"/>
        <w:ind w:left="0" w:right="0" w:firstLine="906"/>
        <w:jc w:val="left"/>
        <w:rPr>
          <w:rFonts w:hint="default" w:ascii="Times New Roman" w:hAnsi="Times New Roman" w:cs="Times New Roman"/>
          <w:sz w:val="21"/>
          <w:szCs w:val="21"/>
        </w:rPr>
      </w:pPr>
      <w:r>
        <w:rPr>
          <w:rFonts w:hint="eastAsia" w:ascii="仿宋" w:hAnsi="仿宋" w:eastAsia="仿宋" w:cs="仿宋"/>
          <w:color w:val="000000"/>
          <w:spacing w:val="11"/>
          <w:sz w:val="28"/>
          <w:szCs w:val="28"/>
        </w:rPr>
        <w:t>县委党校联系帮扶金岩乡俄罗村60户贫困户242人。2019年预脱贫10户31人，2019年俄罗村贫困村整村退出。县委党校联户干部下沉一线，蹲点帮扶，带动贫困户脱贫奔康。一是宣讲政策，感恩奋进。充分发挥党校宣传阵地的作用，由班子成员和骨干教师开展宣讲会，讲惠民政策、讲发展变化，引导贫困户感恩奋进。二是紧盯基础建设，补齐短板。协助村两委完成连户路建设、饮水工程建设，切实为贫困户改善了居住条件和生活环境。帮扶贫困户社依晶金住房建设经费1万元，赠送贫困户桌椅60套、电视机1台、床3张。</w:t>
      </w:r>
    </w:p>
    <w:p w14:paraId="1390EC50">
      <w:pPr>
        <w:pStyle w:val="5"/>
        <w:keepNext w:val="0"/>
        <w:keepLines w:val="0"/>
        <w:widowControl/>
        <w:suppressLineNumbers w:val="0"/>
        <w:spacing w:before="0" w:beforeAutospacing="0" w:after="0" w:afterAutospacing="0" w:line="580" w:lineRule="atLeast"/>
        <w:ind w:left="0" w:right="0" w:firstLine="650"/>
        <w:jc w:val="left"/>
        <w:rPr>
          <w:rFonts w:hint="default" w:ascii="Times New Roman" w:hAnsi="Times New Roman" w:cs="Times New Roman"/>
          <w:sz w:val="21"/>
          <w:szCs w:val="21"/>
        </w:rPr>
      </w:pPr>
      <w:r>
        <w:rPr>
          <w:rFonts w:hint="eastAsia" w:ascii="仿宋" w:hAnsi="仿宋" w:eastAsia="仿宋" w:cs="仿宋"/>
          <w:b/>
          <w:bCs/>
          <w:color w:val="000000"/>
          <w:spacing w:val="22"/>
          <w:sz w:val="28"/>
          <w:szCs w:val="28"/>
        </w:rPr>
        <w:t>（2）狠抓主责主业，完成培训任务</w:t>
      </w:r>
    </w:p>
    <w:p w14:paraId="7ED94F9D">
      <w:pPr>
        <w:pStyle w:val="5"/>
        <w:keepNext w:val="0"/>
        <w:keepLines w:val="0"/>
        <w:widowControl/>
        <w:suppressLineNumbers w:val="0"/>
        <w:spacing w:before="0" w:beforeAutospacing="0" w:after="0" w:afterAutospacing="0" w:line="600" w:lineRule="atLeast"/>
        <w:ind w:left="0" w:right="0" w:firstLine="906"/>
        <w:jc w:val="left"/>
        <w:rPr>
          <w:rFonts w:hint="default" w:ascii="Times New Roman" w:hAnsi="Times New Roman" w:cs="Times New Roman"/>
          <w:sz w:val="21"/>
          <w:szCs w:val="21"/>
        </w:rPr>
      </w:pPr>
      <w:r>
        <w:rPr>
          <w:rFonts w:hint="eastAsia" w:ascii="仿宋" w:hAnsi="仿宋" w:eastAsia="仿宋" w:cs="仿宋"/>
          <w:color w:val="000000"/>
          <w:spacing w:val="11"/>
          <w:sz w:val="28"/>
          <w:szCs w:val="28"/>
        </w:rPr>
        <w:t>年初以来，围绕</w:t>
      </w:r>
      <w:r>
        <w:rPr>
          <w:rFonts w:hint="eastAsia" w:ascii="仿宋" w:hAnsi="仿宋" w:cs="仿宋"/>
          <w:color w:val="000000"/>
          <w:spacing w:val="11"/>
          <w:sz w:val="28"/>
          <w:szCs w:val="28"/>
          <w:lang w:eastAsia="zh-CN"/>
        </w:rPr>
        <w:t>县委、县政府</w:t>
      </w:r>
      <w:r>
        <w:rPr>
          <w:rFonts w:hint="eastAsia" w:ascii="仿宋" w:hAnsi="仿宋" w:eastAsia="仿宋" w:cs="仿宋"/>
          <w:color w:val="000000"/>
          <w:spacing w:val="11"/>
          <w:sz w:val="28"/>
          <w:szCs w:val="28"/>
        </w:rPr>
        <w:t>工作重点，在抓好主体班次培训的基础上，与县委组织部、县教育局、县自然资源局等部门通力配合，举办党支部书记、党务干部、村干部业务能力提升培训、脱贫攻坚专题培训等培训班，截至目前，共举办县乡村振兴人才培训班2期，40学时；举办入党积极分子培训班1期，16学时；协助举办全县高质量脱贫摘帽培训班3期，24学时；协助举办教育系统党组织书记培训班1期，24学时；党务干事培训班1期，24学时。总课时128课时，其中党性教育课时为32课时，占总课时的25%。</w:t>
      </w:r>
    </w:p>
    <w:p w14:paraId="3AF668C7">
      <w:pPr>
        <w:pStyle w:val="5"/>
        <w:keepNext w:val="0"/>
        <w:keepLines w:val="0"/>
        <w:widowControl/>
        <w:suppressLineNumbers w:val="0"/>
        <w:spacing w:before="0" w:beforeAutospacing="0" w:after="0" w:afterAutospacing="0" w:line="580" w:lineRule="atLeast"/>
        <w:ind w:left="0" w:right="0" w:firstLine="650"/>
        <w:jc w:val="left"/>
        <w:rPr>
          <w:rFonts w:hint="default" w:ascii="Times New Roman" w:hAnsi="Times New Roman" w:cs="Times New Roman"/>
          <w:sz w:val="21"/>
          <w:szCs w:val="21"/>
        </w:rPr>
      </w:pPr>
      <w:r>
        <w:rPr>
          <w:rFonts w:hint="eastAsia" w:ascii="仿宋" w:hAnsi="仿宋" w:eastAsia="仿宋" w:cs="仿宋"/>
          <w:b/>
          <w:bCs/>
          <w:color w:val="000000"/>
          <w:spacing w:val="22"/>
          <w:sz w:val="28"/>
          <w:szCs w:val="28"/>
        </w:rPr>
        <w:t>（3）开展教学科研，形成调研成果</w:t>
      </w:r>
    </w:p>
    <w:p w14:paraId="5714CF60">
      <w:pPr>
        <w:pStyle w:val="5"/>
        <w:keepNext w:val="0"/>
        <w:keepLines w:val="0"/>
        <w:widowControl/>
        <w:suppressLineNumbers w:val="0"/>
        <w:spacing w:before="0" w:beforeAutospacing="0" w:after="0" w:afterAutospacing="0" w:line="600" w:lineRule="atLeast"/>
        <w:ind w:left="0" w:right="0" w:firstLine="604"/>
        <w:jc w:val="left"/>
        <w:rPr>
          <w:rFonts w:hint="default" w:ascii="Times New Roman" w:hAnsi="Times New Roman" w:cs="Times New Roman"/>
          <w:sz w:val="21"/>
          <w:szCs w:val="21"/>
        </w:rPr>
      </w:pPr>
      <w:r>
        <w:rPr>
          <w:rFonts w:hint="eastAsia" w:ascii="仿宋" w:hAnsi="仿宋" w:eastAsia="仿宋" w:cs="仿宋"/>
          <w:color w:val="000000"/>
          <w:spacing w:val="11"/>
          <w:sz w:val="28"/>
          <w:szCs w:val="28"/>
        </w:rPr>
        <w:t>聚焦峨边经济社会发展，组织骨干教师深入基层一线开展调查研究。2019年向邓小平理论研究会提交论文《实现伟大理想必须进行伟大斗争的基层视角》1篇；向市委党校提交《峨边人居环境整治与提升移风易俗策略探讨》课题1个；向乐山市社科联提交《峨边民宿旅游发展探讨》课题1个，并参加乐山市社科联第十八届社科成果评奖。</w:t>
      </w:r>
    </w:p>
    <w:p w14:paraId="570E9B81">
      <w:pPr>
        <w:pStyle w:val="5"/>
        <w:keepNext w:val="0"/>
        <w:keepLines w:val="0"/>
        <w:widowControl/>
        <w:suppressLineNumbers w:val="0"/>
        <w:spacing w:before="0" w:beforeAutospacing="0" w:after="0" w:afterAutospacing="0" w:line="580" w:lineRule="atLeast"/>
        <w:ind w:left="0" w:right="0"/>
        <w:jc w:val="left"/>
        <w:rPr>
          <w:rFonts w:hint="default" w:ascii="Times New Roman" w:hAnsi="Times New Roman" w:cs="Times New Roman"/>
          <w:sz w:val="21"/>
          <w:szCs w:val="21"/>
        </w:rPr>
      </w:pPr>
      <w:r>
        <w:rPr>
          <w:rFonts w:hint="default" w:ascii="Times New Roman" w:hAnsi="Times New Roman" w:eastAsia="宋体" w:cs="Times New Roman"/>
          <w:sz w:val="21"/>
          <w:szCs w:val="21"/>
        </w:rPr>
        <w:t> </w:t>
      </w:r>
    </w:p>
    <w:p w14:paraId="1AB3B0C6">
      <w:pPr>
        <w:pStyle w:val="5"/>
        <w:keepNext w:val="0"/>
        <w:keepLines w:val="0"/>
        <w:widowControl/>
        <w:suppressLineNumbers w:val="0"/>
        <w:spacing w:before="0" w:beforeAutospacing="0" w:after="0" w:afterAutospacing="0" w:line="580" w:lineRule="atLeast"/>
        <w:ind w:left="0" w:right="0" w:firstLine="720"/>
        <w:jc w:val="left"/>
        <w:rPr>
          <w:rFonts w:hint="default" w:ascii="Times New Roman" w:hAnsi="Times New Roman" w:cs="Times New Roman"/>
          <w:sz w:val="21"/>
          <w:szCs w:val="21"/>
        </w:rPr>
      </w:pPr>
      <w:r>
        <w:rPr>
          <w:rFonts w:hint="eastAsia" w:ascii="黑体" w:hAnsi="宋体" w:eastAsia="黑体" w:cs="黑体"/>
          <w:color w:val="000000"/>
          <w:sz w:val="36"/>
          <w:szCs w:val="36"/>
          <w:shd w:val="clear" w:fill="FFFFFF"/>
        </w:rPr>
        <w:t>四、评价结论及建议</w:t>
      </w:r>
    </w:p>
    <w:p w14:paraId="1779E6BC">
      <w:pPr>
        <w:pStyle w:val="5"/>
        <w:keepNext w:val="0"/>
        <w:keepLines w:val="0"/>
        <w:widowControl/>
        <w:suppressLineNumbers w:val="0"/>
        <w:spacing w:before="0" w:beforeAutospacing="0" w:after="0" w:afterAutospacing="0" w:line="580" w:lineRule="atLeast"/>
        <w:ind w:left="0" w:right="0" w:firstLine="720"/>
        <w:jc w:val="left"/>
        <w:rPr>
          <w:rFonts w:hint="default" w:ascii="Times New Roman" w:hAnsi="Times New Roman" w:cs="Times New Roman"/>
          <w:sz w:val="21"/>
          <w:szCs w:val="21"/>
        </w:rPr>
      </w:pPr>
      <w:r>
        <w:rPr>
          <w:rFonts w:hint="eastAsia" w:ascii="黑体" w:hAnsi="宋体" w:eastAsia="黑体" w:cs="黑体"/>
          <w:color w:val="000000"/>
          <w:sz w:val="36"/>
          <w:szCs w:val="36"/>
          <w:shd w:val="clear" w:fill="FFFFFF"/>
        </w:rPr>
        <w:t>（一）评价结论</w:t>
      </w:r>
    </w:p>
    <w:p w14:paraId="681C4776">
      <w:pPr>
        <w:pStyle w:val="5"/>
        <w:keepNext w:val="0"/>
        <w:keepLines w:val="0"/>
        <w:widowControl/>
        <w:suppressLineNumbers w:val="0"/>
        <w:spacing w:before="0" w:beforeAutospacing="0" w:after="0" w:afterAutospacing="0" w:line="580" w:lineRule="atLeast"/>
        <w:ind w:left="0" w:right="0" w:firstLine="453"/>
        <w:jc w:val="left"/>
        <w:rPr>
          <w:rFonts w:hint="default" w:ascii="Times New Roman" w:hAnsi="Times New Roman" w:cs="Times New Roman"/>
          <w:sz w:val="21"/>
          <w:szCs w:val="21"/>
        </w:rPr>
      </w:pPr>
      <w:r>
        <w:rPr>
          <w:rFonts w:hint="eastAsia" w:ascii="仿宋" w:hAnsi="仿宋" w:eastAsia="仿宋" w:cs="仿宋"/>
          <w:color w:val="000000"/>
          <w:spacing w:val="11"/>
          <w:sz w:val="28"/>
          <w:szCs w:val="28"/>
        </w:rPr>
        <w:t>县委党校2019年整体支出绩效评价自评得分84.4，总体来说我校2019年部门整体支出情况良好，从预算到执行和收入、支出、资产管理及信息公开，都严格按照相关制度要求进行，全年收支平衡。有效保证了机构运转，圆满完成了上级下达的目标任务。</w:t>
      </w:r>
    </w:p>
    <w:p w14:paraId="7AD5533A">
      <w:pPr>
        <w:pStyle w:val="5"/>
        <w:keepNext w:val="0"/>
        <w:keepLines w:val="0"/>
        <w:widowControl/>
        <w:suppressLineNumbers w:val="0"/>
        <w:spacing w:before="0" w:beforeAutospacing="0" w:after="0" w:afterAutospacing="0" w:line="580" w:lineRule="atLeast"/>
        <w:ind w:left="0" w:right="0" w:firstLine="720"/>
        <w:jc w:val="left"/>
        <w:rPr>
          <w:rFonts w:hint="default" w:ascii="Times New Roman" w:hAnsi="Times New Roman" w:cs="Times New Roman"/>
          <w:sz w:val="21"/>
          <w:szCs w:val="21"/>
        </w:rPr>
      </w:pPr>
      <w:r>
        <w:rPr>
          <w:rFonts w:hint="eastAsia" w:ascii="黑体" w:hAnsi="宋体" w:eastAsia="黑体" w:cs="黑体"/>
          <w:color w:val="000000"/>
          <w:sz w:val="36"/>
          <w:szCs w:val="36"/>
          <w:shd w:val="clear" w:fill="FFFFFF"/>
        </w:rPr>
        <w:t>（二）存在问题</w:t>
      </w:r>
    </w:p>
    <w:p w14:paraId="66EE8ADE">
      <w:pPr>
        <w:pStyle w:val="5"/>
        <w:keepNext w:val="0"/>
        <w:keepLines w:val="0"/>
        <w:widowControl/>
        <w:suppressLineNumbers w:val="0"/>
        <w:spacing w:before="0" w:beforeAutospacing="0" w:after="0" w:afterAutospacing="0" w:line="580" w:lineRule="atLeast"/>
        <w:ind w:left="0" w:right="0" w:firstLine="906"/>
        <w:jc w:val="left"/>
        <w:rPr>
          <w:rFonts w:hint="default" w:ascii="Times New Roman" w:hAnsi="Times New Roman" w:cs="Times New Roman"/>
          <w:sz w:val="21"/>
          <w:szCs w:val="21"/>
        </w:rPr>
      </w:pPr>
      <w:r>
        <w:rPr>
          <w:rFonts w:hint="eastAsia" w:ascii="仿宋" w:hAnsi="仿宋" w:eastAsia="仿宋" w:cs="仿宋"/>
          <w:color w:val="000000"/>
          <w:spacing w:val="11"/>
          <w:sz w:val="28"/>
          <w:szCs w:val="28"/>
        </w:rPr>
        <w:t>县委党校自评存在的主要问题：1.预算管理方面中共峨边彝族自治县委党校2019年度各专项资金收支平衡，达到了预期目标。预算编制的计划性和执行管理上有待提高，制度的执行有待进一步强化，项目资金的使用有待进一步规范。</w:t>
      </w:r>
    </w:p>
    <w:p w14:paraId="196242B5">
      <w:pPr>
        <w:pStyle w:val="5"/>
        <w:keepNext w:val="0"/>
        <w:keepLines w:val="0"/>
        <w:widowControl/>
        <w:suppressLineNumbers w:val="0"/>
        <w:spacing w:before="0" w:beforeAutospacing="0" w:after="0" w:afterAutospacing="0" w:line="580" w:lineRule="atLeast"/>
        <w:ind w:left="0" w:right="0" w:firstLine="720"/>
        <w:jc w:val="left"/>
        <w:rPr>
          <w:rFonts w:hint="default" w:ascii="Times New Roman" w:hAnsi="Times New Roman" w:cs="Times New Roman"/>
          <w:sz w:val="21"/>
          <w:szCs w:val="21"/>
        </w:rPr>
      </w:pPr>
      <w:r>
        <w:rPr>
          <w:rFonts w:hint="eastAsia" w:ascii="黑体" w:hAnsi="宋体" w:eastAsia="黑体" w:cs="黑体"/>
          <w:color w:val="000000"/>
          <w:sz w:val="36"/>
          <w:szCs w:val="36"/>
          <w:shd w:val="clear" w:fill="FFFFFF"/>
        </w:rPr>
        <w:t>（三）改进建议。</w:t>
      </w:r>
    </w:p>
    <w:p w14:paraId="0357C385">
      <w:pPr>
        <w:pStyle w:val="5"/>
        <w:keepNext w:val="0"/>
        <w:keepLines w:val="0"/>
        <w:widowControl/>
        <w:suppressLineNumbers w:val="0"/>
        <w:spacing w:before="0" w:beforeAutospacing="0" w:after="0" w:afterAutospacing="0" w:line="580" w:lineRule="atLeast"/>
        <w:ind w:left="0" w:right="0" w:firstLine="604"/>
        <w:jc w:val="left"/>
        <w:rPr>
          <w:rFonts w:hint="default" w:ascii="Times New Roman" w:hAnsi="Times New Roman" w:cs="Times New Roman"/>
          <w:sz w:val="21"/>
          <w:szCs w:val="21"/>
        </w:rPr>
      </w:pPr>
      <w:r>
        <w:rPr>
          <w:rFonts w:hint="eastAsia" w:ascii="仿宋" w:hAnsi="仿宋" w:eastAsia="仿宋" w:cs="仿宋"/>
          <w:color w:val="000000"/>
          <w:spacing w:val="11"/>
          <w:sz w:val="28"/>
          <w:szCs w:val="28"/>
        </w:rPr>
        <w:t>加强预算管理，严格执行《</w:t>
      </w:r>
      <w:r>
        <w:rPr>
          <w:rFonts w:hint="eastAsia" w:ascii="仿宋" w:hAnsi="仿宋" w:cs="仿宋"/>
          <w:color w:val="000000"/>
          <w:spacing w:val="11"/>
          <w:sz w:val="28"/>
          <w:szCs w:val="28"/>
          <w:lang w:eastAsia="zh-CN"/>
        </w:rPr>
        <w:t>中华人民共和国预算法</w:t>
      </w:r>
      <w:r>
        <w:rPr>
          <w:rFonts w:hint="eastAsia" w:ascii="仿宋" w:hAnsi="仿宋" w:eastAsia="仿宋" w:cs="仿宋"/>
          <w:color w:val="000000"/>
          <w:spacing w:val="11"/>
          <w:sz w:val="28"/>
          <w:szCs w:val="28"/>
        </w:rPr>
        <w:t>》应严格《</w:t>
      </w:r>
      <w:r>
        <w:rPr>
          <w:rFonts w:hint="eastAsia" w:ascii="仿宋" w:hAnsi="仿宋" w:cs="仿宋"/>
          <w:color w:val="000000"/>
          <w:spacing w:val="11"/>
          <w:sz w:val="28"/>
          <w:szCs w:val="28"/>
          <w:lang w:eastAsia="zh-CN"/>
        </w:rPr>
        <w:t>中华人民共和国预算法</w:t>
      </w:r>
      <w:r>
        <w:rPr>
          <w:rFonts w:hint="eastAsia" w:ascii="仿宋" w:hAnsi="仿宋" w:eastAsia="仿宋" w:cs="仿宋"/>
          <w:color w:val="000000"/>
          <w:spacing w:val="11"/>
          <w:sz w:val="28"/>
          <w:szCs w:val="28"/>
        </w:rPr>
        <w:t>》执行部门预算，按照财政批复的部门预算和绩效目标的项目和用途使用资金，不得擅自调剂使用。在预算金额内严格控制费用的支出，控制超支现象的发生。对于年度无法预计的临时追加的相关工作所需费用，用其他费用项目结余资金调剂使用或需要追加费用预算的，要按照费用预算调整的报批程序，经批准后才能使用；支出报账支付时，要严格审核，控制费用跨年度报账，确保费用核算的及时性和完整性；按照费用的实际使用用途进行资金支付和财务列报，严格按照行政单位会计制度进行财务核算，维护《</w:t>
      </w:r>
      <w:r>
        <w:rPr>
          <w:rFonts w:hint="eastAsia" w:ascii="仿宋" w:hAnsi="仿宋" w:cs="仿宋"/>
          <w:color w:val="000000"/>
          <w:spacing w:val="11"/>
          <w:sz w:val="28"/>
          <w:szCs w:val="28"/>
          <w:lang w:eastAsia="zh-CN"/>
        </w:rPr>
        <w:t>中华人民共和国预算法</w:t>
      </w:r>
      <w:r>
        <w:rPr>
          <w:rFonts w:hint="eastAsia" w:ascii="仿宋" w:hAnsi="仿宋" w:eastAsia="仿宋" w:cs="仿宋"/>
          <w:color w:val="000000"/>
          <w:spacing w:val="11"/>
          <w:sz w:val="28"/>
          <w:szCs w:val="28"/>
        </w:rPr>
        <w:t>》的严肃性。</w:t>
      </w:r>
    </w:p>
    <w:p w14:paraId="22323DA8">
      <w:pPr>
        <w:pStyle w:val="5"/>
        <w:keepNext w:val="0"/>
        <w:keepLines w:val="0"/>
        <w:widowControl/>
        <w:suppressLineNumbers w:val="0"/>
        <w:spacing w:before="0" w:beforeAutospacing="0" w:after="0" w:afterAutospacing="0" w:line="580" w:lineRule="atLeast"/>
        <w:ind w:left="0" w:right="0" w:firstLine="604"/>
        <w:jc w:val="left"/>
        <w:rPr>
          <w:rFonts w:hint="default" w:ascii="Times New Roman" w:hAnsi="Times New Roman" w:cs="Times New Roman"/>
          <w:sz w:val="21"/>
          <w:szCs w:val="21"/>
        </w:rPr>
      </w:pPr>
      <w:r>
        <w:rPr>
          <w:rFonts w:hint="default" w:ascii="Times New Roman" w:hAnsi="Times New Roman" w:eastAsia="宋体" w:cs="Times New Roman"/>
          <w:sz w:val="21"/>
          <w:szCs w:val="21"/>
        </w:rPr>
        <w:t> </w:t>
      </w:r>
    </w:p>
    <w:p w14:paraId="4F33775C">
      <w:pPr>
        <w:pStyle w:val="5"/>
        <w:keepNext w:val="0"/>
        <w:keepLines w:val="0"/>
        <w:widowControl/>
        <w:suppressLineNumbers w:val="0"/>
        <w:spacing w:before="0" w:beforeAutospacing="0" w:after="0" w:afterAutospacing="0" w:line="580" w:lineRule="atLeast"/>
        <w:ind w:left="0" w:right="0" w:firstLine="604"/>
        <w:jc w:val="left"/>
        <w:rPr>
          <w:rFonts w:hint="default" w:ascii="Times New Roman" w:hAnsi="Times New Roman" w:cs="Times New Roman"/>
          <w:sz w:val="21"/>
          <w:szCs w:val="21"/>
        </w:rPr>
      </w:pPr>
      <w:r>
        <w:rPr>
          <w:rFonts w:hint="default" w:ascii="Times New Roman" w:hAnsi="Times New Roman" w:eastAsia="宋体" w:cs="Times New Roman"/>
          <w:sz w:val="21"/>
          <w:szCs w:val="21"/>
        </w:rPr>
        <w:t> </w:t>
      </w:r>
    </w:p>
    <w:p w14:paraId="331741F2">
      <w:pPr>
        <w:pStyle w:val="5"/>
        <w:keepNext w:val="0"/>
        <w:keepLines w:val="0"/>
        <w:widowControl/>
        <w:suppressLineNumbers w:val="0"/>
        <w:spacing w:before="0" w:beforeAutospacing="0" w:after="0" w:afterAutospacing="0" w:line="580" w:lineRule="atLeast"/>
        <w:ind w:left="0" w:right="0" w:firstLine="604"/>
        <w:jc w:val="left"/>
        <w:rPr>
          <w:rFonts w:hint="default" w:ascii="Times New Roman" w:hAnsi="Times New Roman" w:cs="Times New Roman"/>
          <w:sz w:val="21"/>
          <w:szCs w:val="21"/>
        </w:rPr>
      </w:pPr>
      <w:r>
        <w:rPr>
          <w:rFonts w:hint="default" w:ascii="Times New Roman" w:hAnsi="Times New Roman" w:eastAsia="宋体" w:cs="Times New Roman"/>
          <w:sz w:val="21"/>
          <w:szCs w:val="21"/>
        </w:rPr>
        <w:t> </w:t>
      </w:r>
    </w:p>
    <w:p w14:paraId="31ED9EEF">
      <w:pPr>
        <w:pStyle w:val="5"/>
        <w:keepNext w:val="0"/>
        <w:keepLines w:val="0"/>
        <w:widowControl/>
        <w:suppressLineNumbers w:val="0"/>
        <w:spacing w:before="0" w:beforeAutospacing="0" w:after="0" w:afterAutospacing="0" w:line="580" w:lineRule="atLeast"/>
        <w:ind w:left="0" w:right="0" w:firstLine="604"/>
        <w:jc w:val="left"/>
        <w:rPr>
          <w:rFonts w:hint="default" w:ascii="Times New Roman" w:hAnsi="Times New Roman" w:cs="Times New Roman"/>
          <w:sz w:val="21"/>
          <w:szCs w:val="21"/>
        </w:rPr>
      </w:pPr>
      <w:r>
        <w:rPr>
          <w:rFonts w:hint="default" w:ascii="Times New Roman" w:hAnsi="Times New Roman" w:eastAsia="宋体" w:cs="Times New Roman"/>
          <w:sz w:val="21"/>
          <w:szCs w:val="21"/>
        </w:rPr>
        <w:t> </w:t>
      </w:r>
    </w:p>
    <w:p w14:paraId="48B47671">
      <w:pPr>
        <w:pStyle w:val="5"/>
        <w:keepNext w:val="0"/>
        <w:keepLines w:val="0"/>
        <w:widowControl/>
        <w:suppressLineNumbers w:val="0"/>
        <w:spacing w:before="0" w:beforeAutospacing="0" w:after="0" w:afterAutospacing="0" w:line="580" w:lineRule="atLeast"/>
        <w:ind w:left="0" w:right="0" w:firstLine="604"/>
        <w:jc w:val="left"/>
        <w:rPr>
          <w:rFonts w:hint="default" w:ascii="Times New Roman" w:hAnsi="Times New Roman" w:cs="Times New Roman"/>
          <w:sz w:val="21"/>
          <w:szCs w:val="21"/>
        </w:rPr>
      </w:pPr>
      <w:r>
        <w:rPr>
          <w:rFonts w:hint="default" w:ascii="Times New Roman" w:hAnsi="Times New Roman" w:eastAsia="宋体" w:cs="Times New Roman"/>
          <w:sz w:val="21"/>
          <w:szCs w:val="21"/>
        </w:rPr>
        <w:t> </w:t>
      </w:r>
    </w:p>
    <w:p w14:paraId="417A8253">
      <w:pPr>
        <w:pStyle w:val="5"/>
        <w:keepNext w:val="0"/>
        <w:keepLines w:val="0"/>
        <w:widowControl/>
        <w:suppressLineNumbers w:val="0"/>
        <w:spacing w:before="0" w:beforeAutospacing="0" w:after="0" w:afterAutospacing="0" w:line="580" w:lineRule="atLeast"/>
        <w:ind w:left="0" w:right="0"/>
        <w:jc w:val="both"/>
        <w:rPr>
          <w:rFonts w:hint="default" w:ascii="Times New Roman" w:hAnsi="Times New Roman" w:cs="Times New Roman"/>
          <w:sz w:val="21"/>
          <w:szCs w:val="21"/>
        </w:rPr>
      </w:pPr>
      <w:r>
        <w:rPr>
          <w:rFonts w:hint="default" w:ascii="Times New Roman" w:hAnsi="Times New Roman" w:eastAsia="宋体" w:cs="Times New Roman"/>
          <w:sz w:val="21"/>
          <w:szCs w:val="21"/>
        </w:rPr>
        <w:t> </w:t>
      </w:r>
    </w:p>
    <w:p w14:paraId="4D5C807B">
      <w:pPr>
        <w:pStyle w:val="5"/>
        <w:keepNext w:val="0"/>
        <w:keepLines w:val="0"/>
        <w:widowControl/>
        <w:suppressLineNumbers w:val="0"/>
        <w:spacing w:before="0" w:beforeAutospacing="0" w:after="0" w:afterAutospacing="0" w:line="580" w:lineRule="atLeast"/>
        <w:ind w:left="0" w:right="0"/>
        <w:jc w:val="both"/>
        <w:rPr>
          <w:rFonts w:hint="default" w:ascii="Times New Roman" w:hAnsi="Times New Roman" w:cs="Times New Roman"/>
          <w:sz w:val="21"/>
          <w:szCs w:val="21"/>
        </w:rPr>
      </w:pPr>
      <w:r>
        <w:rPr>
          <w:rFonts w:hint="eastAsia" w:ascii="黑体" w:hAnsi="宋体" w:eastAsia="黑体" w:cs="黑体"/>
          <w:sz w:val="32"/>
          <w:szCs w:val="32"/>
        </w:rPr>
        <w:t>附件2</w:t>
      </w:r>
    </w:p>
    <w:p w14:paraId="79FB17A0">
      <w:pPr>
        <w:pStyle w:val="5"/>
        <w:keepNext w:val="0"/>
        <w:keepLines w:val="0"/>
        <w:widowControl/>
        <w:suppressLineNumbers w:val="0"/>
        <w:spacing w:before="0" w:beforeAutospacing="0" w:after="0" w:afterAutospacing="0" w:line="580" w:lineRule="atLeast"/>
        <w:ind w:left="0" w:right="0" w:firstLine="640"/>
        <w:jc w:val="both"/>
        <w:rPr>
          <w:rFonts w:hint="default" w:ascii="Times New Roman" w:hAnsi="Times New Roman" w:cs="Times New Roman"/>
          <w:sz w:val="21"/>
          <w:szCs w:val="21"/>
        </w:rPr>
      </w:pPr>
      <w:r>
        <w:rPr>
          <w:rFonts w:hint="default" w:ascii="Times New Roman" w:hAnsi="Times New Roman" w:eastAsia="宋体" w:cs="Times New Roman"/>
          <w:sz w:val="21"/>
          <w:szCs w:val="21"/>
        </w:rPr>
        <w:t> </w:t>
      </w:r>
    </w:p>
    <w:p w14:paraId="29C66DDA">
      <w:pPr>
        <w:pStyle w:val="5"/>
        <w:keepNext w:val="0"/>
        <w:keepLines w:val="0"/>
        <w:widowControl/>
        <w:suppressLineNumbers w:val="0"/>
        <w:spacing w:before="0" w:beforeAutospacing="0" w:after="0" w:afterAutospacing="0" w:line="600" w:lineRule="atLeast"/>
        <w:ind w:left="0" w:right="0"/>
        <w:jc w:val="center"/>
        <w:rPr>
          <w:rFonts w:hint="default" w:ascii="Times New Roman" w:hAnsi="Times New Roman" w:cs="Times New Roman"/>
          <w:sz w:val="21"/>
          <w:szCs w:val="21"/>
        </w:rPr>
      </w:pPr>
      <w:r>
        <w:rPr>
          <w:rFonts w:ascii="方正小标宋简体" w:hAnsi="方正小标宋简体" w:eastAsia="方正小标宋简体" w:cs="方正小标宋简体"/>
          <w:color w:val="000000"/>
          <w:sz w:val="44"/>
          <w:szCs w:val="44"/>
        </w:rPr>
        <w:t>科研</w:t>
      </w:r>
      <w:r>
        <w:rPr>
          <w:rFonts w:hint="eastAsia" w:ascii="方正小标宋简体" w:hAnsi="方正小标宋简体" w:eastAsia="方正小标宋简体" w:cs="方正小标宋简体"/>
          <w:color w:val="000000"/>
          <w:sz w:val="44"/>
          <w:szCs w:val="44"/>
        </w:rPr>
        <w:t>项目2019年绩效评价报告</w:t>
      </w:r>
    </w:p>
    <w:p w14:paraId="5DB88F0D">
      <w:pPr>
        <w:pStyle w:val="5"/>
        <w:keepNext w:val="0"/>
        <w:keepLines w:val="0"/>
        <w:widowControl/>
        <w:suppressLineNumbers w:val="0"/>
        <w:spacing w:before="0" w:beforeAutospacing="0" w:after="0" w:afterAutospacing="0" w:line="600" w:lineRule="atLeast"/>
        <w:ind w:left="0" w:right="0"/>
        <w:jc w:val="both"/>
        <w:rPr>
          <w:rFonts w:hint="default" w:ascii="Times New Roman" w:hAnsi="Times New Roman" w:cs="Times New Roman"/>
          <w:sz w:val="21"/>
          <w:szCs w:val="21"/>
        </w:rPr>
      </w:pPr>
      <w:r>
        <w:rPr>
          <w:rFonts w:hint="default" w:ascii="Times New Roman" w:hAnsi="Times New Roman" w:eastAsia="宋体" w:cs="Times New Roman"/>
          <w:sz w:val="21"/>
          <w:szCs w:val="21"/>
        </w:rPr>
        <w:t> </w:t>
      </w:r>
    </w:p>
    <w:p w14:paraId="78AA560A">
      <w:pPr>
        <w:pStyle w:val="5"/>
        <w:keepNext w:val="0"/>
        <w:keepLines w:val="0"/>
        <w:widowControl/>
        <w:suppressLineNumbers w:val="0"/>
        <w:spacing w:before="0" w:beforeAutospacing="0" w:after="0" w:afterAutospacing="0" w:line="600" w:lineRule="atLeast"/>
        <w:ind w:left="0" w:right="0" w:firstLine="720"/>
        <w:jc w:val="both"/>
        <w:rPr>
          <w:rFonts w:hint="default" w:ascii="Times New Roman" w:hAnsi="Times New Roman" w:cs="Times New Roman"/>
          <w:sz w:val="21"/>
          <w:szCs w:val="21"/>
        </w:rPr>
      </w:pPr>
      <w:r>
        <w:rPr>
          <w:rFonts w:hint="eastAsia" w:ascii="黑体" w:hAnsi="宋体" w:eastAsia="黑体" w:cs="黑体"/>
          <w:sz w:val="36"/>
          <w:szCs w:val="36"/>
        </w:rPr>
        <w:t>一</w:t>
      </w:r>
      <w:r>
        <w:rPr>
          <w:rFonts w:hint="eastAsia" w:ascii="方正小标宋简体" w:hAnsi="方正小标宋简体" w:eastAsia="方正小标宋简体" w:cs="方正小标宋简体"/>
          <w:color w:val="000000"/>
          <w:sz w:val="36"/>
          <w:szCs w:val="36"/>
        </w:rPr>
        <w:t>、项目概况</w:t>
      </w:r>
    </w:p>
    <w:p w14:paraId="7C608553">
      <w:pPr>
        <w:pStyle w:val="5"/>
        <w:keepNext w:val="0"/>
        <w:keepLines w:val="0"/>
        <w:widowControl/>
        <w:suppressLineNumbers w:val="0"/>
        <w:spacing w:before="0" w:beforeAutospacing="0" w:after="0" w:afterAutospacing="0" w:line="600" w:lineRule="atLeast"/>
        <w:ind w:left="0" w:right="0" w:firstLine="630"/>
        <w:jc w:val="both"/>
        <w:rPr>
          <w:rFonts w:hint="default" w:ascii="Times New Roman" w:hAnsi="Times New Roman" w:cs="Times New Roman"/>
          <w:sz w:val="21"/>
          <w:szCs w:val="21"/>
        </w:rPr>
      </w:pPr>
      <w:r>
        <w:rPr>
          <w:rFonts w:hint="eastAsia" w:ascii="楷体_GB2312" w:hAnsi="Times New Roman" w:eastAsia="楷体_GB2312" w:cs="楷体_GB2312"/>
          <w:b/>
          <w:bCs/>
          <w:sz w:val="32"/>
          <w:szCs w:val="32"/>
        </w:rPr>
        <w:t>（一）项目基本情况。</w:t>
      </w:r>
    </w:p>
    <w:p w14:paraId="060ADEAF">
      <w:pPr>
        <w:pStyle w:val="5"/>
        <w:keepNext w:val="0"/>
        <w:keepLines w:val="0"/>
        <w:widowControl/>
        <w:suppressLineNumbers w:val="0"/>
        <w:ind w:left="0" w:firstLine="420"/>
        <w:jc w:val="left"/>
        <w:rPr>
          <w:rFonts w:hint="default" w:ascii="Times New Roman" w:hAnsi="Times New Roman" w:cs="Times New Roman"/>
          <w:sz w:val="24"/>
          <w:szCs w:val="24"/>
        </w:rPr>
      </w:pPr>
      <w:r>
        <w:rPr>
          <w:rFonts w:hint="eastAsia" w:ascii="仿宋_GB2312" w:hAnsi="Times New Roman" w:eastAsia="仿宋_GB2312" w:cs="仿宋_GB2312"/>
          <w:sz w:val="28"/>
          <w:szCs w:val="28"/>
          <w:bdr w:val="none" w:color="auto" w:sz="0" w:space="0"/>
        </w:rPr>
        <w:t>1.科研费2.5万元。县委党校围绕党的中心任务和县委的决策部署，对全县重大现实问题开展理论研究，将研究成果直接为教学服务，并为县委决策咨询提供参考。</w:t>
      </w:r>
    </w:p>
    <w:p w14:paraId="7AE6FDD9">
      <w:pPr>
        <w:pStyle w:val="5"/>
        <w:keepNext w:val="0"/>
        <w:keepLines w:val="0"/>
        <w:widowControl/>
        <w:suppressLineNumbers w:val="0"/>
        <w:ind w:left="0" w:firstLine="420"/>
        <w:jc w:val="left"/>
        <w:rPr>
          <w:rFonts w:hint="default" w:ascii="Times New Roman" w:hAnsi="Times New Roman" w:cs="Times New Roman"/>
          <w:sz w:val="24"/>
          <w:szCs w:val="24"/>
        </w:rPr>
      </w:pPr>
      <w:r>
        <w:rPr>
          <w:rFonts w:hint="eastAsia" w:ascii="仿宋_GB2312" w:hAnsi="Times New Roman" w:eastAsia="仿宋_GB2312" w:cs="仿宋_GB2312"/>
          <w:sz w:val="28"/>
          <w:szCs w:val="28"/>
          <w:bdr w:val="none" w:color="auto" w:sz="0" w:space="0"/>
        </w:rPr>
        <w:t>2.科研费未达到项目立项要求。</w:t>
      </w:r>
    </w:p>
    <w:p w14:paraId="58C50CB1">
      <w:pPr>
        <w:pStyle w:val="5"/>
        <w:keepNext w:val="0"/>
        <w:keepLines w:val="0"/>
        <w:widowControl/>
        <w:suppressLineNumbers w:val="0"/>
        <w:ind w:left="0" w:firstLine="420"/>
        <w:jc w:val="left"/>
        <w:rPr>
          <w:rFonts w:hint="default" w:ascii="Times New Roman" w:hAnsi="Times New Roman" w:cs="Times New Roman"/>
          <w:sz w:val="24"/>
          <w:szCs w:val="24"/>
        </w:rPr>
      </w:pPr>
      <w:r>
        <w:rPr>
          <w:rFonts w:hint="eastAsia" w:ascii="仿宋_GB2312" w:hAnsi="Times New Roman" w:eastAsia="仿宋_GB2312" w:cs="仿宋_GB2312"/>
          <w:sz w:val="28"/>
          <w:szCs w:val="28"/>
          <w:bdr w:val="none" w:color="auto" w:sz="0" w:space="0"/>
        </w:rPr>
        <w:t>3.科研费主要用于支付下乡调研差旅费、科研办公费、科研成果获奖奖励以及邓小平理论研究协会会费等。</w:t>
      </w:r>
    </w:p>
    <w:p w14:paraId="37354C96">
      <w:pPr>
        <w:pStyle w:val="5"/>
        <w:keepNext w:val="0"/>
        <w:keepLines w:val="0"/>
        <w:widowControl/>
        <w:suppressLineNumbers w:val="0"/>
        <w:spacing w:before="0" w:beforeAutospacing="0" w:after="0" w:afterAutospacing="0" w:line="600" w:lineRule="atLeast"/>
        <w:ind w:left="0" w:right="0" w:firstLine="472"/>
        <w:jc w:val="both"/>
        <w:rPr>
          <w:rFonts w:hint="default" w:ascii="Times New Roman" w:hAnsi="Times New Roman" w:cs="Times New Roman"/>
          <w:sz w:val="21"/>
          <w:szCs w:val="21"/>
        </w:rPr>
      </w:pPr>
      <w:r>
        <w:rPr>
          <w:rFonts w:hint="eastAsia" w:ascii="楷体_GB2312" w:hAnsi="Times New Roman" w:eastAsia="楷体_GB2312" w:cs="楷体_GB2312"/>
          <w:b/>
          <w:bCs/>
          <w:sz w:val="32"/>
          <w:szCs w:val="32"/>
        </w:rPr>
        <w:t>（二）项目绩效目标。</w:t>
      </w:r>
    </w:p>
    <w:p w14:paraId="13197FBC">
      <w:pPr>
        <w:pStyle w:val="5"/>
        <w:keepNext w:val="0"/>
        <w:keepLines w:val="0"/>
        <w:widowControl/>
        <w:suppressLineNumbers w:val="0"/>
        <w:ind w:left="0" w:firstLine="420"/>
        <w:jc w:val="left"/>
        <w:rPr>
          <w:rFonts w:hint="default" w:ascii="Times New Roman" w:hAnsi="Times New Roman" w:cs="Times New Roman"/>
          <w:sz w:val="24"/>
          <w:szCs w:val="24"/>
        </w:rPr>
      </w:pPr>
      <w:r>
        <w:rPr>
          <w:rFonts w:hint="eastAsia" w:ascii="仿宋_GB2312" w:hAnsi="Times New Roman" w:eastAsia="仿宋_GB2312" w:cs="仿宋_GB2312"/>
          <w:sz w:val="28"/>
          <w:szCs w:val="28"/>
          <w:bdr w:val="none" w:color="auto" w:sz="0" w:space="0"/>
        </w:rPr>
        <w:t>1.2019年中共峨边彝族自治县委党校科研费对全县重大现实问题开展理论研究，得出调研成果。</w:t>
      </w:r>
    </w:p>
    <w:p w14:paraId="25656318">
      <w:pPr>
        <w:pStyle w:val="5"/>
        <w:keepNext w:val="0"/>
        <w:keepLines w:val="0"/>
        <w:widowControl/>
        <w:suppressLineNumbers w:val="0"/>
        <w:ind w:left="0" w:firstLine="420"/>
        <w:jc w:val="left"/>
        <w:rPr>
          <w:rFonts w:hint="default" w:ascii="Times New Roman" w:hAnsi="Times New Roman" w:cs="Times New Roman"/>
          <w:sz w:val="24"/>
          <w:szCs w:val="24"/>
        </w:rPr>
      </w:pPr>
      <w:r>
        <w:rPr>
          <w:rFonts w:hint="eastAsia" w:ascii="仿宋_GB2312" w:hAnsi="Times New Roman" w:eastAsia="仿宋_GB2312" w:cs="仿宋_GB2312"/>
          <w:sz w:val="28"/>
          <w:szCs w:val="28"/>
          <w:bdr w:val="none" w:color="auto" w:sz="0" w:space="0"/>
        </w:rPr>
        <w:t>2.2019年中共峨边彝族自治县委党校科研费主要是用于聚焦峨边经济社会发展，组织骨干教师深入基层一线开展调查研究，将研究成果直接为教学服务，并为县委决策咨询提供参考，并计划在2019年得出2篇调研成果。</w:t>
      </w:r>
    </w:p>
    <w:p w14:paraId="4B33B822">
      <w:pPr>
        <w:pStyle w:val="5"/>
        <w:keepNext w:val="0"/>
        <w:keepLines w:val="0"/>
        <w:widowControl/>
        <w:suppressLineNumbers w:val="0"/>
        <w:ind w:left="0" w:firstLine="420"/>
        <w:jc w:val="left"/>
        <w:rPr>
          <w:rFonts w:hint="default" w:ascii="Times New Roman" w:hAnsi="Times New Roman" w:cs="Times New Roman"/>
          <w:sz w:val="24"/>
          <w:szCs w:val="24"/>
        </w:rPr>
      </w:pPr>
      <w:r>
        <w:rPr>
          <w:rFonts w:hint="eastAsia" w:ascii="仿宋_GB2312" w:hAnsi="Times New Roman" w:eastAsia="仿宋_GB2312" w:cs="仿宋_GB2312"/>
          <w:sz w:val="28"/>
          <w:szCs w:val="28"/>
          <w:bdr w:val="none" w:color="auto" w:sz="0" w:space="0"/>
        </w:rPr>
        <w:t>3.科研费是符合实际需求，申报目标是合理可行的。</w:t>
      </w:r>
    </w:p>
    <w:p w14:paraId="3E45DAB3">
      <w:pPr>
        <w:pStyle w:val="5"/>
        <w:keepNext w:val="0"/>
        <w:keepLines w:val="0"/>
        <w:widowControl/>
        <w:suppressLineNumbers w:val="0"/>
        <w:spacing w:before="0" w:beforeAutospacing="0" w:after="0" w:afterAutospacing="0" w:line="600" w:lineRule="atLeast"/>
        <w:ind w:left="0" w:right="0" w:firstLine="720"/>
        <w:jc w:val="both"/>
        <w:rPr>
          <w:rFonts w:hint="default" w:ascii="Times New Roman" w:hAnsi="Times New Roman" w:cs="Times New Roman"/>
          <w:sz w:val="21"/>
          <w:szCs w:val="21"/>
        </w:rPr>
      </w:pPr>
      <w:r>
        <w:rPr>
          <w:rFonts w:hint="eastAsia" w:ascii="楷体_GB2312" w:hAnsi="Times New Roman" w:eastAsia="楷体_GB2312" w:cs="楷体_GB2312"/>
          <w:b/>
          <w:bCs/>
          <w:sz w:val="32"/>
          <w:szCs w:val="32"/>
        </w:rPr>
        <w:t>（三）</w:t>
      </w:r>
      <w:r>
        <w:rPr>
          <w:rFonts w:hint="eastAsia" w:ascii="黑体" w:hAnsi="宋体" w:eastAsia="黑体" w:cs="黑体"/>
          <w:sz w:val="36"/>
          <w:szCs w:val="36"/>
        </w:rPr>
        <w:t>项目自评步骤及方法。</w:t>
      </w:r>
    </w:p>
    <w:p w14:paraId="712A07A0">
      <w:pPr>
        <w:pStyle w:val="5"/>
        <w:keepNext w:val="0"/>
        <w:keepLines w:val="0"/>
        <w:widowControl/>
        <w:suppressLineNumbers w:val="0"/>
        <w:ind w:left="0" w:firstLine="420"/>
        <w:jc w:val="left"/>
        <w:rPr>
          <w:rFonts w:hint="default" w:ascii="Times New Roman" w:hAnsi="Times New Roman" w:cs="Times New Roman"/>
          <w:sz w:val="24"/>
          <w:szCs w:val="24"/>
        </w:rPr>
      </w:pPr>
      <w:r>
        <w:rPr>
          <w:rFonts w:hint="eastAsia" w:ascii="仿宋_GB2312" w:hAnsi="Times New Roman" w:eastAsia="仿宋_GB2312" w:cs="仿宋_GB2312"/>
          <w:sz w:val="28"/>
          <w:szCs w:val="28"/>
          <w:bdr w:val="none" w:color="auto" w:sz="0" w:space="0"/>
        </w:rPr>
        <w:t>中共峨边彝族自治县委党校成立绩效自评小组，从科研成果应用程度方面进行评价。</w:t>
      </w:r>
    </w:p>
    <w:p w14:paraId="109B1A0E">
      <w:pPr>
        <w:pStyle w:val="5"/>
        <w:keepNext w:val="0"/>
        <w:keepLines w:val="0"/>
        <w:widowControl/>
        <w:suppressLineNumbers w:val="0"/>
        <w:spacing w:before="0" w:beforeAutospacing="0" w:after="0" w:afterAutospacing="0" w:line="600" w:lineRule="atLeast"/>
        <w:ind w:left="0" w:right="0" w:firstLine="720"/>
        <w:jc w:val="both"/>
        <w:rPr>
          <w:rFonts w:hint="default" w:ascii="Times New Roman" w:hAnsi="Times New Roman" w:cs="Times New Roman"/>
          <w:sz w:val="21"/>
          <w:szCs w:val="21"/>
        </w:rPr>
      </w:pPr>
      <w:r>
        <w:rPr>
          <w:rFonts w:hint="eastAsia" w:ascii="黑体" w:hAnsi="宋体" w:eastAsia="黑体" w:cs="黑体"/>
          <w:sz w:val="36"/>
          <w:szCs w:val="36"/>
        </w:rPr>
        <w:t>二、项目资金申报及使用情况</w:t>
      </w:r>
    </w:p>
    <w:p w14:paraId="0F321BCD">
      <w:pPr>
        <w:pStyle w:val="5"/>
        <w:keepNext w:val="0"/>
        <w:keepLines w:val="0"/>
        <w:widowControl/>
        <w:suppressLineNumbers w:val="0"/>
        <w:spacing w:before="0" w:beforeAutospacing="0" w:after="0" w:afterAutospacing="0" w:line="600" w:lineRule="atLeast"/>
        <w:ind w:left="0" w:right="0" w:firstLine="720"/>
        <w:jc w:val="both"/>
        <w:rPr>
          <w:rFonts w:hint="default" w:ascii="Times New Roman" w:hAnsi="Times New Roman" w:cs="Times New Roman"/>
          <w:sz w:val="21"/>
          <w:szCs w:val="21"/>
        </w:rPr>
      </w:pPr>
      <w:r>
        <w:rPr>
          <w:rFonts w:hint="eastAsia" w:ascii="楷体_GB2312" w:hAnsi="Times New Roman" w:eastAsia="楷体_GB2312" w:cs="楷体_GB2312"/>
          <w:b/>
          <w:bCs/>
          <w:sz w:val="32"/>
          <w:szCs w:val="32"/>
        </w:rPr>
        <w:t>（一）项目资金申报及批复情况。</w:t>
      </w:r>
    </w:p>
    <w:p w14:paraId="576FE710">
      <w:pPr>
        <w:pStyle w:val="5"/>
        <w:keepNext w:val="0"/>
        <w:keepLines w:val="0"/>
        <w:widowControl/>
        <w:suppressLineNumbers w:val="0"/>
        <w:ind w:left="0" w:firstLine="420"/>
        <w:jc w:val="left"/>
        <w:rPr>
          <w:rFonts w:hint="default" w:ascii="Times New Roman" w:hAnsi="Times New Roman" w:cs="Times New Roman"/>
          <w:sz w:val="24"/>
          <w:szCs w:val="24"/>
        </w:rPr>
      </w:pPr>
      <w:r>
        <w:rPr>
          <w:rFonts w:hint="eastAsia" w:ascii="仿宋_GB2312" w:hAnsi="Times New Roman" w:eastAsia="仿宋_GB2312" w:cs="仿宋_GB2312"/>
          <w:sz w:val="28"/>
          <w:szCs w:val="28"/>
          <w:bdr w:val="none" w:color="auto" w:sz="0" w:space="0"/>
        </w:rPr>
        <w:t>2019年中共峨边彝族自治县委党校科研费项目按照每月使用金额向县财政申报，县财政按月拨付，我校及时支付。</w:t>
      </w:r>
    </w:p>
    <w:p w14:paraId="531A04D0">
      <w:pPr>
        <w:pStyle w:val="5"/>
        <w:keepNext w:val="0"/>
        <w:keepLines w:val="0"/>
        <w:widowControl/>
        <w:suppressLineNumbers w:val="0"/>
        <w:spacing w:before="0" w:beforeAutospacing="0" w:after="0" w:afterAutospacing="0" w:line="600" w:lineRule="atLeast"/>
        <w:ind w:left="0" w:right="0" w:firstLine="720"/>
        <w:jc w:val="both"/>
        <w:rPr>
          <w:rFonts w:hint="default" w:ascii="Times New Roman" w:hAnsi="Times New Roman" w:cs="Times New Roman"/>
          <w:sz w:val="21"/>
          <w:szCs w:val="21"/>
        </w:rPr>
      </w:pPr>
      <w:r>
        <w:rPr>
          <w:rFonts w:hint="eastAsia" w:ascii="楷体_GB2312" w:hAnsi="Times New Roman" w:eastAsia="楷体_GB2312" w:cs="楷体_GB2312"/>
          <w:b/>
          <w:bCs/>
          <w:sz w:val="32"/>
          <w:szCs w:val="32"/>
        </w:rPr>
        <w:t>（二）资金计划、到位及使用情况。</w:t>
      </w:r>
    </w:p>
    <w:p w14:paraId="4C8601BE">
      <w:pPr>
        <w:pStyle w:val="5"/>
        <w:keepNext w:val="0"/>
        <w:keepLines w:val="0"/>
        <w:widowControl/>
        <w:suppressLineNumbers w:val="0"/>
        <w:spacing w:before="0" w:beforeAutospacing="0" w:after="0" w:afterAutospacing="0" w:line="600" w:lineRule="atLeast"/>
        <w:ind w:left="0" w:right="0" w:firstLine="720"/>
        <w:jc w:val="both"/>
        <w:rPr>
          <w:rFonts w:hint="default" w:ascii="Times New Roman" w:hAnsi="Times New Roman" w:cs="Times New Roman"/>
          <w:sz w:val="21"/>
          <w:szCs w:val="21"/>
        </w:rPr>
      </w:pPr>
      <w:r>
        <w:rPr>
          <w:rFonts w:hint="eastAsia" w:ascii="仿宋_GB2312" w:hAnsi="Times New Roman" w:eastAsia="仿宋_GB2312" w:cs="仿宋_GB2312"/>
          <w:sz w:val="28"/>
          <w:szCs w:val="28"/>
        </w:rPr>
        <w:t>1．资金计划。科研费是县财政资金2.5万元。</w:t>
      </w:r>
    </w:p>
    <w:p w14:paraId="050700B3">
      <w:pPr>
        <w:pStyle w:val="5"/>
        <w:keepNext w:val="0"/>
        <w:keepLines w:val="0"/>
        <w:widowControl/>
        <w:suppressLineNumbers w:val="0"/>
        <w:spacing w:before="0" w:beforeAutospacing="0" w:after="0" w:afterAutospacing="0" w:line="600" w:lineRule="atLeast"/>
        <w:ind w:left="0" w:right="0" w:firstLine="720"/>
        <w:jc w:val="both"/>
        <w:rPr>
          <w:rFonts w:hint="default" w:ascii="Times New Roman" w:hAnsi="Times New Roman" w:cs="Times New Roman"/>
          <w:sz w:val="21"/>
          <w:szCs w:val="21"/>
        </w:rPr>
      </w:pPr>
      <w:r>
        <w:rPr>
          <w:rFonts w:hint="eastAsia" w:ascii="仿宋_GB2312" w:hAnsi="Times New Roman" w:eastAsia="仿宋_GB2312" w:cs="仿宋_GB2312"/>
          <w:sz w:val="28"/>
          <w:szCs w:val="28"/>
        </w:rPr>
        <w:t>2．资金到位。科研费项目到位资金1.6万元。资金到位情况与资金使用情况一致，资金到位率100%。</w:t>
      </w:r>
    </w:p>
    <w:p w14:paraId="6A41D37D">
      <w:pPr>
        <w:pStyle w:val="5"/>
        <w:keepNext w:val="0"/>
        <w:keepLines w:val="0"/>
        <w:widowControl/>
        <w:suppressLineNumbers w:val="0"/>
        <w:spacing w:before="0" w:beforeAutospacing="0" w:after="0" w:afterAutospacing="0" w:line="600" w:lineRule="atLeast"/>
        <w:ind w:left="0" w:right="0" w:firstLine="720"/>
        <w:jc w:val="both"/>
        <w:rPr>
          <w:rFonts w:hint="default" w:ascii="Times New Roman" w:hAnsi="Times New Roman" w:cs="Times New Roman"/>
          <w:sz w:val="21"/>
          <w:szCs w:val="21"/>
        </w:rPr>
      </w:pPr>
      <w:r>
        <w:rPr>
          <w:rFonts w:hint="eastAsia" w:ascii="仿宋_GB2312" w:hAnsi="Times New Roman" w:eastAsia="仿宋_GB2312" w:cs="仿宋_GB2312"/>
          <w:sz w:val="28"/>
          <w:szCs w:val="28"/>
        </w:rPr>
        <w:t>3．资金使用。2019年科研费已经支付1.6万元，资金使用安全、规范、有效，资金支付范围、支付标准、支付进度、支付依据都是合规合法、与预算相符。</w:t>
      </w:r>
    </w:p>
    <w:p w14:paraId="62F772F4">
      <w:pPr>
        <w:pStyle w:val="5"/>
        <w:keepNext w:val="0"/>
        <w:keepLines w:val="0"/>
        <w:widowControl/>
        <w:suppressLineNumbers w:val="0"/>
        <w:spacing w:before="0" w:beforeAutospacing="0" w:after="0" w:afterAutospacing="0" w:line="600" w:lineRule="atLeast"/>
        <w:ind w:left="0" w:right="0" w:firstLine="720"/>
        <w:jc w:val="both"/>
        <w:rPr>
          <w:rFonts w:hint="default" w:ascii="Times New Roman" w:hAnsi="Times New Roman" w:cs="Times New Roman"/>
          <w:sz w:val="21"/>
          <w:szCs w:val="21"/>
        </w:rPr>
      </w:pPr>
      <w:r>
        <w:rPr>
          <w:rFonts w:hint="eastAsia" w:ascii="楷体_GB2312" w:hAnsi="Times New Roman" w:eastAsia="楷体_GB2312" w:cs="楷体_GB2312"/>
          <w:b/>
          <w:bCs/>
          <w:sz w:val="32"/>
          <w:szCs w:val="32"/>
        </w:rPr>
        <w:t>（三）项目财务管理情况。</w:t>
      </w:r>
    </w:p>
    <w:p w14:paraId="11BF3A28">
      <w:pPr>
        <w:pStyle w:val="5"/>
        <w:keepNext w:val="0"/>
        <w:keepLines w:val="0"/>
        <w:widowControl/>
        <w:suppressLineNumbers w:val="0"/>
        <w:spacing w:before="0" w:beforeAutospacing="0" w:after="0" w:afterAutospacing="0" w:line="600" w:lineRule="atLeast"/>
        <w:ind w:left="0" w:right="0" w:firstLine="720"/>
        <w:jc w:val="both"/>
        <w:rPr>
          <w:rFonts w:hint="default" w:ascii="Times New Roman" w:hAnsi="Times New Roman" w:cs="Times New Roman"/>
          <w:sz w:val="21"/>
          <w:szCs w:val="21"/>
        </w:rPr>
      </w:pPr>
      <w:r>
        <w:rPr>
          <w:rFonts w:hint="eastAsia" w:ascii="仿宋_GB2312" w:hAnsi="Times New Roman" w:eastAsia="仿宋_GB2312" w:cs="仿宋_GB2312"/>
          <w:sz w:val="28"/>
          <w:szCs w:val="28"/>
        </w:rPr>
        <w:t>中共峨边彝族自治县委党校财务管理制度健全，严格执行财务管理制度，账务处理及时，会计核算规范。</w:t>
      </w:r>
    </w:p>
    <w:p w14:paraId="30EFB487">
      <w:pPr>
        <w:pStyle w:val="5"/>
        <w:keepNext w:val="0"/>
        <w:keepLines w:val="0"/>
        <w:widowControl/>
        <w:suppressLineNumbers w:val="0"/>
        <w:spacing w:before="0" w:beforeAutospacing="0" w:after="0" w:afterAutospacing="0" w:line="600" w:lineRule="atLeast"/>
        <w:ind w:left="640" w:right="0" w:firstLine="180"/>
        <w:jc w:val="both"/>
        <w:rPr>
          <w:rFonts w:hint="default" w:ascii="Times New Roman" w:hAnsi="Times New Roman" w:cs="Times New Roman"/>
          <w:sz w:val="21"/>
          <w:szCs w:val="21"/>
        </w:rPr>
      </w:pPr>
      <w:r>
        <w:rPr>
          <w:rFonts w:hint="eastAsia" w:ascii="黑体" w:hAnsi="宋体" w:eastAsia="黑体" w:cs="黑体"/>
          <w:sz w:val="36"/>
          <w:szCs w:val="36"/>
        </w:rPr>
        <w:t>三、项目实施及管理情况</w:t>
      </w:r>
    </w:p>
    <w:p w14:paraId="525114F8">
      <w:pPr>
        <w:pStyle w:val="5"/>
        <w:keepNext w:val="0"/>
        <w:keepLines w:val="0"/>
        <w:widowControl/>
        <w:suppressLineNumbers w:val="0"/>
        <w:spacing w:before="0" w:beforeAutospacing="0" w:after="0" w:afterAutospacing="0" w:line="600" w:lineRule="atLeast"/>
        <w:ind w:left="0" w:right="0" w:firstLine="720"/>
        <w:jc w:val="both"/>
        <w:rPr>
          <w:rFonts w:hint="default" w:ascii="Times New Roman" w:hAnsi="Times New Roman" w:cs="Times New Roman"/>
          <w:sz w:val="21"/>
          <w:szCs w:val="21"/>
        </w:rPr>
      </w:pPr>
      <w:r>
        <w:rPr>
          <w:rFonts w:hint="eastAsia" w:ascii="楷体_GB2312" w:hAnsi="Times New Roman" w:eastAsia="楷体_GB2312" w:cs="楷体_GB2312"/>
          <w:b/>
          <w:bCs/>
          <w:sz w:val="32"/>
          <w:szCs w:val="32"/>
        </w:rPr>
        <w:t>（一）项目组织架构及实施流程。</w:t>
      </w:r>
    </w:p>
    <w:p w14:paraId="36264E74">
      <w:pPr>
        <w:pStyle w:val="5"/>
        <w:keepNext w:val="0"/>
        <w:keepLines w:val="0"/>
        <w:widowControl/>
        <w:suppressLineNumbers w:val="0"/>
        <w:spacing w:before="0" w:beforeAutospacing="0" w:after="0" w:afterAutospacing="0" w:line="600" w:lineRule="atLeast"/>
        <w:ind w:left="0" w:right="0" w:firstLine="720"/>
        <w:jc w:val="both"/>
        <w:rPr>
          <w:rFonts w:hint="default" w:ascii="Times New Roman" w:hAnsi="Times New Roman" w:cs="Times New Roman"/>
          <w:sz w:val="21"/>
          <w:szCs w:val="21"/>
        </w:rPr>
      </w:pPr>
      <w:r>
        <w:rPr>
          <w:rFonts w:hint="eastAsia" w:ascii="宋体" w:hAnsi="宋体" w:eastAsia="宋体" w:cs="宋体"/>
          <w:sz w:val="32"/>
          <w:szCs w:val="32"/>
        </w:rPr>
        <w:t>本项目为行政运行类，由分管领导负责，相关业务股室按照目标计划及规定的业务流程具体实施。</w:t>
      </w:r>
    </w:p>
    <w:p w14:paraId="046482C7">
      <w:pPr>
        <w:pStyle w:val="5"/>
        <w:keepNext w:val="0"/>
        <w:keepLines w:val="0"/>
        <w:widowControl/>
        <w:suppressLineNumbers w:val="0"/>
        <w:spacing w:before="0" w:beforeAutospacing="0" w:after="0" w:afterAutospacing="0" w:line="600" w:lineRule="atLeast"/>
        <w:ind w:left="0" w:right="0" w:firstLine="720"/>
        <w:jc w:val="both"/>
        <w:rPr>
          <w:rFonts w:hint="default" w:ascii="Times New Roman" w:hAnsi="Times New Roman" w:cs="Times New Roman"/>
          <w:sz w:val="21"/>
          <w:szCs w:val="21"/>
        </w:rPr>
      </w:pPr>
      <w:r>
        <w:rPr>
          <w:rFonts w:hint="eastAsia" w:ascii="楷体_GB2312" w:hAnsi="Times New Roman" w:eastAsia="楷体_GB2312" w:cs="楷体_GB2312"/>
          <w:b/>
          <w:bCs/>
          <w:sz w:val="32"/>
          <w:szCs w:val="32"/>
        </w:rPr>
        <w:t>（二）项目管理情况。</w:t>
      </w:r>
    </w:p>
    <w:p w14:paraId="62AD666D">
      <w:pPr>
        <w:pStyle w:val="5"/>
        <w:keepNext w:val="0"/>
        <w:keepLines w:val="0"/>
        <w:widowControl/>
        <w:suppressLineNumbers w:val="0"/>
        <w:spacing w:before="0" w:beforeAutospacing="0" w:after="0" w:afterAutospacing="0" w:line="600" w:lineRule="atLeast"/>
        <w:ind w:left="0" w:right="0" w:firstLine="720"/>
        <w:jc w:val="both"/>
        <w:rPr>
          <w:rFonts w:hint="default" w:ascii="Times New Roman" w:hAnsi="Times New Roman" w:cs="Times New Roman"/>
          <w:sz w:val="21"/>
          <w:szCs w:val="21"/>
        </w:rPr>
      </w:pPr>
      <w:r>
        <w:rPr>
          <w:rFonts w:hint="eastAsia" w:ascii="宋体" w:hAnsi="宋体" w:eastAsia="宋体" w:cs="宋体"/>
          <w:sz w:val="32"/>
          <w:szCs w:val="32"/>
        </w:rPr>
        <w:t>本项目实施均按照有关规章制度和项目实施要求进行，项目资金支付严格按照项目资金管理办法对资金进行计划申请、划拨、使用，保证项目实施达到预期效益。</w:t>
      </w:r>
    </w:p>
    <w:p w14:paraId="7C105533">
      <w:pPr>
        <w:pStyle w:val="5"/>
        <w:keepNext w:val="0"/>
        <w:keepLines w:val="0"/>
        <w:widowControl/>
        <w:suppressLineNumbers w:val="0"/>
        <w:spacing w:before="0" w:beforeAutospacing="0" w:after="0" w:afterAutospacing="0" w:line="600" w:lineRule="atLeast"/>
        <w:ind w:left="0" w:right="0" w:firstLine="720"/>
        <w:jc w:val="both"/>
        <w:rPr>
          <w:rFonts w:hint="default" w:ascii="Times New Roman" w:hAnsi="Times New Roman" w:cs="Times New Roman"/>
          <w:sz w:val="21"/>
          <w:szCs w:val="21"/>
        </w:rPr>
      </w:pPr>
      <w:r>
        <w:rPr>
          <w:rFonts w:hint="eastAsia" w:ascii="楷体_GB2312" w:hAnsi="Times New Roman" w:eastAsia="楷体_GB2312" w:cs="楷体_GB2312"/>
          <w:b/>
          <w:bCs/>
          <w:sz w:val="32"/>
          <w:szCs w:val="32"/>
        </w:rPr>
        <w:t>（三）项目监管情况。</w:t>
      </w:r>
    </w:p>
    <w:p w14:paraId="1EBC219D">
      <w:pPr>
        <w:pStyle w:val="5"/>
        <w:keepNext w:val="0"/>
        <w:keepLines w:val="0"/>
        <w:widowControl/>
        <w:suppressLineNumbers w:val="0"/>
        <w:spacing w:before="0" w:beforeAutospacing="0" w:after="0" w:afterAutospacing="0" w:line="600" w:lineRule="atLeast"/>
        <w:ind w:left="0" w:right="0" w:firstLine="720"/>
        <w:jc w:val="both"/>
        <w:rPr>
          <w:rFonts w:hint="default" w:ascii="Times New Roman" w:hAnsi="Times New Roman" w:cs="Times New Roman"/>
          <w:sz w:val="21"/>
          <w:szCs w:val="21"/>
        </w:rPr>
      </w:pPr>
      <w:r>
        <w:rPr>
          <w:rFonts w:hint="eastAsia" w:ascii="仿宋_GB2312" w:hAnsi="Times New Roman" w:eastAsia="仿宋_GB2312" w:cs="仿宋_GB2312"/>
          <w:sz w:val="28"/>
          <w:szCs w:val="28"/>
        </w:rPr>
        <w:t>中共峨边彝族自治县委党校对科研费项目由办公室对培训情况进行记录、审核，资金支付由会计人员严格审核票据后，经财务负责人再次审核后由部门负责人签字报销。</w:t>
      </w:r>
    </w:p>
    <w:p w14:paraId="196F7680">
      <w:pPr>
        <w:pStyle w:val="5"/>
        <w:keepNext w:val="0"/>
        <w:keepLines w:val="0"/>
        <w:widowControl/>
        <w:suppressLineNumbers w:val="0"/>
        <w:spacing w:before="0" w:beforeAutospacing="0" w:after="0" w:afterAutospacing="0" w:line="600" w:lineRule="atLeast"/>
        <w:ind w:left="0" w:right="0" w:firstLine="720"/>
        <w:jc w:val="both"/>
        <w:rPr>
          <w:rFonts w:hint="default" w:ascii="Times New Roman" w:hAnsi="Times New Roman" w:cs="Times New Roman"/>
          <w:sz w:val="21"/>
          <w:szCs w:val="21"/>
        </w:rPr>
      </w:pPr>
      <w:r>
        <w:rPr>
          <w:rFonts w:hint="eastAsia" w:ascii="黑体" w:hAnsi="宋体" w:eastAsia="黑体" w:cs="黑体"/>
          <w:sz w:val="36"/>
          <w:szCs w:val="36"/>
        </w:rPr>
        <w:t xml:space="preserve">四、项目绩效情况 </w:t>
      </w:r>
    </w:p>
    <w:p w14:paraId="2478BC9B">
      <w:pPr>
        <w:pStyle w:val="5"/>
        <w:keepNext w:val="0"/>
        <w:keepLines w:val="0"/>
        <w:widowControl/>
        <w:suppressLineNumbers w:val="0"/>
        <w:spacing w:before="0" w:beforeAutospacing="0" w:after="0" w:afterAutospacing="0" w:line="600" w:lineRule="atLeast"/>
        <w:ind w:left="0" w:right="0" w:firstLine="720"/>
        <w:jc w:val="both"/>
        <w:rPr>
          <w:rFonts w:hint="default" w:ascii="Times New Roman" w:hAnsi="Times New Roman" w:cs="Times New Roman"/>
          <w:sz w:val="21"/>
          <w:szCs w:val="21"/>
        </w:rPr>
      </w:pPr>
      <w:r>
        <w:rPr>
          <w:rFonts w:hint="eastAsia" w:ascii="楷体_GB2312" w:hAnsi="Times New Roman" w:eastAsia="楷体_GB2312" w:cs="楷体_GB2312"/>
          <w:b/>
          <w:bCs/>
          <w:sz w:val="32"/>
          <w:szCs w:val="32"/>
        </w:rPr>
        <w:t>（一）项目完成情况。</w:t>
      </w:r>
    </w:p>
    <w:p w14:paraId="248C0327">
      <w:pPr>
        <w:pStyle w:val="5"/>
        <w:keepNext w:val="0"/>
        <w:keepLines w:val="0"/>
        <w:widowControl/>
        <w:suppressLineNumbers w:val="0"/>
        <w:spacing w:before="0" w:beforeAutospacing="0" w:after="0" w:afterAutospacing="0" w:line="600" w:lineRule="atLeast"/>
        <w:ind w:left="0" w:right="0" w:firstLine="720"/>
        <w:jc w:val="both"/>
        <w:rPr>
          <w:rFonts w:hint="default" w:ascii="Times New Roman" w:hAnsi="Times New Roman" w:cs="Times New Roman"/>
          <w:sz w:val="21"/>
          <w:szCs w:val="21"/>
        </w:rPr>
      </w:pPr>
      <w:r>
        <w:rPr>
          <w:rFonts w:hint="eastAsia" w:ascii="仿宋_GB2312" w:hAnsi="Times New Roman" w:eastAsia="仿宋_GB2312" w:cs="仿宋_GB2312"/>
          <w:sz w:val="28"/>
          <w:szCs w:val="28"/>
        </w:rPr>
        <w:t>县委党校2019年向邓小平理论研究会提交论文《实现伟大理想必须进行伟大斗争的基层视角》1篇；向市委党校提交《峨边人居环境整治与提升移风易俗策略探讨》课题1个；向乐山市社科联提交《峨边民宿旅游发展探讨》课题1个，并参加乐山市社科联第十八届社科成果评奖。</w:t>
      </w:r>
    </w:p>
    <w:p w14:paraId="5F544219">
      <w:pPr>
        <w:pStyle w:val="5"/>
        <w:keepNext w:val="0"/>
        <w:keepLines w:val="0"/>
        <w:widowControl/>
        <w:suppressLineNumbers w:val="0"/>
        <w:spacing w:before="0" w:beforeAutospacing="0" w:after="0" w:afterAutospacing="0" w:line="600" w:lineRule="atLeast"/>
        <w:ind w:left="0" w:right="0" w:firstLine="720"/>
        <w:jc w:val="both"/>
        <w:rPr>
          <w:rFonts w:hint="default" w:ascii="Times New Roman" w:hAnsi="Times New Roman" w:cs="Times New Roman"/>
          <w:sz w:val="21"/>
          <w:szCs w:val="21"/>
        </w:rPr>
      </w:pPr>
      <w:r>
        <w:rPr>
          <w:rFonts w:hint="eastAsia" w:ascii="楷体_GB2312" w:hAnsi="Times New Roman" w:eastAsia="楷体_GB2312" w:cs="楷体_GB2312"/>
          <w:b/>
          <w:bCs/>
          <w:sz w:val="32"/>
          <w:szCs w:val="32"/>
        </w:rPr>
        <w:t>（二）项目效益情况。</w:t>
      </w:r>
    </w:p>
    <w:p w14:paraId="03FCD198">
      <w:pPr>
        <w:pStyle w:val="5"/>
        <w:keepNext w:val="0"/>
        <w:keepLines w:val="0"/>
        <w:widowControl/>
        <w:suppressLineNumbers w:val="0"/>
        <w:ind w:left="0" w:firstLine="646"/>
        <w:jc w:val="left"/>
        <w:rPr>
          <w:rFonts w:hint="default" w:ascii="Times New Roman" w:hAnsi="Times New Roman" w:cs="Times New Roman"/>
          <w:sz w:val="24"/>
          <w:szCs w:val="24"/>
        </w:rPr>
      </w:pPr>
      <w:r>
        <w:rPr>
          <w:rFonts w:hint="eastAsia" w:ascii="仿宋_GB2312" w:hAnsi="Times New Roman" w:eastAsia="仿宋_GB2312" w:cs="仿宋_GB2312"/>
          <w:sz w:val="28"/>
          <w:szCs w:val="28"/>
          <w:bdr w:val="none" w:color="auto" w:sz="0" w:space="0"/>
        </w:rPr>
        <w:t>2019年县委党校向市委党校提交《峨边人居环境整治与提升移风易俗策略探讨》课题获得市级优秀奖；向邓小平理论研究会提交的论文《实现伟大理想必须进行伟大斗争的基层视角》获得市级三等奖。</w:t>
      </w:r>
    </w:p>
    <w:p w14:paraId="34E0AB91">
      <w:pPr>
        <w:pStyle w:val="5"/>
        <w:keepNext w:val="0"/>
        <w:keepLines w:val="0"/>
        <w:widowControl/>
        <w:suppressLineNumbers w:val="0"/>
        <w:spacing w:before="0" w:beforeAutospacing="0" w:after="0" w:afterAutospacing="0" w:line="600" w:lineRule="atLeast"/>
        <w:ind w:left="0" w:right="0" w:firstLine="720"/>
        <w:jc w:val="both"/>
        <w:rPr>
          <w:rFonts w:hint="default" w:ascii="Times New Roman" w:hAnsi="Times New Roman" w:cs="Times New Roman"/>
          <w:sz w:val="21"/>
          <w:szCs w:val="21"/>
        </w:rPr>
      </w:pPr>
      <w:r>
        <w:rPr>
          <w:rFonts w:hint="eastAsia" w:ascii="黑体" w:hAnsi="宋体" w:eastAsia="黑体" w:cs="黑体"/>
          <w:sz w:val="36"/>
          <w:szCs w:val="36"/>
        </w:rPr>
        <w:t>五、评价结论及建议</w:t>
      </w:r>
    </w:p>
    <w:p w14:paraId="22447384">
      <w:pPr>
        <w:pStyle w:val="5"/>
        <w:keepNext w:val="0"/>
        <w:keepLines w:val="0"/>
        <w:widowControl/>
        <w:suppressLineNumbers w:val="0"/>
        <w:spacing w:before="0" w:beforeAutospacing="0" w:after="0" w:afterAutospacing="0" w:line="600" w:lineRule="atLeast"/>
        <w:ind w:left="0" w:right="0" w:firstLine="720"/>
        <w:jc w:val="both"/>
        <w:rPr>
          <w:rFonts w:hint="default" w:ascii="Times New Roman" w:hAnsi="Times New Roman" w:cs="Times New Roman"/>
          <w:sz w:val="21"/>
          <w:szCs w:val="21"/>
        </w:rPr>
      </w:pPr>
      <w:r>
        <w:rPr>
          <w:rFonts w:hint="eastAsia" w:ascii="楷体_GB2312" w:hAnsi="Times New Roman" w:eastAsia="楷体_GB2312" w:cs="楷体_GB2312"/>
          <w:b/>
          <w:bCs/>
          <w:sz w:val="32"/>
          <w:szCs w:val="32"/>
        </w:rPr>
        <w:t>（一）评价结论。</w:t>
      </w:r>
    </w:p>
    <w:p w14:paraId="3B06C943">
      <w:pPr>
        <w:pStyle w:val="5"/>
        <w:keepNext w:val="0"/>
        <w:keepLines w:val="0"/>
        <w:widowControl/>
        <w:suppressLineNumbers w:val="0"/>
        <w:spacing w:before="0" w:beforeAutospacing="0" w:after="0" w:afterAutospacing="0" w:line="600" w:lineRule="atLeast"/>
        <w:ind w:left="0" w:right="0" w:firstLine="720"/>
        <w:jc w:val="both"/>
        <w:rPr>
          <w:rFonts w:hint="default" w:ascii="Times New Roman" w:hAnsi="Times New Roman" w:cs="Times New Roman"/>
          <w:sz w:val="21"/>
          <w:szCs w:val="21"/>
        </w:rPr>
      </w:pPr>
      <w:r>
        <w:rPr>
          <w:rFonts w:hint="eastAsia" w:ascii="仿宋_GB2312" w:hAnsi="Times New Roman" w:eastAsia="仿宋_GB2312" w:cs="仿宋_GB2312"/>
          <w:sz w:val="28"/>
          <w:szCs w:val="28"/>
        </w:rPr>
        <w:t>科研费项目是符合部门工作需求，管理制度规范，申报资金符合程序，支付符合财务要求。</w:t>
      </w:r>
    </w:p>
    <w:p w14:paraId="3FE40E71">
      <w:pPr>
        <w:pStyle w:val="5"/>
        <w:keepNext w:val="0"/>
        <w:keepLines w:val="0"/>
        <w:widowControl/>
        <w:suppressLineNumbers w:val="0"/>
        <w:spacing w:before="0" w:beforeAutospacing="0" w:after="0" w:afterAutospacing="0" w:line="600" w:lineRule="atLeast"/>
        <w:ind w:left="0" w:right="0" w:firstLine="720"/>
        <w:jc w:val="both"/>
        <w:rPr>
          <w:rFonts w:hint="default" w:ascii="Times New Roman" w:hAnsi="Times New Roman" w:cs="Times New Roman"/>
          <w:sz w:val="21"/>
          <w:szCs w:val="21"/>
        </w:rPr>
      </w:pPr>
      <w:r>
        <w:rPr>
          <w:rFonts w:hint="eastAsia" w:ascii="楷体_GB2312" w:hAnsi="Times New Roman" w:eastAsia="楷体_GB2312" w:cs="楷体_GB2312"/>
          <w:b/>
          <w:bCs/>
          <w:sz w:val="32"/>
          <w:szCs w:val="32"/>
        </w:rPr>
        <w:t>（二）存在的问题。</w:t>
      </w:r>
    </w:p>
    <w:p w14:paraId="176DF26A">
      <w:pPr>
        <w:pStyle w:val="5"/>
        <w:keepNext w:val="0"/>
        <w:keepLines w:val="0"/>
        <w:widowControl/>
        <w:suppressLineNumbers w:val="0"/>
        <w:spacing w:before="0" w:beforeAutospacing="0" w:after="0" w:afterAutospacing="0" w:line="600" w:lineRule="atLeast"/>
        <w:ind w:left="0" w:right="0" w:firstLine="720"/>
        <w:jc w:val="both"/>
        <w:rPr>
          <w:rFonts w:hint="default" w:ascii="Times New Roman" w:hAnsi="Times New Roman" w:cs="Times New Roman"/>
          <w:sz w:val="21"/>
          <w:szCs w:val="21"/>
        </w:rPr>
      </w:pPr>
      <w:r>
        <w:rPr>
          <w:rFonts w:hint="eastAsia" w:ascii="仿宋_GB2312" w:hAnsi="Times New Roman" w:eastAsia="仿宋_GB2312" w:cs="仿宋_GB2312"/>
          <w:sz w:val="28"/>
          <w:szCs w:val="28"/>
        </w:rPr>
        <w:t>科研费项目无存在问题。</w:t>
      </w:r>
    </w:p>
    <w:p w14:paraId="479C0086">
      <w:pPr>
        <w:pStyle w:val="5"/>
        <w:keepNext w:val="0"/>
        <w:keepLines w:val="0"/>
        <w:widowControl/>
        <w:suppressLineNumbers w:val="0"/>
        <w:spacing w:before="0" w:beforeAutospacing="0" w:after="0" w:afterAutospacing="0" w:line="600" w:lineRule="atLeast"/>
        <w:ind w:left="0" w:right="0" w:firstLine="720"/>
        <w:jc w:val="both"/>
        <w:rPr>
          <w:rFonts w:hint="default" w:ascii="Times New Roman" w:hAnsi="Times New Roman" w:cs="Times New Roman"/>
          <w:sz w:val="21"/>
          <w:szCs w:val="21"/>
        </w:rPr>
      </w:pPr>
      <w:r>
        <w:rPr>
          <w:rFonts w:hint="default" w:ascii="Times New Roman" w:hAnsi="Times New Roman" w:eastAsia="宋体" w:cs="Times New Roman"/>
          <w:sz w:val="21"/>
          <w:szCs w:val="21"/>
        </w:rPr>
        <w:t> </w:t>
      </w:r>
    </w:p>
    <w:p w14:paraId="52E720CE">
      <w:pPr>
        <w:pStyle w:val="5"/>
        <w:keepNext w:val="0"/>
        <w:keepLines w:val="0"/>
        <w:widowControl/>
        <w:suppressLineNumbers w:val="0"/>
        <w:spacing w:before="0" w:beforeAutospacing="0" w:after="0" w:afterAutospacing="0" w:line="600" w:lineRule="atLeast"/>
        <w:ind w:left="0" w:right="0" w:firstLine="720"/>
        <w:jc w:val="both"/>
        <w:rPr>
          <w:rFonts w:hint="default" w:ascii="Times New Roman" w:hAnsi="Times New Roman" w:cs="Times New Roman"/>
          <w:sz w:val="21"/>
          <w:szCs w:val="21"/>
        </w:rPr>
      </w:pPr>
      <w:r>
        <w:rPr>
          <w:rFonts w:hint="eastAsia" w:ascii="楷体_GB2312" w:hAnsi="Times New Roman" w:eastAsia="楷体_GB2312" w:cs="楷体_GB2312"/>
          <w:b/>
          <w:bCs/>
          <w:sz w:val="32"/>
          <w:szCs w:val="32"/>
        </w:rPr>
        <w:t>（三</w:t>
      </w:r>
      <w:r>
        <w:rPr>
          <w:rFonts w:hint="eastAsia" w:ascii="楷体_GB2312" w:hAnsi="Times New Roman" w:eastAsia="楷体_GB2312" w:cs="楷体_GB2312"/>
          <w:b/>
          <w:bCs/>
          <w:sz w:val="32"/>
          <w:szCs w:val="32"/>
          <w:lang w:eastAsia="zh-CN"/>
        </w:rPr>
        <w:t>）</w:t>
      </w:r>
      <w:r>
        <w:rPr>
          <w:rFonts w:hint="eastAsia" w:ascii="楷体_GB2312" w:hAnsi="Times New Roman" w:eastAsia="楷体_GB2312" w:cs="楷体_GB2312"/>
          <w:b/>
          <w:bCs/>
          <w:sz w:val="32"/>
          <w:szCs w:val="32"/>
        </w:rPr>
        <w:t xml:space="preserve"> 相关建议</w:t>
      </w:r>
    </w:p>
    <w:p w14:paraId="5C0988C6">
      <w:pPr>
        <w:pStyle w:val="5"/>
        <w:keepNext w:val="0"/>
        <w:keepLines w:val="0"/>
        <w:widowControl/>
        <w:suppressLineNumbers w:val="0"/>
        <w:spacing w:before="0" w:beforeAutospacing="0" w:after="0" w:afterAutospacing="0" w:line="580" w:lineRule="atLeast"/>
        <w:ind w:left="0" w:right="0" w:firstLine="560"/>
        <w:jc w:val="left"/>
        <w:rPr>
          <w:rFonts w:hint="default" w:ascii="Times New Roman" w:hAnsi="Times New Roman" w:cs="Times New Roman"/>
          <w:sz w:val="21"/>
          <w:szCs w:val="21"/>
        </w:rPr>
      </w:pPr>
      <w:r>
        <w:rPr>
          <w:rFonts w:hint="eastAsia" w:ascii="仿宋_GB2312" w:hAnsi="Times New Roman" w:eastAsia="仿宋_GB2312" w:cs="仿宋_GB2312"/>
          <w:sz w:val="28"/>
          <w:szCs w:val="28"/>
        </w:rPr>
        <w:t>强化绩效管理意识。进一步强化绩效理念，将绩效管理贯穿预算编制、预算分配、预算执行、预算考核与控制、预算分析等全过程，建立事权、财权、责任匹配制度，明确绩效目标，加大资金整合力度，强化专项资金管理，提高财政资金使用效益。</w:t>
      </w:r>
    </w:p>
    <w:p w14:paraId="339D9AC0">
      <w:pPr>
        <w:pStyle w:val="5"/>
        <w:keepNext w:val="0"/>
        <w:keepLines w:val="0"/>
        <w:widowControl/>
        <w:suppressLineNumbers w:val="0"/>
        <w:spacing w:before="0" w:beforeAutospacing="0" w:after="0" w:afterAutospacing="0" w:line="600" w:lineRule="atLeast"/>
        <w:ind w:left="0" w:right="0"/>
        <w:jc w:val="center"/>
        <w:rPr>
          <w:rFonts w:hint="default" w:ascii="Times New Roman" w:hAnsi="Times New Roman" w:cs="Times New Roman"/>
          <w:sz w:val="21"/>
          <w:szCs w:val="21"/>
        </w:rPr>
      </w:pPr>
      <w:r>
        <w:rPr>
          <w:rFonts w:hint="default" w:ascii="Times New Roman" w:hAnsi="Times New Roman" w:eastAsia="宋体" w:cs="Times New Roman"/>
          <w:sz w:val="21"/>
          <w:szCs w:val="21"/>
        </w:rPr>
        <w:t> </w:t>
      </w:r>
    </w:p>
    <w:p w14:paraId="77BB1B6A">
      <w:pPr>
        <w:pStyle w:val="5"/>
        <w:keepNext w:val="0"/>
        <w:keepLines w:val="0"/>
        <w:widowControl/>
        <w:suppressLineNumbers w:val="0"/>
        <w:spacing w:before="0" w:beforeAutospacing="0" w:after="0" w:afterAutospacing="0" w:line="600" w:lineRule="atLeast"/>
        <w:ind w:left="0" w:right="0"/>
        <w:jc w:val="center"/>
        <w:rPr>
          <w:rFonts w:hint="default" w:ascii="Times New Roman" w:hAnsi="Times New Roman" w:cs="Times New Roman"/>
          <w:sz w:val="21"/>
          <w:szCs w:val="21"/>
        </w:rPr>
      </w:pPr>
      <w:r>
        <w:rPr>
          <w:rFonts w:hint="eastAsia" w:ascii="黑体" w:hAnsi="宋体" w:eastAsia="黑体" w:cs="黑体"/>
          <w:color w:val="000000"/>
          <w:sz w:val="44"/>
          <w:szCs w:val="44"/>
        </w:rPr>
        <w:t>第</w:t>
      </w:r>
      <w:r>
        <w:rPr>
          <w:rFonts w:hint="eastAsia" w:ascii="黑体" w:hAnsi="宋体" w:eastAsia="黑体" w:cs="黑体"/>
          <w:b w:val="0"/>
          <w:bCs w:val="0"/>
          <w:sz w:val="44"/>
          <w:szCs w:val="44"/>
        </w:rPr>
        <w:t>五部分附表</w:t>
      </w:r>
    </w:p>
    <w:p w14:paraId="25D06459">
      <w:pPr>
        <w:pStyle w:val="5"/>
        <w:keepNext w:val="0"/>
        <w:keepLines w:val="0"/>
        <w:widowControl/>
        <w:suppressLineNumbers w:val="0"/>
        <w:spacing w:before="0" w:beforeAutospacing="0" w:after="0" w:afterAutospacing="0" w:line="600" w:lineRule="atLeast"/>
        <w:ind w:left="0" w:right="0"/>
        <w:jc w:val="center"/>
        <w:rPr>
          <w:rFonts w:hint="default" w:ascii="Times New Roman" w:hAnsi="Times New Roman" w:cs="Times New Roman"/>
          <w:sz w:val="21"/>
          <w:szCs w:val="21"/>
        </w:rPr>
      </w:pPr>
      <w:r>
        <w:rPr>
          <w:rFonts w:hint="default" w:ascii="Times New Roman" w:hAnsi="Times New Roman" w:eastAsia="宋体" w:cs="Times New Roman"/>
          <w:sz w:val="21"/>
          <w:szCs w:val="21"/>
        </w:rPr>
        <w:t> </w:t>
      </w:r>
    </w:p>
    <w:p w14:paraId="7CF9A36F">
      <w:pPr>
        <w:pStyle w:val="4"/>
        <w:keepNext w:val="0"/>
        <w:keepLines w:val="0"/>
        <w:widowControl/>
        <w:suppressLineNumbers w:val="0"/>
      </w:pPr>
      <w:r>
        <w:rPr>
          <w:rFonts w:hint="eastAsia" w:ascii="仿宋" w:hAnsi="仿宋" w:eastAsia="仿宋" w:cs="仿宋"/>
          <w:b w:val="0"/>
          <w:bCs w:val="0"/>
          <w:color w:val="000000"/>
          <w:sz w:val="32"/>
          <w:szCs w:val="32"/>
          <w:bdr w:val="none" w:color="auto" w:sz="0" w:space="0"/>
        </w:rPr>
        <w:t>一、收</w:t>
      </w:r>
      <w:r>
        <w:rPr>
          <w:rFonts w:hint="eastAsia" w:ascii="仿宋" w:hAnsi="仿宋" w:eastAsia="仿宋" w:cs="仿宋"/>
          <w:b w:val="0"/>
          <w:bCs w:val="0"/>
          <w:sz w:val="32"/>
          <w:szCs w:val="32"/>
          <w:bdr w:val="none" w:color="auto" w:sz="0" w:space="0"/>
        </w:rPr>
        <w:t>入支出决算总表</w:t>
      </w:r>
    </w:p>
    <w:p w14:paraId="03C0DAD0">
      <w:pPr>
        <w:pStyle w:val="4"/>
        <w:keepNext w:val="0"/>
        <w:keepLines w:val="0"/>
        <w:widowControl/>
        <w:suppressLineNumbers w:val="0"/>
      </w:pPr>
      <w:r>
        <w:rPr>
          <w:rFonts w:hint="eastAsia" w:ascii="仿宋" w:hAnsi="仿宋" w:eastAsia="仿宋" w:cs="仿宋"/>
          <w:b w:val="0"/>
          <w:bCs w:val="0"/>
          <w:color w:val="000000"/>
          <w:sz w:val="32"/>
          <w:szCs w:val="32"/>
          <w:bdr w:val="none" w:color="auto" w:sz="0" w:space="0"/>
        </w:rPr>
        <w:t>二、收</w:t>
      </w:r>
      <w:r>
        <w:rPr>
          <w:rFonts w:hint="eastAsia" w:ascii="仿宋" w:hAnsi="仿宋" w:eastAsia="仿宋" w:cs="仿宋"/>
          <w:b w:val="0"/>
          <w:bCs w:val="0"/>
          <w:sz w:val="32"/>
          <w:szCs w:val="32"/>
          <w:bdr w:val="none" w:color="auto" w:sz="0" w:space="0"/>
        </w:rPr>
        <w:t>入决算表</w:t>
      </w:r>
    </w:p>
    <w:p w14:paraId="5BAD37ED">
      <w:pPr>
        <w:pStyle w:val="4"/>
        <w:keepNext w:val="0"/>
        <w:keepLines w:val="0"/>
        <w:widowControl/>
        <w:suppressLineNumbers w:val="0"/>
      </w:pPr>
      <w:r>
        <w:rPr>
          <w:rFonts w:hint="eastAsia" w:ascii="仿宋" w:hAnsi="仿宋" w:eastAsia="仿宋" w:cs="仿宋"/>
          <w:b w:val="0"/>
          <w:bCs w:val="0"/>
          <w:sz w:val="32"/>
          <w:szCs w:val="32"/>
          <w:bdr w:val="none" w:color="auto" w:sz="0" w:space="0"/>
        </w:rPr>
        <w:t>三、</w:t>
      </w:r>
      <w:r>
        <w:rPr>
          <w:rFonts w:hint="eastAsia" w:ascii="仿宋" w:hAnsi="仿宋" w:eastAsia="仿宋" w:cs="仿宋"/>
          <w:b w:val="0"/>
          <w:bCs w:val="0"/>
          <w:color w:val="000000"/>
          <w:sz w:val="32"/>
          <w:szCs w:val="32"/>
          <w:bdr w:val="none" w:color="auto" w:sz="0" w:space="0"/>
        </w:rPr>
        <w:t>支</w:t>
      </w:r>
      <w:r>
        <w:rPr>
          <w:rFonts w:hint="eastAsia" w:ascii="仿宋" w:hAnsi="仿宋" w:eastAsia="仿宋" w:cs="仿宋"/>
          <w:b w:val="0"/>
          <w:bCs w:val="0"/>
          <w:sz w:val="32"/>
          <w:szCs w:val="32"/>
          <w:bdr w:val="none" w:color="auto" w:sz="0" w:space="0"/>
        </w:rPr>
        <w:t>出决算表</w:t>
      </w:r>
    </w:p>
    <w:p w14:paraId="10539576">
      <w:pPr>
        <w:pStyle w:val="4"/>
        <w:keepNext w:val="0"/>
        <w:keepLines w:val="0"/>
        <w:widowControl/>
        <w:suppressLineNumbers w:val="0"/>
      </w:pPr>
      <w:r>
        <w:rPr>
          <w:rFonts w:hint="eastAsia" w:ascii="仿宋" w:hAnsi="仿宋" w:eastAsia="仿宋" w:cs="仿宋"/>
          <w:b w:val="0"/>
          <w:bCs w:val="0"/>
          <w:sz w:val="32"/>
          <w:szCs w:val="32"/>
          <w:bdr w:val="none" w:color="auto" w:sz="0" w:space="0"/>
        </w:rPr>
        <w:t>四、</w:t>
      </w:r>
      <w:r>
        <w:rPr>
          <w:rFonts w:hint="eastAsia" w:ascii="仿宋" w:hAnsi="仿宋" w:eastAsia="仿宋" w:cs="仿宋"/>
          <w:b w:val="0"/>
          <w:bCs w:val="0"/>
          <w:color w:val="000000"/>
          <w:sz w:val="32"/>
          <w:szCs w:val="32"/>
          <w:bdr w:val="none" w:color="auto" w:sz="0" w:space="0"/>
        </w:rPr>
        <w:t>财</w:t>
      </w:r>
      <w:r>
        <w:rPr>
          <w:rFonts w:hint="eastAsia" w:ascii="仿宋" w:hAnsi="仿宋" w:eastAsia="仿宋" w:cs="仿宋"/>
          <w:b w:val="0"/>
          <w:bCs w:val="0"/>
          <w:sz w:val="32"/>
          <w:szCs w:val="32"/>
          <w:bdr w:val="none" w:color="auto" w:sz="0" w:space="0"/>
        </w:rPr>
        <w:t>政拨款收入支出决算总表</w:t>
      </w:r>
    </w:p>
    <w:p w14:paraId="078B8F99">
      <w:pPr>
        <w:pStyle w:val="4"/>
        <w:keepNext w:val="0"/>
        <w:keepLines w:val="0"/>
        <w:widowControl/>
        <w:suppressLineNumbers w:val="0"/>
      </w:pPr>
      <w:r>
        <w:rPr>
          <w:rFonts w:hint="eastAsia" w:ascii="仿宋" w:hAnsi="仿宋" w:eastAsia="仿宋" w:cs="仿宋"/>
          <w:b w:val="0"/>
          <w:bCs w:val="0"/>
          <w:sz w:val="32"/>
          <w:szCs w:val="32"/>
          <w:bdr w:val="none" w:color="auto" w:sz="0" w:space="0"/>
        </w:rPr>
        <w:t>五、</w:t>
      </w:r>
      <w:r>
        <w:rPr>
          <w:rFonts w:hint="eastAsia" w:ascii="仿宋" w:hAnsi="仿宋" w:eastAsia="仿宋" w:cs="仿宋"/>
          <w:b w:val="0"/>
          <w:bCs w:val="0"/>
          <w:color w:val="000000"/>
          <w:sz w:val="32"/>
          <w:szCs w:val="32"/>
          <w:bdr w:val="none" w:color="auto" w:sz="0" w:space="0"/>
        </w:rPr>
        <w:t>财</w:t>
      </w:r>
      <w:r>
        <w:rPr>
          <w:rFonts w:hint="eastAsia" w:ascii="仿宋" w:hAnsi="仿宋" w:eastAsia="仿宋" w:cs="仿宋"/>
          <w:b w:val="0"/>
          <w:bCs w:val="0"/>
          <w:sz w:val="32"/>
          <w:szCs w:val="32"/>
          <w:bdr w:val="none" w:color="auto" w:sz="0" w:space="0"/>
        </w:rPr>
        <w:t>政拨款支出决算明细表</w:t>
      </w:r>
    </w:p>
    <w:p w14:paraId="014E68CD">
      <w:pPr>
        <w:pStyle w:val="4"/>
        <w:keepNext w:val="0"/>
        <w:keepLines w:val="0"/>
        <w:widowControl/>
        <w:suppressLineNumbers w:val="0"/>
      </w:pPr>
      <w:r>
        <w:rPr>
          <w:rFonts w:hint="eastAsia" w:ascii="仿宋" w:hAnsi="仿宋" w:eastAsia="仿宋" w:cs="仿宋"/>
          <w:b w:val="0"/>
          <w:bCs w:val="0"/>
          <w:sz w:val="32"/>
          <w:szCs w:val="32"/>
          <w:bdr w:val="none" w:color="auto" w:sz="0" w:space="0"/>
        </w:rPr>
        <w:t>六、</w:t>
      </w:r>
      <w:r>
        <w:rPr>
          <w:rFonts w:hint="eastAsia" w:ascii="仿宋" w:hAnsi="仿宋" w:eastAsia="仿宋" w:cs="仿宋"/>
          <w:b w:val="0"/>
          <w:bCs w:val="0"/>
          <w:color w:val="000000"/>
          <w:sz w:val="32"/>
          <w:szCs w:val="32"/>
          <w:bdr w:val="none" w:color="auto" w:sz="0" w:space="0"/>
        </w:rPr>
        <w:t>一</w:t>
      </w:r>
      <w:r>
        <w:rPr>
          <w:rFonts w:hint="eastAsia" w:ascii="仿宋" w:hAnsi="仿宋" w:eastAsia="仿宋" w:cs="仿宋"/>
          <w:b w:val="0"/>
          <w:bCs w:val="0"/>
          <w:sz w:val="32"/>
          <w:szCs w:val="32"/>
          <w:bdr w:val="none" w:color="auto" w:sz="0" w:space="0"/>
        </w:rPr>
        <w:t>般公共预算财政拨款支出决算表</w:t>
      </w:r>
    </w:p>
    <w:p w14:paraId="13D55024">
      <w:pPr>
        <w:pStyle w:val="4"/>
        <w:keepNext w:val="0"/>
        <w:keepLines w:val="0"/>
        <w:widowControl/>
        <w:suppressLineNumbers w:val="0"/>
      </w:pPr>
      <w:r>
        <w:rPr>
          <w:rFonts w:hint="eastAsia" w:ascii="仿宋" w:hAnsi="仿宋" w:eastAsia="仿宋" w:cs="仿宋"/>
          <w:b w:val="0"/>
          <w:bCs w:val="0"/>
          <w:sz w:val="32"/>
          <w:szCs w:val="32"/>
          <w:bdr w:val="none" w:color="auto" w:sz="0" w:space="0"/>
        </w:rPr>
        <w:t>七、</w:t>
      </w:r>
      <w:r>
        <w:rPr>
          <w:rFonts w:hint="eastAsia" w:ascii="仿宋" w:hAnsi="仿宋" w:eastAsia="仿宋" w:cs="仿宋"/>
          <w:b w:val="0"/>
          <w:bCs w:val="0"/>
          <w:color w:val="000000"/>
          <w:sz w:val="32"/>
          <w:szCs w:val="32"/>
          <w:bdr w:val="none" w:color="auto" w:sz="0" w:space="0"/>
        </w:rPr>
        <w:t>一</w:t>
      </w:r>
      <w:r>
        <w:rPr>
          <w:rFonts w:hint="eastAsia" w:ascii="仿宋" w:hAnsi="仿宋" w:eastAsia="仿宋" w:cs="仿宋"/>
          <w:b w:val="0"/>
          <w:bCs w:val="0"/>
          <w:sz w:val="32"/>
          <w:szCs w:val="32"/>
          <w:bdr w:val="none" w:color="auto" w:sz="0" w:space="0"/>
        </w:rPr>
        <w:t>般公共预算财政拨款支出决算明细表</w:t>
      </w:r>
    </w:p>
    <w:p w14:paraId="2A04B84B">
      <w:pPr>
        <w:pStyle w:val="4"/>
        <w:keepNext w:val="0"/>
        <w:keepLines w:val="0"/>
        <w:widowControl/>
        <w:suppressLineNumbers w:val="0"/>
      </w:pPr>
      <w:r>
        <w:rPr>
          <w:rFonts w:hint="eastAsia" w:ascii="仿宋" w:hAnsi="仿宋" w:eastAsia="仿宋" w:cs="仿宋"/>
          <w:b w:val="0"/>
          <w:bCs w:val="0"/>
          <w:sz w:val="32"/>
          <w:szCs w:val="32"/>
          <w:bdr w:val="none" w:color="auto" w:sz="0" w:space="0"/>
        </w:rPr>
        <w:t>八、</w:t>
      </w:r>
      <w:r>
        <w:rPr>
          <w:rFonts w:hint="eastAsia" w:ascii="仿宋" w:hAnsi="仿宋" w:eastAsia="仿宋" w:cs="仿宋"/>
          <w:b w:val="0"/>
          <w:bCs w:val="0"/>
          <w:color w:val="000000"/>
          <w:sz w:val="32"/>
          <w:szCs w:val="32"/>
          <w:bdr w:val="none" w:color="auto" w:sz="0" w:space="0"/>
        </w:rPr>
        <w:t>一</w:t>
      </w:r>
      <w:r>
        <w:rPr>
          <w:rFonts w:hint="eastAsia" w:ascii="仿宋" w:hAnsi="仿宋" w:eastAsia="仿宋" w:cs="仿宋"/>
          <w:b w:val="0"/>
          <w:bCs w:val="0"/>
          <w:sz w:val="32"/>
          <w:szCs w:val="32"/>
          <w:bdr w:val="none" w:color="auto" w:sz="0" w:space="0"/>
        </w:rPr>
        <w:t>般公共预算财政拨款基本支出决算表</w:t>
      </w:r>
    </w:p>
    <w:p w14:paraId="71D734EB">
      <w:pPr>
        <w:pStyle w:val="4"/>
        <w:keepNext w:val="0"/>
        <w:keepLines w:val="0"/>
        <w:widowControl/>
        <w:suppressLineNumbers w:val="0"/>
      </w:pPr>
      <w:r>
        <w:rPr>
          <w:rFonts w:hint="eastAsia" w:ascii="仿宋" w:hAnsi="仿宋" w:eastAsia="仿宋" w:cs="仿宋"/>
          <w:b w:val="0"/>
          <w:bCs w:val="0"/>
          <w:sz w:val="32"/>
          <w:szCs w:val="32"/>
          <w:bdr w:val="none" w:color="auto" w:sz="0" w:space="0"/>
        </w:rPr>
        <w:t>九、</w:t>
      </w:r>
      <w:r>
        <w:rPr>
          <w:rFonts w:hint="eastAsia" w:ascii="仿宋" w:hAnsi="仿宋" w:eastAsia="仿宋" w:cs="仿宋"/>
          <w:b w:val="0"/>
          <w:bCs w:val="0"/>
          <w:color w:val="000000"/>
          <w:sz w:val="32"/>
          <w:szCs w:val="32"/>
          <w:bdr w:val="none" w:color="auto" w:sz="0" w:space="0"/>
        </w:rPr>
        <w:t>一</w:t>
      </w:r>
      <w:r>
        <w:rPr>
          <w:rFonts w:hint="eastAsia" w:ascii="仿宋" w:hAnsi="仿宋" w:eastAsia="仿宋" w:cs="仿宋"/>
          <w:b w:val="0"/>
          <w:bCs w:val="0"/>
          <w:sz w:val="32"/>
          <w:szCs w:val="32"/>
          <w:bdr w:val="none" w:color="auto" w:sz="0" w:space="0"/>
        </w:rPr>
        <w:t>般公共预算财政拨款项目支出决算表</w:t>
      </w:r>
    </w:p>
    <w:p w14:paraId="4ACCB580">
      <w:pPr>
        <w:pStyle w:val="4"/>
        <w:keepNext w:val="0"/>
        <w:keepLines w:val="0"/>
        <w:widowControl/>
        <w:suppressLineNumbers w:val="0"/>
      </w:pPr>
      <w:r>
        <w:rPr>
          <w:rFonts w:hint="eastAsia" w:ascii="仿宋" w:hAnsi="仿宋" w:eastAsia="仿宋" w:cs="仿宋"/>
          <w:b w:val="0"/>
          <w:bCs w:val="0"/>
          <w:sz w:val="32"/>
          <w:szCs w:val="32"/>
          <w:bdr w:val="none" w:color="auto" w:sz="0" w:space="0"/>
        </w:rPr>
        <w:t>十、</w:t>
      </w:r>
      <w:r>
        <w:rPr>
          <w:rFonts w:hint="eastAsia" w:ascii="仿宋" w:hAnsi="仿宋" w:eastAsia="仿宋" w:cs="仿宋"/>
          <w:b w:val="0"/>
          <w:bCs w:val="0"/>
          <w:color w:val="000000"/>
          <w:sz w:val="32"/>
          <w:szCs w:val="32"/>
          <w:bdr w:val="none" w:color="auto" w:sz="0" w:space="0"/>
        </w:rPr>
        <w:t>一</w:t>
      </w:r>
      <w:r>
        <w:rPr>
          <w:rFonts w:hint="eastAsia" w:ascii="仿宋" w:hAnsi="仿宋" w:eastAsia="仿宋" w:cs="仿宋"/>
          <w:b w:val="0"/>
          <w:bCs w:val="0"/>
          <w:sz w:val="32"/>
          <w:szCs w:val="32"/>
          <w:bdr w:val="none" w:color="auto" w:sz="0" w:space="0"/>
        </w:rPr>
        <w:t>般公共预算财政拨款“三公”经费支出决算表</w:t>
      </w:r>
    </w:p>
    <w:p w14:paraId="53342FA0">
      <w:pPr>
        <w:pStyle w:val="4"/>
        <w:keepNext w:val="0"/>
        <w:keepLines w:val="0"/>
        <w:widowControl/>
        <w:suppressLineNumbers w:val="0"/>
      </w:pPr>
      <w:r>
        <w:rPr>
          <w:rFonts w:hint="eastAsia" w:ascii="仿宋" w:hAnsi="仿宋" w:eastAsia="仿宋" w:cs="仿宋"/>
          <w:b w:val="0"/>
          <w:bCs w:val="0"/>
          <w:sz w:val="32"/>
          <w:szCs w:val="32"/>
          <w:bdr w:val="none" w:color="auto" w:sz="0" w:space="0"/>
        </w:rPr>
        <w:t>十一、</w:t>
      </w:r>
      <w:r>
        <w:rPr>
          <w:rFonts w:hint="eastAsia" w:ascii="仿宋" w:hAnsi="仿宋" w:eastAsia="仿宋" w:cs="仿宋"/>
          <w:b w:val="0"/>
          <w:bCs w:val="0"/>
          <w:color w:val="000000"/>
          <w:sz w:val="32"/>
          <w:szCs w:val="32"/>
          <w:bdr w:val="none" w:color="auto" w:sz="0" w:space="0"/>
        </w:rPr>
        <w:t>政</w:t>
      </w:r>
      <w:r>
        <w:rPr>
          <w:rFonts w:hint="eastAsia" w:ascii="仿宋" w:hAnsi="仿宋" w:eastAsia="仿宋" w:cs="仿宋"/>
          <w:b w:val="0"/>
          <w:bCs w:val="0"/>
          <w:sz w:val="32"/>
          <w:szCs w:val="32"/>
          <w:bdr w:val="none" w:color="auto" w:sz="0" w:space="0"/>
        </w:rPr>
        <w:t>府性基金预算财政拨款收入支出决算表</w:t>
      </w:r>
    </w:p>
    <w:p w14:paraId="233CA2F7">
      <w:pPr>
        <w:pStyle w:val="4"/>
        <w:keepNext w:val="0"/>
        <w:keepLines w:val="0"/>
        <w:widowControl/>
        <w:suppressLineNumbers w:val="0"/>
      </w:pPr>
      <w:r>
        <w:rPr>
          <w:rFonts w:hint="eastAsia" w:ascii="仿宋" w:hAnsi="仿宋" w:eastAsia="仿宋" w:cs="仿宋"/>
          <w:b w:val="0"/>
          <w:bCs w:val="0"/>
          <w:sz w:val="32"/>
          <w:szCs w:val="32"/>
          <w:bdr w:val="none" w:color="auto" w:sz="0" w:space="0"/>
        </w:rPr>
        <w:t>十二、</w:t>
      </w:r>
      <w:r>
        <w:rPr>
          <w:rFonts w:hint="eastAsia" w:ascii="仿宋" w:hAnsi="仿宋" w:eastAsia="仿宋" w:cs="仿宋"/>
          <w:b w:val="0"/>
          <w:bCs w:val="0"/>
          <w:color w:val="000000"/>
          <w:sz w:val="32"/>
          <w:szCs w:val="32"/>
          <w:bdr w:val="none" w:color="auto" w:sz="0" w:space="0"/>
        </w:rPr>
        <w:t>政</w:t>
      </w:r>
      <w:r>
        <w:rPr>
          <w:rFonts w:hint="eastAsia" w:ascii="仿宋" w:hAnsi="仿宋" w:eastAsia="仿宋" w:cs="仿宋"/>
          <w:b w:val="0"/>
          <w:bCs w:val="0"/>
          <w:sz w:val="32"/>
          <w:szCs w:val="32"/>
          <w:bdr w:val="none" w:color="auto" w:sz="0" w:space="0"/>
        </w:rPr>
        <w:t>府性基金预算财政拨款“三公”经费支出决算表</w:t>
      </w:r>
    </w:p>
    <w:p w14:paraId="73148328">
      <w:pPr>
        <w:pStyle w:val="4"/>
        <w:keepNext w:val="0"/>
        <w:keepLines w:val="0"/>
        <w:widowControl/>
        <w:suppressLineNumbers w:val="0"/>
      </w:pPr>
      <w:r>
        <w:rPr>
          <w:rFonts w:hint="eastAsia" w:ascii="仿宋" w:hAnsi="仿宋" w:eastAsia="仿宋" w:cs="仿宋"/>
          <w:b w:val="0"/>
          <w:bCs w:val="0"/>
          <w:sz w:val="32"/>
          <w:szCs w:val="32"/>
          <w:bdr w:val="none" w:color="auto" w:sz="0" w:space="0"/>
        </w:rPr>
        <w:t>十三、</w:t>
      </w:r>
      <w:r>
        <w:rPr>
          <w:rFonts w:hint="eastAsia" w:ascii="仿宋" w:hAnsi="仿宋" w:eastAsia="仿宋" w:cs="仿宋"/>
          <w:b w:val="0"/>
          <w:bCs w:val="0"/>
          <w:color w:val="000000"/>
          <w:sz w:val="32"/>
          <w:szCs w:val="32"/>
          <w:bdr w:val="none" w:color="auto" w:sz="0" w:space="0"/>
        </w:rPr>
        <w:t>国</w:t>
      </w:r>
      <w:r>
        <w:rPr>
          <w:rFonts w:hint="eastAsia" w:ascii="仿宋" w:hAnsi="仿宋" w:eastAsia="仿宋" w:cs="仿宋"/>
          <w:b w:val="0"/>
          <w:bCs w:val="0"/>
          <w:sz w:val="32"/>
          <w:szCs w:val="32"/>
          <w:bdr w:val="none" w:color="auto" w:sz="0" w:space="0"/>
        </w:rPr>
        <w:t>有资本经营预算支出决算表</w:t>
      </w:r>
    </w:p>
    <w:p w14:paraId="041D4D33">
      <w:pPr>
        <w:pStyle w:val="4"/>
        <w:keepNext w:val="0"/>
        <w:keepLines w:val="0"/>
        <w:widowControl/>
        <w:suppressLineNumbers w:val="0"/>
      </w:pPr>
      <w:r>
        <w:rPr>
          <w:rFonts w:hint="eastAsia" w:ascii="仿宋" w:hAnsi="仿宋" w:eastAsia="仿宋" w:cs="仿宋"/>
          <w:b w:val="0"/>
          <w:bCs w:val="0"/>
          <w:sz w:val="32"/>
          <w:szCs w:val="32"/>
          <w:bdr w:val="none" w:color="auto" w:sz="0" w:space="0"/>
        </w:rPr>
        <w:drawing>
          <wp:inline distT="0" distB="0" distL="114300" distR="114300">
            <wp:extent cx="152400" cy="152400"/>
            <wp:effectExtent l="0" t="0" r="0" b="0"/>
            <wp:docPr id="12" name="图片 14"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4" descr="IMG_263"/>
                    <pic:cNvPicPr>
                      <a:picLocks noChangeAspect="1"/>
                    </pic:cNvPicPr>
                  </pic:nvPicPr>
                  <pic:blipFill>
                    <a:blip r:embed="rId11"/>
                    <a:stretch>
                      <a:fillRect/>
                    </a:stretch>
                  </pic:blipFill>
                  <pic:spPr>
                    <a:xfrm>
                      <a:off x="0" y="0"/>
                      <a:ext cx="152400" cy="152400"/>
                    </a:xfrm>
                    <a:prstGeom prst="rect">
                      <a:avLst/>
                    </a:prstGeom>
                    <a:noFill/>
                    <a:ln w="9525">
                      <a:noFill/>
                    </a:ln>
                  </pic:spPr>
                </pic:pic>
              </a:graphicData>
            </a:graphic>
          </wp:inline>
        </w:drawing>
      </w:r>
      <w:r>
        <w:rPr>
          <w:rFonts w:hint="eastAsia" w:ascii="仿宋" w:hAnsi="仿宋" w:eastAsia="仿宋" w:cs="仿宋"/>
          <w:b w:val="0"/>
          <w:bCs w:val="0"/>
          <w:sz w:val="32"/>
          <w:szCs w:val="32"/>
          <w:bdr w:val="none" w:color="auto" w:sz="0" w:space="0"/>
        </w:rPr>
        <w:fldChar w:fldCharType="begin"/>
      </w:r>
      <w:r>
        <w:rPr>
          <w:rFonts w:hint="eastAsia" w:ascii="仿宋" w:hAnsi="仿宋" w:eastAsia="仿宋" w:cs="仿宋"/>
          <w:b w:val="0"/>
          <w:bCs w:val="0"/>
          <w:sz w:val="32"/>
          <w:szCs w:val="32"/>
          <w:bdr w:val="none" w:color="auto" w:sz="0" w:space="0"/>
        </w:rPr>
        <w:instrText xml:space="preserve"> HYPERLINK "http://59.225.79.35:8888/website-webapp/common/preview_resource.action?id=6aa73629aaf046ccb1793d572737d27c&amp;type=xls&amp;jcrVer=1.0" \t "http://59.225.79.35:8888/website-webapp/ewebeditor/_blank" </w:instrText>
      </w:r>
      <w:r>
        <w:rPr>
          <w:rFonts w:hint="eastAsia" w:ascii="仿宋" w:hAnsi="仿宋" w:eastAsia="仿宋" w:cs="仿宋"/>
          <w:b w:val="0"/>
          <w:bCs w:val="0"/>
          <w:sz w:val="32"/>
          <w:szCs w:val="32"/>
          <w:bdr w:val="none" w:color="auto" w:sz="0" w:space="0"/>
        </w:rPr>
        <w:fldChar w:fldCharType="separate"/>
      </w:r>
      <w:r>
        <w:rPr>
          <w:rStyle w:val="11"/>
          <w:rFonts w:hint="eastAsia" w:ascii="仿宋" w:hAnsi="仿宋" w:eastAsia="仿宋" w:cs="仿宋"/>
          <w:b w:val="0"/>
          <w:bCs w:val="0"/>
          <w:sz w:val="32"/>
          <w:szCs w:val="32"/>
          <w:bdr w:val="none" w:color="auto" w:sz="0" w:space="0"/>
        </w:rPr>
        <w:t>四川省乐山市中共峨边彝族自治县委党校（本级）.XLS</w:t>
      </w:r>
      <w:r>
        <w:rPr>
          <w:rFonts w:hint="eastAsia" w:ascii="仿宋" w:hAnsi="仿宋" w:eastAsia="仿宋" w:cs="仿宋"/>
          <w:b w:val="0"/>
          <w:bCs w:val="0"/>
          <w:sz w:val="32"/>
          <w:szCs w:val="32"/>
          <w:bdr w:val="none" w:color="auto" w:sz="0" w:space="0"/>
        </w:rPr>
        <w:fldChar w:fldCharType="end"/>
      </w:r>
    </w:p>
    <w:p w14:paraId="279BDF72">
      <w:pPr>
        <w:pStyle w:val="5"/>
        <w:keepNext w:val="0"/>
        <w:keepLines w:val="0"/>
        <w:widowControl/>
        <w:suppressLineNumbers w:val="0"/>
        <w:spacing w:before="0" w:beforeAutospacing="0" w:after="0" w:afterAutospacing="0" w:line="15" w:lineRule="atLeast"/>
        <w:ind w:left="-2326" w:right="0"/>
        <w:jc w:val="both"/>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CA6AE7EA-FD80-40DC-BF9D-0CC3F2719A48}"/>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modern"/>
    <w:pitch w:val="default"/>
    <w:sig w:usb0="800002BF" w:usb1="38CF7CFA" w:usb2="00000016" w:usb3="00000000" w:csb0="00040001" w:csb1="00000000"/>
    <w:embedRegular r:id="rId2" w:fontKey="{EA18B3FB-383E-43CF-B8BF-89D9CFEA0268}"/>
  </w:font>
  <w:font w:name="仿宋_GB2312">
    <w:panose1 w:val="02010609030101010101"/>
    <w:charset w:val="86"/>
    <w:family w:val="auto"/>
    <w:pitch w:val="default"/>
    <w:sig w:usb0="00000001" w:usb1="080E0000" w:usb2="00000000" w:usb3="00000000" w:csb0="00040000" w:csb1="00000000"/>
    <w:embedRegular r:id="rId3" w:fontKey="{3A17B03D-41DF-490A-9F16-F3A9013683CB}"/>
  </w:font>
  <w:font w:name="楷体_GB2312">
    <w:panose1 w:val="02010609030101010101"/>
    <w:charset w:val="86"/>
    <w:family w:val="auto"/>
    <w:pitch w:val="default"/>
    <w:sig w:usb0="00000001" w:usb1="080E0000" w:usb2="00000000" w:usb3="00000000" w:csb0="00040000" w:csb1="00000000"/>
    <w:embedRegular r:id="rId4" w:fontKey="{EDBB760D-D33E-4C20-825A-5EEDDCEC8DCC}"/>
  </w:font>
  <w:font w:name="微软雅黑">
    <w:panose1 w:val="020B0503020204020204"/>
    <w:charset w:val="86"/>
    <w:family w:val="auto"/>
    <w:pitch w:val="default"/>
    <w:sig w:usb0="80000287" w:usb1="280F3C52" w:usb2="00000016" w:usb3="00000000" w:csb0="0004001F" w:csb1="00000000"/>
  </w:font>
  <w:font w:name="楷体">
    <w:panose1 w:val="02010609060101010101"/>
    <w:charset w:val="86"/>
    <w:family w:val="auto"/>
    <w:pitch w:val="default"/>
    <w:sig w:usb0="800002BF" w:usb1="38CF7CFA" w:usb2="00000016" w:usb3="00000000" w:csb0="00040001" w:csb1="00000000"/>
  </w:font>
  <w:font w:name="等线">
    <w:altName w:val="微软雅黑"/>
    <w:panose1 w:val="00000000000000000000"/>
    <w:charset w:val="00"/>
    <w:family w:val="auto"/>
    <w:pitch w:val="default"/>
    <w:sig w:usb0="00000000" w:usb1="00000000" w:usb2="00000000" w:usb3="00000000" w:csb0="00000000" w:csb1="00000000"/>
  </w:font>
  <w:font w:name="??_GB2312">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方正小标宋简体">
    <w:panose1 w:val="02000000000000000000"/>
    <w:charset w:val="86"/>
    <w:family w:val="auto"/>
    <w:pitch w:val="default"/>
    <w:sig w:usb0="00000001" w:usb1="080E0000" w:usb2="00000000" w:usb3="00000000" w:csb0="00040000" w:csb1="00000000"/>
    <w:embedRegular r:id="rId5" w:fontKey="{47CF86D0-F1C8-4183-94DE-1E4D43BF79B2}"/>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U1MjFjMDUwODIwZDg4NDczZTI5ZmU1NTQ5YzljMTkifQ=="/>
  </w:docVars>
  <w:rsids>
    <w:rsidRoot w:val="3EF9248F"/>
    <w:rsid w:val="16467301"/>
    <w:rsid w:val="3EF9248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仿宋" w:cs="仿宋"/>
      <w:bCs/>
      <w:snapToGrid w:val="0"/>
      <w:kern w:val="0"/>
      <w:sz w:val="32"/>
      <w:szCs w:val="32"/>
      <w:lang w:val="en-US" w:eastAsia="zh-CN" w:bidi="ar-SA"/>
    </w:rPr>
  </w:style>
  <w:style w:type="paragraph" w:styleId="3">
    <w:name w:val="heading 1"/>
    <w:basedOn w:val="1"/>
    <w:next w:val="1"/>
    <w:qFormat/>
    <w:uiPriority w:val="0"/>
    <w:pPr>
      <w:spacing w:before="0" w:beforeAutospacing="1" w:after="0" w:afterAutospacing="1"/>
      <w:jc w:val="left"/>
    </w:pPr>
    <w:rPr>
      <w:rFonts w:hint="eastAsia" w:ascii="宋体" w:hAnsi="宋体" w:eastAsia="宋体" w:cs="宋体"/>
      <w:b/>
      <w:kern w:val="44"/>
      <w:sz w:val="48"/>
      <w:szCs w:val="48"/>
      <w:lang w:val="en-US" w:eastAsia="zh-CN" w:bidi="ar"/>
    </w:rPr>
  </w:style>
  <w:style w:type="paragraph" w:styleId="4">
    <w:name w:val="heading 2"/>
    <w:basedOn w:val="1"/>
    <w:next w:val="1"/>
    <w:semiHidden/>
    <w:unhideWhenUsed/>
    <w:qFormat/>
    <w:uiPriority w:val="0"/>
    <w:pPr>
      <w:spacing w:before="0" w:beforeAutospacing="1" w:after="0" w:afterAutospacing="1"/>
      <w:jc w:val="left"/>
    </w:pPr>
    <w:rPr>
      <w:rFonts w:hint="eastAsia" w:ascii="宋体" w:hAnsi="宋体" w:eastAsia="宋体" w:cs="宋体"/>
      <w:b/>
      <w:kern w:val="0"/>
      <w:sz w:val="36"/>
      <w:szCs w:val="36"/>
      <w:lang w:val="en-US" w:eastAsia="zh-CN" w:bidi="ar"/>
    </w:rPr>
  </w:style>
  <w:style w:type="character" w:default="1" w:styleId="7">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2">
    <w:name w:val="Body Text"/>
    <w:basedOn w:val="1"/>
    <w:qFormat/>
    <w:uiPriority w:val="0"/>
    <w:pPr>
      <w:spacing w:after="120" w:afterLines="0" w:afterAutospacing="0"/>
    </w:pPr>
  </w:style>
  <w:style w:type="paragraph" w:styleId="5">
    <w:name w:val="Normal (Web)"/>
    <w:basedOn w:val="1"/>
    <w:uiPriority w:val="0"/>
    <w:pPr>
      <w:spacing w:before="0" w:beforeAutospacing="1" w:after="0" w:afterAutospacing="1"/>
      <w:ind w:left="0" w:right="0"/>
      <w:jc w:val="left"/>
    </w:pPr>
    <w:rPr>
      <w:kern w:val="0"/>
      <w:sz w:val="24"/>
      <w:lang w:val="en-US" w:eastAsia="zh-CN" w:bidi="ar"/>
    </w:rPr>
  </w:style>
  <w:style w:type="character" w:styleId="8">
    <w:name w:val="Strong"/>
    <w:basedOn w:val="7"/>
    <w:qFormat/>
    <w:uiPriority w:val="0"/>
    <w:rPr>
      <w:b/>
    </w:rPr>
  </w:style>
  <w:style w:type="character" w:styleId="9">
    <w:name w:val="FollowedHyperlink"/>
    <w:basedOn w:val="7"/>
    <w:uiPriority w:val="0"/>
    <w:rPr>
      <w:color w:val="000000"/>
      <w:u w:val="none"/>
    </w:rPr>
  </w:style>
  <w:style w:type="character" w:styleId="10">
    <w:name w:val="Emphasis"/>
    <w:basedOn w:val="7"/>
    <w:qFormat/>
    <w:uiPriority w:val="0"/>
    <w:rPr>
      <w:i/>
    </w:rPr>
  </w:style>
  <w:style w:type="character" w:styleId="11">
    <w:name w:val="Hyperlink"/>
    <w:basedOn w:val="7"/>
    <w:uiPriority w:val="0"/>
    <w:rPr>
      <w:color w:val="000000"/>
      <w:u w:val="none"/>
    </w:rPr>
  </w:style>
  <w:style w:type="character" w:customStyle="1" w:styleId="12">
    <w:name w:val="active"/>
    <w:basedOn w:val="7"/>
    <w:uiPriority w:val="0"/>
    <w:rPr>
      <w:color w:val="00FF00"/>
      <w:bdr w:val="none" w:color="FF0000" w:sz="0" w:space="0"/>
      <w:shd w:val="clear" w:fill="000000"/>
    </w:rPr>
  </w:style>
  <w:style w:type="character" w:customStyle="1" w:styleId="13">
    <w:name w:val="hilite6"/>
    <w:basedOn w:val="7"/>
    <w:uiPriority w:val="0"/>
    <w:rPr>
      <w:color w:val="FFFFFF"/>
      <w:bdr w:val="none" w:color="000000" w:sz="0" w:space="0"/>
      <w:shd w:val="clear" w:fill="666677"/>
    </w:rPr>
  </w:style>
  <w:style w:type="character" w:customStyle="1" w:styleId="14">
    <w:name w:val="active6"/>
    <w:basedOn w:val="7"/>
    <w:uiPriority w:val="0"/>
    <w:rPr>
      <w:color w:val="00FF00"/>
      <w:bdr w:val="none" w:color="FF0000" w:sz="0" w:space="0"/>
      <w:shd w:val="clear" w:fill="000000"/>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NULL"/><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image" Target="media/image8.GIF"/><Relationship Id="rId10" Type="http://schemas.openxmlformats.org/officeDocument/2006/relationships/image" Target="media/image7.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32</Pages>
  <Words>0</Words>
  <Characters>0</Characters>
  <Lines>0</Lines>
  <Paragraphs>0</Paragraphs>
  <TotalTime>219</TotalTime>
  <ScaleCrop>false</ScaleCrop>
  <LinksUpToDate>false</LinksUpToDate>
  <CharactersWithSpaces>0</CharactersWithSpaces>
  <Application>WPS Office_12.1.0.17147_F1E327BC-269C-435d-A152-05C5408002CA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2024-07-23T00:56:00Z</dcterms:created>
  <dc:creator>碧云天</dc:creator>
  <cp:lastModifiedBy>碧云天</cp:lastModifiedBy>
  <dcterms:modified xsi:type="dcterms:W3CDTF">2024-07-23T02:38:37Z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2052-12.1.0.17147</vt:lpwstr>
  </property>
  <property fmtid="{D5CDD505-2E9C-101B-9397-08002B2CF9AE}" pid="3" name="ICV">
    <vt:lpwstr>94FEA304C0CD41758E11A0BCDD1AE0DF_11</vt:lpwstr>
  </property>
</Properties>
</file>