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E2CFF">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2093878D">
      <w:pPr>
        <w:widowControl/>
        <w:spacing w:line="580" w:lineRule="exact"/>
        <w:ind w:firstLine="883" w:firstLineChars="200"/>
        <w:contextualSpacing/>
        <w:jc w:val="center"/>
        <w:rPr>
          <w:rFonts w:ascii="宋体"/>
          <w:b/>
          <w:sz w:val="44"/>
          <w:szCs w:val="44"/>
          <w:shd w:val="clear" w:color="auto" w:fill="FFFFFF"/>
        </w:rPr>
      </w:pPr>
    </w:p>
    <w:p w14:paraId="35DC7F4A">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峨边彝族自治县档案馆</w:t>
      </w:r>
    </w:p>
    <w:p w14:paraId="4E5D63C9">
      <w:pPr>
        <w:widowControl/>
        <w:numPr>
          <w:ilvl w:val="0"/>
          <w:numId w:val="0"/>
        </w:numPr>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lang w:eastAsia="zh-CN"/>
        </w:rPr>
        <w:t>部门整体支出预算绩效自评报告</w:t>
      </w:r>
    </w:p>
    <w:p w14:paraId="7E255D79">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438CD8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03B461C">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_GB2312" w:eastAsia="仿宋_GB2312" w:cs="仿宋_GB2312"/>
          <w:kern w:val="0"/>
          <w:sz w:val="32"/>
          <w:szCs w:val="32"/>
        </w:rPr>
        <w:t>峨边彝族自治县档案馆（以下简称县档案馆）为</w:t>
      </w:r>
      <w:r>
        <w:rPr>
          <w:rFonts w:hint="eastAsia" w:ascii="仿宋_GB2312" w:hAnsi="仿宋_GB2312" w:eastAsia="仿宋_GB2312" w:cs="仿宋_GB2312"/>
          <w:kern w:val="0"/>
          <w:sz w:val="32"/>
          <w:szCs w:val="32"/>
          <w:lang w:eastAsia="zh-CN"/>
        </w:rPr>
        <w:t>自治县委</w:t>
      </w:r>
      <w:r>
        <w:rPr>
          <w:rFonts w:hint="eastAsia" w:ascii="仿宋_GB2312" w:hAnsi="仿宋_GB2312" w:eastAsia="仿宋_GB2312" w:cs="仿宋_GB2312"/>
          <w:kern w:val="0"/>
          <w:sz w:val="32"/>
          <w:szCs w:val="32"/>
        </w:rPr>
        <w:t>直属</w:t>
      </w:r>
      <w:r>
        <w:rPr>
          <w:rFonts w:hint="eastAsia" w:ascii="仿宋_GB2312" w:hAnsi="仿宋_GB2312" w:eastAsia="仿宋_GB2312" w:cs="仿宋_GB2312"/>
          <w:kern w:val="0"/>
          <w:sz w:val="32"/>
          <w:szCs w:val="32"/>
          <w:lang w:eastAsia="zh-CN"/>
        </w:rPr>
        <w:t>参公</w:t>
      </w:r>
      <w:r>
        <w:rPr>
          <w:rFonts w:hint="eastAsia" w:ascii="仿宋_GB2312" w:hAnsi="仿宋_GB2312" w:eastAsia="仿宋_GB2312" w:cs="仿宋_GB2312"/>
          <w:kern w:val="0"/>
          <w:sz w:val="32"/>
          <w:szCs w:val="32"/>
        </w:rPr>
        <w:t>事业单位，履行</w:t>
      </w:r>
      <w:r>
        <w:rPr>
          <w:rFonts w:hint="eastAsia" w:ascii="仿宋_GB2312" w:hAnsi="仿宋_GB2312" w:eastAsia="仿宋_GB2312" w:cs="仿宋_GB2312"/>
          <w:kern w:val="0"/>
          <w:sz w:val="32"/>
          <w:szCs w:val="32"/>
          <w:lang w:eastAsia="zh-CN"/>
        </w:rPr>
        <w:t>档案、</w:t>
      </w:r>
      <w:r>
        <w:rPr>
          <w:rFonts w:hint="eastAsia" w:ascii="仿宋_GB2312" w:hAnsi="仿宋_GB2312" w:eastAsia="仿宋_GB2312" w:cs="仿宋_GB2312"/>
          <w:kern w:val="0"/>
          <w:sz w:val="32"/>
          <w:szCs w:val="32"/>
        </w:rPr>
        <w:t>地方志编纂工作。</w:t>
      </w:r>
    </w:p>
    <w:p w14:paraId="2B1C39CB">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_GB2312" w:cs="仿宋_GB2312"/>
          <w:kern w:val="0"/>
          <w:sz w:val="32"/>
          <w:szCs w:val="32"/>
          <w:lang w:eastAsia="zh-CN"/>
        </w:rPr>
        <w:t>主</w:t>
      </w:r>
      <w:r>
        <w:rPr>
          <w:rFonts w:hint="eastAsia" w:ascii="仿宋_GB2312" w:hAnsi="仿宋_GB2312" w:eastAsia="仿宋_GB2312" w:cs="仿宋_GB2312"/>
          <w:kern w:val="0"/>
          <w:sz w:val="32"/>
          <w:szCs w:val="32"/>
        </w:rPr>
        <w:t>要职责是贯彻执行《中华人民共和国档案法》以及党和国家有关档案工作的方针、政策；对全县档案工作实行统筹规划、</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宏观管理；起草制定全县档案工作的规范性文件及全县档案事业发展规划，并负责组织实施</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集中统一管理和接收、征集、整理县直机关、团体、事业及所属有关企业、单位的重要档案资料，并对所保存的档案、资料进行科学分类、鉴定、编目和日常保管、保护工作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负责全县地方志、年鉴、地方史等地方文献的编写、出版工作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承担续修县志</w:t>
      </w:r>
      <w:r>
        <w:rPr>
          <w:rFonts w:hint="eastAsia" w:ascii="仿宋_GB2312" w:hAnsi="仿宋_GB2312" w:eastAsia="仿宋_GB2312" w:cs="仿宋_GB2312"/>
          <w:kern w:val="0"/>
          <w:sz w:val="32"/>
          <w:szCs w:val="32"/>
          <w:lang w:eastAsia="zh-CN"/>
        </w:rPr>
        <w:t>编纂工作</w:t>
      </w:r>
      <w:r>
        <w:rPr>
          <w:rFonts w:hint="eastAsia" w:ascii="仿宋_GB2312" w:hAnsi="仿宋_GB2312" w:eastAsia="仿宋_GB2312" w:cs="仿宋_GB2312"/>
          <w:kern w:val="0"/>
          <w:sz w:val="32"/>
          <w:szCs w:val="32"/>
        </w:rPr>
        <w:t>；对县境内各乡镇、各部门的志书编纂工作进行业务指导、评审</w:t>
      </w:r>
      <w:r>
        <w:rPr>
          <w:rFonts w:hint="eastAsia" w:ascii="仿宋_GB2312" w:hAnsi="仿宋_GB2312" w:eastAsia="仿宋_GB2312" w:cs="仿宋_GB2312"/>
          <w:kern w:val="0"/>
          <w:sz w:val="32"/>
          <w:szCs w:val="32"/>
          <w:lang w:eastAsia="zh-CN"/>
        </w:rPr>
        <w:t>、验收</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县档案馆下设办公室、馆务室、方志室三个科室。</w:t>
      </w:r>
      <w:r>
        <w:rPr>
          <w:rFonts w:hint="eastAsia" w:ascii="仿宋_GB2312" w:hAnsi="仿宋_GB2312" w:eastAsia="仿宋_GB2312" w:cs="仿宋_GB2312"/>
          <w:kern w:val="0"/>
          <w:sz w:val="32"/>
          <w:szCs w:val="32"/>
        </w:rPr>
        <w:t>峨边彝族自治县档案馆参公事业编制为</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，现有在职人员</w:t>
      </w:r>
      <w:r>
        <w:rPr>
          <w:rFonts w:hint="eastAsia" w:ascii="仿宋_GB2312" w:hAnsi="仿宋_GB2312" w:eastAsia="仿宋_GB2312" w:cs="仿宋_GB2312"/>
          <w:kern w:val="0"/>
          <w:sz w:val="32"/>
          <w:szCs w:val="32"/>
          <w:lang w:val="en-US" w:eastAsia="zh-CN"/>
        </w:rPr>
        <w:t>8名</w:t>
      </w:r>
      <w:r>
        <w:rPr>
          <w:rFonts w:hint="eastAsia" w:ascii="仿宋_GB2312" w:hAnsi="仿宋_GB2312" w:eastAsia="仿宋_GB2312" w:cs="仿宋_GB2312"/>
          <w:kern w:val="0"/>
          <w:sz w:val="32"/>
          <w:szCs w:val="32"/>
        </w:rPr>
        <w:t>。</w:t>
      </w:r>
    </w:p>
    <w:p w14:paraId="2595383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19B9B4D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坚持馆库日常安全检查，全年达30余次，完成馆库数据安全维护，对查阅室安全进行提升保护管理</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复制备份全库数据1套，新增档案数据备份服务器1套，确保档案数据安全、完整；</w:t>
      </w:r>
    </w:p>
    <w:p w14:paraId="62D2FD6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000000" w:themeColor="text1"/>
          <w:kern w:val="2"/>
          <w:sz w:val="32"/>
          <w:szCs w:val="32"/>
          <w:lang w:val="en-US" w:eastAsia="zh-CN" w:bidi="ar-SA"/>
        </w:rPr>
        <w:t>2.</w:t>
      </w:r>
      <w:r>
        <w:rPr>
          <w:rFonts w:hint="eastAsia" w:ascii="Times New Roman" w:hAnsi="Times New Roman" w:eastAsia="仿宋_GB2312" w:cs="Times New Roman"/>
          <w:b w:val="0"/>
          <w:bCs w:val="0"/>
          <w:color w:val="000000" w:themeColor="text1"/>
          <w:kern w:val="2"/>
          <w:sz w:val="32"/>
          <w:szCs w:val="32"/>
          <w:lang w:val="en-US" w:eastAsia="zh-CN" w:bidi="ar-SA"/>
        </w:rPr>
        <w:t xml:space="preserve">完成全县62个机关、企事业单位年度统计国家上报工作；   </w:t>
      </w:r>
      <w:r>
        <w:rPr>
          <w:rFonts w:hint="eastAsia" w:ascii="Times New Roman" w:hAnsi="Times New Roman" w:eastAsia="仿宋_GB2312" w:cs="Times New Roman"/>
          <w:b w:val="0"/>
          <w:bCs w:val="0"/>
          <w:color w:val="auto"/>
          <w:kern w:val="2"/>
          <w:sz w:val="32"/>
          <w:szCs w:val="32"/>
          <w:lang w:val="en-US" w:eastAsia="zh-CN" w:bidi="ar-SA"/>
        </w:rPr>
        <w:t xml:space="preserve">           </w:t>
      </w:r>
    </w:p>
    <w:p w14:paraId="22BDE67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t>完成了国家档案局重点项目15万元资金的---古彝文毕摩档案抢救、修复项目验收工作；</w:t>
      </w:r>
    </w:p>
    <w:p w14:paraId="7C446B4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t>接收县政府办公室文书档案268盒3312件，实物档案40件；县总工会文书档案257盒2906件，接待咨询、查阅档案200人次，提供档案复印件1900页；</w:t>
      </w:r>
    </w:p>
    <w:p w14:paraId="0F32121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5.</w:t>
      </w:r>
      <w:r>
        <w:rPr>
          <w:rFonts w:hint="eastAsia" w:ascii="仿宋_GB2312" w:hAnsi="仿宋_GB2312" w:eastAsia="仿宋_GB2312" w:cs="仿宋_GB2312"/>
          <w:b w:val="0"/>
          <w:bCs w:val="0"/>
          <w:color w:val="000000" w:themeColor="text1"/>
          <w:sz w:val="32"/>
          <w:szCs w:val="32"/>
          <w:lang w:val="en-US" w:eastAsia="zh-CN"/>
        </w:rPr>
        <w:t>完成清朝、民国、第一轮《峨边彝族自治县志1911-1987》、第二轮《峨边彝族自治县志1988-2003》再版；</w:t>
      </w:r>
    </w:p>
    <w:p w14:paraId="76A89ED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6.</w:t>
      </w:r>
      <w:r>
        <w:rPr>
          <w:rFonts w:hint="eastAsia" w:ascii="仿宋_GB2312" w:hAnsi="仿宋_GB2312" w:eastAsia="仿宋_GB2312" w:cs="仿宋_GB2312"/>
          <w:b w:val="0"/>
          <w:bCs w:val="0"/>
          <w:color w:val="000000" w:themeColor="text1"/>
          <w:sz w:val="32"/>
          <w:szCs w:val="32"/>
          <w:lang w:val="en-US" w:eastAsia="zh-CN"/>
        </w:rPr>
        <w:t>完成第三轮《峨边彝族自治县志2004-2023》《峨边简史》《峨边彝族自治县年鉴》（2024年总第十八卷）编纂出版工作；</w:t>
      </w:r>
    </w:p>
    <w:p w14:paraId="5C214F1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7.</w:t>
      </w:r>
      <w:r>
        <w:rPr>
          <w:rFonts w:hint="eastAsia" w:ascii="仿宋_GB2312" w:hAnsi="仿宋_GB2312" w:eastAsia="仿宋_GB2312" w:cs="仿宋_GB2312"/>
          <w:b w:val="0"/>
          <w:bCs w:val="0"/>
          <w:color w:val="000000" w:themeColor="text1"/>
          <w:sz w:val="32"/>
          <w:szCs w:val="32"/>
          <w:lang w:val="en-US" w:eastAsia="zh-CN"/>
        </w:rPr>
        <w:t>指导、审查完成《四川省峨边彝族自治县大堡镇志》《四川省峨边彝族自治县杨村乡志》《四川省峨边彝族自治县共和乡志》《四川省峨边彝族自治县黑竹沟镇志》编纂出版工作；</w:t>
      </w:r>
    </w:p>
    <w:p w14:paraId="59AF5CB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8.在筹备庆祝自治县成立40周年之际，为峨边博物馆、规划馆及其他单位提供档案资料1200页，文字资料60万字，历史图片65张，电子资料5GB。</w:t>
      </w:r>
    </w:p>
    <w:p w14:paraId="1319A1E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r>
        <w:rPr>
          <w:rFonts w:hint="eastAsia" w:ascii="仿宋_GB2312" w:hAnsi="仿宋_GB2312" w:eastAsia="仿宋_GB2312" w:cs="仿宋_GB2312"/>
          <w:color w:val="000000"/>
          <w:kern w:val="0"/>
          <w:szCs w:val="32"/>
          <w:shd w:val="clear" w:color="auto" w:fill="FFFFFF"/>
          <w:lang w:val="zh-CN"/>
        </w:rPr>
        <w:t>年初</w:t>
      </w:r>
      <w:r>
        <w:rPr>
          <w:rFonts w:hint="eastAsia" w:ascii="仿宋_GB2312" w:hAnsi="仿宋_GB2312" w:eastAsia="仿宋_GB2312" w:cs="仿宋_GB2312"/>
          <w:color w:val="000000"/>
          <w:kern w:val="0"/>
          <w:szCs w:val="32"/>
          <w:shd w:val="clear" w:color="auto" w:fill="FFFFFF"/>
          <w:lang w:val="en-US" w:eastAsia="zh-CN"/>
        </w:rPr>
        <w:t>结合单位实际工作需要编制部门预算，在支出过程中做到严格遵守各项规章制度，所有项目均制定实施方案，严格按照方案组织实施，并加强监督。尤其在专项经费上严格执行专项资金财务管理办法，专款专用，无截留、无挪用等现象。使资金使用得到最大效益化，最终实现部门整体支出合理合规。</w:t>
      </w:r>
    </w:p>
    <w:p w14:paraId="72D04F4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contextualSpacing/>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6430F7D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kern w:val="0"/>
          <w:sz w:val="32"/>
          <w:szCs w:val="32"/>
          <w:lang w:val="zh-CN"/>
        </w:rPr>
      </w:pPr>
      <w:r>
        <w:rPr>
          <w:rFonts w:hint="eastAsia" w:ascii="楷体_GB2312" w:hAnsi="宋体" w:eastAsia="楷体_GB2312" w:cs="宋体"/>
          <w:color w:val="000000"/>
          <w:kern w:val="0"/>
          <w:szCs w:val="32"/>
          <w:shd w:val="clear" w:color="auto" w:fill="FFFFFF"/>
          <w:lang w:val="zh-CN"/>
        </w:rPr>
        <w:t>（一）部门财政资金收入情况。</w:t>
      </w:r>
      <w:r>
        <w:rPr>
          <w:rFonts w:hint="eastAsia" w:ascii="仿宋_GB2312" w:hAnsi="仿宋_GB2312" w:eastAsia="仿宋_GB2312" w:cs="仿宋_GB2312"/>
          <w:kern w:val="0"/>
          <w:sz w:val="32"/>
          <w:szCs w:val="32"/>
          <w:lang w:val="zh-CN"/>
        </w:rPr>
        <w:t>我单位为县级一级预算单位，实行独立核算，为财政全额拨款事业单位，</w:t>
      </w:r>
      <w:r>
        <w:rPr>
          <w:rFonts w:hint="eastAsia" w:ascii="仿宋_GB2312" w:hAnsi="仿宋_GB2312" w:eastAsia="仿宋_GB2312" w:cs="仿宋_GB2312"/>
          <w:kern w:val="0"/>
          <w:sz w:val="32"/>
          <w:szCs w:val="32"/>
          <w:lang w:val="en-US" w:eastAsia="zh-CN"/>
        </w:rPr>
        <w:t>2024年财政资金收入为</w:t>
      </w:r>
      <w:r>
        <w:rPr>
          <w:rFonts w:hint="eastAsia" w:ascii="仿宋_GB2312" w:hAnsi="仿宋_GB2312" w:eastAsia="仿宋_GB2312" w:cs="仿宋_GB2312"/>
          <w:color w:val="auto"/>
          <w:kern w:val="0"/>
          <w:sz w:val="32"/>
          <w:szCs w:val="32"/>
          <w:lang w:val="en-US" w:eastAsia="zh-CN"/>
        </w:rPr>
        <w:t>503.96</w:t>
      </w:r>
      <w:r>
        <w:rPr>
          <w:rFonts w:hint="eastAsia" w:ascii="仿宋_GB2312" w:hAnsi="仿宋_GB2312" w:eastAsia="仿宋_GB2312" w:cs="仿宋_GB2312"/>
          <w:kern w:val="0"/>
          <w:sz w:val="32"/>
          <w:szCs w:val="32"/>
          <w:lang w:val="en-US" w:eastAsia="zh-CN"/>
        </w:rPr>
        <w:t>万元，我单位</w:t>
      </w:r>
      <w:r>
        <w:rPr>
          <w:rFonts w:hint="eastAsia" w:ascii="仿宋_GB2312" w:hAnsi="仿宋_GB2312" w:eastAsia="仿宋_GB2312" w:cs="仿宋_GB2312"/>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14:paraId="31DAC2B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r>
        <w:rPr>
          <w:rFonts w:hint="eastAsia" w:ascii="仿宋_GB2312" w:hAnsi="仿宋_GB2312" w:eastAsia="仿宋_GB2312" w:cs="仿宋_GB2312"/>
          <w:kern w:val="0"/>
          <w:sz w:val="32"/>
          <w:szCs w:val="32"/>
          <w:lang w:val="en-US" w:eastAsia="zh-CN"/>
        </w:rPr>
        <w:t>2024年我单位财政资金支出</w:t>
      </w:r>
      <w:r>
        <w:rPr>
          <w:rFonts w:hint="eastAsia" w:ascii="仿宋_GB2312" w:hAnsi="仿宋_GB2312" w:eastAsia="仿宋_GB2312" w:cs="仿宋_GB2312"/>
          <w:color w:val="auto"/>
          <w:kern w:val="0"/>
          <w:sz w:val="32"/>
          <w:szCs w:val="32"/>
          <w:lang w:val="en-US" w:eastAsia="zh-CN"/>
        </w:rPr>
        <w:t>503.96万</w:t>
      </w:r>
      <w:r>
        <w:rPr>
          <w:rFonts w:hint="eastAsia" w:ascii="仿宋_GB2312" w:hAnsi="仿宋_GB2312" w:eastAsia="仿宋_GB2312" w:cs="仿宋_GB2312"/>
          <w:kern w:val="0"/>
          <w:sz w:val="32"/>
          <w:szCs w:val="32"/>
          <w:lang w:val="en-US" w:eastAsia="zh-CN"/>
        </w:rPr>
        <w:t>元，其中基本支出</w:t>
      </w:r>
      <w:r>
        <w:rPr>
          <w:rFonts w:hint="eastAsia" w:ascii="仿宋_GB2312" w:hAnsi="仿宋" w:eastAsia="仿宋_GB2312" w:cs="Times New Roman"/>
          <w:color w:val="auto"/>
          <w:sz w:val="32"/>
          <w:szCs w:val="32"/>
          <w:lang w:val="en-US" w:eastAsia="zh-CN"/>
        </w:rPr>
        <w:t>246.09</w:t>
      </w:r>
      <w:r>
        <w:rPr>
          <w:rFonts w:hint="eastAsia" w:ascii="仿宋_GB2312" w:hAnsi="仿宋_GB2312" w:eastAsia="仿宋_GB2312" w:cs="仿宋_GB2312"/>
          <w:kern w:val="0"/>
          <w:sz w:val="32"/>
          <w:szCs w:val="32"/>
          <w:lang w:val="en-US" w:eastAsia="zh-CN"/>
        </w:rPr>
        <w:t>万元，项目支出</w:t>
      </w:r>
      <w:r>
        <w:rPr>
          <w:rFonts w:hint="eastAsia" w:ascii="仿宋_GB2312" w:hAnsi="仿宋" w:eastAsia="仿宋_GB2312" w:cs="Times New Roman"/>
          <w:color w:val="auto"/>
          <w:sz w:val="32"/>
          <w:szCs w:val="32"/>
          <w:lang w:val="en-US" w:eastAsia="zh-CN"/>
        </w:rPr>
        <w:t>257.87</w:t>
      </w:r>
      <w:r>
        <w:rPr>
          <w:rFonts w:hint="eastAsia" w:ascii="仿宋_GB2312" w:hAnsi="仿宋_GB2312" w:eastAsia="仿宋_GB2312" w:cs="仿宋_GB2312"/>
          <w:kern w:val="0"/>
          <w:sz w:val="32"/>
          <w:szCs w:val="32"/>
          <w:lang w:val="en-US" w:eastAsia="zh-CN"/>
        </w:rPr>
        <w:t>万元，我单位</w:t>
      </w:r>
      <w:r>
        <w:rPr>
          <w:rFonts w:hint="eastAsia" w:ascii="仿宋_GB2312" w:hAnsi="仿宋_GB2312" w:eastAsia="仿宋_GB2312" w:cs="仿宋_GB2312"/>
          <w:kern w:val="0"/>
          <w:sz w:val="32"/>
          <w:szCs w:val="32"/>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w:t>
      </w:r>
      <w:r>
        <w:rPr>
          <w:rFonts w:hint="eastAsia" w:ascii="仿宋_GB2312" w:hAnsi="仿宋_GB2312" w:eastAsia="仿宋_GB2312" w:cs="仿宋_GB2312"/>
          <w:b w:val="0"/>
          <w:bCs w:val="0"/>
          <w:kern w:val="0"/>
          <w:sz w:val="32"/>
          <w:szCs w:val="32"/>
          <w:lang w:val="zh-CN"/>
        </w:rPr>
        <w:t>票据齐全等要求进行支付，不浪费、不违规使用资金。确保营造一个健康、有序的财政资</w:t>
      </w:r>
      <w:r>
        <w:rPr>
          <w:rFonts w:hint="eastAsia" w:ascii="仿宋_GB2312" w:hAnsi="仿宋_GB2312" w:eastAsia="仿宋_GB2312" w:cs="仿宋_GB2312"/>
          <w:kern w:val="0"/>
          <w:sz w:val="32"/>
          <w:szCs w:val="32"/>
          <w:lang w:val="zh-CN"/>
        </w:rPr>
        <w:t>金支出环境。</w:t>
      </w:r>
      <w:r>
        <w:rPr>
          <w:rFonts w:hint="eastAsia" w:ascii="仿宋_GB2312" w:hAnsi="仿宋_GB2312" w:eastAsia="仿宋_GB2312" w:cs="仿宋_GB2312"/>
          <w:kern w:val="0"/>
          <w:sz w:val="32"/>
          <w:szCs w:val="32"/>
          <w:lang w:val="en-US" w:eastAsia="zh-CN"/>
        </w:rPr>
        <w:t xml:space="preserve"> </w:t>
      </w:r>
    </w:p>
    <w:p w14:paraId="08324E3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r>
        <w:rPr>
          <w:rFonts w:hint="eastAsia" w:ascii="仿宋_GB2312" w:hAnsi="仿宋_GB2312" w:eastAsia="仿宋_GB2312" w:cs="仿宋_GB2312"/>
          <w:b w:val="0"/>
          <w:bCs w:val="0"/>
          <w:kern w:val="0"/>
          <w:sz w:val="32"/>
          <w:szCs w:val="32"/>
          <w:lang w:val="en-US" w:eastAsia="zh-CN" w:bidi="ar-SA"/>
        </w:rPr>
        <w:t>2024年本单位无财政资金结转结余情况。</w:t>
      </w:r>
    </w:p>
    <w:p w14:paraId="4363346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71858CD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宋体" w:eastAsia="仿宋_GB2312" w:cs="宋体"/>
          <w:color w:val="000000"/>
          <w:kern w:val="0"/>
          <w:szCs w:val="32"/>
          <w:shd w:val="clear" w:color="auto" w:fill="FFFFFF"/>
          <w:lang w:val="zh-CN"/>
        </w:rPr>
        <w:t>围绕部门整体绩效目标完成情况和部门履职情况进行绩效分析。</w:t>
      </w: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3CC0DB9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r>
        <w:rPr>
          <w:rFonts w:hint="eastAsia" w:ascii="仿宋_GB2312" w:hAnsi="仿宋_GB2312" w:eastAsia="仿宋_GB2312" w:cs="仿宋_GB2312"/>
          <w:color w:val="auto"/>
          <w:kern w:val="0"/>
          <w:sz w:val="32"/>
          <w:szCs w:val="32"/>
          <w:lang w:val="en-US" w:eastAsia="zh-CN"/>
        </w:rPr>
        <w:t xml:space="preserve">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                   </w:t>
      </w: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楷体_GB2312" w:hAnsi="宋体" w:eastAsia="楷体_GB2312" w:cs="宋体"/>
          <w:color w:val="000000"/>
          <w:kern w:val="0"/>
          <w:szCs w:val="32"/>
          <w:shd w:val="clear" w:color="auto" w:fill="FFFFFF"/>
          <w:lang w:val="en-US" w:eastAsia="zh-CN"/>
        </w:rPr>
        <w:t>2024年我单位实施：（一）</w:t>
      </w:r>
      <w:r>
        <w:rPr>
          <w:rFonts w:hint="eastAsia" w:ascii="仿宋_GB2312" w:hAnsi="宋体" w:eastAsia="仿宋_GB2312" w:cs="宋体"/>
          <w:color w:val="000000"/>
          <w:kern w:val="0"/>
          <w:szCs w:val="32"/>
          <w:shd w:val="clear" w:color="auto" w:fill="FFFFFF"/>
          <w:lang w:val="zh-CN"/>
        </w:rPr>
        <w:t>档案规范化管理及数据库维护项目，该项目通过聘请专业公司及人员对馆藏档案进行了规范化整理及数字化，并对已有数据库进行了维护，确保档案数据完整、安全，更好地为社会各界查档人士提供高效便捷的服务，</w:t>
      </w:r>
      <w:r>
        <w:rPr>
          <w:rFonts w:hint="eastAsia" w:ascii="仿宋_GB2312" w:hAnsi="宋体" w:eastAsia="仿宋_GB2312" w:cs="宋体"/>
          <w:color w:val="000000"/>
          <w:kern w:val="0"/>
          <w:szCs w:val="32"/>
          <w:shd w:val="clear" w:color="auto" w:fill="FFFFFF"/>
          <w:lang w:val="en-US" w:eastAsia="zh-CN"/>
        </w:rPr>
        <w:t>在实施过程中我单位做到全程监督，并对项目资金使用和支付进度进行了细化，使整个项目在规定时间内按照合同金额和要求顺利完工，实现了项目效益最大化，该项目最终实施金额为9.97万元</w:t>
      </w:r>
      <w:r>
        <w:rPr>
          <w:rFonts w:hint="eastAsia" w:ascii="仿宋_GB2312" w:hAnsi="宋体" w:eastAsia="仿宋_GB2312" w:cs="宋体"/>
          <w:color w:val="000000"/>
          <w:kern w:val="0"/>
          <w:szCs w:val="32"/>
          <w:shd w:val="clear" w:color="auto" w:fill="FFFFFF"/>
          <w:lang w:val="zh-CN"/>
        </w:rPr>
        <w:t>。（二）全县地方志、乡镇志、村志编纂工作经费项目，该项目围绕地方特色，以史料、现实遗存为基础，编纂出版了年鉴、乡镇（村）志等地情书籍，服务地方政治、经济、文化建设等，为后人留下宝贵历史资料，发挥参政资政工具文书作用，</w:t>
      </w:r>
      <w:r>
        <w:rPr>
          <w:rFonts w:hint="eastAsia" w:ascii="仿宋_GB2312" w:hAnsi="宋体" w:eastAsia="仿宋_GB2312" w:cs="宋体"/>
          <w:color w:val="000000"/>
          <w:kern w:val="0"/>
          <w:szCs w:val="32"/>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实施过程中我单位做到全程监督，并对项目资金使用和支付进度进行了细化，使整个项目在规定时间内按照合同金额和要求顺利完工，实现了项目效益最大化，该项目最终实施金额为147.9万元</w:t>
      </w:r>
      <w:r>
        <w:rPr>
          <w:rFonts w:hint="eastAsia" w:ascii="仿宋_GB2312" w:hAnsi="宋体" w:eastAsia="仿宋_GB2312" w:cs="宋体"/>
          <w:color w:val="000000"/>
          <w:kern w:val="0"/>
          <w:szCs w:val="32"/>
          <w:shd w:val="clear" w:color="auto" w:fill="FFFFFF"/>
          <w:lang w:val="zh-CN"/>
        </w:rPr>
        <w:t>。（三）档案规范及编纂工作经费项目，该项目对全县档案进行规范化整理工作，实现档案数字化，围绕地方特色，以史料、现实遗存为基础，编纂地情书籍，服务地方政治、经济、文化建设等，为后人留下宝贵历史资料，发挥参政资政工具文书作用，</w:t>
      </w:r>
      <w:r>
        <w:rPr>
          <w:rFonts w:hint="eastAsia" w:ascii="仿宋_GB2312" w:hAnsi="宋体" w:eastAsia="仿宋_GB2312" w:cs="宋体"/>
          <w:color w:val="000000"/>
          <w:kern w:val="0"/>
          <w:szCs w:val="32"/>
          <w:shd w:val="clear" w:color="auto" w:fill="FFFFFF"/>
          <w:lang w:val="en-US" w:eastAsia="zh-CN"/>
        </w:rPr>
        <w:t>实施过程中我单位做到全程监督，并对项目资金使用和支付进度进行了细化，使整个项目在规定时间内按照合同金额和要求顺利完工，实现了项目效益最大化，该项目最终实施金额为100万元</w:t>
      </w:r>
      <w:r>
        <w:rPr>
          <w:rFonts w:hint="eastAsia" w:ascii="仿宋_GB2312" w:hAnsi="宋体" w:eastAsia="仿宋_GB2312" w:cs="宋体"/>
          <w:color w:val="000000"/>
          <w:kern w:val="0"/>
          <w:szCs w:val="32"/>
          <w:shd w:val="clear" w:color="auto" w:fill="FFFFFF"/>
          <w:lang w:val="zh-CN"/>
        </w:rPr>
        <w:t>。</w:t>
      </w:r>
    </w:p>
    <w:p w14:paraId="359354A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r>
        <w:rPr>
          <w:rFonts w:hint="eastAsia" w:ascii="仿宋_GB2312" w:hAnsi="宋体" w:eastAsia="仿宋_GB2312" w:cs="宋体"/>
          <w:color w:val="000000"/>
          <w:kern w:val="0"/>
          <w:szCs w:val="32"/>
          <w:shd w:val="clear" w:color="auto" w:fill="FFFFFF"/>
          <w:lang w:val="zh-CN"/>
        </w:rPr>
        <w:t>包括内部应用、自评公开、问题整改和应用反馈等情况。</w:t>
      </w: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内在规定的网站对绩效目标和自评进行公开，无其他部门反馈的评价结果和应用结果，在今后目标绩效工作开展中逐步完善部门整体预算绩效管理工作。</w:t>
      </w:r>
    </w:p>
    <w:p w14:paraId="2C87C6A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159FFBB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 w:hAnsi="仿宋" w:eastAsia="仿宋" w:cs="仿宋"/>
          <w:color w:val="auto"/>
          <w:sz w:val="32"/>
          <w:szCs w:val="32"/>
          <w:lang w:val="en-US" w:eastAsia="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r>
        <w:rPr>
          <w:rFonts w:hint="eastAsia" w:ascii="仿宋" w:hAnsi="仿宋" w:eastAsia="仿宋" w:cs="仿宋"/>
          <w:color w:val="auto"/>
          <w:sz w:val="32"/>
          <w:szCs w:val="32"/>
        </w:rPr>
        <w:t>按照202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年部门支出绩效评价指标体系，自评得分</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评价结果：优。</w:t>
      </w:r>
    </w:p>
    <w:p w14:paraId="68150C0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53BCE9D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（三）改进建议。</w:t>
      </w:r>
      <w:r>
        <w:rPr>
          <w:rFonts w:hint="eastAsia" w:ascii="仿宋_GB2312" w:hAnsi="仿宋_GB2312" w:eastAsia="仿宋_GB2312" w:cs="仿宋_GB2312"/>
          <w:color w:val="auto"/>
          <w:kern w:val="0"/>
          <w:szCs w:val="32"/>
          <w:shd w:val="clear" w:color="auto" w:fill="FFFFFF"/>
          <w:lang w:val="en-US" w:eastAsia="zh-CN"/>
        </w:rPr>
        <w:t>1、科学合理编制预算，严格执行预算绩效管理；2、规范账务处理，提高财务信息质量；3、完善管理制度，进一步加强资产管理；4、加强财务专业知识学</w:t>
      </w:r>
      <w:bookmarkStart w:id="0" w:name="_GoBack"/>
      <w:r>
        <w:rPr>
          <w:rFonts w:hint="eastAsia" w:ascii="仿宋_GB2312" w:hAnsi="仿宋_GB2312" w:eastAsia="仿宋_GB2312" w:cs="仿宋_GB2312"/>
          <w:color w:val="auto"/>
          <w:kern w:val="0"/>
          <w:szCs w:val="32"/>
          <w:shd w:val="clear" w:color="auto" w:fill="FFFFFF"/>
          <w:lang w:val="en-US" w:eastAsia="zh-CN"/>
        </w:rPr>
        <w:t>习和</w:t>
      </w:r>
      <w:bookmarkEnd w:id="0"/>
      <w:r>
        <w:rPr>
          <w:rFonts w:hint="eastAsia" w:ascii="仿宋_GB2312" w:hAnsi="仿宋_GB2312" w:eastAsia="仿宋_GB2312" w:cs="仿宋_GB2312"/>
          <w:color w:val="auto"/>
          <w:kern w:val="0"/>
          <w:szCs w:val="32"/>
          <w:shd w:val="clear" w:color="auto" w:fill="FFFFFF"/>
          <w:lang w:val="en-US" w:eastAsia="zh-CN"/>
        </w:rPr>
        <w:t>培训。</w:t>
      </w:r>
    </w:p>
    <w:p w14:paraId="4ED8C6A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ind w:firstLine="640" w:firstLineChars="200"/>
        <w:contextualSpacing/>
        <w:textAlignment w:val="auto"/>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0504">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44FCD6F">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F91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1678A1"/>
    <w:rsid w:val="03946B2A"/>
    <w:rsid w:val="0F702DCC"/>
    <w:rsid w:val="10B71B4A"/>
    <w:rsid w:val="13E94EDC"/>
    <w:rsid w:val="19927F78"/>
    <w:rsid w:val="1A3260EE"/>
    <w:rsid w:val="1A501031"/>
    <w:rsid w:val="21AE59D8"/>
    <w:rsid w:val="286F56EA"/>
    <w:rsid w:val="29FB0312"/>
    <w:rsid w:val="2B12549A"/>
    <w:rsid w:val="2D527252"/>
    <w:rsid w:val="2D7A67E5"/>
    <w:rsid w:val="317426E1"/>
    <w:rsid w:val="329102D6"/>
    <w:rsid w:val="38F551A2"/>
    <w:rsid w:val="3A9520B3"/>
    <w:rsid w:val="3DE562B7"/>
    <w:rsid w:val="3E6507EA"/>
    <w:rsid w:val="3EAF2588"/>
    <w:rsid w:val="42DC31A4"/>
    <w:rsid w:val="465055D4"/>
    <w:rsid w:val="47550EBA"/>
    <w:rsid w:val="4A0F35DD"/>
    <w:rsid w:val="50BB3388"/>
    <w:rsid w:val="56092332"/>
    <w:rsid w:val="649A4F60"/>
    <w:rsid w:val="6636451A"/>
    <w:rsid w:val="67172FA6"/>
    <w:rsid w:val="68457B5A"/>
    <w:rsid w:val="6B4D2447"/>
    <w:rsid w:val="6BE94116"/>
    <w:rsid w:val="6CCD4BDE"/>
    <w:rsid w:val="78916378"/>
    <w:rsid w:val="7B5612FE"/>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line="320" w:lineRule="atLeast"/>
      <w:ind w:firstLine="200" w:firstLineChars="200"/>
      <w:outlineLvl w:val="0"/>
    </w:pPr>
    <w:rPr>
      <w:rFonts w:ascii="Cambria" w:hAnsi="Cambria" w:eastAsia="黑体"/>
      <w:bCs/>
      <w:sz w:val="32"/>
      <w:szCs w:val="32"/>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bbb8b598-5195-45a4-825d-937cb9f5e975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19B9B4D1</paraID>
      <start>0</start>
      <end>2</end>
      <status>modified</status>
      <modifiedWord>1.</modifiedWord>
      <trackRevisions>false</trackRevisions>
    </reviewItem>
    <reviewItem>
      <errorID>3865612e-8961-4544-b6be-d818f2cb5c2b</errorID>
      <errorWord>,</errorWord>
      <group>L1_Format</group>
      <groupName>格式问题</groupName>
      <ability>L2_HalfPunc</ability>
      <abilityName>全半角检查</abilityName>
      <candidateList>
        <item>，</item>
      </candidateList>
      <explain>文本全半角错误。</explain>
      <paraID>19B9B4D1</paraID>
      <start>46</start>
      <end>47</end>
      <status>modified</status>
      <modifiedWord>，</modifiedWord>
      <trackRevisions>false</trackRevisions>
    </reviewItem>
    <reviewItem>
      <errorID>997dd87a-7e4c-4042-8681-86137bd26294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62D2FD67</paraID>
      <start>0</start>
      <end>2</end>
      <status>modified</status>
      <modifiedWord>2.</modifiedWord>
      <trackRevisions>false</trackRevisions>
    </reviewItem>
    <reviewItem>
      <errorID>0d536491-b156-470f-8da7-9f1990a72417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22BDE670</paraID>
      <start>0</start>
      <end>2</end>
      <status>modified</status>
      <modifiedWord>3.</modifiedWord>
      <trackRevisions>false</trackRevisions>
    </reviewItem>
    <reviewItem>
      <errorID>b12957ea-e6cf-494f-8ad5-21b419c74248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7C446B4B</paraID>
      <start>0</start>
      <end>2</end>
      <status>modified</status>
      <modifiedWord>4.</modifiedWord>
      <trackRevisions>false</trackRevisions>
    </reviewItem>
    <reviewItem>
      <errorID>9a644ac4-d963-4e3b-8c7e-8380ad966294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F32121F</paraID>
      <start>0</start>
      <end>2</end>
      <status>modified</status>
      <modifiedWord>5.</modifiedWord>
      <trackRevisions>false</trackRevisions>
    </reviewItem>
    <reviewItem>
      <errorID>41e248fc-155e-467e-89b5-4841a974c65b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76A89EDA</paraID>
      <start>0</start>
      <end>2</end>
      <status>modified</status>
      <modifiedWord>6.</modifiedWord>
      <trackRevisions>false</trackRevisions>
    </reviewItem>
    <reviewItem>
      <errorID>c593567b-cd3d-4a6e-9ceb-7c1f44ed3abf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5C214F16</paraID>
      <start>0</start>
      <end>2</end>
      <status>modified</status>
      <modifiedWord>7.</modifiedWord>
      <trackRevisions>false</trackRevisions>
    </reviewItem>
    <reviewItem>
      <errorID>216d57f6-789a-4a44-8661-e9e01f0db688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59AF5CBB</paraID>
      <start>0</start>
      <end>2</end>
      <status>modified</status>
      <modifiedWord>8.</modifiedWord>
      <trackRevisions>false</trackRevisions>
    </reviewItem>
    <reviewItem>
      <errorID>dfe16576-4356-4371-90a7-9ac2058f8455</errorID>
      <errorWord>,</errorWord>
      <group>L1_Format</group>
      <groupName>格式问题</groupName>
      <ability>L2_HalfPunc</ability>
      <abilityName>全半角检查</abilityName>
      <candidateList>
        <item>，</item>
      </candidateList>
      <explain>文本全半角错误。</explain>
      <paraID>3CC0DB9F</paraID>
      <start>285</start>
      <end>286</end>
      <status>modified</status>
      <modifiedWord>，</modifiedWord>
      <trackRevisions>false</trackRevisions>
    </reviewItem>
    <reviewItem>
      <errorID>fae96027-7c64-4f1b-b102-93d0c3642ee3</errorID>
      <errorWord>.</errorWord>
      <group>L1_Format</group>
      <groupName>格式问题</groupName>
      <ability>L2_HalfPunc</ability>
      <abilityName>全半角检查</abilityName>
      <candidateList>
        <item>。</item>
      </candidateList>
      <explain>文本全半角错误。</explain>
      <paraID>159FFBB6</paraID>
      <start>185</start>
      <end>186</end>
      <status>modified</status>
      <modifiedWord>。</modifiedWord>
      <trackRevisions>false</trackRevisions>
    </reviewItem>
    <reviewItem>
      <errorID>5662ff1a-9556-47a1-8134-3dee0797a6ee</errorID>
      <errorWord>习</errorWord>
      <group>L1_Word</group>
      <groupName>字词问题</groupName>
      <ability>L2_Typo</ability>
      <abilityName>字词错误</abilityName>
      <candidateList>
        <item>习和</item>
      </candidateList>
      <explain/>
      <paraID>53BCE9D2</paraID>
      <start>78</start>
      <end>80</end>
      <status>modified</status>
      <modifiedWord>习和</modifiedWord>
      <trackRevisions>false</trackRevisions>
    </reviewItem>
  </reviewItems>
  <config/>
</contractReview>
</file>

<file path=customXml/itemProps1.xml><?xml version="1.0" encoding="utf-8"?>
<ds:datastoreItem xmlns:ds="http://schemas.openxmlformats.org/officeDocument/2006/customXml" ds:itemID="{a1e9b6d5-48b7-4c64-8b0f-2ad35d016c28}">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3092</Words>
  <Characters>3207</Characters>
  <Lines>3</Lines>
  <Paragraphs>1</Paragraphs>
  <TotalTime>4</TotalTime>
  <ScaleCrop>false</ScaleCrop>
  <LinksUpToDate>false</LinksUpToDate>
  <CharactersWithSpaces>3242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2025-12-05T08:07:48Z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12D0660182144DB5839FC13403EA5F75_12</vt:lpwstr>
  </property>
</Properties>
</file>