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348928">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50BC54F5">
      <w:pPr>
        <w:pStyle w:val="2"/>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峨边彝族自治县宜坪乡人民政府</w:t>
      </w:r>
    </w:p>
    <w:p w14:paraId="097B7C08">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2026年部门预算</w:t>
      </w:r>
    </w:p>
    <w:p w14:paraId="24622711">
      <w:pPr>
        <w:jc w:val="center"/>
        <w:rPr>
          <w:rFonts w:hint="eastAsia" w:ascii="方正小标宋简体" w:hAnsi="方正小标宋简体" w:eastAsia="方正小标宋简体" w:cs="方正小标宋简体"/>
          <w:b w:val="0"/>
          <w:bCs/>
          <w:sz w:val="52"/>
          <w:szCs w:val="52"/>
          <w:lang w:val="en-US" w:eastAsia="zh-CN"/>
        </w:rPr>
      </w:pPr>
    </w:p>
    <w:p w14:paraId="6ACC8C4B">
      <w:pPr>
        <w:jc w:val="both"/>
        <w:rPr>
          <w:rFonts w:hint="default"/>
          <w:b/>
          <w:bCs/>
          <w:sz w:val="52"/>
          <w:szCs w:val="52"/>
          <w:lang w:val="en-US" w:eastAsia="zh-CN"/>
        </w:rPr>
      </w:pPr>
    </w:p>
    <w:p w14:paraId="63FD2E9C">
      <w:pPr>
        <w:jc w:val="both"/>
        <w:rPr>
          <w:rFonts w:hint="default"/>
          <w:b/>
          <w:bCs/>
          <w:sz w:val="52"/>
          <w:szCs w:val="52"/>
          <w:lang w:val="en-US" w:eastAsia="zh-CN"/>
        </w:rPr>
      </w:pPr>
    </w:p>
    <w:p w14:paraId="52F4705D">
      <w:pPr>
        <w:jc w:val="both"/>
        <w:rPr>
          <w:rFonts w:hint="default"/>
          <w:b/>
          <w:bCs/>
          <w:sz w:val="52"/>
          <w:szCs w:val="52"/>
          <w:lang w:val="en-US" w:eastAsia="zh-CN"/>
        </w:rPr>
      </w:pPr>
    </w:p>
    <w:p w14:paraId="1F6EC7A9">
      <w:pPr>
        <w:jc w:val="both"/>
        <w:rPr>
          <w:rFonts w:hint="default"/>
          <w:b/>
          <w:bCs/>
          <w:sz w:val="52"/>
          <w:szCs w:val="52"/>
          <w:lang w:val="en-US" w:eastAsia="zh-CN"/>
        </w:rPr>
      </w:pPr>
    </w:p>
    <w:p w14:paraId="6B53A663">
      <w:pPr>
        <w:jc w:val="center"/>
        <w:rPr>
          <w:rFonts w:hint="default"/>
          <w:b/>
          <w:bCs/>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single"/>
          <w:lang w:val="en-US" w:eastAsia="zh-CN"/>
        </w:rPr>
        <w:t>峨边彝族自治县宜坪乡人民政府</w:t>
      </w:r>
    </w:p>
    <w:p w14:paraId="4A3EC77E">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2026年 3月23日</w:t>
      </w:r>
    </w:p>
    <w:p w14:paraId="25996DD2">
      <w:pPr>
        <w:ind w:left="0" w:leftChars="0" w:firstLine="0" w:firstLineChars="0"/>
        <w:jc w:val="both"/>
        <w:rPr>
          <w:rFonts w:hint="eastAsia"/>
          <w:b/>
          <w:bCs/>
          <w:sz w:val="32"/>
          <w:szCs w:val="32"/>
          <w:lang w:val="en-US" w:eastAsia="zh-CN"/>
        </w:rPr>
      </w:pPr>
    </w:p>
    <w:p w14:paraId="66A7306F">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1A35912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峨边彝族自治县宜坪乡人民政府概况</w:t>
      </w:r>
    </w:p>
    <w:p w14:paraId="25F99F5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198A82F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2026年重点工作</w:t>
      </w:r>
    </w:p>
    <w:p w14:paraId="3F8CBA3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第二部分 峨边彝族自治县宜坪乡人民政府2026年部门预算表</w:t>
      </w:r>
    </w:p>
    <w:p w14:paraId="597D0F3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6C12D18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3B8893B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6C783A4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01C3885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5055227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3BD9AAE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166A89B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101F13E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3F6D8F3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44899D8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0715A90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67C91C5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1D4F861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4B0FC03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6BD9191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第三部分 峨边彝族自治县宜坪乡人民政府2026年部门预算情况说明</w:t>
      </w:r>
    </w:p>
    <w:p w14:paraId="369B936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00EBBC32">
      <w:pPr>
        <w:pStyle w:val="2"/>
        <w:keepNext/>
        <w:keepLines/>
        <w:pageBreakBefore w:val="0"/>
        <w:widowControl w:val="0"/>
        <w:numPr>
          <w:ilvl w:val="0"/>
          <w:numId w:val="0"/>
        </w:numPr>
        <w:kinsoku/>
        <w:wordWrap/>
        <w:overflowPunct/>
        <w:topLinePunct w:val="0"/>
        <w:autoSpaceDE/>
        <w:autoSpaceDN/>
        <w:bidi w:val="0"/>
        <w:adjustRightInd/>
        <w:snapToGrid/>
        <w:spacing w:before="0" w:beforeLines="0"/>
        <w:jc w:val="both"/>
        <w:textAlignment w:val="auto"/>
        <w:rPr>
          <w:rFonts w:hint="eastAsia"/>
          <w:lang w:val="en-US" w:eastAsia="zh-CN"/>
        </w:rPr>
      </w:pPr>
      <w:r>
        <w:rPr>
          <w:rFonts w:hint="eastAsia"/>
          <w:lang w:val="en-US" w:eastAsia="zh-CN"/>
        </w:rPr>
        <w:t xml:space="preserve">         </w:t>
      </w:r>
    </w:p>
    <w:p w14:paraId="1BDAC974">
      <w:pPr>
        <w:rPr>
          <w:rFonts w:hint="eastAsia"/>
          <w:lang w:val="en-US" w:eastAsia="zh-CN"/>
        </w:rPr>
      </w:pPr>
    </w:p>
    <w:p w14:paraId="00FA623E">
      <w:pPr>
        <w:rPr>
          <w:rFonts w:hint="eastAsia"/>
          <w:lang w:val="en-US" w:eastAsia="zh-CN"/>
        </w:rPr>
      </w:pPr>
    </w:p>
    <w:p w14:paraId="43DC5858">
      <w:pPr>
        <w:rPr>
          <w:rFonts w:hint="eastAsia"/>
          <w:lang w:val="en-US" w:eastAsia="zh-CN"/>
        </w:rPr>
      </w:pPr>
    </w:p>
    <w:p w14:paraId="738400CD">
      <w:pPr>
        <w:rPr>
          <w:rFonts w:hint="eastAsia"/>
          <w:lang w:val="en-US" w:eastAsia="zh-CN"/>
        </w:rPr>
      </w:pPr>
    </w:p>
    <w:p w14:paraId="0B23821E">
      <w:pPr>
        <w:rPr>
          <w:rFonts w:hint="eastAsia"/>
          <w:lang w:val="en-US" w:eastAsia="zh-CN"/>
        </w:rPr>
      </w:pPr>
    </w:p>
    <w:p w14:paraId="3FD01AA7">
      <w:pPr>
        <w:rPr>
          <w:rFonts w:hint="eastAsia"/>
          <w:lang w:val="en-US" w:eastAsia="zh-CN"/>
        </w:rPr>
      </w:pPr>
    </w:p>
    <w:p w14:paraId="06CDBD62">
      <w:pPr>
        <w:rPr>
          <w:rFonts w:hint="eastAsia"/>
          <w:lang w:val="en-US" w:eastAsia="zh-CN"/>
        </w:rPr>
      </w:pPr>
    </w:p>
    <w:p w14:paraId="2F09F132">
      <w:pPr>
        <w:rPr>
          <w:rFonts w:hint="eastAsia"/>
          <w:lang w:val="en-US" w:eastAsia="zh-CN"/>
        </w:rPr>
      </w:pPr>
    </w:p>
    <w:p w14:paraId="1A4B06F0">
      <w:pPr>
        <w:rPr>
          <w:rFonts w:hint="eastAsia"/>
          <w:lang w:val="en-US" w:eastAsia="zh-CN"/>
        </w:rPr>
      </w:pPr>
    </w:p>
    <w:p w14:paraId="29B1E2E5">
      <w:pPr>
        <w:rPr>
          <w:rFonts w:hint="eastAsia"/>
          <w:lang w:val="en-US" w:eastAsia="zh-CN"/>
        </w:rPr>
      </w:pPr>
    </w:p>
    <w:p w14:paraId="46ECAEB0">
      <w:pPr>
        <w:rPr>
          <w:rFonts w:hint="default"/>
          <w:lang w:val="en-US" w:eastAsia="zh-CN"/>
        </w:rPr>
      </w:pPr>
    </w:p>
    <w:p w14:paraId="2C48DB84">
      <w:pPr>
        <w:rPr>
          <w:rFonts w:hint="default"/>
          <w:lang w:val="en-US" w:eastAsia="zh-CN"/>
        </w:rPr>
      </w:pPr>
    </w:p>
    <w:p w14:paraId="6D2F424E">
      <w:pPr>
        <w:rPr>
          <w:rFonts w:hint="default"/>
          <w:lang w:val="en-US" w:eastAsia="zh-CN"/>
        </w:rPr>
      </w:pPr>
    </w:p>
    <w:p w14:paraId="4A0F1A7E">
      <w:pPr>
        <w:rPr>
          <w:rFonts w:hint="default"/>
          <w:lang w:val="en-US" w:eastAsia="zh-CN"/>
        </w:rPr>
      </w:pPr>
    </w:p>
    <w:p w14:paraId="4C031D7D">
      <w:pPr>
        <w:rPr>
          <w:rFonts w:hint="default"/>
          <w:lang w:val="en-US" w:eastAsia="zh-CN"/>
        </w:rPr>
      </w:pPr>
    </w:p>
    <w:p w14:paraId="1FAEC5F1">
      <w:pPr>
        <w:rPr>
          <w:rFonts w:hint="default"/>
          <w:lang w:val="en-US" w:eastAsia="zh-CN"/>
        </w:rPr>
      </w:pPr>
    </w:p>
    <w:p w14:paraId="03B187AD">
      <w:pPr>
        <w:rPr>
          <w:rFonts w:hint="default"/>
          <w:lang w:val="en-US" w:eastAsia="zh-CN"/>
        </w:rPr>
      </w:pPr>
    </w:p>
    <w:p w14:paraId="3D3FAF56">
      <w:pPr>
        <w:rPr>
          <w:rFonts w:hint="default"/>
          <w:lang w:val="en-US" w:eastAsia="zh-CN"/>
        </w:rPr>
      </w:pPr>
    </w:p>
    <w:p w14:paraId="549FDEEB">
      <w:pPr>
        <w:rPr>
          <w:rFonts w:hint="default"/>
          <w:lang w:val="en-US" w:eastAsia="zh-CN"/>
        </w:rPr>
      </w:pPr>
    </w:p>
    <w:p w14:paraId="2FA23192">
      <w:pPr>
        <w:rPr>
          <w:rFonts w:hint="default"/>
          <w:lang w:val="en-US" w:eastAsia="zh-CN"/>
        </w:rPr>
      </w:pPr>
    </w:p>
    <w:p w14:paraId="0480E526">
      <w:pPr>
        <w:rPr>
          <w:rFonts w:hint="default"/>
          <w:lang w:val="en-US" w:eastAsia="zh-CN"/>
        </w:rPr>
      </w:pPr>
    </w:p>
    <w:p w14:paraId="5034D8BB">
      <w:pPr>
        <w:rPr>
          <w:rFonts w:hint="default"/>
          <w:lang w:val="en-US" w:eastAsia="zh-CN"/>
        </w:rPr>
      </w:pPr>
    </w:p>
    <w:p w14:paraId="358E9AF9">
      <w:pPr>
        <w:rPr>
          <w:rFonts w:hint="default"/>
          <w:lang w:val="en-US" w:eastAsia="zh-CN"/>
        </w:rPr>
      </w:pPr>
    </w:p>
    <w:p w14:paraId="78A54FD2">
      <w:pPr>
        <w:rPr>
          <w:rFonts w:hint="default"/>
          <w:lang w:val="en-US" w:eastAsia="zh-CN"/>
        </w:rPr>
      </w:pPr>
    </w:p>
    <w:p w14:paraId="657C3AB6">
      <w:pPr>
        <w:pStyle w:val="2"/>
        <w:keepNext/>
        <w:keepLines/>
        <w:pageBreakBefore w:val="0"/>
        <w:widowControl w:val="0"/>
        <w:numPr>
          <w:ilvl w:val="0"/>
          <w:numId w:val="2"/>
        </w:numPr>
        <w:kinsoku/>
        <w:wordWrap/>
        <w:overflowPunct/>
        <w:topLinePunct w:val="0"/>
        <w:autoSpaceDE/>
        <w:autoSpaceDN/>
        <w:bidi w:val="0"/>
        <w:adjustRightInd/>
        <w:snapToGrid/>
        <w:spacing w:before="0" w:beforeLines="0"/>
        <w:jc w:val="center"/>
        <w:textAlignment w:val="auto"/>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 xml:space="preserve"> </w:t>
      </w:r>
    </w:p>
    <w:p w14:paraId="6E480A97">
      <w:pPr>
        <w:pStyle w:val="2"/>
        <w:keepNext/>
        <w:keepLines/>
        <w:pageBreakBefore w:val="0"/>
        <w:widowControl w:val="0"/>
        <w:numPr>
          <w:ilvl w:val="0"/>
          <w:numId w:val="0"/>
        </w:numPr>
        <w:kinsoku/>
        <w:wordWrap/>
        <w:overflowPunct/>
        <w:topLinePunct w:val="0"/>
        <w:autoSpaceDE/>
        <w:autoSpaceDN/>
        <w:bidi w:val="0"/>
        <w:adjustRightInd/>
        <w:snapToGrid/>
        <w:spacing w:before="0" w:beforeLines="0"/>
        <w:jc w:val="center"/>
        <w:textAlignment w:val="auto"/>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峨边彝族自治县宜坪乡人民政府</w:t>
      </w:r>
    </w:p>
    <w:p w14:paraId="6C35FC4A">
      <w:pPr>
        <w:pStyle w:val="2"/>
        <w:keepNext/>
        <w:keepLines/>
        <w:pageBreakBefore w:val="0"/>
        <w:widowControl w:val="0"/>
        <w:numPr>
          <w:ilvl w:val="0"/>
          <w:numId w:val="0"/>
        </w:numPr>
        <w:kinsoku/>
        <w:wordWrap/>
        <w:overflowPunct/>
        <w:topLinePunct w:val="0"/>
        <w:autoSpaceDE/>
        <w:autoSpaceDN/>
        <w:bidi w:val="0"/>
        <w:adjustRightInd/>
        <w:snapToGrid/>
        <w:spacing w:before="0" w:beforeLines="0"/>
        <w:jc w:val="center"/>
        <w:textAlignment w:val="auto"/>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概况</w:t>
      </w:r>
    </w:p>
    <w:p w14:paraId="40837C84">
      <w:pPr>
        <w:rPr>
          <w:rFonts w:hint="eastAsia" w:ascii="方正小标宋简体" w:hAnsi="方正小标宋简体" w:eastAsia="方正小标宋简体" w:cs="方正小标宋简体"/>
          <w:b w:val="0"/>
          <w:bCs/>
          <w:lang w:val="en-US" w:eastAsia="zh-CN"/>
        </w:rPr>
      </w:pPr>
    </w:p>
    <w:p w14:paraId="1B8E7B1B">
      <w:pPr>
        <w:rPr>
          <w:rFonts w:hint="eastAsia" w:ascii="方正小标宋简体" w:hAnsi="方正小标宋简体" w:eastAsia="方正小标宋简体" w:cs="方正小标宋简体"/>
          <w:b w:val="0"/>
          <w:bCs/>
          <w:lang w:val="en-US" w:eastAsia="zh-CN"/>
        </w:rPr>
      </w:pPr>
    </w:p>
    <w:p w14:paraId="2A62EA22">
      <w:pPr>
        <w:rPr>
          <w:rFonts w:hint="eastAsia" w:ascii="方正小标宋简体" w:hAnsi="方正小标宋简体" w:eastAsia="方正小标宋简体" w:cs="方正小标宋简体"/>
          <w:b w:val="0"/>
          <w:bCs/>
          <w:lang w:val="en-US" w:eastAsia="zh-CN"/>
        </w:rPr>
      </w:pPr>
    </w:p>
    <w:p w14:paraId="0581F35F">
      <w:pPr>
        <w:rPr>
          <w:rFonts w:hint="eastAsia" w:ascii="方正小标宋简体" w:hAnsi="方正小标宋简体" w:eastAsia="方正小标宋简体" w:cs="方正小标宋简体"/>
          <w:b w:val="0"/>
          <w:bCs/>
          <w:lang w:val="en-US" w:eastAsia="zh-CN"/>
        </w:rPr>
      </w:pPr>
    </w:p>
    <w:p w14:paraId="4D3E0522">
      <w:pPr>
        <w:rPr>
          <w:rFonts w:hint="eastAsia" w:ascii="方正小标宋简体" w:hAnsi="方正小标宋简体" w:eastAsia="方正小标宋简体" w:cs="方正小标宋简体"/>
          <w:b w:val="0"/>
          <w:bCs/>
          <w:lang w:val="en-US" w:eastAsia="zh-CN"/>
        </w:rPr>
      </w:pPr>
    </w:p>
    <w:p w14:paraId="304A62FF">
      <w:pPr>
        <w:rPr>
          <w:rFonts w:hint="eastAsia" w:ascii="方正小标宋简体" w:hAnsi="方正小标宋简体" w:eastAsia="方正小标宋简体" w:cs="方正小标宋简体"/>
          <w:b w:val="0"/>
          <w:bCs/>
          <w:lang w:val="en-US" w:eastAsia="zh-CN"/>
        </w:rPr>
      </w:pPr>
    </w:p>
    <w:p w14:paraId="6DC5BD49">
      <w:pPr>
        <w:rPr>
          <w:rFonts w:hint="eastAsia" w:ascii="方正小标宋简体" w:hAnsi="方正小标宋简体" w:eastAsia="方正小标宋简体" w:cs="方正小标宋简体"/>
          <w:b w:val="0"/>
          <w:bCs/>
          <w:lang w:val="en-US" w:eastAsia="zh-CN"/>
        </w:rPr>
      </w:pPr>
    </w:p>
    <w:p w14:paraId="1D62E515">
      <w:pPr>
        <w:rPr>
          <w:rFonts w:hint="eastAsia" w:ascii="方正小标宋简体" w:hAnsi="方正小标宋简体" w:eastAsia="方正小标宋简体" w:cs="方正小标宋简体"/>
          <w:b w:val="0"/>
          <w:bCs/>
          <w:lang w:val="en-US" w:eastAsia="zh-CN"/>
        </w:rPr>
      </w:pPr>
    </w:p>
    <w:p w14:paraId="7A98FFB6">
      <w:pPr>
        <w:bidi w:val="0"/>
        <w:ind w:left="0" w:leftChars="0" w:firstLine="0" w:firstLineChars="0"/>
        <w:rPr>
          <w:rFonts w:hint="eastAsia" w:ascii="黑体" w:hAnsi="黑体" w:eastAsia="黑体" w:cs="黑体"/>
          <w:lang w:val="en-US" w:eastAsia="zh-CN"/>
        </w:rPr>
      </w:pPr>
    </w:p>
    <w:p w14:paraId="6C940C42">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3029FA8A">
      <w:pPr>
        <w:numPr>
          <w:ilvl w:val="0"/>
          <w:numId w:val="0"/>
        </w:numPr>
        <w:bidi w:val="0"/>
        <w:ind w:firstLine="640" w:firstLineChars="200"/>
        <w:rPr>
          <w:rFonts w:hint="eastAsia" w:ascii="仿宋_GB2312" w:hAnsi="仿宋_GB2312" w:eastAsia="仿宋_GB2312" w:cs="仿宋_GB2312"/>
          <w:color w:val="FF0000"/>
          <w:sz w:val="32"/>
          <w:szCs w:val="32"/>
        </w:rPr>
      </w:pPr>
      <w:r>
        <w:rPr>
          <w:rFonts w:hint="eastAsia" w:ascii="楷体" w:hAnsi="楷体" w:eastAsia="楷体" w:cs="楷体"/>
          <w:color w:val="000000" w:themeColor="text1"/>
          <w:sz w:val="32"/>
          <w:szCs w:val="32"/>
          <w14:textFill>
            <w14:solidFill>
              <w14:schemeClr w14:val="tx1"/>
            </w14:solidFill>
          </w14:textFill>
        </w:rPr>
        <w:t>（一）职能简介</w:t>
      </w:r>
    </w:p>
    <w:p w14:paraId="18C068AB">
      <w:pPr>
        <w:spacing w:before="51" w:line="354" w:lineRule="auto"/>
        <w:ind w:left="0" w:leftChars="0" w:right="280" w:firstLine="624" w:firstLineChars="200"/>
        <w:rPr>
          <w:rFonts w:hint="eastAsia" w:ascii="仿宋" w:hAnsi="仿宋" w:eastAsia="仿宋" w:cs="仿宋"/>
          <w:snapToGrid w:val="0"/>
          <w:color w:val="000000"/>
          <w:spacing w:val="-4"/>
          <w:kern w:val="0"/>
          <w:sz w:val="32"/>
          <w:szCs w:val="32"/>
          <w:lang w:eastAsia="en-US"/>
        </w:rPr>
      </w:pPr>
      <w:r>
        <w:rPr>
          <w:rFonts w:hint="eastAsia" w:ascii="仿宋" w:hAnsi="仿宋" w:cs="仿宋"/>
          <w:snapToGrid w:val="0"/>
          <w:color w:val="000000"/>
          <w:spacing w:val="-4"/>
          <w:kern w:val="0"/>
          <w:sz w:val="32"/>
          <w:szCs w:val="32"/>
          <w:lang w:val="en-US" w:eastAsia="zh-CN"/>
        </w:rPr>
        <w:t>1.</w:t>
      </w:r>
      <w:r>
        <w:rPr>
          <w:rFonts w:hint="eastAsia" w:ascii="仿宋" w:hAnsi="仿宋" w:eastAsia="仿宋" w:cs="仿宋"/>
          <w:snapToGrid w:val="0"/>
          <w:color w:val="000000"/>
          <w:spacing w:val="-4"/>
          <w:kern w:val="0"/>
          <w:sz w:val="32"/>
          <w:szCs w:val="32"/>
          <w:lang w:eastAsia="en-US"/>
        </w:rPr>
        <w:t>乡党委主要职责</w:t>
      </w:r>
    </w:p>
    <w:p w14:paraId="0827AB05">
      <w:pPr>
        <w:spacing w:before="51" w:line="354" w:lineRule="auto"/>
        <w:ind w:right="280" w:firstLine="650"/>
        <w:rPr>
          <w:rFonts w:hint="eastAsia" w:ascii="仿宋" w:hAnsi="仿宋" w:eastAsia="仿宋" w:cs="仿宋"/>
          <w:snapToGrid w:val="0"/>
          <w:color w:val="000000"/>
          <w:spacing w:val="-4"/>
          <w:kern w:val="0"/>
          <w:sz w:val="32"/>
          <w:szCs w:val="32"/>
          <w:lang w:eastAsia="en-US"/>
        </w:rPr>
      </w:pPr>
      <w:r>
        <w:rPr>
          <w:rFonts w:hint="eastAsia" w:ascii="仿宋" w:hAnsi="仿宋" w:cs="仿宋"/>
          <w:snapToGrid w:val="0"/>
          <w:color w:val="000000"/>
          <w:spacing w:val="-4"/>
          <w:kern w:val="0"/>
          <w:sz w:val="32"/>
          <w:szCs w:val="32"/>
          <w:lang w:eastAsia="zh-CN"/>
        </w:rPr>
        <w:t>（</w:t>
      </w:r>
      <w:r>
        <w:rPr>
          <w:rFonts w:hint="eastAsia" w:ascii="仿宋" w:hAnsi="仿宋" w:eastAsia="仿宋" w:cs="仿宋"/>
          <w:snapToGrid w:val="0"/>
          <w:color w:val="000000"/>
          <w:spacing w:val="-4"/>
          <w:kern w:val="0"/>
          <w:sz w:val="32"/>
          <w:szCs w:val="32"/>
          <w:lang w:eastAsia="en-US"/>
        </w:rPr>
        <w:t>1</w:t>
      </w:r>
      <w:r>
        <w:rPr>
          <w:rFonts w:hint="eastAsia" w:ascii="仿宋" w:hAnsi="仿宋" w:cs="仿宋"/>
          <w:snapToGrid w:val="0"/>
          <w:color w:val="000000"/>
          <w:spacing w:val="-4"/>
          <w:kern w:val="0"/>
          <w:sz w:val="32"/>
          <w:szCs w:val="32"/>
          <w:lang w:eastAsia="zh-CN"/>
        </w:rPr>
        <w:t>）</w:t>
      </w:r>
      <w:r>
        <w:rPr>
          <w:rFonts w:hint="eastAsia" w:ascii="仿宋" w:hAnsi="仿宋" w:eastAsia="仿宋" w:cs="仿宋"/>
          <w:snapToGrid w:val="0"/>
          <w:color w:val="000000"/>
          <w:spacing w:val="-4"/>
          <w:kern w:val="0"/>
          <w:sz w:val="32"/>
          <w:szCs w:val="32"/>
          <w:lang w:eastAsia="en-US"/>
        </w:rPr>
        <w:t>宣传和贯彻执行党的路线方针政策和党中央、上级党组织及本乡党员代表大会的决议。</w:t>
      </w:r>
    </w:p>
    <w:p w14:paraId="097CA3EF">
      <w:pPr>
        <w:spacing w:before="51" w:line="354" w:lineRule="auto"/>
        <w:ind w:right="280" w:firstLine="650"/>
        <w:rPr>
          <w:rFonts w:hint="eastAsia" w:ascii="仿宋" w:hAnsi="仿宋" w:eastAsia="仿宋" w:cs="仿宋"/>
          <w:snapToGrid w:val="0"/>
          <w:color w:val="000000"/>
          <w:spacing w:val="-4"/>
          <w:kern w:val="0"/>
          <w:sz w:val="32"/>
          <w:szCs w:val="32"/>
          <w:lang w:eastAsia="en-US"/>
        </w:rPr>
      </w:pPr>
      <w:r>
        <w:rPr>
          <w:rFonts w:hint="eastAsia" w:ascii="仿宋" w:hAnsi="仿宋" w:cs="仿宋"/>
          <w:snapToGrid w:val="0"/>
          <w:color w:val="000000"/>
          <w:spacing w:val="-4"/>
          <w:kern w:val="0"/>
          <w:sz w:val="32"/>
          <w:szCs w:val="32"/>
          <w:lang w:eastAsia="zh-CN"/>
        </w:rPr>
        <w:t>（</w:t>
      </w:r>
      <w:r>
        <w:rPr>
          <w:rFonts w:hint="eastAsia" w:ascii="仿宋" w:hAnsi="仿宋" w:cs="仿宋"/>
          <w:snapToGrid w:val="0"/>
          <w:color w:val="000000"/>
          <w:spacing w:val="-4"/>
          <w:kern w:val="0"/>
          <w:sz w:val="32"/>
          <w:szCs w:val="32"/>
          <w:lang w:val="en-US" w:eastAsia="zh-CN"/>
        </w:rPr>
        <w:t>2</w:t>
      </w:r>
      <w:r>
        <w:rPr>
          <w:rFonts w:hint="eastAsia" w:ascii="仿宋" w:hAnsi="仿宋" w:cs="仿宋"/>
          <w:snapToGrid w:val="0"/>
          <w:color w:val="000000"/>
          <w:spacing w:val="-4"/>
          <w:kern w:val="0"/>
          <w:sz w:val="32"/>
          <w:szCs w:val="32"/>
          <w:lang w:eastAsia="zh-CN"/>
        </w:rPr>
        <w:t>）</w:t>
      </w:r>
      <w:r>
        <w:rPr>
          <w:rFonts w:hint="eastAsia" w:ascii="仿宋" w:hAnsi="仿宋" w:eastAsia="仿宋" w:cs="仿宋"/>
          <w:snapToGrid w:val="0"/>
          <w:color w:val="000000"/>
          <w:spacing w:val="-4"/>
          <w:kern w:val="0"/>
          <w:sz w:val="32"/>
          <w:szCs w:val="32"/>
          <w:lang w:eastAsia="en-US"/>
        </w:rPr>
        <w:t>讨论和决定本乡经济建设、政治建设、文化建设、社会建设、生态文明建设和党的建设以及乡村振兴中的重大问题。需由乡政权机关或者集体经济组织决定的重要事项，经乡党委研究讨论后，由乡政权机关或者集体经济组织依照法律和有关规定作出决定。</w:t>
      </w:r>
    </w:p>
    <w:p w14:paraId="6B530F72">
      <w:pPr>
        <w:spacing w:before="51" w:line="354" w:lineRule="auto"/>
        <w:ind w:right="280" w:firstLine="650"/>
        <w:rPr>
          <w:rFonts w:hint="eastAsia" w:ascii="仿宋" w:hAnsi="仿宋" w:eastAsia="仿宋" w:cs="仿宋"/>
          <w:snapToGrid w:val="0"/>
          <w:color w:val="000000"/>
          <w:spacing w:val="-4"/>
          <w:kern w:val="0"/>
          <w:sz w:val="32"/>
          <w:szCs w:val="32"/>
          <w:lang w:eastAsia="en-US"/>
        </w:rPr>
      </w:pPr>
      <w:r>
        <w:rPr>
          <w:rFonts w:hint="eastAsia" w:ascii="仿宋" w:hAnsi="仿宋" w:cs="仿宋"/>
          <w:snapToGrid w:val="0"/>
          <w:color w:val="000000"/>
          <w:spacing w:val="-4"/>
          <w:kern w:val="0"/>
          <w:sz w:val="32"/>
          <w:szCs w:val="32"/>
          <w:lang w:eastAsia="zh-CN"/>
        </w:rPr>
        <w:t>（</w:t>
      </w:r>
      <w:r>
        <w:rPr>
          <w:rFonts w:hint="eastAsia" w:ascii="仿宋" w:hAnsi="仿宋" w:cs="仿宋"/>
          <w:snapToGrid w:val="0"/>
          <w:color w:val="000000"/>
          <w:spacing w:val="-4"/>
          <w:kern w:val="0"/>
          <w:sz w:val="32"/>
          <w:szCs w:val="32"/>
          <w:lang w:val="en-US" w:eastAsia="zh-CN"/>
        </w:rPr>
        <w:t>3</w:t>
      </w:r>
      <w:r>
        <w:rPr>
          <w:rFonts w:hint="eastAsia" w:ascii="仿宋" w:hAnsi="仿宋" w:cs="仿宋"/>
          <w:snapToGrid w:val="0"/>
          <w:color w:val="000000"/>
          <w:spacing w:val="-4"/>
          <w:kern w:val="0"/>
          <w:sz w:val="32"/>
          <w:szCs w:val="32"/>
          <w:lang w:eastAsia="zh-CN"/>
        </w:rPr>
        <w:t>）</w:t>
      </w:r>
      <w:r>
        <w:rPr>
          <w:rFonts w:hint="eastAsia" w:ascii="仿宋" w:hAnsi="仿宋" w:eastAsia="仿宋" w:cs="仿宋"/>
          <w:snapToGrid w:val="0"/>
          <w:color w:val="000000"/>
          <w:spacing w:val="-4"/>
          <w:kern w:val="0"/>
          <w:sz w:val="32"/>
          <w:szCs w:val="32"/>
          <w:lang w:eastAsia="en-US"/>
        </w:rPr>
        <w:t>领导乡政权机关、群团组织和其他各类组织，加强指导和规范，支持和保证这些机关和组织依照国家法律法规以及各自章程履行职责。</w:t>
      </w:r>
    </w:p>
    <w:p w14:paraId="4BD5EAED">
      <w:pPr>
        <w:spacing w:before="51" w:line="354" w:lineRule="auto"/>
        <w:ind w:right="280" w:firstLine="650"/>
        <w:rPr>
          <w:rFonts w:hint="eastAsia" w:ascii="仿宋" w:hAnsi="仿宋" w:eastAsia="仿宋" w:cs="仿宋"/>
          <w:snapToGrid w:val="0"/>
          <w:color w:val="000000"/>
          <w:spacing w:val="-4"/>
          <w:kern w:val="0"/>
          <w:sz w:val="32"/>
          <w:szCs w:val="32"/>
          <w:lang w:eastAsia="en-US"/>
        </w:rPr>
      </w:pPr>
      <w:r>
        <w:rPr>
          <w:rFonts w:hint="eastAsia" w:ascii="仿宋" w:hAnsi="仿宋" w:cs="仿宋"/>
          <w:snapToGrid w:val="0"/>
          <w:color w:val="000000"/>
          <w:spacing w:val="-4"/>
          <w:kern w:val="0"/>
          <w:sz w:val="32"/>
          <w:szCs w:val="32"/>
          <w:lang w:eastAsia="zh-CN"/>
        </w:rPr>
        <w:t>（</w:t>
      </w:r>
      <w:r>
        <w:rPr>
          <w:rFonts w:hint="eastAsia" w:ascii="仿宋" w:hAnsi="仿宋" w:cs="仿宋"/>
          <w:snapToGrid w:val="0"/>
          <w:color w:val="000000"/>
          <w:spacing w:val="-4"/>
          <w:kern w:val="0"/>
          <w:sz w:val="32"/>
          <w:szCs w:val="32"/>
          <w:lang w:val="en-US" w:eastAsia="zh-CN"/>
        </w:rPr>
        <w:t>4</w:t>
      </w:r>
      <w:r>
        <w:rPr>
          <w:rFonts w:hint="eastAsia" w:ascii="仿宋" w:hAnsi="仿宋" w:cs="仿宋"/>
          <w:snapToGrid w:val="0"/>
          <w:color w:val="000000"/>
          <w:spacing w:val="-4"/>
          <w:kern w:val="0"/>
          <w:sz w:val="32"/>
          <w:szCs w:val="32"/>
          <w:lang w:eastAsia="zh-CN"/>
        </w:rPr>
        <w:t>）</w:t>
      </w:r>
      <w:r>
        <w:rPr>
          <w:rFonts w:hint="eastAsia" w:ascii="仿宋" w:hAnsi="仿宋" w:eastAsia="仿宋" w:cs="仿宋"/>
          <w:snapToGrid w:val="0"/>
          <w:color w:val="000000"/>
          <w:spacing w:val="-4"/>
          <w:kern w:val="0"/>
          <w:sz w:val="32"/>
          <w:szCs w:val="32"/>
          <w:lang w:eastAsia="en-US"/>
        </w:rPr>
        <w:t>加强乡党委自身建设和村</w:t>
      </w:r>
      <w:r>
        <w:rPr>
          <w:rFonts w:hint="eastAsia" w:ascii="仿宋" w:hAnsi="仿宋" w:cs="仿宋"/>
          <w:snapToGrid w:val="0"/>
          <w:color w:val="000000"/>
          <w:spacing w:val="-4"/>
          <w:kern w:val="0"/>
          <w:sz w:val="32"/>
          <w:szCs w:val="32"/>
          <w:lang w:eastAsia="zh-CN"/>
        </w:rPr>
        <w:t>（</w:t>
      </w:r>
      <w:r>
        <w:rPr>
          <w:rFonts w:hint="eastAsia" w:ascii="仿宋" w:hAnsi="仿宋" w:eastAsia="仿宋" w:cs="仿宋"/>
          <w:snapToGrid w:val="0"/>
          <w:color w:val="000000"/>
          <w:spacing w:val="-4"/>
          <w:kern w:val="0"/>
          <w:sz w:val="32"/>
          <w:szCs w:val="32"/>
          <w:lang w:eastAsia="en-US"/>
        </w:rPr>
        <w:t>社区</w:t>
      </w:r>
      <w:r>
        <w:rPr>
          <w:rFonts w:hint="eastAsia" w:ascii="仿宋" w:hAnsi="仿宋" w:cs="仿宋"/>
          <w:snapToGrid w:val="0"/>
          <w:color w:val="000000"/>
          <w:spacing w:val="-4"/>
          <w:kern w:val="0"/>
          <w:sz w:val="32"/>
          <w:szCs w:val="32"/>
          <w:lang w:eastAsia="zh-CN"/>
        </w:rPr>
        <w:t>）</w:t>
      </w:r>
      <w:r>
        <w:rPr>
          <w:rFonts w:hint="eastAsia" w:ascii="仿宋" w:hAnsi="仿宋" w:eastAsia="仿宋" w:cs="仿宋"/>
          <w:snapToGrid w:val="0"/>
          <w:color w:val="000000"/>
          <w:spacing w:val="-4"/>
          <w:kern w:val="0"/>
          <w:sz w:val="32"/>
          <w:szCs w:val="32"/>
          <w:lang w:eastAsia="en-US"/>
        </w:rPr>
        <w:t>党组织建设，以及其他隶属乡党委的党组织建设，抓好发展党员工作，加强党员队伍建设。维护和执行党的纪律，监督党员干部和其他任何工作人员严 格遵守国家法律法规。</w:t>
      </w:r>
    </w:p>
    <w:p w14:paraId="216FCB27">
      <w:pPr>
        <w:spacing w:before="51" w:line="354" w:lineRule="auto"/>
        <w:ind w:right="280" w:firstLine="650"/>
        <w:rPr>
          <w:rFonts w:hint="eastAsia" w:ascii="仿宋" w:hAnsi="仿宋" w:eastAsia="仿宋" w:cs="仿宋"/>
          <w:snapToGrid w:val="0"/>
          <w:color w:val="000000"/>
          <w:spacing w:val="-4"/>
          <w:kern w:val="0"/>
          <w:sz w:val="32"/>
          <w:szCs w:val="32"/>
          <w:lang w:eastAsia="en-US"/>
        </w:rPr>
      </w:pPr>
      <w:r>
        <w:rPr>
          <w:rFonts w:hint="eastAsia" w:ascii="仿宋" w:hAnsi="仿宋" w:cs="仿宋"/>
          <w:snapToGrid w:val="0"/>
          <w:color w:val="000000"/>
          <w:spacing w:val="-4"/>
          <w:kern w:val="0"/>
          <w:sz w:val="32"/>
          <w:szCs w:val="32"/>
          <w:lang w:eastAsia="zh-CN"/>
        </w:rPr>
        <w:t>（</w:t>
      </w:r>
      <w:r>
        <w:rPr>
          <w:rFonts w:hint="eastAsia" w:ascii="仿宋" w:hAnsi="仿宋" w:cs="仿宋"/>
          <w:snapToGrid w:val="0"/>
          <w:color w:val="000000"/>
          <w:spacing w:val="-4"/>
          <w:kern w:val="0"/>
          <w:sz w:val="32"/>
          <w:szCs w:val="32"/>
          <w:lang w:val="en-US" w:eastAsia="zh-CN"/>
        </w:rPr>
        <w:t>5</w:t>
      </w:r>
      <w:r>
        <w:rPr>
          <w:rFonts w:hint="eastAsia" w:ascii="仿宋" w:hAnsi="仿宋" w:cs="仿宋"/>
          <w:snapToGrid w:val="0"/>
          <w:color w:val="000000"/>
          <w:spacing w:val="-4"/>
          <w:kern w:val="0"/>
          <w:sz w:val="32"/>
          <w:szCs w:val="32"/>
          <w:lang w:eastAsia="zh-CN"/>
        </w:rPr>
        <w:t>）</w:t>
      </w:r>
      <w:r>
        <w:rPr>
          <w:rFonts w:hint="eastAsia" w:ascii="仿宋" w:hAnsi="仿宋" w:eastAsia="仿宋" w:cs="仿宋"/>
          <w:snapToGrid w:val="0"/>
          <w:color w:val="000000"/>
          <w:spacing w:val="-4"/>
          <w:kern w:val="0"/>
          <w:sz w:val="32"/>
          <w:szCs w:val="32"/>
          <w:lang w:eastAsia="en-US"/>
        </w:rPr>
        <w:t>按照干部管理权限，负责干部的教育、培训、选拔、考核和监督工作。协助管理上级有关部门驻乡单位的干部。做好人才 服务和引进工作。</w:t>
      </w:r>
    </w:p>
    <w:p w14:paraId="465C0401">
      <w:pPr>
        <w:spacing w:before="51" w:line="354" w:lineRule="auto"/>
        <w:ind w:right="280" w:firstLine="650"/>
        <w:rPr>
          <w:rFonts w:hint="eastAsia" w:ascii="仿宋" w:hAnsi="仿宋" w:eastAsia="仿宋" w:cs="仿宋"/>
          <w:snapToGrid w:val="0"/>
          <w:color w:val="000000"/>
          <w:spacing w:val="-4"/>
          <w:kern w:val="0"/>
          <w:sz w:val="32"/>
          <w:szCs w:val="32"/>
          <w:lang w:eastAsia="en-US"/>
        </w:rPr>
      </w:pPr>
      <w:r>
        <w:rPr>
          <w:rFonts w:hint="eastAsia" w:ascii="仿宋" w:hAnsi="仿宋" w:cs="仿宋"/>
          <w:snapToGrid w:val="0"/>
          <w:color w:val="000000"/>
          <w:spacing w:val="-4"/>
          <w:kern w:val="0"/>
          <w:sz w:val="32"/>
          <w:szCs w:val="32"/>
          <w:lang w:eastAsia="zh-CN"/>
        </w:rPr>
        <w:t>（</w:t>
      </w:r>
      <w:r>
        <w:rPr>
          <w:rFonts w:hint="eastAsia" w:ascii="仿宋" w:hAnsi="仿宋" w:cs="仿宋"/>
          <w:snapToGrid w:val="0"/>
          <w:color w:val="000000"/>
          <w:spacing w:val="-4"/>
          <w:kern w:val="0"/>
          <w:sz w:val="32"/>
          <w:szCs w:val="32"/>
          <w:lang w:val="en-US" w:eastAsia="zh-CN"/>
        </w:rPr>
        <w:t>6</w:t>
      </w:r>
      <w:r>
        <w:rPr>
          <w:rFonts w:hint="eastAsia" w:ascii="仿宋" w:hAnsi="仿宋" w:cs="仿宋"/>
          <w:snapToGrid w:val="0"/>
          <w:color w:val="000000"/>
          <w:spacing w:val="-4"/>
          <w:kern w:val="0"/>
          <w:sz w:val="32"/>
          <w:szCs w:val="32"/>
          <w:lang w:eastAsia="zh-CN"/>
        </w:rPr>
        <w:t>）</w:t>
      </w:r>
      <w:r>
        <w:rPr>
          <w:rFonts w:hint="eastAsia" w:ascii="仿宋" w:hAnsi="仿宋" w:eastAsia="仿宋" w:cs="仿宋"/>
          <w:snapToGrid w:val="0"/>
          <w:color w:val="000000"/>
          <w:spacing w:val="-4"/>
          <w:kern w:val="0"/>
          <w:sz w:val="32"/>
          <w:szCs w:val="32"/>
          <w:lang w:eastAsia="en-US"/>
        </w:rPr>
        <w:t>领导本乡的基层治理，加强社会主义民主法治建设和精神文明建设，加强社会治安综合治理，做好生态环保、宜居宜业和美乡村建设、民生保障、民族宗教等工作。</w:t>
      </w:r>
    </w:p>
    <w:p w14:paraId="094BA781">
      <w:pPr>
        <w:spacing w:before="51" w:line="354" w:lineRule="auto"/>
        <w:ind w:right="280" w:firstLine="650"/>
        <w:rPr>
          <w:rFonts w:hint="eastAsia" w:ascii="仿宋" w:hAnsi="仿宋" w:eastAsia="仿宋" w:cs="仿宋"/>
          <w:snapToGrid w:val="0"/>
          <w:color w:val="000000"/>
          <w:spacing w:val="-4"/>
          <w:kern w:val="0"/>
          <w:sz w:val="32"/>
          <w:szCs w:val="32"/>
          <w:lang w:eastAsia="en-US"/>
        </w:rPr>
      </w:pPr>
      <w:r>
        <w:rPr>
          <w:rFonts w:hint="eastAsia" w:ascii="仿宋" w:hAnsi="仿宋" w:cs="仿宋"/>
          <w:snapToGrid w:val="0"/>
          <w:color w:val="000000"/>
          <w:spacing w:val="-4"/>
          <w:kern w:val="0"/>
          <w:sz w:val="32"/>
          <w:szCs w:val="32"/>
          <w:lang w:eastAsia="zh-CN"/>
        </w:rPr>
        <w:t>（</w:t>
      </w:r>
      <w:r>
        <w:rPr>
          <w:rFonts w:hint="eastAsia" w:ascii="仿宋" w:hAnsi="仿宋" w:cs="仿宋"/>
          <w:snapToGrid w:val="0"/>
          <w:color w:val="000000"/>
          <w:spacing w:val="-4"/>
          <w:kern w:val="0"/>
          <w:sz w:val="32"/>
          <w:szCs w:val="32"/>
          <w:lang w:val="en-US" w:eastAsia="zh-CN"/>
        </w:rPr>
        <w:t>7</w:t>
      </w:r>
      <w:r>
        <w:rPr>
          <w:rFonts w:hint="eastAsia" w:ascii="仿宋" w:hAnsi="仿宋" w:cs="仿宋"/>
          <w:snapToGrid w:val="0"/>
          <w:color w:val="000000"/>
          <w:spacing w:val="-4"/>
          <w:kern w:val="0"/>
          <w:sz w:val="32"/>
          <w:szCs w:val="32"/>
          <w:lang w:eastAsia="zh-CN"/>
        </w:rPr>
        <w:t>）</w:t>
      </w:r>
      <w:r>
        <w:rPr>
          <w:rFonts w:hint="eastAsia" w:ascii="仿宋" w:hAnsi="仿宋" w:eastAsia="仿宋" w:cs="仿宋"/>
          <w:snapToGrid w:val="0"/>
          <w:color w:val="000000"/>
          <w:spacing w:val="-4"/>
          <w:kern w:val="0"/>
          <w:sz w:val="32"/>
          <w:szCs w:val="32"/>
          <w:lang w:eastAsia="en-US"/>
        </w:rPr>
        <w:t>完成上级党委交办的其他任务。</w:t>
      </w:r>
    </w:p>
    <w:p w14:paraId="701E9A3F">
      <w:pPr>
        <w:spacing w:before="51" w:line="354" w:lineRule="auto"/>
        <w:ind w:left="0" w:leftChars="0" w:right="280" w:firstLine="624" w:firstLineChars="200"/>
        <w:rPr>
          <w:rFonts w:hint="eastAsia" w:ascii="仿宋" w:hAnsi="仿宋" w:eastAsia="仿宋" w:cs="仿宋"/>
          <w:snapToGrid w:val="0"/>
          <w:color w:val="000000"/>
          <w:spacing w:val="-4"/>
          <w:kern w:val="0"/>
          <w:sz w:val="32"/>
          <w:szCs w:val="32"/>
          <w:lang w:eastAsia="en-US"/>
        </w:rPr>
      </w:pPr>
      <w:r>
        <w:rPr>
          <w:rFonts w:hint="eastAsia" w:ascii="仿宋" w:hAnsi="仿宋" w:cs="仿宋"/>
          <w:snapToGrid w:val="0"/>
          <w:color w:val="000000"/>
          <w:spacing w:val="-4"/>
          <w:kern w:val="0"/>
          <w:sz w:val="32"/>
          <w:szCs w:val="32"/>
          <w:lang w:val="en-US" w:eastAsia="zh-CN"/>
        </w:rPr>
        <w:t>2.</w:t>
      </w:r>
      <w:r>
        <w:rPr>
          <w:rFonts w:hint="eastAsia" w:ascii="仿宋" w:hAnsi="仿宋" w:eastAsia="仿宋" w:cs="仿宋"/>
          <w:snapToGrid w:val="0"/>
          <w:color w:val="000000"/>
          <w:spacing w:val="-4"/>
          <w:kern w:val="0"/>
          <w:sz w:val="32"/>
          <w:szCs w:val="32"/>
          <w:lang w:eastAsia="en-US"/>
        </w:rPr>
        <w:t>乡人民政府主要职责</w:t>
      </w:r>
    </w:p>
    <w:p w14:paraId="4B1E5C41">
      <w:pPr>
        <w:spacing w:before="51" w:line="354" w:lineRule="auto"/>
        <w:ind w:right="280" w:firstLine="650"/>
        <w:rPr>
          <w:rFonts w:hint="eastAsia" w:ascii="仿宋" w:hAnsi="仿宋" w:eastAsia="仿宋" w:cs="仿宋"/>
          <w:snapToGrid w:val="0"/>
          <w:color w:val="000000"/>
          <w:spacing w:val="-4"/>
          <w:kern w:val="0"/>
          <w:sz w:val="32"/>
          <w:szCs w:val="32"/>
          <w:lang w:eastAsia="en-US"/>
        </w:rPr>
      </w:pPr>
      <w:r>
        <w:rPr>
          <w:rFonts w:hint="eastAsia" w:ascii="仿宋" w:hAnsi="仿宋" w:cs="仿宋"/>
          <w:snapToGrid w:val="0"/>
          <w:color w:val="000000"/>
          <w:spacing w:val="-4"/>
          <w:kern w:val="0"/>
          <w:sz w:val="32"/>
          <w:szCs w:val="32"/>
          <w:lang w:eastAsia="zh-CN"/>
        </w:rPr>
        <w:t>（</w:t>
      </w:r>
      <w:r>
        <w:rPr>
          <w:rFonts w:hint="eastAsia" w:ascii="仿宋" w:hAnsi="仿宋" w:cs="仿宋"/>
          <w:snapToGrid w:val="0"/>
          <w:color w:val="000000"/>
          <w:spacing w:val="-4"/>
          <w:kern w:val="0"/>
          <w:sz w:val="32"/>
          <w:szCs w:val="32"/>
          <w:lang w:val="en-US" w:eastAsia="zh-CN"/>
        </w:rPr>
        <w:t>1</w:t>
      </w:r>
      <w:r>
        <w:rPr>
          <w:rFonts w:hint="eastAsia" w:ascii="仿宋" w:hAnsi="仿宋" w:cs="仿宋"/>
          <w:snapToGrid w:val="0"/>
          <w:color w:val="000000"/>
          <w:spacing w:val="-4"/>
          <w:kern w:val="0"/>
          <w:sz w:val="32"/>
          <w:szCs w:val="32"/>
          <w:lang w:eastAsia="zh-CN"/>
        </w:rPr>
        <w:t>）</w:t>
      </w:r>
      <w:r>
        <w:rPr>
          <w:rFonts w:hint="eastAsia" w:ascii="仿宋" w:hAnsi="仿宋" w:eastAsia="仿宋" w:cs="仿宋"/>
          <w:snapToGrid w:val="0"/>
          <w:color w:val="000000"/>
          <w:spacing w:val="-4"/>
          <w:kern w:val="0"/>
          <w:sz w:val="32"/>
          <w:szCs w:val="32"/>
          <w:lang w:eastAsia="en-US"/>
        </w:rPr>
        <w:t>贯彻落实党的路线方针政策和国家法律法规以及上级党委、政府的决议、决定和命令，执行乡党委和乡人民代表大会的决议，加强农村基层政权建设，巩固党在农村的执政基础。</w:t>
      </w:r>
    </w:p>
    <w:p w14:paraId="70F5FED7">
      <w:pPr>
        <w:spacing w:before="51" w:line="354" w:lineRule="auto"/>
        <w:ind w:right="280" w:firstLine="650"/>
        <w:rPr>
          <w:rFonts w:hint="eastAsia" w:ascii="仿宋" w:hAnsi="仿宋" w:eastAsia="仿宋" w:cs="仿宋"/>
          <w:snapToGrid w:val="0"/>
          <w:color w:val="000000"/>
          <w:spacing w:val="-4"/>
          <w:kern w:val="0"/>
          <w:sz w:val="32"/>
          <w:szCs w:val="32"/>
          <w:lang w:eastAsia="en-US"/>
        </w:rPr>
      </w:pPr>
      <w:r>
        <w:rPr>
          <w:rFonts w:hint="eastAsia" w:ascii="仿宋" w:hAnsi="仿宋" w:cs="仿宋"/>
          <w:snapToGrid w:val="0"/>
          <w:color w:val="000000"/>
          <w:spacing w:val="-4"/>
          <w:kern w:val="0"/>
          <w:sz w:val="32"/>
          <w:szCs w:val="32"/>
          <w:lang w:eastAsia="zh-CN"/>
        </w:rPr>
        <w:t>（</w:t>
      </w:r>
      <w:r>
        <w:rPr>
          <w:rFonts w:hint="eastAsia" w:ascii="仿宋" w:hAnsi="仿宋" w:cs="仿宋"/>
          <w:snapToGrid w:val="0"/>
          <w:color w:val="000000"/>
          <w:spacing w:val="-4"/>
          <w:kern w:val="0"/>
          <w:sz w:val="32"/>
          <w:szCs w:val="32"/>
          <w:lang w:val="en-US" w:eastAsia="zh-CN"/>
        </w:rPr>
        <w:t>2</w:t>
      </w:r>
      <w:r>
        <w:rPr>
          <w:rFonts w:hint="eastAsia" w:ascii="仿宋" w:hAnsi="仿宋" w:cs="仿宋"/>
          <w:snapToGrid w:val="0"/>
          <w:color w:val="000000"/>
          <w:spacing w:val="-4"/>
          <w:kern w:val="0"/>
          <w:sz w:val="32"/>
          <w:szCs w:val="32"/>
          <w:lang w:eastAsia="zh-CN"/>
        </w:rPr>
        <w:t>）</w:t>
      </w:r>
      <w:r>
        <w:rPr>
          <w:rFonts w:hint="eastAsia" w:ascii="仿宋" w:hAnsi="仿宋" w:eastAsia="仿宋" w:cs="仿宋"/>
          <w:snapToGrid w:val="0"/>
          <w:color w:val="000000"/>
          <w:spacing w:val="-4"/>
          <w:kern w:val="0"/>
          <w:sz w:val="32"/>
          <w:szCs w:val="32"/>
          <w:lang w:eastAsia="en-US"/>
        </w:rPr>
        <w:t>组织编制本行政区域经济社会发展规划和乡国土空间规划。负责农村基础设施和各项公益事业建设，实施乡村振兴战略，加快经济社会发展，改善群众生产生活环境。</w:t>
      </w:r>
    </w:p>
    <w:p w14:paraId="10269821">
      <w:pPr>
        <w:spacing w:before="51" w:line="354" w:lineRule="auto"/>
        <w:ind w:right="280" w:firstLine="650"/>
        <w:rPr>
          <w:rFonts w:hint="eastAsia" w:ascii="仿宋" w:hAnsi="仿宋" w:eastAsia="仿宋" w:cs="仿宋"/>
          <w:snapToGrid w:val="0"/>
          <w:color w:val="000000"/>
          <w:spacing w:val="-4"/>
          <w:kern w:val="0"/>
          <w:sz w:val="32"/>
          <w:szCs w:val="32"/>
          <w:lang w:eastAsia="en-US"/>
        </w:rPr>
      </w:pPr>
      <w:r>
        <w:rPr>
          <w:rFonts w:hint="eastAsia" w:ascii="仿宋" w:hAnsi="仿宋" w:cs="仿宋"/>
          <w:snapToGrid w:val="0"/>
          <w:color w:val="000000"/>
          <w:spacing w:val="-4"/>
          <w:kern w:val="0"/>
          <w:sz w:val="32"/>
          <w:szCs w:val="32"/>
          <w:lang w:eastAsia="zh-CN"/>
        </w:rPr>
        <w:t>（</w:t>
      </w:r>
      <w:r>
        <w:rPr>
          <w:rFonts w:hint="eastAsia" w:ascii="仿宋" w:hAnsi="仿宋" w:cs="仿宋"/>
          <w:snapToGrid w:val="0"/>
          <w:color w:val="000000"/>
          <w:spacing w:val="-4"/>
          <w:kern w:val="0"/>
          <w:sz w:val="32"/>
          <w:szCs w:val="32"/>
          <w:lang w:val="en-US" w:eastAsia="zh-CN"/>
        </w:rPr>
        <w:t>3</w:t>
      </w:r>
      <w:r>
        <w:rPr>
          <w:rFonts w:hint="eastAsia" w:ascii="仿宋" w:hAnsi="仿宋" w:cs="仿宋"/>
          <w:snapToGrid w:val="0"/>
          <w:color w:val="000000"/>
          <w:spacing w:val="-4"/>
          <w:kern w:val="0"/>
          <w:sz w:val="32"/>
          <w:szCs w:val="32"/>
          <w:lang w:eastAsia="zh-CN"/>
        </w:rPr>
        <w:t>）</w:t>
      </w:r>
      <w:r>
        <w:rPr>
          <w:rFonts w:hint="eastAsia" w:ascii="仿宋" w:hAnsi="仿宋" w:eastAsia="仿宋" w:cs="仿宋"/>
          <w:snapToGrid w:val="0"/>
          <w:color w:val="000000"/>
          <w:spacing w:val="-4"/>
          <w:kern w:val="0"/>
          <w:sz w:val="32"/>
          <w:szCs w:val="32"/>
          <w:lang w:eastAsia="en-US"/>
        </w:rPr>
        <w:t>指导农村经济发展，推进农业经济结构调整，促进</w:t>
      </w:r>
      <w:r>
        <w:rPr>
          <w:rFonts w:hint="eastAsia" w:ascii="仿宋" w:hAnsi="仿宋" w:cs="仿宋"/>
          <w:snapToGrid w:val="0"/>
          <w:color w:val="000000"/>
          <w:spacing w:val="-4"/>
          <w:kern w:val="0"/>
          <w:sz w:val="32"/>
          <w:szCs w:val="32"/>
          <w:lang w:eastAsia="zh-CN"/>
        </w:rPr>
        <w:t>农村集体经济</w:t>
      </w:r>
      <w:r>
        <w:rPr>
          <w:rFonts w:hint="eastAsia" w:ascii="仿宋" w:hAnsi="仿宋" w:eastAsia="仿宋" w:cs="仿宋"/>
          <w:snapToGrid w:val="0"/>
          <w:color w:val="000000"/>
          <w:spacing w:val="-4"/>
          <w:kern w:val="0"/>
          <w:sz w:val="32"/>
          <w:szCs w:val="32"/>
          <w:lang w:eastAsia="en-US"/>
        </w:rPr>
        <w:t>增长、农业增效、农民增收。</w:t>
      </w:r>
    </w:p>
    <w:p w14:paraId="1041E304">
      <w:pPr>
        <w:spacing w:before="51" w:line="354" w:lineRule="auto"/>
        <w:ind w:right="280" w:firstLine="650"/>
        <w:rPr>
          <w:rFonts w:hint="eastAsia" w:ascii="仿宋" w:hAnsi="仿宋" w:eastAsia="仿宋" w:cs="仿宋"/>
          <w:snapToGrid w:val="0"/>
          <w:color w:val="000000"/>
          <w:spacing w:val="-4"/>
          <w:kern w:val="0"/>
          <w:sz w:val="32"/>
          <w:szCs w:val="32"/>
          <w:lang w:eastAsia="en-US"/>
        </w:rPr>
      </w:pPr>
      <w:r>
        <w:rPr>
          <w:rFonts w:hint="eastAsia" w:ascii="仿宋" w:hAnsi="仿宋" w:cs="仿宋"/>
          <w:snapToGrid w:val="0"/>
          <w:color w:val="000000"/>
          <w:spacing w:val="-4"/>
          <w:kern w:val="0"/>
          <w:sz w:val="32"/>
          <w:szCs w:val="32"/>
          <w:lang w:eastAsia="zh-CN"/>
        </w:rPr>
        <w:t>（</w:t>
      </w:r>
      <w:r>
        <w:rPr>
          <w:rFonts w:hint="eastAsia" w:ascii="仿宋" w:hAnsi="仿宋" w:cs="仿宋"/>
          <w:snapToGrid w:val="0"/>
          <w:color w:val="000000"/>
          <w:spacing w:val="-4"/>
          <w:kern w:val="0"/>
          <w:sz w:val="32"/>
          <w:szCs w:val="32"/>
          <w:lang w:val="en-US" w:eastAsia="zh-CN"/>
        </w:rPr>
        <w:t>4</w:t>
      </w:r>
      <w:r>
        <w:rPr>
          <w:rFonts w:hint="eastAsia" w:ascii="仿宋" w:hAnsi="仿宋" w:cs="仿宋"/>
          <w:snapToGrid w:val="0"/>
          <w:color w:val="000000"/>
          <w:spacing w:val="-4"/>
          <w:kern w:val="0"/>
          <w:sz w:val="32"/>
          <w:szCs w:val="32"/>
          <w:lang w:eastAsia="zh-CN"/>
        </w:rPr>
        <w:t>）</w:t>
      </w:r>
      <w:r>
        <w:rPr>
          <w:rFonts w:hint="eastAsia" w:ascii="仿宋" w:hAnsi="仿宋" w:eastAsia="仿宋" w:cs="仿宋"/>
          <w:snapToGrid w:val="0"/>
          <w:color w:val="000000"/>
          <w:spacing w:val="-4"/>
          <w:kern w:val="0"/>
          <w:sz w:val="32"/>
          <w:szCs w:val="32"/>
          <w:lang w:eastAsia="en-US"/>
        </w:rPr>
        <w:t>加强农村公共服务体系建设，抓好基础教育、科技、文化、体育、卫生健康、食</w:t>
      </w:r>
      <w:r>
        <w:rPr>
          <w:rFonts w:hint="eastAsia" w:ascii="仿宋" w:hAnsi="仿宋" w:cs="仿宋"/>
          <w:snapToGrid w:val="0"/>
          <w:color w:val="000000"/>
          <w:spacing w:val="-4"/>
          <w:kern w:val="0"/>
          <w:sz w:val="32"/>
          <w:szCs w:val="32"/>
          <w:lang w:eastAsia="zh-CN"/>
        </w:rPr>
        <w:t>（</w:t>
      </w:r>
      <w:r>
        <w:rPr>
          <w:rFonts w:hint="eastAsia" w:ascii="仿宋" w:hAnsi="仿宋" w:eastAsia="仿宋" w:cs="仿宋"/>
          <w:snapToGrid w:val="0"/>
          <w:color w:val="000000"/>
          <w:spacing w:val="-4"/>
          <w:kern w:val="0"/>
          <w:sz w:val="32"/>
          <w:szCs w:val="32"/>
          <w:lang w:eastAsia="en-US"/>
        </w:rPr>
        <w:t>药</w:t>
      </w:r>
      <w:r>
        <w:rPr>
          <w:rFonts w:hint="eastAsia" w:ascii="仿宋" w:hAnsi="仿宋" w:cs="仿宋"/>
          <w:snapToGrid w:val="0"/>
          <w:color w:val="000000"/>
          <w:spacing w:val="-4"/>
          <w:kern w:val="0"/>
          <w:sz w:val="32"/>
          <w:szCs w:val="32"/>
          <w:lang w:eastAsia="zh-CN"/>
        </w:rPr>
        <w:t>）</w:t>
      </w:r>
      <w:r>
        <w:rPr>
          <w:rFonts w:hint="eastAsia" w:ascii="仿宋" w:hAnsi="仿宋" w:eastAsia="仿宋" w:cs="仿宋"/>
          <w:snapToGrid w:val="0"/>
          <w:color w:val="000000"/>
          <w:spacing w:val="-4"/>
          <w:kern w:val="0"/>
          <w:sz w:val="32"/>
          <w:szCs w:val="32"/>
          <w:lang w:eastAsia="en-US"/>
        </w:rPr>
        <w:t>品安全等工作，做好民政事务、残疾、老龄、就业创业、社会保障、劳动关系协调、民族宗教、退役军人事务、统计等工作，促进农村社会事业健康发展。</w:t>
      </w:r>
    </w:p>
    <w:p w14:paraId="0271B122">
      <w:pPr>
        <w:spacing w:before="51" w:line="354" w:lineRule="auto"/>
        <w:ind w:right="280" w:firstLine="650"/>
        <w:rPr>
          <w:rFonts w:hint="eastAsia" w:ascii="仿宋" w:hAnsi="仿宋" w:eastAsia="仿宋" w:cs="仿宋"/>
          <w:snapToGrid w:val="0"/>
          <w:color w:val="000000"/>
          <w:spacing w:val="-4"/>
          <w:kern w:val="0"/>
          <w:sz w:val="32"/>
          <w:szCs w:val="32"/>
          <w:lang w:eastAsia="en-US"/>
        </w:rPr>
      </w:pPr>
      <w:r>
        <w:rPr>
          <w:rFonts w:hint="eastAsia" w:ascii="仿宋" w:hAnsi="仿宋" w:cs="仿宋"/>
          <w:snapToGrid w:val="0"/>
          <w:color w:val="000000"/>
          <w:spacing w:val="-4"/>
          <w:kern w:val="0"/>
          <w:sz w:val="32"/>
          <w:szCs w:val="32"/>
          <w:lang w:eastAsia="zh-CN"/>
        </w:rPr>
        <w:t>（</w:t>
      </w:r>
      <w:r>
        <w:rPr>
          <w:rFonts w:hint="eastAsia" w:ascii="仿宋" w:hAnsi="仿宋" w:cs="仿宋"/>
          <w:snapToGrid w:val="0"/>
          <w:color w:val="000000"/>
          <w:spacing w:val="-4"/>
          <w:kern w:val="0"/>
          <w:sz w:val="32"/>
          <w:szCs w:val="32"/>
          <w:lang w:val="en-US" w:eastAsia="zh-CN"/>
        </w:rPr>
        <w:t>5</w:t>
      </w:r>
      <w:r>
        <w:rPr>
          <w:rFonts w:hint="eastAsia" w:ascii="仿宋" w:hAnsi="仿宋" w:cs="仿宋"/>
          <w:snapToGrid w:val="0"/>
          <w:color w:val="000000"/>
          <w:spacing w:val="-4"/>
          <w:kern w:val="0"/>
          <w:sz w:val="32"/>
          <w:szCs w:val="32"/>
          <w:lang w:eastAsia="zh-CN"/>
        </w:rPr>
        <w:t>）</w:t>
      </w:r>
      <w:r>
        <w:rPr>
          <w:rFonts w:hint="eastAsia" w:ascii="仿宋" w:hAnsi="仿宋" w:eastAsia="仿宋" w:cs="仿宋"/>
          <w:snapToGrid w:val="0"/>
          <w:color w:val="000000"/>
          <w:spacing w:val="-4"/>
          <w:kern w:val="0"/>
          <w:sz w:val="32"/>
          <w:szCs w:val="32"/>
          <w:lang w:eastAsia="en-US"/>
        </w:rPr>
        <w:t>负责辖区内自然资源、生态环境保护、森林防灭火、防汛 抗旱、粮食安全、供销合作社等工作。</w:t>
      </w:r>
    </w:p>
    <w:p w14:paraId="23B67928">
      <w:pPr>
        <w:spacing w:before="51" w:line="354" w:lineRule="auto"/>
        <w:ind w:right="280" w:firstLine="650"/>
        <w:rPr>
          <w:rFonts w:hint="eastAsia" w:ascii="仿宋" w:hAnsi="仿宋" w:eastAsia="仿宋" w:cs="仿宋"/>
          <w:snapToGrid w:val="0"/>
          <w:color w:val="000000"/>
          <w:spacing w:val="-4"/>
          <w:kern w:val="0"/>
          <w:sz w:val="32"/>
          <w:szCs w:val="32"/>
          <w:lang w:eastAsia="en-US"/>
        </w:rPr>
      </w:pPr>
      <w:r>
        <w:rPr>
          <w:rFonts w:hint="eastAsia" w:ascii="仿宋" w:hAnsi="仿宋" w:cs="仿宋"/>
          <w:snapToGrid w:val="0"/>
          <w:color w:val="000000"/>
          <w:spacing w:val="-4"/>
          <w:kern w:val="0"/>
          <w:sz w:val="32"/>
          <w:szCs w:val="32"/>
          <w:lang w:eastAsia="zh-CN"/>
        </w:rPr>
        <w:t>（</w:t>
      </w:r>
      <w:r>
        <w:rPr>
          <w:rFonts w:hint="eastAsia" w:ascii="仿宋" w:hAnsi="仿宋" w:cs="仿宋"/>
          <w:snapToGrid w:val="0"/>
          <w:color w:val="000000"/>
          <w:spacing w:val="-4"/>
          <w:kern w:val="0"/>
          <w:sz w:val="32"/>
          <w:szCs w:val="32"/>
          <w:lang w:val="en-US" w:eastAsia="zh-CN"/>
        </w:rPr>
        <w:t>6</w:t>
      </w:r>
      <w:r>
        <w:rPr>
          <w:rFonts w:hint="eastAsia" w:ascii="仿宋" w:hAnsi="仿宋" w:cs="仿宋"/>
          <w:snapToGrid w:val="0"/>
          <w:color w:val="000000"/>
          <w:spacing w:val="-4"/>
          <w:kern w:val="0"/>
          <w:sz w:val="32"/>
          <w:szCs w:val="32"/>
          <w:lang w:eastAsia="zh-CN"/>
        </w:rPr>
        <w:t>）</w:t>
      </w:r>
      <w:r>
        <w:rPr>
          <w:rFonts w:hint="eastAsia" w:ascii="仿宋" w:hAnsi="仿宋" w:eastAsia="仿宋" w:cs="仿宋"/>
          <w:snapToGrid w:val="0"/>
          <w:color w:val="000000"/>
          <w:spacing w:val="-4"/>
          <w:kern w:val="0"/>
          <w:sz w:val="32"/>
          <w:szCs w:val="32"/>
          <w:lang w:eastAsia="en-US"/>
        </w:rPr>
        <w:t>推进基层民主法治建设，加强普法依法治理，指导村</w:t>
      </w:r>
      <w:r>
        <w:rPr>
          <w:rFonts w:hint="eastAsia" w:ascii="仿宋" w:hAnsi="仿宋" w:cs="仿宋"/>
          <w:snapToGrid w:val="0"/>
          <w:color w:val="000000"/>
          <w:spacing w:val="-4"/>
          <w:kern w:val="0"/>
          <w:sz w:val="32"/>
          <w:szCs w:val="32"/>
          <w:lang w:eastAsia="zh-CN"/>
        </w:rPr>
        <w:t>（</w:t>
      </w:r>
      <w:r>
        <w:rPr>
          <w:rFonts w:hint="eastAsia" w:ascii="仿宋" w:hAnsi="仿宋" w:eastAsia="仿宋" w:cs="仿宋"/>
          <w:snapToGrid w:val="0"/>
          <w:color w:val="000000"/>
          <w:spacing w:val="-4"/>
          <w:kern w:val="0"/>
          <w:sz w:val="32"/>
          <w:szCs w:val="32"/>
          <w:lang w:eastAsia="en-US"/>
        </w:rPr>
        <w:t>居</w:t>
      </w:r>
      <w:r>
        <w:rPr>
          <w:rFonts w:hint="eastAsia" w:ascii="仿宋" w:hAnsi="仿宋" w:cs="仿宋"/>
          <w:snapToGrid w:val="0"/>
          <w:color w:val="000000"/>
          <w:spacing w:val="-4"/>
          <w:kern w:val="0"/>
          <w:sz w:val="32"/>
          <w:szCs w:val="32"/>
          <w:lang w:eastAsia="zh-CN"/>
        </w:rPr>
        <w:t>）</w:t>
      </w:r>
      <w:r>
        <w:rPr>
          <w:rFonts w:hint="eastAsia" w:ascii="仿宋" w:hAnsi="仿宋" w:eastAsia="仿宋" w:cs="仿宋"/>
          <w:snapToGrid w:val="0"/>
          <w:color w:val="000000"/>
          <w:spacing w:val="-4"/>
          <w:kern w:val="0"/>
          <w:sz w:val="32"/>
          <w:szCs w:val="32"/>
          <w:lang w:eastAsia="en-US"/>
        </w:rPr>
        <w:t xml:space="preserve"> 民委员会工作，维护群众合法权益。</w:t>
      </w:r>
    </w:p>
    <w:p w14:paraId="57CCD26E">
      <w:pPr>
        <w:spacing w:before="51" w:line="354" w:lineRule="auto"/>
        <w:ind w:right="280" w:firstLine="650"/>
        <w:rPr>
          <w:rFonts w:hint="eastAsia" w:ascii="仿宋" w:hAnsi="仿宋" w:eastAsia="仿宋" w:cs="仿宋"/>
          <w:snapToGrid w:val="0"/>
          <w:color w:val="000000"/>
          <w:spacing w:val="-4"/>
          <w:kern w:val="0"/>
          <w:sz w:val="32"/>
          <w:szCs w:val="32"/>
          <w:lang w:eastAsia="en-US"/>
        </w:rPr>
      </w:pPr>
      <w:r>
        <w:rPr>
          <w:rFonts w:hint="eastAsia" w:ascii="仿宋" w:hAnsi="仿宋" w:cs="仿宋"/>
          <w:snapToGrid w:val="0"/>
          <w:color w:val="000000"/>
          <w:spacing w:val="-4"/>
          <w:kern w:val="0"/>
          <w:sz w:val="32"/>
          <w:szCs w:val="32"/>
          <w:lang w:eastAsia="zh-CN"/>
        </w:rPr>
        <w:t>（</w:t>
      </w:r>
      <w:r>
        <w:rPr>
          <w:rFonts w:hint="eastAsia" w:ascii="仿宋" w:hAnsi="仿宋" w:cs="仿宋"/>
          <w:snapToGrid w:val="0"/>
          <w:color w:val="000000"/>
          <w:spacing w:val="-4"/>
          <w:kern w:val="0"/>
          <w:sz w:val="32"/>
          <w:szCs w:val="32"/>
          <w:lang w:val="en-US" w:eastAsia="zh-CN"/>
        </w:rPr>
        <w:t>7</w:t>
      </w:r>
      <w:r>
        <w:rPr>
          <w:rFonts w:hint="eastAsia" w:ascii="仿宋" w:hAnsi="仿宋" w:cs="仿宋"/>
          <w:snapToGrid w:val="0"/>
          <w:color w:val="000000"/>
          <w:spacing w:val="-4"/>
          <w:kern w:val="0"/>
          <w:sz w:val="32"/>
          <w:szCs w:val="32"/>
          <w:lang w:eastAsia="zh-CN"/>
        </w:rPr>
        <w:t>）</w:t>
      </w:r>
      <w:r>
        <w:rPr>
          <w:rFonts w:hint="eastAsia" w:ascii="仿宋" w:hAnsi="仿宋" w:eastAsia="仿宋" w:cs="仿宋"/>
          <w:snapToGrid w:val="0"/>
          <w:color w:val="000000"/>
          <w:spacing w:val="-4"/>
          <w:kern w:val="0"/>
          <w:sz w:val="32"/>
          <w:szCs w:val="32"/>
          <w:lang w:eastAsia="en-US"/>
        </w:rPr>
        <w:t>承担辖区内基层治理、平安建设、社会治安综合治理、安全和应急管理等有关工作。负责群众来信来访，反映社情民意，化解矛盾纠纷，维护社会安全稳定。</w:t>
      </w:r>
    </w:p>
    <w:p w14:paraId="011C3E7F">
      <w:pPr>
        <w:spacing w:before="51" w:line="354" w:lineRule="auto"/>
        <w:ind w:right="280" w:firstLine="650"/>
        <w:rPr>
          <w:rFonts w:hint="eastAsia" w:ascii="仿宋" w:hAnsi="仿宋" w:eastAsia="仿宋" w:cs="仿宋"/>
          <w:snapToGrid w:val="0"/>
          <w:color w:val="000000"/>
          <w:spacing w:val="-4"/>
          <w:kern w:val="0"/>
          <w:sz w:val="32"/>
          <w:szCs w:val="32"/>
          <w:lang w:eastAsia="en-US"/>
        </w:rPr>
      </w:pPr>
      <w:r>
        <w:rPr>
          <w:rFonts w:hint="eastAsia" w:ascii="仿宋" w:hAnsi="仿宋" w:cs="仿宋"/>
          <w:snapToGrid w:val="0"/>
          <w:color w:val="000000"/>
          <w:spacing w:val="-4"/>
          <w:kern w:val="0"/>
          <w:sz w:val="32"/>
          <w:szCs w:val="32"/>
          <w:lang w:eastAsia="zh-CN"/>
        </w:rPr>
        <w:t>（</w:t>
      </w:r>
      <w:r>
        <w:rPr>
          <w:rFonts w:hint="eastAsia" w:ascii="仿宋" w:hAnsi="仿宋" w:cs="仿宋"/>
          <w:snapToGrid w:val="0"/>
          <w:color w:val="000000"/>
          <w:spacing w:val="-4"/>
          <w:kern w:val="0"/>
          <w:sz w:val="32"/>
          <w:szCs w:val="32"/>
          <w:lang w:val="en-US" w:eastAsia="zh-CN"/>
        </w:rPr>
        <w:t>8</w:t>
      </w:r>
      <w:r>
        <w:rPr>
          <w:rFonts w:hint="eastAsia" w:ascii="仿宋" w:hAnsi="仿宋" w:cs="仿宋"/>
          <w:snapToGrid w:val="0"/>
          <w:color w:val="000000"/>
          <w:spacing w:val="-4"/>
          <w:kern w:val="0"/>
          <w:sz w:val="32"/>
          <w:szCs w:val="32"/>
          <w:lang w:eastAsia="zh-CN"/>
        </w:rPr>
        <w:t>）</w:t>
      </w:r>
      <w:r>
        <w:rPr>
          <w:rFonts w:hint="eastAsia" w:ascii="仿宋" w:hAnsi="仿宋" w:eastAsia="仿宋" w:cs="仿宋"/>
          <w:snapToGrid w:val="0"/>
          <w:color w:val="000000"/>
          <w:spacing w:val="-4"/>
          <w:kern w:val="0"/>
          <w:sz w:val="32"/>
          <w:szCs w:val="32"/>
          <w:lang w:eastAsia="en-US"/>
        </w:rPr>
        <w:t>负责国防教育、兵役征集、民兵预备役等有关工作。</w:t>
      </w:r>
    </w:p>
    <w:p w14:paraId="40E0834E">
      <w:pPr>
        <w:spacing w:before="51" w:line="354" w:lineRule="auto"/>
        <w:ind w:right="280" w:firstLine="650"/>
        <w:rPr>
          <w:rFonts w:hint="eastAsia" w:ascii="仿宋_GB2312" w:hAnsi="仿宋_GB2312" w:eastAsia="仿宋_GB2312" w:cs="仿宋_GB2312"/>
          <w:color w:val="FF0000"/>
          <w:sz w:val="32"/>
          <w:szCs w:val="32"/>
        </w:rPr>
      </w:pPr>
      <w:r>
        <w:rPr>
          <w:rFonts w:hint="eastAsia" w:ascii="仿宋" w:hAnsi="仿宋" w:cs="仿宋"/>
          <w:snapToGrid w:val="0"/>
          <w:color w:val="000000"/>
          <w:spacing w:val="-4"/>
          <w:kern w:val="0"/>
          <w:sz w:val="32"/>
          <w:szCs w:val="32"/>
          <w:lang w:eastAsia="zh-CN"/>
        </w:rPr>
        <w:t>（</w:t>
      </w:r>
      <w:r>
        <w:rPr>
          <w:rFonts w:hint="eastAsia" w:ascii="仿宋" w:hAnsi="仿宋" w:cs="仿宋"/>
          <w:snapToGrid w:val="0"/>
          <w:color w:val="000000"/>
          <w:spacing w:val="-4"/>
          <w:kern w:val="0"/>
          <w:sz w:val="32"/>
          <w:szCs w:val="32"/>
          <w:lang w:val="en-US" w:eastAsia="zh-CN"/>
        </w:rPr>
        <w:t>9</w:t>
      </w:r>
      <w:r>
        <w:rPr>
          <w:rFonts w:hint="eastAsia" w:ascii="仿宋" w:hAnsi="仿宋" w:cs="仿宋"/>
          <w:snapToGrid w:val="0"/>
          <w:color w:val="000000"/>
          <w:spacing w:val="-4"/>
          <w:kern w:val="0"/>
          <w:sz w:val="32"/>
          <w:szCs w:val="32"/>
          <w:lang w:eastAsia="zh-CN"/>
        </w:rPr>
        <w:t>）</w:t>
      </w:r>
      <w:r>
        <w:rPr>
          <w:rFonts w:hint="eastAsia" w:ascii="仿宋" w:hAnsi="仿宋" w:eastAsia="仿宋" w:cs="仿宋"/>
          <w:snapToGrid w:val="0"/>
          <w:color w:val="000000"/>
          <w:spacing w:val="-4"/>
          <w:kern w:val="0"/>
          <w:sz w:val="32"/>
          <w:szCs w:val="32"/>
          <w:lang w:eastAsia="en-US"/>
        </w:rPr>
        <w:t>承担法律法规、规章规定的其他职能和上级党委、政府交 办的其他工作。</w:t>
      </w:r>
    </w:p>
    <w:p w14:paraId="0754F2CE">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40" w:firstLineChars="200"/>
        <w:textAlignment w:val="auto"/>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w:t>
      </w:r>
      <w:r>
        <w:rPr>
          <w:rFonts w:hint="eastAsia" w:ascii="楷体" w:hAnsi="楷体" w:eastAsia="楷体" w:cs="楷体"/>
          <w:color w:val="000000" w:themeColor="text1"/>
          <w:sz w:val="32"/>
          <w:szCs w:val="32"/>
          <w:lang w:eastAsia="zh-CN"/>
          <w14:textFill>
            <w14:solidFill>
              <w14:schemeClr w14:val="tx1"/>
            </w14:solidFill>
          </w14:textFill>
        </w:rPr>
        <w:t>2026</w:t>
      </w:r>
      <w:r>
        <w:rPr>
          <w:rFonts w:hint="eastAsia" w:ascii="楷体" w:hAnsi="楷体" w:eastAsia="楷体" w:cs="楷体"/>
          <w:color w:val="000000" w:themeColor="text1"/>
          <w:sz w:val="32"/>
          <w:szCs w:val="32"/>
          <w14:textFill>
            <w14:solidFill>
              <w14:schemeClr w14:val="tx1"/>
            </w14:solidFill>
          </w14:textFill>
        </w:rPr>
        <w:t>年重点工作</w:t>
      </w:r>
    </w:p>
    <w:p w14:paraId="4A725A22">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color w:val="auto"/>
          <w:sz w:val="32"/>
          <w:szCs w:val="32"/>
          <w:lang w:val="en-US" w:eastAsia="zh-CN"/>
        </w:rPr>
        <w:t>2026</w:t>
      </w:r>
      <w:r>
        <w:rPr>
          <w:rFonts w:hint="eastAsia" w:ascii="仿宋_GB2312" w:hAnsi="仿宋_GB2312" w:eastAsia="仿宋_GB2312" w:cs="仿宋_GB2312"/>
          <w:color w:val="auto"/>
          <w:sz w:val="32"/>
          <w:szCs w:val="32"/>
          <w:lang w:val="en-US" w:eastAsia="zh-CN"/>
        </w:rPr>
        <w:t>年是“十五五”开局之年，宜坪乡将抓实提升乡村产业发展水平、乡村建设水平、乡村治理水平，聚焦农业强、农村美、农民富、党建强四大核心目标，重点开展四大攻坚行动，奋力建设宜居宜业和美宜坪。</w:t>
      </w:r>
    </w:p>
    <w:p w14:paraId="6C35B877">
      <w:pPr>
        <w:keepNext w:val="0"/>
        <w:keepLines w:val="0"/>
        <w:pageBreakBefore w:val="0"/>
        <w:widowControl w:val="0"/>
        <w:suppressAutoHyphens/>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rPr>
      </w:pPr>
      <w:r>
        <w:rPr>
          <w:rFonts w:hint="eastAsia" w:ascii="楷体_GB2312" w:hAnsi="楷体_GB2312" w:eastAsia="楷体_GB2312" w:cs="楷体_GB2312"/>
          <w:color w:val="auto"/>
          <w:sz w:val="32"/>
          <w:szCs w:val="32"/>
          <w:lang w:val="en-US" w:eastAsia="zh-CN"/>
        </w:rPr>
        <w:t>1.聚焦“农业强”，开展园区提档攻坚行动，在夯实基础、提质增效上谋求新突破。</w:t>
      </w:r>
      <w:r>
        <w:rPr>
          <w:rFonts w:hint="eastAsia" w:ascii="Times New Roman" w:hAnsi="Times New Roman" w:eastAsia="仿宋_GB2312" w:cs="仿宋_GB2312"/>
          <w:color w:val="auto"/>
          <w:sz w:val="32"/>
          <w:szCs w:val="32"/>
        </w:rPr>
        <w:t>坚决扛牢粮食安全政治责任，守牢耕地保护红线，稳步提升粮食和重要农产品供给保障能力。以乡村产业振兴为核心，立足我乡资源禀赋和现有基础，持续</w:t>
      </w:r>
      <w:r>
        <w:rPr>
          <w:rFonts w:hint="eastAsia" w:ascii="Times New Roman" w:hAnsi="Times New Roman" w:eastAsia="仿宋_GB2312" w:cs="仿宋_GB2312"/>
          <w:color w:val="auto"/>
          <w:sz w:val="32"/>
          <w:szCs w:val="32"/>
          <w:lang w:val="en-US" w:eastAsia="zh-CN"/>
        </w:rPr>
        <w:t>提升宜坪高山枇杷蔬菜现代农业园区建设成效</w:t>
      </w: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b/>
          <w:bCs/>
          <w:color w:val="auto"/>
          <w:sz w:val="32"/>
          <w:szCs w:val="32"/>
        </w:rPr>
        <w:t>一是</w:t>
      </w:r>
      <w:r>
        <w:rPr>
          <w:rFonts w:hint="eastAsia" w:ascii="Times New Roman" w:hAnsi="Times New Roman" w:eastAsia="仿宋_GB2312" w:cs="仿宋_GB2312"/>
          <w:b/>
          <w:bCs/>
          <w:color w:val="auto"/>
          <w:sz w:val="32"/>
          <w:szCs w:val="32"/>
          <w:lang w:val="en-US" w:eastAsia="zh-CN"/>
        </w:rPr>
        <w:t>做优</w:t>
      </w:r>
      <w:r>
        <w:rPr>
          <w:rFonts w:hint="eastAsia" w:ascii="Times New Roman" w:hAnsi="Times New Roman" w:eastAsia="仿宋_GB2312" w:cs="仿宋_GB2312"/>
          <w:b/>
          <w:bCs/>
          <w:color w:val="auto"/>
          <w:sz w:val="32"/>
          <w:szCs w:val="32"/>
        </w:rPr>
        <w:t>做强</w:t>
      </w:r>
      <w:r>
        <w:rPr>
          <w:rFonts w:hint="eastAsia" w:ascii="Times New Roman" w:hAnsi="Times New Roman" w:eastAsia="仿宋_GB2312" w:cs="仿宋_GB2312"/>
          <w:b/>
          <w:bCs/>
          <w:color w:val="auto"/>
          <w:sz w:val="32"/>
          <w:szCs w:val="32"/>
          <w:lang w:val="en-US" w:eastAsia="zh-CN"/>
        </w:rPr>
        <w:t>主导产业</w:t>
      </w:r>
      <w:r>
        <w:rPr>
          <w:rFonts w:hint="eastAsia" w:ascii="Times New Roman" w:hAnsi="Times New Roman" w:eastAsia="仿宋_GB2312" w:cs="仿宋_GB2312"/>
          <w:b/>
          <w:bCs/>
          <w:color w:val="auto"/>
          <w:sz w:val="32"/>
          <w:szCs w:val="32"/>
        </w:rPr>
        <w:t>。</w:t>
      </w:r>
      <w:r>
        <w:rPr>
          <w:rFonts w:hint="eastAsia" w:ascii="仿宋_GB2312" w:hAnsi="仿宋_GB2312" w:eastAsia="仿宋_GB2312" w:cs="仿宋_GB2312"/>
          <w:color w:val="auto"/>
          <w:sz w:val="32"/>
          <w:szCs w:val="32"/>
          <w:lang w:val="en-US" w:eastAsia="zh-CN"/>
        </w:rPr>
        <w:t>做优做强枇杷</w:t>
      </w:r>
      <w:r>
        <w:rPr>
          <w:rFonts w:hint="eastAsia" w:ascii="Times New Roman" w:hAnsi="Times New Roman" w:eastAsia="仿宋_GB2312" w:cs="仿宋_GB2312"/>
          <w:color w:val="auto"/>
          <w:sz w:val="32"/>
          <w:szCs w:val="32"/>
          <w:lang w:val="en-US" w:eastAsia="zh-CN"/>
        </w:rPr>
        <w:t>、蔬菜</w:t>
      </w:r>
      <w:r>
        <w:rPr>
          <w:rFonts w:hint="eastAsia" w:ascii="仿宋_GB2312" w:hAnsi="仿宋_GB2312" w:eastAsia="仿宋_GB2312" w:cs="仿宋_GB2312"/>
          <w:color w:val="auto"/>
          <w:sz w:val="32"/>
          <w:szCs w:val="32"/>
          <w:lang w:val="en-US" w:eastAsia="zh-CN"/>
        </w:rPr>
        <w:t>主导产业，持续推广“薯玉蔬蔬”“果林套种”山区粮经复合种植，发挥枇杷科技小院作用，</w:t>
      </w:r>
      <w:r>
        <w:rPr>
          <w:rFonts w:hint="eastAsia" w:ascii="Times New Roman" w:hAnsi="Times New Roman" w:eastAsia="仿宋_GB2312" w:cs="仿宋_GB2312"/>
          <w:color w:val="auto"/>
          <w:sz w:val="32"/>
          <w:szCs w:val="32"/>
        </w:rPr>
        <w:t>积极引进新品种、新技术，</w:t>
      </w:r>
      <w:r>
        <w:rPr>
          <w:rFonts w:hint="eastAsia" w:ascii="仿宋_GB2312" w:hAnsi="仿宋_GB2312" w:eastAsia="仿宋_GB2312" w:cs="仿宋_GB2312"/>
          <w:color w:val="auto"/>
          <w:sz w:val="32"/>
          <w:szCs w:val="32"/>
          <w:lang w:val="en-US" w:eastAsia="zh-CN"/>
        </w:rPr>
        <w:t>推动</w:t>
      </w:r>
      <w:r>
        <w:rPr>
          <w:rFonts w:hint="eastAsia" w:ascii="Times New Roman" w:hAnsi="Times New Roman" w:eastAsia="仿宋_GB2312" w:cs="仿宋_GB2312"/>
          <w:color w:val="auto"/>
          <w:sz w:val="32"/>
          <w:szCs w:val="32"/>
          <w:lang w:val="en-US" w:eastAsia="zh-CN"/>
        </w:rPr>
        <w:t>果蔬</w:t>
      </w:r>
      <w:r>
        <w:rPr>
          <w:rFonts w:hint="eastAsia" w:ascii="仿宋_GB2312" w:hAnsi="仿宋_GB2312" w:eastAsia="仿宋_GB2312" w:cs="仿宋_GB2312"/>
          <w:color w:val="auto"/>
          <w:sz w:val="32"/>
          <w:szCs w:val="32"/>
          <w:lang w:val="en-US" w:eastAsia="zh-CN"/>
        </w:rPr>
        <w:t>产业规模化、标准化、品牌化发展</w:t>
      </w:r>
      <w:r>
        <w:rPr>
          <w:rFonts w:hint="eastAsia" w:ascii="Times New Roman" w:hAnsi="Times New Roman"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聚焦枇杷产业延链强链，</w:t>
      </w:r>
      <w:r>
        <w:rPr>
          <w:rFonts w:hint="eastAsia" w:ascii="Times New Roman" w:hAnsi="Times New Roman" w:eastAsia="仿宋_GB2312" w:cs="仿宋_GB2312"/>
          <w:color w:val="auto"/>
          <w:sz w:val="32"/>
          <w:szCs w:val="32"/>
          <w:lang w:val="en-US" w:eastAsia="zh-CN"/>
        </w:rPr>
        <w:t>积极争取</w:t>
      </w:r>
      <w:r>
        <w:rPr>
          <w:rFonts w:hint="eastAsia" w:ascii="仿宋_GB2312" w:hAnsi="仿宋_GB2312" w:eastAsia="仿宋_GB2312" w:cs="仿宋_GB2312"/>
          <w:color w:val="auto"/>
          <w:sz w:val="32"/>
          <w:szCs w:val="32"/>
          <w:lang w:val="en-US" w:eastAsia="zh-CN"/>
        </w:rPr>
        <w:t>实施宜坪高山枇杷蔬菜现代农业园区补短项目，提升园区绿色防控能力，补充建设</w:t>
      </w:r>
      <w:r>
        <w:rPr>
          <w:rFonts w:hint="eastAsia" w:ascii="Times New Roman" w:hAnsi="Times New Roman" w:eastAsia="仿宋_GB2312" w:cs="Times New Roman"/>
          <w:color w:val="auto"/>
          <w:sz w:val="32"/>
          <w:szCs w:val="32"/>
          <w:lang w:val="en-US" w:eastAsia="zh-CN"/>
        </w:rPr>
        <w:t>500</w:t>
      </w:r>
      <w:r>
        <w:rPr>
          <w:rFonts w:hint="eastAsia" w:ascii="仿宋_GB2312" w:hAnsi="仿宋_GB2312" w:eastAsia="仿宋_GB2312" w:cs="仿宋_GB2312"/>
          <w:color w:val="auto"/>
          <w:sz w:val="32"/>
          <w:szCs w:val="32"/>
          <w:lang w:val="en-US" w:eastAsia="zh-CN"/>
        </w:rPr>
        <w:t>亩种植基地绿色防控和物联网设备；加强园区品牌打造及推广，举办第八届枇杷丰收节，完善园区标识标牌，打造枇杷IP文创产品，鼓励开展有机转化认证；实施枇杷深加工项目，改扩建</w:t>
      </w:r>
      <w:r>
        <w:rPr>
          <w:rFonts w:hint="eastAsia" w:ascii="Times New Roman" w:hAnsi="Times New Roman" w:eastAsia="仿宋_GB2312" w:cs="Times New Roman"/>
          <w:color w:val="auto"/>
          <w:sz w:val="32"/>
          <w:szCs w:val="32"/>
          <w:lang w:val="en-US" w:eastAsia="zh-CN"/>
        </w:rPr>
        <w:t>1500</w:t>
      </w:r>
      <w:r>
        <w:rPr>
          <w:rFonts w:hint="eastAsia" w:ascii="仿宋_GB2312" w:hAnsi="仿宋_GB2312" w:eastAsia="仿宋_GB2312" w:cs="仿宋_GB2312"/>
          <w:color w:val="auto"/>
          <w:sz w:val="32"/>
          <w:szCs w:val="32"/>
          <w:lang w:val="en-US" w:eastAsia="zh-CN"/>
        </w:rPr>
        <w:t>平方米加工车间，引进枇杷膏、枇杷花茶、枇杷果脯等生产线，提升产业韧性与综合效益</w:t>
      </w: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b/>
          <w:bCs/>
          <w:color w:val="auto"/>
          <w:sz w:val="32"/>
          <w:szCs w:val="32"/>
        </w:rPr>
        <w:t>二是培育新型业态。</w:t>
      </w:r>
      <w:r>
        <w:rPr>
          <w:rFonts w:hint="eastAsia" w:ascii="Times New Roman" w:hAnsi="Times New Roman" w:eastAsia="仿宋_GB2312" w:cs="仿宋_GB2312"/>
          <w:color w:val="auto"/>
          <w:sz w:val="32"/>
          <w:szCs w:val="32"/>
        </w:rPr>
        <w:t>积极探索“农业+”模式，推动农业与休闲旅游、</w:t>
      </w:r>
      <w:r>
        <w:rPr>
          <w:rFonts w:hint="eastAsia" w:ascii="Times New Roman" w:hAnsi="Times New Roman" w:eastAsia="仿宋_GB2312" w:cs="仿宋_GB2312"/>
          <w:color w:val="auto"/>
          <w:sz w:val="32"/>
          <w:szCs w:val="32"/>
          <w:lang w:val="en-US" w:eastAsia="zh-CN"/>
        </w:rPr>
        <w:t>农耕</w:t>
      </w:r>
      <w:r>
        <w:rPr>
          <w:rFonts w:hint="eastAsia" w:ascii="Times New Roman" w:hAnsi="Times New Roman" w:eastAsia="仿宋_GB2312" w:cs="仿宋_GB2312"/>
          <w:color w:val="auto"/>
          <w:sz w:val="32"/>
          <w:szCs w:val="32"/>
        </w:rPr>
        <w:t>体验、</w:t>
      </w:r>
      <w:r>
        <w:rPr>
          <w:rFonts w:hint="eastAsia" w:ascii="Times New Roman" w:hAnsi="Times New Roman" w:eastAsia="仿宋_GB2312" w:cs="仿宋_GB2312"/>
          <w:color w:val="auto"/>
          <w:sz w:val="32"/>
          <w:szCs w:val="32"/>
          <w:lang w:val="en-US" w:eastAsia="zh-CN"/>
        </w:rPr>
        <w:t>科普教育</w:t>
      </w:r>
      <w:r>
        <w:rPr>
          <w:rFonts w:hint="eastAsia" w:ascii="Times New Roman" w:hAnsi="Times New Roman" w:eastAsia="仿宋_GB2312" w:cs="仿宋_GB2312"/>
          <w:color w:val="auto"/>
          <w:sz w:val="32"/>
          <w:szCs w:val="32"/>
        </w:rPr>
        <w:t>等深度融合，推进乡村旅游提档升级，发展</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小而美</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文旅业态，培育乡村新产业新动能。</w:t>
      </w:r>
      <w:r>
        <w:rPr>
          <w:rFonts w:hint="eastAsia" w:ascii="Times New Roman" w:hAnsi="Times New Roman" w:eastAsia="仿宋_GB2312" w:cs="仿宋_GB2312"/>
          <w:b/>
          <w:bCs/>
          <w:color w:val="auto"/>
          <w:sz w:val="32"/>
          <w:szCs w:val="32"/>
        </w:rPr>
        <w:t>三是壮大经营主体。</w:t>
      </w:r>
      <w:r>
        <w:rPr>
          <w:rFonts w:hint="eastAsia" w:ascii="仿宋_GB2312" w:hAnsi="仿宋_GB2312" w:eastAsia="仿宋_GB2312" w:cs="仿宋_GB2312"/>
          <w:color w:val="auto"/>
          <w:sz w:val="32"/>
          <w:szCs w:val="32"/>
          <w:lang w:val="en-US" w:eastAsia="zh-CN"/>
        </w:rPr>
        <w:t>深化招商引资工作，加强与市场主体精准对接，扩大农产品加工、文旅融合等领域招商成果，拧紧村集体、市场主体、农户的利益联结机制。完善“户种统销”+“线上线下同销”模式，拓展线上销售渠道，培育本土电商人才</w:t>
      </w:r>
      <w:r>
        <w:rPr>
          <w:rFonts w:hint="eastAsia" w:ascii="Times New Roman" w:hAnsi="Times New Roman" w:eastAsia="仿宋_GB2312" w:cs="仿宋_GB2312"/>
          <w:color w:val="auto"/>
          <w:sz w:val="32"/>
          <w:szCs w:val="32"/>
        </w:rPr>
        <w:t>，带动农民持续增收。</w:t>
      </w:r>
    </w:p>
    <w:p w14:paraId="59FC85C7">
      <w:pPr>
        <w:keepNext w:val="0"/>
        <w:keepLines w:val="0"/>
        <w:pageBreakBefore w:val="0"/>
        <w:widowControl w:val="0"/>
        <w:suppressAutoHyphens/>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仿宋_GB2312"/>
          <w:color w:val="auto"/>
          <w:sz w:val="32"/>
          <w:szCs w:val="32"/>
        </w:rPr>
      </w:pPr>
      <w:r>
        <w:rPr>
          <w:rFonts w:hint="eastAsia" w:ascii="楷体_GB2312" w:hAnsi="楷体_GB2312" w:eastAsia="楷体_GB2312" w:cs="楷体_GB2312"/>
          <w:color w:val="auto"/>
          <w:sz w:val="32"/>
          <w:szCs w:val="32"/>
          <w:lang w:val="en-US" w:eastAsia="zh-CN"/>
        </w:rPr>
        <w:t>2.聚焦“农村美”，开展治理升级攻坚行动，在优化环境、涵养生态上展现新面貌。</w:t>
      </w:r>
      <w:r>
        <w:rPr>
          <w:rFonts w:hint="eastAsia" w:ascii="仿宋_GB2312" w:hAnsi="仿宋_GB2312" w:eastAsia="仿宋_GB2312" w:cs="仿宋_GB2312"/>
          <w:b/>
          <w:bCs/>
          <w:color w:val="auto"/>
          <w:sz w:val="32"/>
          <w:szCs w:val="32"/>
        </w:rPr>
        <w:t>一是持续改善人居环境。</w:t>
      </w:r>
      <w:r>
        <w:rPr>
          <w:rFonts w:hint="eastAsia" w:ascii="Times New Roman" w:hAnsi="Times New Roman" w:eastAsia="仿宋_GB2312" w:cs="仿宋_GB2312"/>
          <w:color w:val="auto"/>
          <w:sz w:val="32"/>
          <w:szCs w:val="32"/>
        </w:rPr>
        <w:t>深入学习运用“千万工程”经验，</w:t>
      </w:r>
      <w:r>
        <w:rPr>
          <w:rFonts w:hint="eastAsia" w:ascii="Times New Roman" w:hAnsi="Times New Roman" w:eastAsia="仿宋_GB2312" w:cs="仿宋_GB2312"/>
          <w:color w:val="auto"/>
          <w:sz w:val="32"/>
          <w:szCs w:val="32"/>
          <w:lang w:val="en-US" w:eastAsia="zh-CN"/>
        </w:rPr>
        <w:t>常态化开展</w:t>
      </w:r>
      <w:r>
        <w:rPr>
          <w:rFonts w:hint="eastAsia" w:ascii="Times New Roman" w:hAnsi="Times New Roman" w:eastAsia="仿宋_GB2312" w:cs="仿宋_GB2312"/>
          <w:color w:val="auto"/>
          <w:sz w:val="32"/>
          <w:szCs w:val="32"/>
        </w:rPr>
        <w:t>农村人居环境整治，重点抓好生活垃圾治理、生活污水治理、“厕所革命”和村容村貌提升，健全长效管护机制。</w:t>
      </w:r>
      <w:r>
        <w:rPr>
          <w:rFonts w:hint="eastAsia" w:ascii="仿宋_GB2312" w:hAnsi="仿宋_GB2312" w:eastAsia="仿宋_GB2312" w:cs="仿宋_GB2312"/>
          <w:b/>
          <w:bCs/>
          <w:color w:val="auto"/>
          <w:sz w:val="32"/>
          <w:szCs w:val="32"/>
        </w:rPr>
        <w:t>二是加强生态环境保护。</w:t>
      </w:r>
      <w:r>
        <w:rPr>
          <w:rFonts w:hint="eastAsia" w:ascii="Times New Roman" w:hAnsi="Times New Roman" w:eastAsia="仿宋_GB2312" w:cs="仿宋_GB2312"/>
          <w:color w:val="auto"/>
          <w:sz w:val="32"/>
          <w:szCs w:val="32"/>
        </w:rPr>
        <w:t>严格落实河长制、林长制，加强生态修复和水土保持，</w:t>
      </w:r>
      <w:r>
        <w:rPr>
          <w:rFonts w:hint="eastAsia" w:ascii="Times New Roman" w:hAnsi="Times New Roman" w:eastAsia="仿宋_GB2312" w:cs="仿宋_GB2312"/>
          <w:color w:val="auto"/>
          <w:sz w:val="32"/>
          <w:szCs w:val="32"/>
          <w:lang w:val="en-US" w:eastAsia="zh-CN"/>
        </w:rPr>
        <w:t>完成国土绿化种植项目400余亩，</w:t>
      </w:r>
      <w:r>
        <w:rPr>
          <w:rFonts w:hint="eastAsia" w:ascii="Times New Roman" w:hAnsi="Times New Roman" w:eastAsia="仿宋_GB2312" w:cs="仿宋_GB2312"/>
          <w:color w:val="auto"/>
          <w:sz w:val="32"/>
          <w:szCs w:val="32"/>
        </w:rPr>
        <w:t>守护好乡村的绿水青山。</w:t>
      </w:r>
      <w:r>
        <w:rPr>
          <w:rFonts w:hint="eastAsia" w:ascii="仿宋_GB2312" w:hAnsi="仿宋_GB2312" w:eastAsia="仿宋_GB2312" w:cs="仿宋_GB2312"/>
          <w:b/>
          <w:bCs/>
          <w:color w:val="auto"/>
          <w:sz w:val="32"/>
          <w:szCs w:val="32"/>
        </w:rPr>
        <w:t>三是提升基础设施和公共服务水平。</w:t>
      </w:r>
      <w:r>
        <w:rPr>
          <w:rFonts w:hint="eastAsia" w:ascii="Times New Roman" w:hAnsi="Times New Roman" w:eastAsia="仿宋_GB2312" w:cs="仿宋_GB2312"/>
          <w:color w:val="auto"/>
          <w:sz w:val="32"/>
          <w:szCs w:val="32"/>
        </w:rPr>
        <w:t>积极争取项目支持，持续改善乡村道路、</w:t>
      </w:r>
      <w:r>
        <w:rPr>
          <w:rFonts w:hint="eastAsia" w:ascii="Times New Roman" w:hAnsi="Times New Roman" w:eastAsia="仿宋_GB2312" w:cs="仿宋_GB2312"/>
          <w:color w:val="auto"/>
          <w:sz w:val="32"/>
          <w:szCs w:val="32"/>
          <w:lang w:val="en-US" w:eastAsia="zh-CN"/>
        </w:rPr>
        <w:t>水网</w:t>
      </w:r>
      <w:r>
        <w:rPr>
          <w:rFonts w:hint="eastAsia" w:ascii="Times New Roman" w:hAnsi="Times New Roman" w:eastAsia="仿宋_GB2312" w:cs="仿宋_GB2312"/>
          <w:color w:val="auto"/>
          <w:sz w:val="32"/>
          <w:szCs w:val="32"/>
        </w:rPr>
        <w:t>、电网、</w:t>
      </w:r>
      <w:r>
        <w:rPr>
          <w:rFonts w:hint="eastAsia" w:ascii="Times New Roman" w:hAnsi="Times New Roman" w:eastAsia="仿宋_GB2312" w:cs="仿宋_GB2312"/>
          <w:color w:val="auto"/>
          <w:sz w:val="32"/>
          <w:szCs w:val="32"/>
          <w:lang w:val="en-US" w:eastAsia="zh-CN"/>
        </w:rPr>
        <w:t>排污</w:t>
      </w:r>
      <w:r>
        <w:rPr>
          <w:rFonts w:hint="eastAsia" w:ascii="Times New Roman" w:hAnsi="Times New Roman" w:eastAsia="仿宋_GB2312" w:cs="仿宋_GB2312"/>
          <w:color w:val="auto"/>
          <w:sz w:val="32"/>
          <w:szCs w:val="32"/>
        </w:rPr>
        <w:t>等基础设施条件。优化教育、医疗、文化、养老等公共服务资源配置，</w:t>
      </w:r>
      <w:r>
        <w:rPr>
          <w:rFonts w:hint="eastAsia" w:ascii="Times New Roman" w:hAnsi="Times New Roman" w:eastAsia="仿宋_GB2312" w:cs="仿宋_GB2312"/>
          <w:color w:val="auto"/>
          <w:sz w:val="32"/>
          <w:szCs w:val="32"/>
          <w:lang w:val="en-US" w:eastAsia="zh-CN"/>
        </w:rPr>
        <w:t>提高群众幸福感</w:t>
      </w:r>
      <w:r>
        <w:rPr>
          <w:rFonts w:hint="eastAsia" w:ascii="Times New Roman" w:hAnsi="Times New Roman" w:eastAsia="仿宋_GB2312" w:cs="仿宋_GB2312"/>
          <w:color w:val="auto"/>
          <w:sz w:val="32"/>
          <w:szCs w:val="32"/>
        </w:rPr>
        <w:t>。</w:t>
      </w:r>
      <w:r>
        <w:rPr>
          <w:rFonts w:hint="eastAsia" w:ascii="仿宋_GB2312" w:hAnsi="仿宋_GB2312" w:eastAsia="仿宋_GB2312" w:cs="仿宋_GB2312"/>
          <w:b/>
          <w:bCs/>
          <w:color w:val="auto"/>
          <w:sz w:val="32"/>
          <w:szCs w:val="32"/>
          <w:lang w:val="en-US" w:eastAsia="zh-CN"/>
        </w:rPr>
        <w:t>四是守牢安全底线。</w:t>
      </w:r>
      <w:r>
        <w:rPr>
          <w:rFonts w:hint="eastAsia" w:ascii="仿宋_GB2312" w:hAnsi="仿宋_GB2312" w:eastAsia="仿宋_GB2312" w:cs="仿宋_GB2312"/>
          <w:color w:val="auto"/>
          <w:sz w:val="32"/>
          <w:szCs w:val="32"/>
          <w:lang w:val="en-US" w:eastAsia="zh-CN"/>
        </w:rPr>
        <w:t>强化安全生产监管，聚焦道路交通、消防安全、有限空间等重点领域开展隐患排查整治，完善应急管理体系，扎实做好防汛防灾工作，全力守护群众生命财产安全。</w:t>
      </w:r>
    </w:p>
    <w:p w14:paraId="4E60CD5E">
      <w:pPr>
        <w:keepNext w:val="0"/>
        <w:keepLines w:val="0"/>
        <w:pageBreakBefore w:val="0"/>
        <w:widowControl w:val="0"/>
        <w:numPr>
          <w:ilvl w:val="0"/>
          <w:numId w:val="0"/>
        </w:numPr>
        <w:suppressAutoHyphens/>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3.</w:t>
      </w:r>
      <w:r>
        <w:rPr>
          <w:rFonts w:hint="eastAsia" w:ascii="楷体" w:hAnsi="楷体" w:eastAsia="楷体" w:cs="楷体"/>
          <w:color w:val="auto"/>
          <w:sz w:val="32"/>
          <w:szCs w:val="32"/>
        </w:rPr>
        <w:t>聚焦“农民富”，</w:t>
      </w:r>
      <w:r>
        <w:rPr>
          <w:rFonts w:hint="eastAsia" w:ascii="楷体" w:hAnsi="楷体" w:eastAsia="楷体" w:cs="楷体"/>
          <w:color w:val="auto"/>
          <w:sz w:val="32"/>
          <w:szCs w:val="32"/>
          <w:lang w:val="en-US" w:eastAsia="zh-CN"/>
        </w:rPr>
        <w:t>开展民生改善攻坚行动，</w:t>
      </w:r>
      <w:r>
        <w:rPr>
          <w:rFonts w:hint="eastAsia" w:ascii="楷体" w:hAnsi="楷体" w:eastAsia="楷体" w:cs="楷体"/>
          <w:color w:val="auto"/>
          <w:sz w:val="32"/>
          <w:szCs w:val="32"/>
        </w:rPr>
        <w:t>在</w:t>
      </w:r>
      <w:r>
        <w:rPr>
          <w:rFonts w:hint="eastAsia" w:ascii="楷体" w:hAnsi="楷体" w:eastAsia="楷体" w:cs="楷体"/>
          <w:color w:val="auto"/>
          <w:sz w:val="32"/>
          <w:szCs w:val="32"/>
          <w:lang w:val="en-US" w:eastAsia="zh-CN"/>
        </w:rPr>
        <w:t>为民服务</w:t>
      </w:r>
      <w:r>
        <w:rPr>
          <w:rFonts w:hint="eastAsia" w:ascii="楷体" w:hAnsi="楷体" w:eastAsia="楷体" w:cs="楷体"/>
          <w:color w:val="auto"/>
          <w:sz w:val="32"/>
          <w:szCs w:val="32"/>
        </w:rPr>
        <w:t>、促进和谐上取得新成效。</w:t>
      </w:r>
      <w:r>
        <w:rPr>
          <w:rFonts w:hint="eastAsia" w:ascii="仿宋_GB2312" w:hAnsi="仿宋_GB2312" w:eastAsia="仿宋_GB2312" w:cs="仿宋_GB2312"/>
          <w:b/>
          <w:bCs/>
          <w:color w:val="auto"/>
          <w:sz w:val="32"/>
          <w:szCs w:val="32"/>
        </w:rPr>
        <w:t>一是健全</w:t>
      </w:r>
      <w:r>
        <w:rPr>
          <w:rFonts w:hint="eastAsia" w:ascii="仿宋_GB2312" w:hAnsi="仿宋_GB2312" w:eastAsia="仿宋_GB2312" w:cs="仿宋_GB2312"/>
          <w:b/>
          <w:bCs/>
          <w:color w:val="auto"/>
          <w:sz w:val="32"/>
          <w:szCs w:val="32"/>
          <w:lang w:val="en-US" w:eastAsia="zh-CN"/>
        </w:rPr>
        <w:t>常态化精准</w:t>
      </w:r>
      <w:r>
        <w:rPr>
          <w:rFonts w:hint="eastAsia" w:ascii="仿宋_GB2312" w:hAnsi="仿宋_GB2312" w:eastAsia="仿宋_GB2312" w:cs="仿宋_GB2312"/>
          <w:b/>
          <w:bCs/>
          <w:color w:val="auto"/>
          <w:sz w:val="32"/>
          <w:szCs w:val="32"/>
        </w:rPr>
        <w:t>帮扶机制</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val="0"/>
          <w:bCs w:val="0"/>
          <w:color w:val="auto"/>
          <w:sz w:val="32"/>
          <w:szCs w:val="32"/>
          <w:lang w:eastAsia="zh-CN"/>
        </w:rPr>
        <w:t>落实常态化帮扶责任，稳步提升“三保障”和饮水安全保障水平，提高监测帮扶精准性和时效性，</w:t>
      </w:r>
      <w:r>
        <w:rPr>
          <w:rFonts w:hint="eastAsia" w:ascii="Times New Roman" w:hAnsi="Times New Roman" w:eastAsia="仿宋_GB2312" w:cs="仿宋_GB2312"/>
          <w:color w:val="auto"/>
          <w:sz w:val="32"/>
          <w:szCs w:val="32"/>
        </w:rPr>
        <w:t>坚持精准识别</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精准落实帮扶措施</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加强防止返贫致贫对象的动态管理，需要帮扶的及时纳入帮扶，稳定消除风险的有序退出</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坚决守住不发生规模性返贫底线。</w:t>
      </w:r>
      <w:r>
        <w:rPr>
          <w:rFonts w:hint="eastAsia" w:ascii="仿宋_GB2312" w:hAnsi="仿宋_GB2312" w:eastAsia="仿宋_GB2312" w:cs="仿宋_GB2312"/>
          <w:b/>
          <w:bCs/>
          <w:color w:val="auto"/>
          <w:sz w:val="32"/>
          <w:szCs w:val="32"/>
        </w:rPr>
        <w:t>二是拓宽农民增收渠道</w:t>
      </w:r>
      <w:r>
        <w:rPr>
          <w:rFonts w:hint="eastAsia" w:ascii="仿宋_GB2312" w:hAnsi="仿宋_GB2312" w:eastAsia="仿宋_GB2312" w:cs="仿宋_GB2312"/>
          <w:b/>
          <w:bCs/>
          <w:color w:val="auto"/>
          <w:sz w:val="32"/>
          <w:szCs w:val="32"/>
          <w:lang w:eastAsia="zh-CN"/>
        </w:rPr>
        <w:t>。</w:t>
      </w:r>
      <w:r>
        <w:rPr>
          <w:rFonts w:hint="eastAsia" w:ascii="Times New Roman" w:hAnsi="Times New Roman" w:eastAsia="仿宋_GB2312" w:cs="仿宋_GB2312"/>
          <w:color w:val="auto"/>
          <w:sz w:val="32"/>
          <w:szCs w:val="32"/>
        </w:rPr>
        <w:t>大力发展乡村富民产业，加强农民职业技能培训，促进农村劳动力就地就近就业和外出务工增收。</w:t>
      </w:r>
      <w:r>
        <w:rPr>
          <w:rFonts w:hint="eastAsia" w:ascii="仿宋_GB2312" w:hAnsi="仿宋_GB2312" w:eastAsia="仿宋_GB2312" w:cs="仿宋_GB2312"/>
          <w:b/>
          <w:bCs/>
          <w:color w:val="auto"/>
          <w:sz w:val="32"/>
          <w:szCs w:val="32"/>
          <w:lang w:val="en-US" w:eastAsia="zh-CN"/>
        </w:rPr>
        <w:t>三是抓实民生实事项目推进。</w:t>
      </w:r>
      <w:r>
        <w:rPr>
          <w:rFonts w:hint="eastAsia" w:ascii="仿宋_GB2312" w:hAnsi="仿宋_GB2312" w:eastAsia="仿宋_GB2312" w:cs="仿宋_GB2312"/>
          <w:color w:val="auto"/>
          <w:sz w:val="32"/>
          <w:szCs w:val="32"/>
          <w:lang w:val="en-US" w:eastAsia="zh-CN"/>
        </w:rPr>
        <w:t>全力推进桐花村</w:t>
      </w:r>
      <w:r>
        <w:rPr>
          <w:rFonts w:hint="eastAsia" w:ascii="Times New Roman" w:hAnsi="Times New Roman" w:eastAsia="仿宋_GB2312" w:cs="Times New Roman"/>
          <w:color w:val="auto"/>
          <w:sz w:val="32"/>
          <w:szCs w:val="32"/>
          <w:lang w:val="en-US" w:eastAsia="zh-CN"/>
        </w:rPr>
        <w:t>3</w:t>
      </w:r>
      <w:r>
        <w:rPr>
          <w:rFonts w:hint="eastAsia" w:ascii="仿宋_GB2312" w:hAnsi="仿宋_GB2312" w:eastAsia="仿宋_GB2312" w:cs="仿宋_GB2312"/>
          <w:color w:val="auto"/>
          <w:sz w:val="32"/>
          <w:szCs w:val="32"/>
          <w:lang w:val="en-US" w:eastAsia="zh-CN"/>
        </w:rPr>
        <w:t>组改界槽滑坡避险搬迁安置点建设项目，完成场平、土石方、支挡防护等工程及配套临时道路建设，协调指导农户严格按照统一风貌和安全要求做好新房修建，筑牢群众安全屏障，改善搬迁群众居住环境。</w:t>
      </w:r>
      <w:r>
        <w:rPr>
          <w:rFonts w:hint="eastAsia" w:ascii="仿宋_GB2312" w:hAnsi="仿宋_GB2312" w:eastAsia="仿宋_GB2312" w:cs="仿宋_GB2312"/>
          <w:b/>
          <w:bCs/>
          <w:color w:val="auto"/>
          <w:sz w:val="32"/>
          <w:szCs w:val="32"/>
          <w:lang w:val="en-US" w:eastAsia="zh-CN"/>
        </w:rPr>
        <w:t>四</w:t>
      </w:r>
      <w:r>
        <w:rPr>
          <w:rFonts w:hint="eastAsia" w:ascii="仿宋_GB2312" w:hAnsi="仿宋_GB2312" w:eastAsia="仿宋_GB2312" w:cs="仿宋_GB2312"/>
          <w:b/>
          <w:bCs/>
          <w:color w:val="auto"/>
          <w:sz w:val="32"/>
          <w:szCs w:val="32"/>
        </w:rPr>
        <w:t>是提升乡村治理效能。</w:t>
      </w:r>
      <w:r>
        <w:rPr>
          <w:rFonts w:hint="eastAsia" w:ascii="Times New Roman" w:hAnsi="Times New Roman" w:eastAsia="仿宋_GB2312" w:cs="仿宋_GB2312"/>
          <w:color w:val="auto"/>
          <w:sz w:val="32"/>
          <w:szCs w:val="32"/>
          <w:lang w:val="en-US" w:eastAsia="zh-CN"/>
        </w:rPr>
        <w:t>用好用活“峨边汇治理”九条措施，</w:t>
      </w:r>
      <w:r>
        <w:rPr>
          <w:rFonts w:hint="eastAsia" w:ascii="Times New Roman" w:hAnsi="Times New Roman" w:eastAsia="仿宋_GB2312" w:cs="仿宋_GB2312"/>
          <w:color w:val="auto"/>
          <w:sz w:val="32"/>
          <w:szCs w:val="32"/>
        </w:rPr>
        <w:t>健全党组织领导的自治、法治、德治相结合的乡村治理体系</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推动“家门口农情站”常态化运行，优化“乡、村、组、站”四级治理体系</w:t>
      </w: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val="en-US" w:eastAsia="zh-CN"/>
        </w:rPr>
        <w:t>全面推进“接诉即办”“未诉先办”落地实施，</w:t>
      </w:r>
      <w:r>
        <w:rPr>
          <w:rFonts w:hint="eastAsia" w:ascii="Times New Roman" w:hAnsi="Times New Roman" w:eastAsia="仿宋_GB2312" w:cs="仿宋_GB2312"/>
          <w:color w:val="auto"/>
          <w:sz w:val="32"/>
          <w:szCs w:val="32"/>
        </w:rPr>
        <w:t>维护农村社会和谐稳定。</w:t>
      </w:r>
    </w:p>
    <w:p w14:paraId="7D153FFD">
      <w:pPr>
        <w:keepNext w:val="0"/>
        <w:keepLines w:val="0"/>
        <w:pageBreakBefore w:val="0"/>
        <w:widowControl w:val="0"/>
        <w:suppressAutoHyphens/>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color w:val="auto"/>
          <w:sz w:val="32"/>
          <w:szCs w:val="32"/>
          <w:lang w:val="en-US" w:eastAsia="zh-CN"/>
        </w:rPr>
        <w:t>4.</w:t>
      </w:r>
      <w:r>
        <w:rPr>
          <w:rFonts w:hint="eastAsia" w:ascii="楷体" w:hAnsi="楷体" w:eastAsia="楷体" w:cs="楷体"/>
          <w:color w:val="auto"/>
          <w:sz w:val="32"/>
          <w:szCs w:val="32"/>
        </w:rPr>
        <w:t>聚焦“党建强”，</w:t>
      </w:r>
      <w:r>
        <w:rPr>
          <w:rFonts w:hint="eastAsia" w:ascii="楷体" w:hAnsi="楷体" w:eastAsia="楷体" w:cs="楷体"/>
          <w:color w:val="auto"/>
          <w:sz w:val="32"/>
          <w:szCs w:val="32"/>
          <w:lang w:val="en-US" w:eastAsia="zh-CN"/>
        </w:rPr>
        <w:t>开展队伍建设攻坚行动，</w:t>
      </w:r>
      <w:r>
        <w:rPr>
          <w:rFonts w:hint="eastAsia" w:ascii="楷体" w:hAnsi="楷体" w:eastAsia="楷体" w:cs="楷体"/>
          <w:color w:val="auto"/>
          <w:sz w:val="32"/>
          <w:szCs w:val="32"/>
        </w:rPr>
        <w:t>在固本强基、引领发展上凝聚新合力。</w:t>
      </w:r>
      <w:r>
        <w:rPr>
          <w:rFonts w:hint="eastAsia" w:ascii="仿宋_GB2312" w:hAnsi="仿宋_GB2312" w:eastAsia="仿宋_GB2312" w:cs="仿宋_GB2312"/>
          <w:b/>
          <w:bCs/>
          <w:color w:val="auto"/>
          <w:sz w:val="32"/>
          <w:szCs w:val="32"/>
          <w:lang w:val="en-US" w:eastAsia="zh-CN"/>
        </w:rPr>
        <w:t>一是强化政治建设。</w:t>
      </w:r>
      <w:r>
        <w:rPr>
          <w:rFonts w:hint="eastAsia" w:ascii="仿宋_GB2312" w:hAnsi="仿宋_GB2312" w:eastAsia="仿宋_GB2312" w:cs="仿宋_GB2312"/>
          <w:color w:val="auto"/>
          <w:sz w:val="32"/>
          <w:szCs w:val="32"/>
          <w:lang w:val="en-US" w:eastAsia="zh-CN"/>
        </w:rPr>
        <w:t>坚持把党的政治建设摆在首位，教育引导全乡党员干部深刻领悟“两个确立”的决定性意义，坚决做到“两个维护”，确保上级各项决策部署在宜坪落地生根。</w:t>
      </w:r>
      <w:r>
        <w:rPr>
          <w:rFonts w:hint="eastAsia" w:ascii="仿宋_GB2312" w:hAnsi="仿宋_GB2312" w:eastAsia="仿宋_GB2312" w:cs="仿宋_GB2312"/>
          <w:b/>
          <w:bCs/>
          <w:color w:val="auto"/>
          <w:sz w:val="32"/>
          <w:szCs w:val="32"/>
          <w:lang w:val="en-US" w:eastAsia="zh-CN"/>
        </w:rPr>
        <w:t>二是建强战斗堡垒。</w:t>
      </w:r>
      <w:r>
        <w:rPr>
          <w:rFonts w:hint="eastAsia" w:ascii="仿宋_GB2312" w:hAnsi="仿宋_GB2312" w:eastAsia="仿宋_GB2312" w:cs="仿宋_GB2312"/>
          <w:color w:val="auto"/>
          <w:sz w:val="32"/>
          <w:szCs w:val="32"/>
          <w:lang w:val="en-US" w:eastAsia="zh-CN"/>
        </w:rPr>
        <w:t>深入推进党支部标准化规范化建设，加强对新一届村“两委”班子能力提升培训，通过帮带、专题培训等方式提升干部综合能力。</w:t>
      </w:r>
      <w:r>
        <w:rPr>
          <w:rFonts w:hint="eastAsia" w:ascii="仿宋_GB2312" w:hAnsi="仿宋_GB2312" w:eastAsia="仿宋_GB2312" w:cs="仿宋_GB2312"/>
          <w:b/>
          <w:bCs/>
          <w:color w:val="auto"/>
          <w:sz w:val="32"/>
          <w:szCs w:val="32"/>
          <w:lang w:val="en-US" w:eastAsia="zh-CN"/>
        </w:rPr>
        <w:t>三是锻造过硬队伍。</w:t>
      </w:r>
      <w:r>
        <w:rPr>
          <w:rFonts w:hint="eastAsia" w:ascii="仿宋_GB2312" w:hAnsi="仿宋_GB2312" w:eastAsia="仿宋_GB2312" w:cs="仿宋_GB2312"/>
          <w:color w:val="auto"/>
          <w:sz w:val="32"/>
          <w:szCs w:val="32"/>
          <w:lang w:val="en-US" w:eastAsia="zh-CN"/>
        </w:rPr>
        <w:t>加强乡村干部能力培训和作风建设，深化“六比六看”意识，坚持“三实两提”标准，激励广大干部在乡村振兴一线担当作为、建功立业。持续整治群众身边的不正之风和腐败问题，营造风清气正的政治生态。</w:t>
      </w:r>
    </w:p>
    <w:p w14:paraId="0AC79378">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4CA8AE18">
      <w:pPr>
        <w:pStyle w:val="7"/>
        <w:keepNext w:val="0"/>
        <w:keepLines w:val="0"/>
        <w:pageBreakBefore w:val="0"/>
        <w:widowControl w:val="0"/>
        <w:kinsoku/>
        <w:wordWrap/>
        <w:overflowPunct/>
        <w:topLinePunct w:val="0"/>
        <w:autoSpaceDE/>
        <w:autoSpaceDN/>
        <w:bidi w:val="0"/>
        <w:adjustRightInd w:val="0"/>
        <w:snapToGrid w:val="0"/>
        <w:spacing w:beforeLines="0" w:line="600" w:lineRule="exact"/>
        <w:ind w:left="0" w:leftChars="0" w:right="0" w:rightChars="0" w:firstLine="640" w:firstLineChars="200"/>
        <w:jc w:val="left"/>
        <w:textAlignment w:val="auto"/>
        <w:outlineLvl w:val="2"/>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宜坪乡人民政府预算单位1个，其中：行政单位1个，事业单位0个。</w:t>
      </w:r>
    </w:p>
    <w:p w14:paraId="67460157">
      <w:pPr>
        <w:spacing w:line="600" w:lineRule="exact"/>
        <w:ind w:firstLine="640" w:firstLineChars="200"/>
        <w:rPr>
          <w:rFonts w:hint="eastAsia" w:ascii="仿宋" w:hAnsi="仿宋" w:eastAsia="仿宋"/>
          <w:sz w:val="32"/>
          <w:szCs w:val="32"/>
        </w:rPr>
      </w:pPr>
      <w:r>
        <w:rPr>
          <w:rFonts w:hint="eastAsia" w:ascii="仿宋_GB2312" w:hAnsi="仿宋_GB2312" w:eastAsia="仿宋_GB2312" w:cs="仿宋_GB2312"/>
          <w:b w:val="0"/>
          <w:bCs/>
          <w:color w:val="auto"/>
          <w:sz w:val="32"/>
          <w:szCs w:val="32"/>
          <w:highlight w:val="none"/>
          <w:lang w:val="en-US" w:eastAsia="zh-CN"/>
        </w:rPr>
        <w:t>宜坪乡人民政府总编制</w:t>
      </w:r>
      <w:r>
        <w:rPr>
          <w:rFonts w:hint="eastAsia" w:hAnsi="仿宋_GB2312" w:cs="仿宋_GB2312"/>
          <w:b w:val="0"/>
          <w:bCs/>
          <w:color w:val="auto"/>
          <w:sz w:val="32"/>
          <w:szCs w:val="32"/>
          <w:highlight w:val="none"/>
          <w:lang w:val="en-US" w:eastAsia="zh-CN"/>
        </w:rPr>
        <w:t>31</w:t>
      </w:r>
      <w:r>
        <w:rPr>
          <w:rFonts w:hint="eastAsia" w:ascii="仿宋_GB2312" w:hAnsi="仿宋_GB2312" w:eastAsia="仿宋_GB2312" w:cs="仿宋_GB2312"/>
          <w:b w:val="0"/>
          <w:bCs/>
          <w:color w:val="auto"/>
          <w:sz w:val="32"/>
          <w:szCs w:val="32"/>
          <w:highlight w:val="none"/>
          <w:lang w:val="en-US" w:eastAsia="zh-CN"/>
        </w:rPr>
        <w:t>名，其中：行政编制17名，工勤编制0名，事业编制</w:t>
      </w:r>
      <w:r>
        <w:rPr>
          <w:rFonts w:hint="eastAsia" w:hAnsi="仿宋_GB2312" w:cs="仿宋_GB2312"/>
          <w:b w:val="0"/>
          <w:bCs/>
          <w:color w:val="auto"/>
          <w:sz w:val="32"/>
          <w:szCs w:val="32"/>
          <w:highlight w:val="none"/>
          <w:lang w:val="en-US" w:eastAsia="zh-CN"/>
        </w:rPr>
        <w:t>14</w:t>
      </w:r>
      <w:r>
        <w:rPr>
          <w:rFonts w:hint="eastAsia" w:ascii="仿宋_GB2312" w:hAnsi="仿宋_GB2312" w:eastAsia="仿宋_GB2312" w:cs="仿宋_GB2312"/>
          <w:b w:val="0"/>
          <w:bCs/>
          <w:color w:val="auto"/>
          <w:sz w:val="32"/>
          <w:szCs w:val="32"/>
          <w:highlight w:val="none"/>
          <w:lang w:val="en-US" w:eastAsia="zh-CN"/>
        </w:rPr>
        <w:t>名。在职人员总数</w:t>
      </w:r>
      <w:r>
        <w:rPr>
          <w:rFonts w:hint="eastAsia" w:hAnsi="仿宋_GB2312" w:cs="仿宋_GB2312"/>
          <w:b w:val="0"/>
          <w:bCs/>
          <w:color w:val="auto"/>
          <w:sz w:val="32"/>
          <w:szCs w:val="32"/>
          <w:highlight w:val="none"/>
          <w:lang w:val="en-US" w:eastAsia="zh-CN"/>
        </w:rPr>
        <w:t>22</w:t>
      </w:r>
      <w:r>
        <w:rPr>
          <w:rFonts w:hint="eastAsia" w:ascii="仿宋_GB2312" w:hAnsi="仿宋_GB2312" w:eastAsia="仿宋_GB2312" w:cs="仿宋_GB2312"/>
          <w:b w:val="0"/>
          <w:bCs/>
          <w:color w:val="auto"/>
          <w:sz w:val="32"/>
          <w:szCs w:val="32"/>
          <w:highlight w:val="none"/>
          <w:lang w:val="en-US" w:eastAsia="zh-CN"/>
        </w:rPr>
        <w:t>名，其中：行政13名，工勤</w:t>
      </w:r>
      <w:r>
        <w:rPr>
          <w:rFonts w:hint="eastAsia" w:hAnsi="仿宋_GB2312" w:cs="仿宋_GB2312"/>
          <w:b w:val="0"/>
          <w:bCs/>
          <w:color w:val="auto"/>
          <w:sz w:val="32"/>
          <w:szCs w:val="32"/>
          <w:highlight w:val="none"/>
          <w:lang w:val="en-US" w:eastAsia="zh-CN"/>
        </w:rPr>
        <w:t>0</w:t>
      </w:r>
      <w:r>
        <w:rPr>
          <w:rFonts w:hint="eastAsia" w:ascii="仿宋_GB2312" w:hAnsi="仿宋_GB2312" w:eastAsia="仿宋_GB2312" w:cs="仿宋_GB2312"/>
          <w:b w:val="0"/>
          <w:bCs/>
          <w:color w:val="auto"/>
          <w:sz w:val="32"/>
          <w:szCs w:val="32"/>
          <w:highlight w:val="none"/>
          <w:lang w:val="en-US" w:eastAsia="zh-CN"/>
        </w:rPr>
        <w:t>名，事业</w:t>
      </w:r>
      <w:r>
        <w:rPr>
          <w:rFonts w:hint="eastAsia" w:hAnsi="仿宋_GB2312" w:cs="仿宋_GB2312"/>
          <w:b w:val="0"/>
          <w:bCs/>
          <w:color w:val="auto"/>
          <w:sz w:val="32"/>
          <w:szCs w:val="32"/>
          <w:highlight w:val="none"/>
          <w:lang w:val="en-US" w:eastAsia="zh-CN"/>
        </w:rPr>
        <w:t>9</w:t>
      </w:r>
      <w:r>
        <w:rPr>
          <w:rFonts w:hint="eastAsia" w:ascii="仿宋_GB2312" w:hAnsi="仿宋_GB2312" w:eastAsia="仿宋_GB2312" w:cs="仿宋_GB2312"/>
          <w:b w:val="0"/>
          <w:bCs/>
          <w:color w:val="auto"/>
          <w:sz w:val="32"/>
          <w:szCs w:val="32"/>
          <w:highlight w:val="none"/>
          <w:lang w:val="en-US" w:eastAsia="zh-CN"/>
        </w:rPr>
        <w:t>名</w:t>
      </w:r>
      <w:r>
        <w:rPr>
          <w:rFonts w:hint="eastAsia" w:hAnsi="仿宋_GB2312" w:cs="仿宋_GB2312"/>
          <w:b w:val="0"/>
          <w:bCs/>
          <w:color w:val="auto"/>
          <w:sz w:val="32"/>
          <w:szCs w:val="32"/>
          <w:highlight w:val="none"/>
          <w:lang w:val="en-US" w:eastAsia="zh-CN"/>
        </w:rPr>
        <w:t>。</w:t>
      </w:r>
      <w:r>
        <w:rPr>
          <w:rFonts w:hint="eastAsia" w:ascii="仿宋_GB2312" w:hAnsi="仿宋_GB2312" w:eastAsia="仿宋_GB2312" w:cs="仿宋_GB2312"/>
          <w:b w:val="0"/>
          <w:bCs/>
          <w:color w:val="auto"/>
          <w:sz w:val="32"/>
          <w:szCs w:val="32"/>
          <w:highlight w:val="none"/>
          <w:lang w:val="en-US" w:eastAsia="zh-CN"/>
        </w:rPr>
        <w:t>离休0名。</w:t>
      </w:r>
    </w:p>
    <w:p w14:paraId="59209B52">
      <w:pPr>
        <w:spacing w:line="600" w:lineRule="exact"/>
        <w:ind w:firstLine="640" w:firstLineChars="200"/>
        <w:rPr>
          <w:rFonts w:hint="eastAsia" w:ascii="仿宋" w:hAnsi="仿宋" w:eastAsia="仿宋"/>
          <w:sz w:val="32"/>
          <w:szCs w:val="32"/>
        </w:rPr>
      </w:pPr>
    </w:p>
    <w:p w14:paraId="14251AC2">
      <w:pPr>
        <w:spacing w:line="600" w:lineRule="exact"/>
        <w:ind w:firstLine="640" w:firstLineChars="200"/>
        <w:rPr>
          <w:rFonts w:hint="eastAsia" w:ascii="仿宋" w:hAnsi="仿宋" w:eastAsia="仿宋"/>
          <w:sz w:val="32"/>
          <w:szCs w:val="32"/>
        </w:rPr>
      </w:pPr>
    </w:p>
    <w:p w14:paraId="73B0CF3C">
      <w:pPr>
        <w:spacing w:line="600" w:lineRule="exact"/>
        <w:ind w:firstLine="640" w:firstLineChars="200"/>
        <w:rPr>
          <w:rFonts w:hint="eastAsia" w:ascii="仿宋" w:hAnsi="仿宋" w:eastAsia="仿宋"/>
          <w:sz w:val="32"/>
          <w:szCs w:val="32"/>
        </w:rPr>
      </w:pPr>
    </w:p>
    <w:p w14:paraId="40DAB222">
      <w:pPr>
        <w:spacing w:line="600" w:lineRule="exact"/>
        <w:ind w:firstLine="640" w:firstLineChars="200"/>
        <w:rPr>
          <w:rFonts w:hint="eastAsia" w:ascii="仿宋" w:hAnsi="仿宋" w:eastAsia="仿宋"/>
          <w:sz w:val="32"/>
          <w:szCs w:val="32"/>
        </w:rPr>
      </w:pPr>
    </w:p>
    <w:p w14:paraId="5AA3163C">
      <w:pPr>
        <w:spacing w:line="600" w:lineRule="exact"/>
        <w:ind w:firstLine="640" w:firstLineChars="200"/>
        <w:rPr>
          <w:rFonts w:hint="eastAsia" w:ascii="仿宋" w:hAnsi="仿宋" w:eastAsia="仿宋"/>
          <w:sz w:val="32"/>
          <w:szCs w:val="32"/>
        </w:rPr>
      </w:pPr>
    </w:p>
    <w:p w14:paraId="48514B32">
      <w:pPr>
        <w:spacing w:line="600" w:lineRule="exact"/>
        <w:ind w:firstLine="640" w:firstLineChars="200"/>
        <w:rPr>
          <w:rFonts w:hint="eastAsia" w:ascii="仿宋" w:hAnsi="仿宋" w:eastAsia="仿宋"/>
          <w:sz w:val="32"/>
          <w:szCs w:val="32"/>
        </w:rPr>
      </w:pPr>
    </w:p>
    <w:p w14:paraId="7E6376AB">
      <w:pPr>
        <w:spacing w:line="600" w:lineRule="exact"/>
        <w:ind w:firstLine="640" w:firstLineChars="200"/>
        <w:rPr>
          <w:rFonts w:hint="eastAsia" w:ascii="仿宋" w:hAnsi="仿宋" w:eastAsia="仿宋"/>
          <w:sz w:val="32"/>
          <w:szCs w:val="32"/>
        </w:rPr>
      </w:pPr>
    </w:p>
    <w:p w14:paraId="3646EE4F">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601096BA">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第二部分</w:t>
      </w:r>
    </w:p>
    <w:p w14:paraId="1727A909">
      <w:pPr>
        <w:pStyle w:val="2"/>
        <w:keepNext/>
        <w:keepLines/>
        <w:pageBreakBefore w:val="0"/>
        <w:widowControl w:val="0"/>
        <w:numPr>
          <w:ilvl w:val="0"/>
          <w:numId w:val="0"/>
        </w:numPr>
        <w:kinsoku/>
        <w:wordWrap/>
        <w:overflowPunct/>
        <w:topLinePunct w:val="0"/>
        <w:autoSpaceDE/>
        <w:autoSpaceDN/>
        <w:bidi w:val="0"/>
        <w:adjustRightInd/>
        <w:snapToGrid/>
        <w:spacing w:before="0" w:beforeLines="0"/>
        <w:jc w:val="center"/>
        <w:textAlignment w:val="auto"/>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峨边彝族自治县宜坪乡人民政府</w:t>
      </w:r>
    </w:p>
    <w:p w14:paraId="27F2764F">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2026年部门预算表</w:t>
      </w:r>
    </w:p>
    <w:p w14:paraId="107A6933">
      <w:pPr>
        <w:spacing w:line="600" w:lineRule="exact"/>
        <w:rPr>
          <w:rFonts w:hint="default" w:ascii="仿宋" w:hAnsi="仿宋" w:eastAsia="仿宋" w:cs="Times New Roman"/>
          <w:sz w:val="32"/>
          <w:szCs w:val="32"/>
          <w:lang w:val="en-US" w:eastAsia="zh-CN"/>
        </w:rPr>
      </w:pPr>
    </w:p>
    <w:p w14:paraId="42510577">
      <w:pPr>
        <w:spacing w:line="600" w:lineRule="exact"/>
        <w:rPr>
          <w:rFonts w:hint="default" w:ascii="仿宋" w:hAnsi="仿宋" w:eastAsia="仿宋" w:cs="Times New Roman"/>
          <w:sz w:val="32"/>
          <w:szCs w:val="32"/>
          <w:lang w:val="en-US" w:eastAsia="zh-CN"/>
        </w:rPr>
      </w:pPr>
    </w:p>
    <w:p w14:paraId="03D5A2E6">
      <w:pPr>
        <w:spacing w:line="600" w:lineRule="exact"/>
        <w:rPr>
          <w:rFonts w:hint="default" w:ascii="仿宋" w:hAnsi="仿宋" w:eastAsia="仿宋" w:cs="Times New Roman"/>
          <w:sz w:val="32"/>
          <w:szCs w:val="32"/>
          <w:lang w:val="en-US" w:eastAsia="zh-CN"/>
        </w:rPr>
      </w:pPr>
    </w:p>
    <w:p w14:paraId="15EAE7F6">
      <w:pPr>
        <w:spacing w:line="600" w:lineRule="exact"/>
        <w:rPr>
          <w:rFonts w:hint="default" w:ascii="仿宋" w:hAnsi="仿宋" w:eastAsia="仿宋" w:cs="Times New Roman"/>
          <w:sz w:val="32"/>
          <w:szCs w:val="32"/>
          <w:lang w:val="en-US" w:eastAsia="zh-CN"/>
        </w:rPr>
      </w:pPr>
    </w:p>
    <w:p w14:paraId="01608180">
      <w:pPr>
        <w:spacing w:line="600" w:lineRule="exact"/>
        <w:rPr>
          <w:rFonts w:hint="default" w:ascii="仿宋" w:hAnsi="仿宋" w:eastAsia="仿宋" w:cs="Times New Roman"/>
          <w:sz w:val="32"/>
          <w:szCs w:val="32"/>
          <w:lang w:val="en-US" w:eastAsia="zh-CN"/>
        </w:rPr>
      </w:pPr>
    </w:p>
    <w:p w14:paraId="72C12F21">
      <w:pPr>
        <w:spacing w:line="600" w:lineRule="exact"/>
        <w:rPr>
          <w:rFonts w:hint="default" w:ascii="仿宋" w:hAnsi="仿宋" w:eastAsia="仿宋" w:cs="Times New Roman"/>
          <w:sz w:val="32"/>
          <w:szCs w:val="32"/>
          <w:lang w:val="en-US" w:eastAsia="zh-CN"/>
        </w:rPr>
      </w:pPr>
    </w:p>
    <w:p w14:paraId="07265E37">
      <w:pPr>
        <w:spacing w:line="600" w:lineRule="exact"/>
        <w:rPr>
          <w:rFonts w:hint="default" w:ascii="仿宋" w:hAnsi="仿宋" w:eastAsia="仿宋" w:cs="Times New Roman"/>
          <w:sz w:val="32"/>
          <w:szCs w:val="32"/>
          <w:lang w:val="en-US" w:eastAsia="zh-CN"/>
        </w:rPr>
      </w:pPr>
    </w:p>
    <w:p w14:paraId="6B6AC760">
      <w:pPr>
        <w:spacing w:line="600" w:lineRule="exact"/>
        <w:rPr>
          <w:rFonts w:hint="default" w:ascii="仿宋" w:hAnsi="仿宋" w:eastAsia="仿宋" w:cs="Times New Roman"/>
          <w:sz w:val="32"/>
          <w:szCs w:val="32"/>
          <w:lang w:val="en-US" w:eastAsia="zh-CN"/>
        </w:rPr>
      </w:pPr>
    </w:p>
    <w:p w14:paraId="42BF267B">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详见附件2：宜坪乡人民政府预算公开报表  </w:t>
      </w:r>
    </w:p>
    <w:p w14:paraId="36789C80">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1FB3C6F4">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第三部分                         峨边彝族自治县宜坪乡人民</w:t>
      </w:r>
    </w:p>
    <w:p w14:paraId="10CB5BF4">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2026年部门预算情况说明</w:t>
      </w:r>
    </w:p>
    <w:p w14:paraId="4D379613">
      <w:pPr>
        <w:numPr>
          <w:ilvl w:val="0"/>
          <w:numId w:val="0"/>
        </w:numPr>
        <w:jc w:val="center"/>
        <w:rPr>
          <w:rFonts w:hint="default"/>
          <w:b/>
          <w:bCs/>
          <w:sz w:val="52"/>
          <w:szCs w:val="52"/>
          <w:lang w:val="en-US" w:eastAsia="zh-CN"/>
        </w:rPr>
      </w:pPr>
    </w:p>
    <w:p w14:paraId="18CCC115">
      <w:pPr>
        <w:numPr>
          <w:ilvl w:val="0"/>
          <w:numId w:val="0"/>
        </w:numPr>
        <w:spacing w:line="600" w:lineRule="exact"/>
        <w:rPr>
          <w:rFonts w:hint="eastAsia" w:ascii="仿宋" w:hAnsi="仿宋" w:eastAsia="仿宋" w:cs="Times New Roman"/>
          <w:sz w:val="32"/>
          <w:szCs w:val="32"/>
          <w:lang w:val="en-US" w:eastAsia="zh-CN"/>
        </w:rPr>
      </w:pPr>
    </w:p>
    <w:p w14:paraId="5EB273EB">
      <w:pPr>
        <w:numPr>
          <w:ilvl w:val="0"/>
          <w:numId w:val="0"/>
        </w:numPr>
        <w:spacing w:line="600" w:lineRule="exact"/>
        <w:rPr>
          <w:rFonts w:hint="eastAsia" w:ascii="仿宋" w:hAnsi="仿宋" w:eastAsia="仿宋" w:cs="Times New Roman"/>
          <w:sz w:val="32"/>
          <w:szCs w:val="32"/>
          <w:lang w:val="en-US" w:eastAsia="zh-CN"/>
        </w:rPr>
      </w:pPr>
    </w:p>
    <w:p w14:paraId="43A7409C">
      <w:pPr>
        <w:numPr>
          <w:ilvl w:val="0"/>
          <w:numId w:val="0"/>
        </w:numPr>
        <w:spacing w:line="600" w:lineRule="exact"/>
        <w:rPr>
          <w:rFonts w:hint="eastAsia" w:ascii="仿宋" w:hAnsi="仿宋" w:eastAsia="仿宋" w:cs="Times New Roman"/>
          <w:sz w:val="32"/>
          <w:szCs w:val="32"/>
          <w:lang w:val="en-US" w:eastAsia="zh-CN"/>
        </w:rPr>
      </w:pPr>
    </w:p>
    <w:p w14:paraId="4B411898">
      <w:pPr>
        <w:numPr>
          <w:ilvl w:val="0"/>
          <w:numId w:val="0"/>
        </w:numPr>
        <w:spacing w:line="600" w:lineRule="exact"/>
        <w:rPr>
          <w:rFonts w:hint="eastAsia" w:ascii="仿宋" w:hAnsi="仿宋" w:eastAsia="仿宋" w:cs="Times New Roman"/>
          <w:sz w:val="32"/>
          <w:szCs w:val="32"/>
          <w:lang w:val="en-US" w:eastAsia="zh-CN"/>
        </w:rPr>
      </w:pPr>
    </w:p>
    <w:p w14:paraId="3F123421">
      <w:pPr>
        <w:numPr>
          <w:ilvl w:val="0"/>
          <w:numId w:val="0"/>
        </w:numPr>
        <w:jc w:val="center"/>
        <w:rPr>
          <w:rFonts w:hint="default"/>
          <w:b/>
          <w:bCs/>
          <w:sz w:val="52"/>
          <w:szCs w:val="52"/>
          <w:lang w:val="en-US" w:eastAsia="zh-CN"/>
        </w:rPr>
      </w:pPr>
    </w:p>
    <w:p w14:paraId="7C34DA65">
      <w:pPr>
        <w:numPr>
          <w:ilvl w:val="0"/>
          <w:numId w:val="0"/>
        </w:numPr>
        <w:jc w:val="center"/>
        <w:rPr>
          <w:rFonts w:hint="default"/>
          <w:b/>
          <w:bCs/>
          <w:sz w:val="52"/>
          <w:szCs w:val="52"/>
          <w:lang w:val="en-US" w:eastAsia="zh-CN"/>
        </w:rPr>
      </w:pPr>
    </w:p>
    <w:p w14:paraId="1106E8C9">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1C661F73">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按照综合预算的原则，</w:t>
      </w:r>
      <w:r>
        <w:rPr>
          <w:rFonts w:hint="eastAsia" w:ascii="Times New Roman" w:hAnsi="Times New Roman" w:eastAsia="仿宋_GB2312" w:cs="仿宋_GB2312"/>
          <w:color w:val="auto"/>
          <w:sz w:val="32"/>
          <w:szCs w:val="32"/>
          <w:lang w:eastAsia="zh-CN"/>
        </w:rPr>
        <w:t>宜坪乡人民政府</w:t>
      </w:r>
      <w:r>
        <w:rPr>
          <w:rFonts w:hint="eastAsia" w:ascii="Times New Roman" w:hAnsi="Times New Roman" w:eastAsia="仿宋_GB2312" w:cs="仿宋_GB2312"/>
          <w:color w:val="auto"/>
          <w:sz w:val="32"/>
          <w:szCs w:val="32"/>
          <w:lang w:val="en-US" w:eastAsia="zh-CN"/>
        </w:rPr>
        <w:t>所有收入和支出均纳入部门预算管理。收入包括：一般公共预算拨款收入；支出包括：一般公共服务支出、社会保障和就业支出、卫生健康支出、农林水支出、住房保障支出。</w:t>
      </w:r>
    </w:p>
    <w:p w14:paraId="0AF23AD4">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sz w:val="32"/>
          <w:szCs w:val="32"/>
          <w:lang w:eastAsia="zh-CN"/>
        </w:rPr>
        <w:t>宜坪乡人民政府</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年收支总预算</w:t>
      </w:r>
      <w:r>
        <w:rPr>
          <w:rFonts w:hint="eastAsia" w:ascii="Times New Roman" w:hAnsi="Times New Roman" w:eastAsia="仿宋_GB2312" w:cs="仿宋_GB2312"/>
          <w:color w:val="auto"/>
          <w:kern w:val="0"/>
          <w:sz w:val="32"/>
          <w:szCs w:val="32"/>
          <w:lang w:val="en-US" w:eastAsia="zh-CN"/>
        </w:rPr>
        <w:t>588.39</w:t>
      </w:r>
      <w:r>
        <w:rPr>
          <w:rFonts w:hint="eastAsia" w:ascii="Times New Roman" w:hAnsi="Times New Roman" w:eastAsia="仿宋_GB2312" w:cs="仿宋_GB2312"/>
          <w:color w:val="auto"/>
          <w:kern w:val="0"/>
          <w:sz w:val="32"/>
          <w:szCs w:val="32"/>
        </w:rPr>
        <w:t>万元，比</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年收支预算总数</w:t>
      </w:r>
      <w:r>
        <w:rPr>
          <w:rFonts w:hint="eastAsia" w:ascii="Times New Roman" w:hAnsi="Times New Roman" w:eastAsia="仿宋_GB2312" w:cs="仿宋_GB2312"/>
          <w:color w:val="auto"/>
          <w:kern w:val="0"/>
          <w:sz w:val="32"/>
          <w:szCs w:val="32"/>
          <w:lang w:val="en-US" w:eastAsia="zh-CN"/>
        </w:rPr>
        <w:t>减少77.32</w:t>
      </w:r>
      <w:r>
        <w:rPr>
          <w:rFonts w:hint="eastAsia" w:ascii="Times New Roman" w:hAnsi="Times New Roman" w:eastAsia="仿宋_GB2312" w:cs="仿宋_GB2312"/>
          <w:color w:val="auto"/>
          <w:kern w:val="0"/>
          <w:sz w:val="32"/>
          <w:szCs w:val="32"/>
        </w:rPr>
        <w:t>万元，主要</w:t>
      </w:r>
      <w:r>
        <w:rPr>
          <w:rFonts w:hint="eastAsia" w:ascii="Times New Roman" w:hAnsi="Times New Roman" w:eastAsia="仿宋_GB2312" w:cs="仿宋_GB2312"/>
          <w:color w:val="auto"/>
          <w:kern w:val="0"/>
          <w:sz w:val="32"/>
          <w:szCs w:val="32"/>
          <w:lang w:eastAsia="zh-CN"/>
        </w:rPr>
        <w:t>原因是</w:t>
      </w:r>
      <w:r>
        <w:rPr>
          <w:rFonts w:hint="eastAsia" w:ascii="Times New Roman" w:hAnsi="Times New Roman" w:eastAsia="仿宋_GB2312" w:cs="仿宋_GB2312"/>
          <w:color w:val="auto"/>
          <w:kern w:val="0"/>
          <w:sz w:val="32"/>
          <w:szCs w:val="32"/>
          <w:lang w:val="en-US" w:eastAsia="zh-CN"/>
        </w:rPr>
        <w:t>厉行节约</w:t>
      </w:r>
      <w:r>
        <w:rPr>
          <w:rFonts w:hint="eastAsia" w:ascii="Times New Roman" w:hAnsi="Times New Roman" w:eastAsia="仿宋_GB2312" w:cs="仿宋_GB2312"/>
          <w:color w:val="auto"/>
          <w:kern w:val="0"/>
          <w:sz w:val="32"/>
          <w:szCs w:val="32"/>
        </w:rPr>
        <w:t>。</w:t>
      </w:r>
    </w:p>
    <w:p w14:paraId="14CDB9B6">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（一）收入预算情况</w:t>
      </w:r>
      <w:r>
        <w:rPr>
          <w:rFonts w:hint="eastAsia" w:ascii="Times New Roman" w:hAnsi="Times New Roman" w:eastAsia="楷体_GB2312" w:cs="Times New Roman"/>
          <w:b w:val="0"/>
          <w:bCs/>
          <w:color w:val="auto"/>
          <w:sz w:val="32"/>
          <w:szCs w:val="32"/>
          <w:lang w:eastAsia="zh-CN"/>
        </w:rPr>
        <w:t>。</w:t>
      </w:r>
    </w:p>
    <w:p w14:paraId="068ED6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eastAsia="zh-CN"/>
        </w:rPr>
        <w:t>宜坪乡人民政府2026</w:t>
      </w:r>
      <w:r>
        <w:rPr>
          <w:rFonts w:hint="eastAsia" w:ascii="Times New Roman" w:hAnsi="Times New Roman" w:eastAsia="仿宋_GB2312" w:cs="仿宋_GB2312"/>
          <w:color w:val="auto"/>
          <w:kern w:val="0"/>
          <w:sz w:val="32"/>
          <w:szCs w:val="32"/>
        </w:rPr>
        <w:t>年收入预算</w:t>
      </w:r>
      <w:r>
        <w:rPr>
          <w:rFonts w:hint="eastAsia" w:ascii="Times New Roman" w:hAnsi="Times New Roman" w:eastAsia="仿宋_GB2312" w:cs="仿宋_GB2312"/>
          <w:color w:val="auto"/>
          <w:kern w:val="0"/>
          <w:sz w:val="32"/>
          <w:szCs w:val="32"/>
          <w:lang w:val="en-US" w:eastAsia="zh-CN"/>
        </w:rPr>
        <w:t>588.39</w:t>
      </w:r>
      <w:r>
        <w:rPr>
          <w:rFonts w:hint="eastAsia" w:ascii="Times New Roman" w:hAnsi="Times New Roman" w:eastAsia="仿宋_GB2312" w:cs="仿宋_GB2312"/>
          <w:color w:val="auto"/>
          <w:kern w:val="0"/>
          <w:sz w:val="32"/>
          <w:szCs w:val="32"/>
        </w:rPr>
        <w:t>万元，其中：上年结转</w:t>
      </w:r>
      <w:r>
        <w:rPr>
          <w:rFonts w:hint="eastAsia" w:ascii="Times New Roman" w:hAnsi="Times New Roman" w:eastAsia="仿宋_GB2312" w:cs="仿宋_GB2312"/>
          <w:color w:val="auto"/>
          <w:kern w:val="0"/>
          <w:sz w:val="32"/>
          <w:szCs w:val="32"/>
          <w:lang w:val="en-US" w:eastAsia="zh-CN"/>
        </w:rPr>
        <w:t>15.36</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2.61</w:t>
      </w:r>
      <w:r>
        <w:rPr>
          <w:rFonts w:hint="eastAsia" w:ascii="Times New Roman" w:hAnsi="Times New Roman" w:eastAsia="仿宋_GB2312" w:cs="仿宋_GB2312"/>
          <w:color w:val="auto"/>
          <w:kern w:val="0"/>
          <w:sz w:val="32"/>
          <w:szCs w:val="32"/>
        </w:rPr>
        <w:t>%；一般公共预算拨款收入</w:t>
      </w:r>
      <w:r>
        <w:rPr>
          <w:rFonts w:hint="eastAsia" w:ascii="Times New Roman" w:hAnsi="Times New Roman" w:eastAsia="仿宋_GB2312" w:cs="仿宋_GB2312"/>
          <w:color w:val="auto"/>
          <w:kern w:val="0"/>
          <w:sz w:val="32"/>
          <w:szCs w:val="32"/>
          <w:lang w:val="en-US" w:eastAsia="zh-CN"/>
        </w:rPr>
        <w:t>573.03</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97.39</w:t>
      </w:r>
      <w:r>
        <w:rPr>
          <w:rFonts w:hint="eastAsia" w:ascii="Times New Roman" w:hAnsi="Times New Roman" w:eastAsia="仿宋_GB2312" w:cs="仿宋_GB2312"/>
          <w:color w:val="auto"/>
          <w:kern w:val="0"/>
          <w:sz w:val="32"/>
          <w:szCs w:val="32"/>
        </w:rPr>
        <w:t>%；政府性基金预算拨款收入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sz w:val="32"/>
          <w:szCs w:val="32"/>
        </w:rPr>
        <w:t>国有资本经营预算拨款收入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p>
    <w:p w14:paraId="66BD0A09">
      <w:pPr>
        <w:suppressAutoHyphens/>
        <w:spacing w:line="580" w:lineRule="exact"/>
        <w:ind w:firstLine="640" w:firstLineChars="200"/>
        <w:jc w:val="both"/>
        <w:outlineLvl w:val="2"/>
        <w:rPr>
          <w:rFonts w:hint="default" w:ascii="Times New Roman" w:hAnsi="Times New Roman" w:eastAsia="楷体_GB2312" w:cs="Times New Roman"/>
          <w:b w:val="0"/>
          <w:bCs/>
          <w:color w:val="auto"/>
          <w:sz w:val="32"/>
          <w:szCs w:val="32"/>
          <w:lang w:val="en-US" w:eastAsia="zh-CN"/>
        </w:rPr>
      </w:pPr>
      <w:r>
        <w:rPr>
          <w:rFonts w:hint="eastAsia" w:ascii="Times New Roman" w:hAnsi="Times New Roman" w:eastAsia="楷体_GB2312" w:cs="Times New Roman"/>
          <w:b w:val="0"/>
          <w:bCs/>
          <w:color w:val="auto"/>
          <w:sz w:val="32"/>
          <w:szCs w:val="32"/>
        </w:rPr>
        <w:t>（二）支出预算情况</w:t>
      </w:r>
    </w:p>
    <w:p w14:paraId="105572B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eastAsia="zh-CN"/>
        </w:rPr>
        <w:t>宜坪乡人民政府2026</w:t>
      </w:r>
      <w:r>
        <w:rPr>
          <w:rFonts w:hint="eastAsia" w:ascii="Times New Roman" w:hAnsi="Times New Roman" w:eastAsia="仿宋_GB2312" w:cs="仿宋_GB2312"/>
          <w:color w:val="auto"/>
          <w:kern w:val="0"/>
          <w:sz w:val="32"/>
          <w:szCs w:val="32"/>
        </w:rPr>
        <w:t>年支出预算</w:t>
      </w:r>
      <w:r>
        <w:rPr>
          <w:rFonts w:hint="eastAsia" w:ascii="Times New Roman" w:hAnsi="Times New Roman" w:eastAsia="仿宋_GB2312" w:cs="仿宋_GB2312"/>
          <w:color w:val="auto"/>
          <w:kern w:val="0"/>
          <w:sz w:val="32"/>
          <w:szCs w:val="32"/>
          <w:lang w:val="en-US" w:eastAsia="zh-CN"/>
        </w:rPr>
        <w:t>588.39</w:t>
      </w:r>
      <w:r>
        <w:rPr>
          <w:rFonts w:hint="eastAsia" w:ascii="Times New Roman" w:hAnsi="Times New Roman" w:eastAsia="仿宋_GB2312" w:cs="仿宋_GB2312"/>
          <w:color w:val="auto"/>
          <w:kern w:val="0"/>
          <w:sz w:val="32"/>
          <w:szCs w:val="32"/>
        </w:rPr>
        <w:t>万元，其中：基本支出</w:t>
      </w:r>
      <w:r>
        <w:rPr>
          <w:rFonts w:hint="eastAsia" w:ascii="Times New Roman" w:hAnsi="Times New Roman" w:eastAsia="仿宋_GB2312" w:cs="仿宋_GB2312"/>
          <w:color w:val="auto"/>
          <w:kern w:val="0"/>
          <w:sz w:val="32"/>
          <w:szCs w:val="32"/>
          <w:lang w:val="en-US" w:eastAsia="zh-CN"/>
        </w:rPr>
        <w:t>571.03万元</w:t>
      </w:r>
      <w:r>
        <w:rPr>
          <w:rFonts w:hint="eastAsia" w:ascii="Times New Roman" w:hAnsi="Times New Roman" w:eastAsia="仿宋_GB2312" w:cs="仿宋_GB2312"/>
          <w:color w:val="auto"/>
          <w:kern w:val="0"/>
          <w:sz w:val="32"/>
          <w:szCs w:val="32"/>
        </w:rPr>
        <w:t>，占</w:t>
      </w:r>
      <w:r>
        <w:rPr>
          <w:rFonts w:hint="eastAsia" w:ascii="Times New Roman" w:hAnsi="Times New Roman" w:eastAsia="仿宋_GB2312" w:cs="仿宋_GB2312"/>
          <w:color w:val="auto"/>
          <w:kern w:val="0"/>
          <w:sz w:val="32"/>
          <w:szCs w:val="32"/>
          <w:lang w:val="en-US" w:eastAsia="zh-CN"/>
        </w:rPr>
        <w:t>97.05</w:t>
      </w:r>
      <w:r>
        <w:rPr>
          <w:rFonts w:hint="eastAsia" w:ascii="Times New Roman" w:hAnsi="Times New Roman" w:eastAsia="仿宋_GB2312" w:cs="仿宋_GB2312"/>
          <w:color w:val="auto"/>
          <w:kern w:val="0"/>
          <w:sz w:val="32"/>
          <w:szCs w:val="32"/>
        </w:rPr>
        <w:t>%；项目支出</w:t>
      </w:r>
      <w:r>
        <w:rPr>
          <w:rFonts w:hint="eastAsia" w:ascii="Times New Roman" w:hAnsi="Times New Roman" w:eastAsia="仿宋_GB2312" w:cs="仿宋_GB2312"/>
          <w:color w:val="auto"/>
          <w:kern w:val="0"/>
          <w:sz w:val="32"/>
          <w:szCs w:val="32"/>
          <w:lang w:val="en-US" w:eastAsia="zh-CN"/>
        </w:rPr>
        <w:t>17.36</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2.95</w:t>
      </w:r>
      <w:r>
        <w:rPr>
          <w:rFonts w:hint="eastAsia" w:ascii="Times New Roman" w:hAnsi="Times New Roman" w:eastAsia="仿宋_GB2312" w:cs="仿宋_GB2312"/>
          <w:color w:val="auto"/>
          <w:kern w:val="0"/>
          <w:sz w:val="32"/>
          <w:szCs w:val="32"/>
        </w:rPr>
        <w:t>%。</w:t>
      </w:r>
    </w:p>
    <w:p w14:paraId="75C5A439">
      <w:pPr>
        <w:pStyle w:val="4"/>
        <w:bidi w:val="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二、财政拨款收支预算情况说明</w:t>
      </w:r>
    </w:p>
    <w:p w14:paraId="708EDF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eastAsia="zh-CN"/>
        </w:rPr>
        <w:t>宜坪乡人民政府2026</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588.39</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比</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665.71</w:t>
      </w:r>
      <w:r>
        <w:rPr>
          <w:rFonts w:hint="eastAsia" w:ascii="Times New Roman" w:hAnsi="Times New Roman" w:eastAsia="仿宋_GB2312" w:cs="仿宋_GB2312"/>
          <w:color w:val="auto"/>
          <w:kern w:val="0"/>
          <w:sz w:val="32"/>
          <w:szCs w:val="32"/>
        </w:rPr>
        <w:t>万元减少</w:t>
      </w:r>
      <w:r>
        <w:rPr>
          <w:rFonts w:hint="eastAsia" w:ascii="Times New Roman" w:hAnsi="Times New Roman" w:eastAsia="仿宋_GB2312" w:cs="仿宋_GB2312"/>
          <w:color w:val="auto"/>
          <w:kern w:val="0"/>
          <w:sz w:val="32"/>
          <w:szCs w:val="32"/>
          <w:lang w:val="en-US" w:eastAsia="zh-CN"/>
        </w:rPr>
        <w:t>77.32</w:t>
      </w:r>
      <w:r>
        <w:rPr>
          <w:rFonts w:hint="eastAsia" w:ascii="Times New Roman" w:hAnsi="Times New Roman" w:eastAsia="仿宋_GB2312" w:cs="仿宋_GB2312"/>
          <w:color w:val="auto"/>
          <w:kern w:val="0"/>
          <w:sz w:val="32"/>
          <w:szCs w:val="32"/>
        </w:rPr>
        <w:t>万元，主要原因是</w:t>
      </w:r>
      <w:r>
        <w:rPr>
          <w:rFonts w:hint="eastAsia" w:ascii="Times New Roman" w:hAnsi="Times New Roman" w:eastAsia="仿宋_GB2312" w:cs="仿宋_GB2312"/>
          <w:color w:val="auto"/>
          <w:kern w:val="0"/>
          <w:sz w:val="32"/>
          <w:szCs w:val="32"/>
          <w:lang w:val="en-US" w:eastAsia="zh-CN"/>
        </w:rPr>
        <w:t>厉行节约。</w:t>
      </w:r>
    </w:p>
    <w:p w14:paraId="41BF75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收入包括：本年一般公共预算拨款收入</w:t>
      </w:r>
      <w:r>
        <w:rPr>
          <w:rFonts w:hint="eastAsia" w:ascii="Times New Roman" w:hAnsi="Times New Roman" w:eastAsia="仿宋_GB2312" w:cs="仿宋_GB2312"/>
          <w:color w:val="auto"/>
          <w:kern w:val="0"/>
          <w:sz w:val="32"/>
          <w:szCs w:val="32"/>
          <w:lang w:val="en-US" w:eastAsia="zh-CN"/>
        </w:rPr>
        <w:t>588.39</w:t>
      </w:r>
      <w:r>
        <w:rPr>
          <w:rFonts w:hint="eastAsia" w:ascii="Times New Roman" w:hAnsi="Times New Roman" w:eastAsia="仿宋_GB2312" w:cs="仿宋_GB2312"/>
          <w:color w:val="auto"/>
          <w:kern w:val="0"/>
          <w:sz w:val="32"/>
          <w:szCs w:val="32"/>
        </w:rPr>
        <w:t>万元、本年政府性基金预算拨款收入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万元；支出包括：一般公共服务支出354.0</w:t>
      </w:r>
      <w:r>
        <w:rPr>
          <w:rFonts w:hint="eastAsia" w:ascii="Times New Roman" w:hAnsi="Times New Roman" w:eastAsia="仿宋_GB2312" w:cs="仿宋_GB2312"/>
          <w:color w:val="auto"/>
          <w:kern w:val="0"/>
          <w:sz w:val="32"/>
          <w:szCs w:val="32"/>
          <w:lang w:val="en-US" w:eastAsia="zh-CN"/>
        </w:rPr>
        <w:t>3</w:t>
      </w:r>
      <w:r>
        <w:rPr>
          <w:rFonts w:hint="eastAsia" w:ascii="Times New Roman" w:hAnsi="Times New Roman" w:eastAsia="仿宋_GB2312" w:cs="仿宋_GB2312"/>
          <w:color w:val="auto"/>
          <w:kern w:val="0"/>
          <w:sz w:val="32"/>
          <w:szCs w:val="32"/>
        </w:rPr>
        <w:t>万元、社会保障和就业支出73.11万元、卫生健康支出12.02万元</w:t>
      </w:r>
      <w:r>
        <w:rPr>
          <w:rFonts w:hint="eastAsia" w:ascii="Times New Roman" w:hAnsi="Times New Roman" w:eastAsia="仿宋_GB2312" w:cs="仿宋_GB2312"/>
          <w:color w:val="auto"/>
          <w:kern w:val="0"/>
          <w:sz w:val="32"/>
          <w:szCs w:val="32"/>
          <w:lang w:eastAsia="zh-CN"/>
        </w:rPr>
        <w:t>、 农林水支出112.88</w:t>
      </w:r>
      <w:r>
        <w:rPr>
          <w:rFonts w:hint="eastAsia" w:ascii="Times New Roman" w:hAnsi="Times New Roman" w:eastAsia="仿宋_GB2312" w:cs="仿宋_GB2312"/>
          <w:color w:val="auto"/>
          <w:kern w:val="0"/>
          <w:sz w:val="32"/>
          <w:szCs w:val="32"/>
          <w:lang w:val="en-US" w:eastAsia="zh-CN"/>
        </w:rPr>
        <w:t>万元</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住</w:t>
      </w:r>
      <w:r>
        <w:rPr>
          <w:rFonts w:hint="eastAsia" w:ascii="Times New Roman" w:hAnsi="Times New Roman" w:eastAsia="仿宋_GB2312" w:cs="仿宋_GB2312"/>
          <w:color w:val="auto"/>
          <w:kern w:val="0"/>
          <w:sz w:val="32"/>
          <w:szCs w:val="32"/>
          <w:lang w:eastAsia="zh-CN"/>
        </w:rPr>
        <w:t>房</w:t>
      </w:r>
      <w:r>
        <w:rPr>
          <w:rFonts w:hint="eastAsia" w:ascii="Times New Roman" w:hAnsi="Times New Roman" w:eastAsia="仿宋_GB2312" w:cs="仿宋_GB2312"/>
          <w:color w:val="auto"/>
          <w:kern w:val="0"/>
          <w:sz w:val="32"/>
          <w:szCs w:val="32"/>
        </w:rPr>
        <w:t>保障支出36.35万元</w:t>
      </w:r>
      <w:r>
        <w:rPr>
          <w:rFonts w:hint="eastAsia" w:ascii="Times New Roman" w:hAnsi="Times New Roman" w:eastAsia="仿宋_GB2312" w:cs="仿宋_GB2312"/>
          <w:color w:val="auto"/>
          <w:kern w:val="0"/>
          <w:sz w:val="32"/>
          <w:szCs w:val="32"/>
          <w:lang w:eastAsia="zh-CN"/>
        </w:rPr>
        <w:t>。</w:t>
      </w:r>
    </w:p>
    <w:p w14:paraId="310137CD">
      <w:pPr>
        <w:numPr>
          <w:ilvl w:val="0"/>
          <w:numId w:val="0"/>
        </w:numPr>
        <w:spacing w:line="600" w:lineRule="exact"/>
        <w:ind w:firstLine="640" w:firstLineChars="200"/>
        <w:rPr>
          <w:rStyle w:val="25"/>
          <w:rFonts w:hint="eastAsia" w:ascii="黑体" w:hAnsi="黑体" w:eastAsia="黑体" w:cs="黑体"/>
          <w:b w:val="0"/>
          <w:bCs/>
          <w:color w:val="auto"/>
          <w:sz w:val="28"/>
          <w:szCs w:val="22"/>
          <w:lang w:eastAsia="zh-CN"/>
        </w:rPr>
      </w:pPr>
      <w:r>
        <w:rPr>
          <w:rStyle w:val="25"/>
          <w:rFonts w:hint="eastAsia" w:ascii="黑体" w:hAnsi="黑体" w:eastAsia="黑体" w:cs="黑体"/>
          <w:b w:val="0"/>
          <w:bCs/>
          <w:color w:val="auto"/>
        </w:rPr>
        <w:t>三、一般公共预算当年拨款情况说明</w:t>
      </w:r>
    </w:p>
    <w:p w14:paraId="1CD4AF7B">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（一）一般公共预算当年拨款规模及变化情况。</w:t>
      </w:r>
    </w:p>
    <w:p w14:paraId="7FB8A76C">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sz w:val="32"/>
          <w:szCs w:val="32"/>
          <w:lang w:eastAsia="zh-CN"/>
        </w:rPr>
        <w:t>宜坪乡人民政府</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年一般公共预算当年拨款573.03万元，较上年预算数</w:t>
      </w:r>
      <w:r>
        <w:rPr>
          <w:rFonts w:hint="eastAsia" w:ascii="Times New Roman" w:hAnsi="Times New Roman" w:eastAsia="仿宋_GB2312" w:cs="仿宋_GB2312"/>
          <w:color w:val="auto"/>
          <w:kern w:val="0"/>
          <w:sz w:val="32"/>
          <w:szCs w:val="32"/>
          <w:lang w:val="en-US" w:eastAsia="zh-CN"/>
        </w:rPr>
        <w:t>减少92.68</w:t>
      </w:r>
      <w:r>
        <w:rPr>
          <w:rFonts w:hint="eastAsia" w:ascii="Times New Roman" w:hAnsi="Times New Roman" w:eastAsia="仿宋_GB2312" w:cs="仿宋_GB2312"/>
          <w:color w:val="auto"/>
          <w:kern w:val="0"/>
          <w:sz w:val="32"/>
          <w:szCs w:val="32"/>
        </w:rPr>
        <w:t>万元。主要原因是</w:t>
      </w:r>
      <w:bookmarkStart w:id="0" w:name="_GoBack"/>
      <w:bookmarkEnd w:id="0"/>
      <w:r>
        <w:rPr>
          <w:rFonts w:hint="eastAsia" w:ascii="Times New Roman" w:hAnsi="Times New Roman" w:eastAsia="仿宋_GB2312" w:cs="仿宋_GB2312"/>
          <w:color w:val="auto"/>
          <w:kern w:val="0"/>
          <w:sz w:val="32"/>
          <w:szCs w:val="32"/>
          <w:lang w:val="en-US" w:eastAsia="zh-CN"/>
        </w:rPr>
        <w:t>厉行节约</w:t>
      </w:r>
      <w:r>
        <w:rPr>
          <w:rFonts w:hint="eastAsia" w:ascii="Times New Roman" w:hAnsi="Times New Roman" w:eastAsia="仿宋_GB2312" w:cs="仿宋_GB2312"/>
          <w:color w:val="auto"/>
          <w:kern w:val="0"/>
          <w:sz w:val="32"/>
          <w:szCs w:val="32"/>
        </w:rPr>
        <w:t>。</w:t>
      </w:r>
    </w:p>
    <w:p w14:paraId="12300745">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（二）一般公共预算当年拨款结构情况</w:t>
      </w:r>
      <w:r>
        <w:rPr>
          <w:rFonts w:hint="eastAsia" w:ascii="仿宋" w:hAnsi="仿宋" w:eastAsia="仿宋" w:cs="宋体"/>
          <w:color w:val="auto"/>
          <w:kern w:val="0"/>
          <w:sz w:val="32"/>
          <w:szCs w:val="32"/>
        </w:rPr>
        <w:t>。</w:t>
      </w:r>
    </w:p>
    <w:p w14:paraId="35B96229">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一般公共服务支出354.03万元，占</w:t>
      </w:r>
      <w:r>
        <w:rPr>
          <w:rFonts w:hint="eastAsia" w:ascii="Times New Roman" w:hAnsi="Times New Roman" w:eastAsia="仿宋_GB2312" w:cs="仿宋_GB2312"/>
          <w:color w:val="auto"/>
          <w:kern w:val="0"/>
          <w:sz w:val="32"/>
          <w:szCs w:val="32"/>
          <w:lang w:val="en-US" w:eastAsia="zh-CN"/>
        </w:rPr>
        <w:t>61.78</w:t>
      </w:r>
      <w:r>
        <w:rPr>
          <w:rFonts w:hint="eastAsia" w:ascii="Times New Roman" w:hAnsi="Times New Roman" w:eastAsia="仿宋_GB2312" w:cs="仿宋_GB2312"/>
          <w:color w:val="auto"/>
          <w:kern w:val="0"/>
          <w:sz w:val="32"/>
          <w:szCs w:val="32"/>
        </w:rPr>
        <w:t>%；社会保障和就业支出73.11万元，占</w:t>
      </w:r>
      <w:r>
        <w:rPr>
          <w:rFonts w:hint="eastAsia" w:ascii="Times New Roman" w:hAnsi="Times New Roman" w:eastAsia="仿宋_GB2312" w:cs="仿宋_GB2312"/>
          <w:color w:val="auto"/>
          <w:kern w:val="0"/>
          <w:sz w:val="32"/>
          <w:szCs w:val="32"/>
          <w:lang w:val="en-US" w:eastAsia="zh-CN"/>
        </w:rPr>
        <w:t>12.76</w:t>
      </w:r>
      <w:r>
        <w:rPr>
          <w:rFonts w:hint="eastAsia" w:ascii="Times New Roman" w:hAnsi="Times New Roman" w:eastAsia="仿宋_GB2312" w:cs="仿宋_GB2312"/>
          <w:color w:val="auto"/>
          <w:kern w:val="0"/>
          <w:sz w:val="32"/>
          <w:szCs w:val="32"/>
        </w:rPr>
        <w:t>%；卫生健康支出12.02万元，占</w:t>
      </w:r>
      <w:r>
        <w:rPr>
          <w:rFonts w:hint="eastAsia" w:ascii="Times New Roman" w:hAnsi="Times New Roman" w:eastAsia="仿宋_GB2312" w:cs="仿宋_GB2312"/>
          <w:color w:val="auto"/>
          <w:kern w:val="0"/>
          <w:sz w:val="32"/>
          <w:szCs w:val="32"/>
          <w:lang w:val="en-US" w:eastAsia="zh-CN"/>
        </w:rPr>
        <w:t>2.1</w:t>
      </w:r>
      <w:r>
        <w:rPr>
          <w:rFonts w:hint="eastAsia" w:ascii="Times New Roman" w:hAnsi="Times New Roman" w:eastAsia="仿宋_GB2312" w:cs="仿宋_GB2312"/>
          <w:color w:val="auto"/>
          <w:kern w:val="0"/>
          <w:sz w:val="32"/>
          <w:szCs w:val="32"/>
        </w:rPr>
        <w:t>%；农林水支出</w:t>
      </w:r>
      <w:r>
        <w:rPr>
          <w:rFonts w:hint="eastAsia" w:ascii="Times New Roman" w:hAnsi="Times New Roman" w:eastAsia="仿宋_GB2312" w:cs="仿宋_GB2312"/>
          <w:color w:val="auto"/>
          <w:kern w:val="0"/>
          <w:sz w:val="32"/>
          <w:szCs w:val="32"/>
          <w:lang w:val="en-US" w:eastAsia="zh-CN"/>
        </w:rPr>
        <w:t>97.52万元</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占</w:t>
      </w:r>
      <w:r>
        <w:rPr>
          <w:rFonts w:hint="eastAsia" w:ascii="Times New Roman" w:hAnsi="Times New Roman" w:eastAsia="仿宋_GB2312" w:cs="仿宋_GB2312"/>
          <w:color w:val="auto"/>
          <w:kern w:val="0"/>
          <w:sz w:val="32"/>
          <w:szCs w:val="32"/>
          <w:highlight w:val="none"/>
          <w:lang w:val="en-US" w:eastAsia="zh-CN"/>
        </w:rPr>
        <w:t>17.02</w:t>
      </w:r>
      <w:r>
        <w:rPr>
          <w:rFonts w:hint="eastAsia" w:ascii="Times New Roman" w:hAnsi="Times New Roman" w:eastAsia="仿宋_GB2312" w:cs="仿宋_GB2312"/>
          <w:color w:val="auto"/>
          <w:kern w:val="0"/>
          <w:sz w:val="32"/>
          <w:szCs w:val="32"/>
        </w:rPr>
        <w:t>%；住房保障支出36.35万元，占</w:t>
      </w:r>
      <w:r>
        <w:rPr>
          <w:rFonts w:hint="eastAsia" w:ascii="Times New Roman" w:hAnsi="Times New Roman" w:eastAsia="仿宋_GB2312" w:cs="仿宋_GB2312"/>
          <w:color w:val="auto"/>
          <w:kern w:val="0"/>
          <w:sz w:val="32"/>
          <w:szCs w:val="32"/>
          <w:lang w:val="en-US" w:eastAsia="zh-CN"/>
        </w:rPr>
        <w:t>6.34</w:t>
      </w:r>
      <w:r>
        <w:rPr>
          <w:rFonts w:hint="eastAsia" w:ascii="Times New Roman" w:hAnsi="Times New Roman" w:eastAsia="仿宋_GB2312" w:cs="仿宋_GB2312"/>
          <w:color w:val="auto"/>
          <w:kern w:val="0"/>
          <w:sz w:val="32"/>
          <w:szCs w:val="32"/>
        </w:rPr>
        <w:t>%。</w:t>
      </w:r>
    </w:p>
    <w:p w14:paraId="287A4180">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（三）一般公共预算当年拨款具体使用情况</w:t>
      </w:r>
    </w:p>
    <w:p w14:paraId="6420318B">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1.</w:t>
      </w:r>
      <w:r>
        <w:rPr>
          <w:rStyle w:val="15"/>
          <w:rFonts w:hint="eastAsia" w:ascii="仿宋" w:hAnsi="仿宋" w:eastAsia="仿宋" w:cs="仿宋"/>
          <w:b w:val="0"/>
          <w:i w:val="0"/>
          <w:caps w:val="0"/>
          <w:color w:val="auto"/>
          <w:spacing w:val="0"/>
          <w:sz w:val="32"/>
          <w:szCs w:val="32"/>
          <w:highlight w:val="none"/>
          <w:shd w:val="clear" w:color="auto" w:fill="FFFFFF"/>
        </w:rPr>
        <w:t>一般公共服务（类）政府办公厅（室）及相关机构事物（款）行政运行（项）</w:t>
      </w:r>
      <w:r>
        <w:rPr>
          <w:rStyle w:val="15"/>
          <w:rFonts w:hint="eastAsia" w:ascii="仿宋" w:hAnsi="仿宋" w:cs="仿宋"/>
          <w:b w:val="0"/>
          <w:i w:val="0"/>
          <w:caps w:val="0"/>
          <w:color w:val="auto"/>
          <w:spacing w:val="0"/>
          <w:sz w:val="32"/>
          <w:szCs w:val="32"/>
          <w:highlight w:val="none"/>
          <w:shd w:val="clear" w:color="auto" w:fill="FFFFFF"/>
          <w:lang w:eastAsia="zh-CN"/>
        </w:rPr>
        <w:t>：</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年预算数为238.2</w:t>
      </w:r>
      <w:r>
        <w:rPr>
          <w:rFonts w:hint="eastAsia" w:ascii="Times New Roman" w:hAnsi="Times New Roman" w:eastAsia="仿宋_GB2312" w:cs="仿宋_GB2312"/>
          <w:color w:val="auto"/>
          <w:kern w:val="0"/>
          <w:sz w:val="32"/>
          <w:szCs w:val="32"/>
          <w:lang w:val="en-US" w:eastAsia="zh-CN"/>
        </w:rPr>
        <w:t>8</w:t>
      </w:r>
      <w:r>
        <w:rPr>
          <w:rFonts w:hint="eastAsia" w:ascii="Times New Roman" w:hAnsi="Times New Roman" w:eastAsia="仿宋_GB2312" w:cs="仿宋_GB2312"/>
          <w:color w:val="auto"/>
          <w:kern w:val="0"/>
          <w:sz w:val="32"/>
          <w:szCs w:val="32"/>
        </w:rPr>
        <w:t>万元，主要用于：机关及参公管理事业单位正常运转的基本支出，包括基本工资、津贴补贴等人员经费以及办公费、印刷费、水电费等日常公用经费。</w:t>
      </w:r>
    </w:p>
    <w:p w14:paraId="15DF6520">
      <w:pPr>
        <w:numPr>
          <w:ilvl w:val="0"/>
          <w:numId w:val="0"/>
        </w:numPr>
        <w:spacing w:line="600" w:lineRule="exact"/>
        <w:ind w:firstLine="640" w:firstLineChars="200"/>
        <w:rPr>
          <w:rFonts w:hint="eastAsia" w:ascii="仿宋" w:hAnsi="仿宋" w:eastAsia="仿宋" w:cs="宋体"/>
          <w:color w:val="auto"/>
          <w:kern w:val="0"/>
          <w:sz w:val="32"/>
          <w:szCs w:val="32"/>
        </w:rPr>
      </w:pPr>
      <w:r>
        <w:rPr>
          <w:rFonts w:hint="eastAsia" w:ascii="Times New Roman" w:hAnsi="Times New Roman" w:eastAsia="仿宋_GB2312" w:cs="仿宋_GB2312"/>
          <w:color w:val="auto"/>
          <w:kern w:val="0"/>
          <w:sz w:val="32"/>
          <w:szCs w:val="32"/>
        </w:rPr>
        <w:t>2.</w:t>
      </w:r>
      <w:r>
        <w:rPr>
          <w:rStyle w:val="15"/>
          <w:rFonts w:hint="eastAsia" w:ascii="仿宋" w:hAnsi="仿宋" w:eastAsia="仿宋" w:cs="仿宋"/>
          <w:b w:val="0"/>
          <w:i w:val="0"/>
          <w:caps w:val="0"/>
          <w:color w:val="auto"/>
          <w:spacing w:val="0"/>
          <w:sz w:val="32"/>
          <w:szCs w:val="32"/>
          <w:highlight w:val="none"/>
          <w:shd w:val="clear" w:color="auto" w:fill="FFFFFF"/>
        </w:rPr>
        <w:t>一般公共服务（类）政府办公厅（室）及相关机构</w:t>
      </w:r>
      <w:r>
        <w:rPr>
          <w:rStyle w:val="15"/>
          <w:rFonts w:hint="eastAsia" w:ascii="仿宋" w:hAnsi="仿宋" w:cs="仿宋"/>
          <w:b w:val="0"/>
          <w:i w:val="0"/>
          <w:caps w:val="0"/>
          <w:color w:val="auto"/>
          <w:spacing w:val="0"/>
          <w:sz w:val="32"/>
          <w:szCs w:val="32"/>
          <w:highlight w:val="none"/>
          <w:shd w:val="clear" w:color="auto" w:fill="FFFFFF"/>
          <w:lang w:eastAsia="zh-CN"/>
        </w:rPr>
        <w:t>事务</w:t>
      </w:r>
      <w:r>
        <w:rPr>
          <w:rStyle w:val="15"/>
          <w:rFonts w:hint="eastAsia" w:ascii="仿宋" w:hAnsi="仿宋" w:eastAsia="仿宋" w:cs="仿宋"/>
          <w:b w:val="0"/>
          <w:i w:val="0"/>
          <w:caps w:val="0"/>
          <w:color w:val="auto"/>
          <w:spacing w:val="0"/>
          <w:sz w:val="32"/>
          <w:szCs w:val="32"/>
          <w:highlight w:val="none"/>
          <w:shd w:val="clear" w:color="auto" w:fill="FFFFFF"/>
        </w:rPr>
        <w:t>（款）</w:t>
      </w:r>
      <w:r>
        <w:rPr>
          <w:rStyle w:val="15"/>
          <w:rFonts w:hint="eastAsia" w:ascii="仿宋" w:hAnsi="仿宋" w:cs="仿宋"/>
          <w:b w:val="0"/>
          <w:i w:val="0"/>
          <w:caps w:val="0"/>
          <w:color w:val="auto"/>
          <w:spacing w:val="0"/>
          <w:sz w:val="32"/>
          <w:szCs w:val="32"/>
          <w:highlight w:val="none"/>
          <w:shd w:val="clear" w:color="auto" w:fill="FFFFFF"/>
          <w:lang w:eastAsia="zh-CN"/>
        </w:rPr>
        <w:t>事业</w:t>
      </w:r>
      <w:r>
        <w:rPr>
          <w:rStyle w:val="15"/>
          <w:rFonts w:hint="eastAsia" w:ascii="仿宋" w:hAnsi="仿宋" w:eastAsia="仿宋" w:cs="仿宋"/>
          <w:b w:val="0"/>
          <w:i w:val="0"/>
          <w:caps w:val="0"/>
          <w:color w:val="auto"/>
          <w:spacing w:val="0"/>
          <w:sz w:val="32"/>
          <w:szCs w:val="32"/>
          <w:highlight w:val="none"/>
          <w:shd w:val="clear" w:color="auto" w:fill="FFFFFF"/>
        </w:rPr>
        <w:t>运行（项）</w:t>
      </w:r>
      <w:r>
        <w:rPr>
          <w:rStyle w:val="15"/>
          <w:rFonts w:hint="eastAsia" w:ascii="仿宋" w:hAnsi="仿宋" w:cs="仿宋"/>
          <w:b w:val="0"/>
          <w:i w:val="0"/>
          <w:caps w:val="0"/>
          <w:color w:val="auto"/>
          <w:spacing w:val="0"/>
          <w:sz w:val="32"/>
          <w:szCs w:val="32"/>
          <w:highlight w:val="none"/>
          <w:shd w:val="clear" w:color="auto" w:fill="FFFFFF"/>
          <w:lang w:eastAsia="zh-CN"/>
        </w:rPr>
        <w:t>：</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年预算数为115.75万元，主要用于：主要用于：</w:t>
      </w:r>
      <w:r>
        <w:rPr>
          <w:rFonts w:hint="eastAsia" w:ascii="仿宋" w:hAnsi="仿宋" w:eastAsia="仿宋" w:cs="宋体"/>
          <w:color w:val="auto"/>
          <w:kern w:val="0"/>
          <w:sz w:val="32"/>
          <w:szCs w:val="32"/>
        </w:rPr>
        <w:t>机关及参公管理事业单位正常运转的基本支出，包括基本工资、津贴补贴等人员经费以及办公费、印刷费、水电费等日常公用经费。</w:t>
      </w:r>
    </w:p>
    <w:p w14:paraId="2CA79FFF">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3.</w:t>
      </w:r>
      <w:r>
        <w:rPr>
          <w:rStyle w:val="15"/>
          <w:rFonts w:hint="eastAsia" w:ascii="仿宋" w:hAnsi="仿宋" w:eastAsia="仿宋" w:cs="仿宋"/>
          <w:b w:val="0"/>
          <w:i w:val="0"/>
          <w:caps w:val="0"/>
          <w:color w:val="auto"/>
          <w:spacing w:val="0"/>
          <w:sz w:val="32"/>
          <w:szCs w:val="32"/>
          <w:highlight w:val="none"/>
          <w:shd w:val="clear" w:color="auto" w:fill="FFFFFF"/>
        </w:rPr>
        <w:t>社会保障和就业（类）行政事业单位</w:t>
      </w:r>
      <w:r>
        <w:rPr>
          <w:rStyle w:val="15"/>
          <w:rFonts w:hint="eastAsia" w:ascii="仿宋" w:hAnsi="仿宋" w:eastAsia="仿宋" w:cs="仿宋"/>
          <w:b w:val="0"/>
          <w:i w:val="0"/>
          <w:caps w:val="0"/>
          <w:color w:val="auto"/>
          <w:spacing w:val="0"/>
          <w:sz w:val="32"/>
          <w:szCs w:val="32"/>
          <w:highlight w:val="none"/>
          <w:shd w:val="clear" w:color="auto" w:fill="FFFFFF"/>
          <w:lang w:eastAsia="zh-CN"/>
        </w:rPr>
        <w:t>养老支出</w:t>
      </w:r>
      <w:r>
        <w:rPr>
          <w:rStyle w:val="15"/>
          <w:rFonts w:hint="eastAsia" w:ascii="仿宋" w:hAnsi="仿宋" w:eastAsia="仿宋" w:cs="仿宋"/>
          <w:b w:val="0"/>
          <w:i w:val="0"/>
          <w:caps w:val="0"/>
          <w:color w:val="auto"/>
          <w:spacing w:val="0"/>
          <w:sz w:val="32"/>
          <w:szCs w:val="32"/>
          <w:highlight w:val="none"/>
          <w:shd w:val="clear" w:color="auto" w:fill="FFFFFF"/>
        </w:rPr>
        <w:t>（款）机关事业单位基本养老保险缴费支出（项）</w:t>
      </w:r>
      <w:r>
        <w:rPr>
          <w:rStyle w:val="15"/>
          <w:rFonts w:hint="eastAsia" w:ascii="仿宋" w:hAnsi="仿宋" w:cs="仿宋"/>
          <w:b w:val="0"/>
          <w:i w:val="0"/>
          <w:caps w:val="0"/>
          <w:color w:val="auto"/>
          <w:spacing w:val="0"/>
          <w:sz w:val="32"/>
          <w:szCs w:val="32"/>
          <w:highlight w:val="none"/>
          <w:shd w:val="clear" w:color="auto" w:fill="FFFFFF"/>
          <w:lang w:eastAsia="zh-CN"/>
        </w:rPr>
        <w:t>：</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年预算数为46.73万元，主要用于：主要用于：</w:t>
      </w:r>
      <w:r>
        <w:rPr>
          <w:rFonts w:hint="eastAsia" w:ascii="仿宋" w:hAnsi="仿宋" w:eastAsia="仿宋" w:cs="宋体"/>
          <w:color w:val="auto"/>
          <w:kern w:val="0"/>
          <w:sz w:val="32"/>
          <w:szCs w:val="32"/>
        </w:rPr>
        <w:t>实施养老保险制度后，部门按规定由单位缴纳的基本养老保险费支出。</w:t>
      </w:r>
    </w:p>
    <w:p w14:paraId="7C20F58C">
      <w:pPr>
        <w:numPr>
          <w:ilvl w:val="0"/>
          <w:numId w:val="0"/>
        </w:numPr>
        <w:spacing w:line="600" w:lineRule="exact"/>
        <w:ind w:firstLine="640" w:firstLineChars="200"/>
        <w:rPr>
          <w:rFonts w:hint="eastAsia" w:ascii="仿宋" w:hAnsi="仿宋" w:eastAsia="仿宋" w:cs="宋体"/>
          <w:color w:val="auto"/>
          <w:kern w:val="0"/>
          <w:sz w:val="32"/>
          <w:szCs w:val="32"/>
        </w:rPr>
      </w:pPr>
      <w:r>
        <w:rPr>
          <w:rFonts w:hint="eastAsia" w:ascii="Times New Roman" w:hAnsi="Times New Roman" w:eastAsia="仿宋_GB2312" w:cs="仿宋_GB2312"/>
          <w:color w:val="auto"/>
          <w:kern w:val="0"/>
          <w:sz w:val="32"/>
          <w:szCs w:val="32"/>
        </w:rPr>
        <w:t>4.</w:t>
      </w:r>
      <w:r>
        <w:rPr>
          <w:rStyle w:val="15"/>
          <w:rFonts w:hint="eastAsia" w:ascii="仿宋" w:hAnsi="仿宋" w:eastAsia="仿宋" w:cs="仿宋"/>
          <w:b w:val="0"/>
          <w:i w:val="0"/>
          <w:caps w:val="0"/>
          <w:color w:val="auto"/>
          <w:spacing w:val="0"/>
          <w:sz w:val="32"/>
          <w:szCs w:val="32"/>
          <w:highlight w:val="none"/>
          <w:shd w:val="clear" w:color="auto" w:fill="FFFFFF"/>
        </w:rPr>
        <w:t>社会保障和就业（类）行政事业单位</w:t>
      </w:r>
      <w:r>
        <w:rPr>
          <w:rStyle w:val="15"/>
          <w:rFonts w:hint="eastAsia" w:ascii="仿宋" w:hAnsi="仿宋" w:eastAsia="仿宋" w:cs="仿宋"/>
          <w:b w:val="0"/>
          <w:i w:val="0"/>
          <w:caps w:val="0"/>
          <w:color w:val="auto"/>
          <w:spacing w:val="0"/>
          <w:sz w:val="32"/>
          <w:szCs w:val="32"/>
          <w:highlight w:val="none"/>
          <w:shd w:val="clear" w:color="auto" w:fill="FFFFFF"/>
          <w:lang w:eastAsia="zh-CN"/>
        </w:rPr>
        <w:t>养老支出</w:t>
      </w:r>
      <w:r>
        <w:rPr>
          <w:rStyle w:val="15"/>
          <w:rFonts w:hint="eastAsia" w:ascii="仿宋" w:hAnsi="仿宋" w:eastAsia="仿宋" w:cs="仿宋"/>
          <w:b w:val="0"/>
          <w:i w:val="0"/>
          <w:caps w:val="0"/>
          <w:color w:val="auto"/>
          <w:spacing w:val="0"/>
          <w:sz w:val="32"/>
          <w:szCs w:val="32"/>
          <w:highlight w:val="none"/>
          <w:shd w:val="clear" w:color="auto" w:fill="FFFFFF"/>
        </w:rPr>
        <w:t>（款）机关事业单位职业年金缴费支出（项）</w:t>
      </w:r>
      <w:r>
        <w:rPr>
          <w:rStyle w:val="15"/>
          <w:rFonts w:hint="eastAsia" w:ascii="仿宋" w:hAnsi="仿宋" w:cs="仿宋"/>
          <w:b w:val="0"/>
          <w:i w:val="0"/>
          <w:caps w:val="0"/>
          <w:color w:val="auto"/>
          <w:spacing w:val="0"/>
          <w:sz w:val="32"/>
          <w:szCs w:val="32"/>
          <w:highlight w:val="none"/>
          <w:shd w:val="clear" w:color="auto" w:fill="FFFFFF"/>
          <w:lang w:eastAsia="zh-CN"/>
        </w:rPr>
        <w:t>：</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年预算数为23.37万元，主要用于：</w:t>
      </w:r>
      <w:r>
        <w:rPr>
          <w:rFonts w:hint="eastAsia" w:ascii="仿宋" w:hAnsi="仿宋" w:eastAsia="仿宋" w:cs="宋体"/>
          <w:color w:val="auto"/>
          <w:kern w:val="0"/>
          <w:sz w:val="32"/>
          <w:szCs w:val="32"/>
        </w:rPr>
        <w:t>实施养老保险制度后，部门按规定由单位缴纳的职业年金支出。</w:t>
      </w:r>
    </w:p>
    <w:p w14:paraId="717083B8">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5.</w:t>
      </w:r>
      <w:r>
        <w:rPr>
          <w:rStyle w:val="15"/>
          <w:rFonts w:hint="eastAsia" w:ascii="仿宋" w:hAnsi="仿宋" w:eastAsia="仿宋" w:cs="仿宋"/>
          <w:b w:val="0"/>
          <w:i w:val="0"/>
          <w:caps w:val="0"/>
          <w:color w:val="auto"/>
          <w:spacing w:val="0"/>
          <w:sz w:val="32"/>
          <w:szCs w:val="32"/>
          <w:highlight w:val="none"/>
          <w:shd w:val="clear" w:color="auto" w:fill="FFFFFF"/>
        </w:rPr>
        <w:t>社会保障和就业（类）其他社会保障和就业支出（款）其他社会保障和就业支出（项）</w:t>
      </w:r>
      <w:r>
        <w:rPr>
          <w:rStyle w:val="15"/>
          <w:rFonts w:hint="eastAsia" w:ascii="仿宋" w:hAnsi="仿宋" w:cs="仿宋"/>
          <w:b w:val="0"/>
          <w:i w:val="0"/>
          <w:caps w:val="0"/>
          <w:color w:val="auto"/>
          <w:spacing w:val="0"/>
          <w:sz w:val="32"/>
          <w:szCs w:val="32"/>
          <w:highlight w:val="none"/>
          <w:shd w:val="clear" w:color="auto" w:fill="FFFFFF"/>
          <w:lang w:eastAsia="zh-CN"/>
        </w:rPr>
        <w:t>：</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年预算数为3.01万元，主要用于：主要用于：</w:t>
      </w:r>
      <w:r>
        <w:rPr>
          <w:rStyle w:val="15"/>
          <w:rFonts w:hint="eastAsia" w:ascii="仿宋" w:hAnsi="仿宋" w:eastAsia="仿宋" w:cs="仿宋"/>
          <w:b w:val="0"/>
          <w:i w:val="0"/>
          <w:caps w:val="0"/>
          <w:color w:val="auto"/>
          <w:spacing w:val="0"/>
          <w:sz w:val="32"/>
          <w:szCs w:val="32"/>
          <w:highlight w:val="none"/>
          <w:shd w:val="clear" w:color="auto" w:fill="FFFFFF"/>
        </w:rPr>
        <w:t>失业保险、工伤保险支出</w:t>
      </w:r>
      <w:r>
        <w:rPr>
          <w:rStyle w:val="15"/>
          <w:rFonts w:hint="eastAsia" w:ascii="仿宋" w:hAnsi="仿宋" w:eastAsia="仿宋" w:cs="仿宋"/>
          <w:b w:val="0"/>
          <w:i w:val="0"/>
          <w:caps w:val="0"/>
          <w:color w:val="auto"/>
          <w:spacing w:val="0"/>
          <w:sz w:val="32"/>
          <w:szCs w:val="32"/>
          <w:highlight w:val="none"/>
          <w:shd w:val="clear" w:color="auto" w:fill="FFFFFF"/>
          <w:lang w:eastAsia="zh-CN"/>
        </w:rPr>
        <w:t>、村组干部意外伤害保险</w:t>
      </w:r>
      <w:r>
        <w:rPr>
          <w:rStyle w:val="15"/>
          <w:rFonts w:hint="eastAsia" w:ascii="仿宋" w:hAnsi="仿宋" w:eastAsia="仿宋" w:cs="仿宋"/>
          <w:b w:val="0"/>
          <w:i w:val="0"/>
          <w:caps w:val="0"/>
          <w:color w:val="auto"/>
          <w:spacing w:val="0"/>
          <w:sz w:val="32"/>
          <w:szCs w:val="32"/>
          <w:highlight w:val="none"/>
          <w:shd w:val="clear" w:color="auto" w:fill="FFFFFF"/>
          <w:lang w:val="en-US" w:eastAsia="zh-CN"/>
        </w:rPr>
        <w:t>。</w:t>
      </w:r>
    </w:p>
    <w:p w14:paraId="71C769DC">
      <w:pPr>
        <w:keepNext w:val="0"/>
        <w:keepLines w:val="0"/>
        <w:pageBreakBefore w:val="0"/>
        <w:numPr>
          <w:ilvl w:val="0"/>
          <w:numId w:val="0"/>
        </w:numPr>
        <w:kinsoku/>
        <w:wordWrap/>
        <w:overflowPunct/>
        <w:autoSpaceDE/>
        <w:autoSpaceDN/>
        <w:bidi w:val="0"/>
        <w:adjustRightInd/>
        <w:snapToGrid/>
        <w:ind w:firstLine="640" w:firstLineChars="200"/>
        <w:textAlignment w:val="auto"/>
        <w:rPr>
          <w:rStyle w:val="15"/>
          <w:rFonts w:hint="eastAsia" w:ascii="仿宋" w:hAnsi="仿宋" w:eastAsia="仿宋" w:cs="仿宋"/>
          <w:b w:val="0"/>
          <w:i w:val="0"/>
          <w:caps w:val="0"/>
          <w:color w:val="auto"/>
          <w:spacing w:val="0"/>
          <w:sz w:val="32"/>
          <w:szCs w:val="32"/>
          <w:highlight w:val="none"/>
          <w:shd w:val="clear" w:color="auto" w:fill="FFFFFF"/>
          <w:lang w:val="en-US" w:eastAsia="zh-CN"/>
        </w:rPr>
      </w:pPr>
      <w:r>
        <w:rPr>
          <w:rFonts w:hint="eastAsia" w:ascii="Times New Roman" w:hAnsi="Times New Roman" w:eastAsia="仿宋_GB2312" w:cs="仿宋_GB2312"/>
          <w:color w:val="auto"/>
          <w:kern w:val="0"/>
          <w:sz w:val="32"/>
          <w:szCs w:val="32"/>
        </w:rPr>
        <w:t>6.</w:t>
      </w:r>
      <w:r>
        <w:rPr>
          <w:rStyle w:val="15"/>
          <w:rFonts w:hint="eastAsia" w:ascii="仿宋" w:hAnsi="仿宋" w:eastAsia="仿宋" w:cs="仿宋"/>
          <w:b w:val="0"/>
          <w:i w:val="0"/>
          <w:caps w:val="0"/>
          <w:color w:val="auto"/>
          <w:spacing w:val="0"/>
          <w:sz w:val="32"/>
          <w:szCs w:val="32"/>
          <w:highlight w:val="none"/>
          <w:shd w:val="clear" w:color="auto" w:fill="FFFFFF"/>
          <w:lang w:val="en-US" w:eastAsia="zh-CN"/>
        </w:rPr>
        <w:t>医疗卫生与计划生育（类）行政事业单位医疗（款）行政单位医疗（项）</w:t>
      </w:r>
      <w:r>
        <w:rPr>
          <w:rStyle w:val="15"/>
          <w:rFonts w:hint="eastAsia" w:ascii="仿宋" w:hAnsi="仿宋" w:cs="仿宋"/>
          <w:b w:val="0"/>
          <w:i w:val="0"/>
          <w:caps w:val="0"/>
          <w:color w:val="auto"/>
          <w:spacing w:val="0"/>
          <w:sz w:val="32"/>
          <w:szCs w:val="32"/>
          <w:highlight w:val="none"/>
          <w:shd w:val="clear" w:color="auto" w:fill="FFFFFF"/>
          <w:lang w:val="en-US" w:eastAsia="zh-CN"/>
        </w:rPr>
        <w:t>：</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年预算数为12.02万元，主要用于：</w:t>
      </w:r>
      <w:r>
        <w:rPr>
          <w:rStyle w:val="15"/>
          <w:rFonts w:hint="eastAsia" w:ascii="仿宋" w:hAnsi="仿宋" w:eastAsia="仿宋" w:cs="仿宋"/>
          <w:b w:val="0"/>
          <w:i w:val="0"/>
          <w:caps w:val="0"/>
          <w:color w:val="auto"/>
          <w:spacing w:val="0"/>
          <w:sz w:val="32"/>
          <w:szCs w:val="32"/>
          <w:highlight w:val="none"/>
          <w:shd w:val="clear" w:color="auto" w:fill="FFFFFF"/>
          <w:lang w:val="en-US" w:eastAsia="zh-CN"/>
        </w:rPr>
        <w:t>机关及参公管理事业单位基本医疗保险缴费支出。</w:t>
      </w:r>
    </w:p>
    <w:p w14:paraId="19D22910">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7.</w:t>
      </w:r>
      <w:r>
        <w:rPr>
          <w:rFonts w:hint="eastAsia" w:ascii="仿宋" w:hAnsi="仿宋" w:eastAsia="仿宋" w:cs="仿宋"/>
          <w:color w:val="auto"/>
          <w:kern w:val="0"/>
          <w:sz w:val="32"/>
          <w:szCs w:val="32"/>
          <w:lang w:val="en-US" w:eastAsia="zh-CN"/>
        </w:rPr>
        <w:t>农林水</w:t>
      </w:r>
      <w:r>
        <w:rPr>
          <w:rStyle w:val="15"/>
          <w:rFonts w:hint="eastAsia" w:ascii="仿宋" w:hAnsi="仿宋" w:eastAsia="仿宋" w:cs="仿宋"/>
          <w:b w:val="0"/>
          <w:i w:val="0"/>
          <w:caps w:val="0"/>
          <w:color w:val="auto"/>
          <w:spacing w:val="0"/>
          <w:sz w:val="32"/>
          <w:szCs w:val="32"/>
          <w:highlight w:val="none"/>
          <w:shd w:val="clear" w:color="auto" w:fill="FFFFFF"/>
        </w:rPr>
        <w:t>（</w:t>
      </w:r>
      <w:r>
        <w:rPr>
          <w:rStyle w:val="15"/>
          <w:rFonts w:hint="eastAsia" w:ascii="仿宋" w:hAnsi="仿宋" w:eastAsia="仿宋" w:cs="仿宋"/>
          <w:b w:val="0"/>
          <w:i w:val="0"/>
          <w:caps w:val="0"/>
          <w:color w:val="auto"/>
          <w:spacing w:val="0"/>
          <w:sz w:val="32"/>
          <w:szCs w:val="32"/>
          <w:highlight w:val="none"/>
          <w:shd w:val="clear" w:color="auto" w:fill="FFFFFF"/>
          <w:lang w:val="en-US" w:eastAsia="zh-CN"/>
        </w:rPr>
        <w:t>类</w:t>
      </w:r>
      <w:r>
        <w:rPr>
          <w:rStyle w:val="15"/>
          <w:rFonts w:hint="eastAsia" w:ascii="仿宋" w:hAnsi="仿宋" w:eastAsia="仿宋" w:cs="仿宋"/>
          <w:b w:val="0"/>
          <w:i w:val="0"/>
          <w:caps w:val="0"/>
          <w:color w:val="auto"/>
          <w:spacing w:val="0"/>
          <w:sz w:val="32"/>
          <w:szCs w:val="32"/>
          <w:highlight w:val="none"/>
          <w:shd w:val="clear" w:color="auto" w:fill="FFFFFF"/>
        </w:rPr>
        <w:t>）</w:t>
      </w:r>
      <w:r>
        <w:rPr>
          <w:rStyle w:val="15"/>
          <w:rFonts w:hint="eastAsia" w:ascii="仿宋" w:hAnsi="仿宋" w:cs="仿宋"/>
          <w:b w:val="0"/>
          <w:i w:val="0"/>
          <w:caps w:val="0"/>
          <w:color w:val="auto"/>
          <w:spacing w:val="0"/>
          <w:sz w:val="32"/>
          <w:szCs w:val="32"/>
          <w:highlight w:val="none"/>
          <w:shd w:val="clear" w:color="auto" w:fill="FFFFFF"/>
          <w:lang w:eastAsia="zh-CN"/>
        </w:rPr>
        <w:t>巩固拓展脱贫攻坚成果</w:t>
      </w:r>
      <w:r>
        <w:rPr>
          <w:rStyle w:val="15"/>
          <w:rFonts w:hint="eastAsia" w:ascii="仿宋" w:hAnsi="仿宋" w:eastAsia="仿宋" w:cs="仿宋"/>
          <w:b w:val="0"/>
          <w:i w:val="0"/>
          <w:caps w:val="0"/>
          <w:color w:val="auto"/>
          <w:spacing w:val="0"/>
          <w:sz w:val="32"/>
          <w:szCs w:val="32"/>
          <w:highlight w:val="none"/>
          <w:shd w:val="clear" w:color="auto" w:fill="FFFFFF"/>
        </w:rPr>
        <w:t>衔接乡村振兴（</w:t>
      </w:r>
      <w:r>
        <w:rPr>
          <w:rStyle w:val="15"/>
          <w:rFonts w:hint="eastAsia" w:ascii="仿宋" w:hAnsi="仿宋" w:eastAsia="仿宋" w:cs="仿宋"/>
          <w:b w:val="0"/>
          <w:i w:val="0"/>
          <w:caps w:val="0"/>
          <w:color w:val="auto"/>
          <w:spacing w:val="0"/>
          <w:sz w:val="32"/>
          <w:szCs w:val="32"/>
          <w:highlight w:val="none"/>
          <w:shd w:val="clear" w:color="auto" w:fill="FFFFFF"/>
          <w:lang w:val="en-US" w:eastAsia="zh-CN"/>
        </w:rPr>
        <w:t>款</w:t>
      </w:r>
      <w:r>
        <w:rPr>
          <w:rStyle w:val="15"/>
          <w:rFonts w:hint="eastAsia" w:ascii="仿宋" w:hAnsi="仿宋" w:eastAsia="仿宋" w:cs="仿宋"/>
          <w:b w:val="0"/>
          <w:i w:val="0"/>
          <w:caps w:val="0"/>
          <w:color w:val="auto"/>
          <w:spacing w:val="0"/>
          <w:sz w:val="32"/>
          <w:szCs w:val="32"/>
          <w:highlight w:val="none"/>
          <w:shd w:val="clear" w:color="auto" w:fill="FFFFFF"/>
        </w:rPr>
        <w:t>）</w:t>
      </w:r>
      <w:r>
        <w:rPr>
          <w:rStyle w:val="15"/>
          <w:rFonts w:hint="eastAsia" w:ascii="仿宋" w:hAnsi="仿宋" w:cs="仿宋"/>
          <w:b w:val="0"/>
          <w:i w:val="0"/>
          <w:caps w:val="0"/>
          <w:color w:val="auto"/>
          <w:spacing w:val="0"/>
          <w:sz w:val="32"/>
          <w:szCs w:val="32"/>
          <w:highlight w:val="none"/>
          <w:shd w:val="clear" w:color="auto" w:fill="FFFFFF"/>
          <w:lang w:val="en-US" w:eastAsia="zh-CN"/>
        </w:rPr>
        <w:t>其他巩固拓展脱贫攻坚成果</w:t>
      </w:r>
      <w:r>
        <w:rPr>
          <w:rStyle w:val="15"/>
          <w:rFonts w:hint="eastAsia" w:ascii="仿宋" w:hAnsi="仿宋" w:eastAsia="仿宋" w:cs="仿宋"/>
          <w:b w:val="0"/>
          <w:i w:val="0"/>
          <w:caps w:val="0"/>
          <w:color w:val="auto"/>
          <w:spacing w:val="0"/>
          <w:sz w:val="32"/>
          <w:szCs w:val="32"/>
          <w:highlight w:val="none"/>
          <w:shd w:val="clear" w:color="auto" w:fill="FFFFFF"/>
        </w:rPr>
        <w:t>衔接乡村振兴</w:t>
      </w:r>
      <w:r>
        <w:rPr>
          <w:rStyle w:val="15"/>
          <w:rFonts w:hint="eastAsia" w:ascii="仿宋" w:hAnsi="仿宋" w:cs="仿宋"/>
          <w:b w:val="0"/>
          <w:i w:val="0"/>
          <w:caps w:val="0"/>
          <w:color w:val="auto"/>
          <w:spacing w:val="0"/>
          <w:sz w:val="32"/>
          <w:szCs w:val="32"/>
          <w:highlight w:val="none"/>
          <w:shd w:val="clear" w:color="auto" w:fill="FFFFFF"/>
          <w:lang w:val="en-US" w:eastAsia="zh-CN"/>
        </w:rPr>
        <w:t>支出</w:t>
      </w:r>
      <w:r>
        <w:rPr>
          <w:rStyle w:val="15"/>
          <w:rFonts w:hint="eastAsia" w:ascii="仿宋" w:hAnsi="仿宋" w:eastAsia="仿宋" w:cs="仿宋"/>
          <w:b w:val="0"/>
          <w:i w:val="0"/>
          <w:caps w:val="0"/>
          <w:color w:val="auto"/>
          <w:spacing w:val="0"/>
          <w:sz w:val="32"/>
          <w:szCs w:val="32"/>
          <w:highlight w:val="none"/>
          <w:shd w:val="clear" w:color="auto" w:fill="FFFFFF"/>
          <w:lang w:val="en-US" w:eastAsia="zh-CN"/>
        </w:rPr>
        <w:t>（</w:t>
      </w:r>
      <w:r>
        <w:rPr>
          <w:rStyle w:val="15"/>
          <w:rFonts w:hint="eastAsia" w:ascii="仿宋" w:hAnsi="仿宋" w:eastAsia="仿宋" w:cs="仿宋"/>
          <w:b w:val="0"/>
          <w:i w:val="0"/>
          <w:caps w:val="0"/>
          <w:color w:val="auto"/>
          <w:spacing w:val="0"/>
          <w:sz w:val="32"/>
          <w:szCs w:val="32"/>
          <w:highlight w:val="none"/>
          <w:shd w:val="clear" w:color="auto" w:fill="FFFFFF"/>
        </w:rPr>
        <w:t>项）</w:t>
      </w:r>
      <w:r>
        <w:rPr>
          <w:rStyle w:val="15"/>
          <w:rFonts w:hint="eastAsia" w:ascii="仿宋" w:hAnsi="仿宋" w:cs="仿宋"/>
          <w:b w:val="0"/>
          <w:i w:val="0"/>
          <w:caps w:val="0"/>
          <w:color w:val="auto"/>
          <w:spacing w:val="0"/>
          <w:sz w:val="32"/>
          <w:szCs w:val="32"/>
          <w:highlight w:val="none"/>
          <w:shd w:val="clear" w:color="auto" w:fill="FFFFFF"/>
          <w:lang w:eastAsia="zh-CN"/>
        </w:rPr>
        <w:t>：</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rPr>
        <w:t>万元，主要用于：反映上述项目以外</w:t>
      </w:r>
      <w:r>
        <w:rPr>
          <w:rFonts w:hint="eastAsia" w:ascii="Times New Roman" w:hAnsi="Times New Roman" w:eastAsia="仿宋_GB2312" w:cs="仿宋_GB2312"/>
          <w:color w:val="auto"/>
          <w:kern w:val="0"/>
          <w:sz w:val="32"/>
          <w:szCs w:val="32"/>
          <w:lang w:val="en-US" w:eastAsia="zh-CN"/>
        </w:rPr>
        <w:t>其他用于巩固拓展脱贫攻坚成果同乡村振兴有效衔接</w:t>
      </w:r>
      <w:r>
        <w:rPr>
          <w:rStyle w:val="15"/>
          <w:rFonts w:hint="eastAsia" w:ascii="仿宋" w:hAnsi="仿宋" w:cs="仿宋"/>
          <w:b w:val="0"/>
          <w:i w:val="0"/>
          <w:caps w:val="0"/>
          <w:color w:val="auto"/>
          <w:spacing w:val="0"/>
          <w:sz w:val="32"/>
          <w:szCs w:val="32"/>
          <w:highlight w:val="none"/>
          <w:shd w:val="clear" w:color="auto" w:fill="FFFFFF"/>
          <w:lang w:val="en-US" w:eastAsia="zh-CN"/>
        </w:rPr>
        <w:t>方面的支出</w:t>
      </w:r>
      <w:r>
        <w:rPr>
          <w:rFonts w:hint="eastAsia" w:ascii="Times New Roman" w:hAnsi="Times New Roman" w:eastAsia="仿宋_GB2312" w:cs="仿宋_GB2312"/>
          <w:color w:val="auto"/>
          <w:kern w:val="0"/>
          <w:sz w:val="32"/>
          <w:szCs w:val="32"/>
        </w:rPr>
        <w:t>。</w:t>
      </w:r>
    </w:p>
    <w:p w14:paraId="75CEB884">
      <w:pPr>
        <w:keepNext w:val="0"/>
        <w:keepLines w:val="0"/>
        <w:pageBreakBefore w:val="0"/>
        <w:numPr>
          <w:ilvl w:val="0"/>
          <w:numId w:val="0"/>
        </w:numPr>
        <w:kinsoku/>
        <w:wordWrap/>
        <w:overflowPunct/>
        <w:autoSpaceDE/>
        <w:autoSpaceDN/>
        <w:bidi w:val="0"/>
        <w:adjustRightInd/>
        <w:snapToGrid/>
        <w:ind w:firstLine="640" w:firstLineChars="200"/>
        <w:textAlignment w:val="auto"/>
        <w:rPr>
          <w:rStyle w:val="15"/>
          <w:rFonts w:hint="default" w:ascii="仿宋" w:hAnsi="仿宋" w:cs="仿宋"/>
          <w:b w:val="0"/>
          <w:i w:val="0"/>
          <w:caps w:val="0"/>
          <w:color w:val="auto"/>
          <w:spacing w:val="0"/>
          <w:sz w:val="32"/>
          <w:szCs w:val="32"/>
          <w:highlight w:val="none"/>
          <w:shd w:val="clear" w:color="auto" w:fill="FFFFFF"/>
          <w:lang w:val="en-US" w:eastAsia="zh-CN"/>
        </w:rPr>
      </w:pPr>
      <w:r>
        <w:rPr>
          <w:rFonts w:hint="eastAsia" w:ascii="Times New Roman" w:hAnsi="Times New Roman" w:eastAsia="仿宋_GB2312" w:cs="仿宋_GB2312"/>
          <w:color w:val="auto"/>
          <w:kern w:val="0"/>
          <w:sz w:val="32"/>
          <w:szCs w:val="32"/>
        </w:rPr>
        <w:t>8.</w:t>
      </w:r>
      <w:r>
        <w:rPr>
          <w:rFonts w:hint="eastAsia" w:ascii="仿宋" w:hAnsi="仿宋" w:eastAsia="仿宋" w:cs="仿宋"/>
          <w:color w:val="auto"/>
          <w:kern w:val="0"/>
          <w:sz w:val="32"/>
          <w:szCs w:val="32"/>
          <w:lang w:val="en-US" w:eastAsia="zh-CN" w:bidi="ar-SA"/>
        </w:rPr>
        <w:t>农林水支出（类）农村综合改革（款）对村民委员会和村党支部的补助（项）</w:t>
      </w:r>
      <w:r>
        <w:rPr>
          <w:rFonts w:hint="eastAsia" w:ascii="仿宋" w:hAnsi="仿宋" w:cs="仿宋"/>
          <w:color w:val="auto"/>
          <w:kern w:val="0"/>
          <w:sz w:val="32"/>
          <w:szCs w:val="32"/>
          <w:lang w:val="en-US" w:eastAsia="zh-CN" w:bidi="ar-SA"/>
        </w:rPr>
        <w:t>：</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95.52</w:t>
      </w:r>
      <w:r>
        <w:rPr>
          <w:rFonts w:hint="eastAsia" w:ascii="Times New Roman" w:hAnsi="Times New Roman" w:eastAsia="仿宋_GB2312" w:cs="仿宋_GB2312"/>
          <w:color w:val="auto"/>
          <w:kern w:val="0"/>
          <w:sz w:val="32"/>
          <w:szCs w:val="32"/>
        </w:rPr>
        <w:t>万元，主要用于：</w:t>
      </w:r>
      <w:r>
        <w:rPr>
          <w:rFonts w:hint="eastAsia" w:ascii="仿宋" w:hAnsi="仿宋" w:eastAsia="仿宋" w:cs="仿宋"/>
          <w:color w:val="auto"/>
          <w:kern w:val="0"/>
          <w:sz w:val="32"/>
          <w:szCs w:val="32"/>
          <w:lang w:val="en-US" w:eastAsia="zh-CN" w:bidi="ar-SA"/>
        </w:rPr>
        <w:t>村组干部的生活补助。</w:t>
      </w:r>
    </w:p>
    <w:p w14:paraId="00D5EFB4">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9.</w:t>
      </w:r>
      <w:r>
        <w:rPr>
          <w:rStyle w:val="15"/>
          <w:rFonts w:hint="eastAsia" w:ascii="仿宋" w:hAnsi="仿宋" w:eastAsia="仿宋" w:cs="仿宋"/>
          <w:b w:val="0"/>
          <w:i w:val="0"/>
          <w:caps w:val="0"/>
          <w:color w:val="auto"/>
          <w:spacing w:val="0"/>
          <w:sz w:val="32"/>
          <w:szCs w:val="32"/>
          <w:highlight w:val="none"/>
          <w:shd w:val="clear" w:color="auto" w:fill="FFFFFF"/>
          <w:lang w:val="en-US" w:eastAsia="zh-CN"/>
        </w:rPr>
        <w:t>住房保障（类）住房改革支出（款）住房公积金（项）</w:t>
      </w:r>
      <w:r>
        <w:rPr>
          <w:rStyle w:val="15"/>
          <w:rFonts w:hint="eastAsia" w:ascii="仿宋" w:hAnsi="仿宋" w:cs="仿宋"/>
          <w:b w:val="0"/>
          <w:i w:val="0"/>
          <w:caps w:val="0"/>
          <w:color w:val="auto"/>
          <w:spacing w:val="0"/>
          <w:sz w:val="32"/>
          <w:szCs w:val="32"/>
          <w:highlight w:val="none"/>
          <w:shd w:val="clear" w:color="auto" w:fill="FFFFFF"/>
          <w:lang w:val="en-US" w:eastAsia="zh-CN"/>
        </w:rPr>
        <w:t>：</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年预算数为36.35万元，主要用于：</w:t>
      </w:r>
      <w:r>
        <w:rPr>
          <w:rFonts w:hint="eastAsia" w:ascii="仿宋" w:hAnsi="仿宋" w:eastAsia="仿宋" w:cs="宋体"/>
          <w:color w:val="auto"/>
          <w:kern w:val="0"/>
          <w:sz w:val="32"/>
          <w:szCs w:val="32"/>
        </w:rPr>
        <w:t>部门按人力资源和社会保障部、财政部规定的基本工资和津贴补贴以及规定比例为职工缴纳的住房公积金支出。</w:t>
      </w:r>
    </w:p>
    <w:p w14:paraId="457A0C1E">
      <w:pPr>
        <w:pStyle w:val="4"/>
        <w:bidi w:val="0"/>
        <w:rPr>
          <w:rStyle w:val="25"/>
          <w:rFonts w:hint="eastAsia" w:ascii="黑体" w:hAnsi="黑体" w:eastAsia="黑体" w:cs="黑体"/>
          <w:b w:val="0"/>
          <w:bCs/>
          <w:lang w:eastAsia="zh-CN"/>
        </w:rPr>
      </w:pPr>
      <w:r>
        <w:rPr>
          <w:rStyle w:val="25"/>
          <w:rFonts w:hint="eastAsia" w:ascii="黑体" w:hAnsi="黑体" w:eastAsia="黑体" w:cs="黑体"/>
          <w:b w:val="0"/>
          <w:bCs/>
          <w:lang w:eastAsia="zh-CN"/>
        </w:rPr>
        <w:t>四</w:t>
      </w:r>
      <w:r>
        <w:rPr>
          <w:rStyle w:val="25"/>
          <w:rFonts w:hint="eastAsia" w:ascii="黑体" w:hAnsi="黑体" w:eastAsia="黑体" w:cs="黑体"/>
          <w:b w:val="0"/>
          <w:bCs/>
        </w:rPr>
        <w:t>、一般公共预算基本支出情况说明</w:t>
      </w:r>
    </w:p>
    <w:p w14:paraId="3CEF2BF2">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宜坪乡人民政府</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年一般公共预算基本支出</w:t>
      </w:r>
      <w:r>
        <w:rPr>
          <w:rFonts w:hint="eastAsia" w:ascii="Times New Roman" w:hAnsi="Times New Roman" w:eastAsia="仿宋_GB2312" w:cs="仿宋_GB2312"/>
          <w:color w:val="auto"/>
          <w:kern w:val="0"/>
          <w:sz w:val="32"/>
          <w:szCs w:val="32"/>
          <w:lang w:val="en-US" w:eastAsia="zh-CN"/>
        </w:rPr>
        <w:t>571.03</w:t>
      </w:r>
      <w:r>
        <w:rPr>
          <w:rFonts w:hint="eastAsia" w:ascii="Times New Roman" w:hAnsi="Times New Roman" w:eastAsia="仿宋_GB2312" w:cs="仿宋_GB2312"/>
          <w:color w:val="auto"/>
          <w:kern w:val="0"/>
          <w:sz w:val="32"/>
          <w:szCs w:val="32"/>
        </w:rPr>
        <w:t>万元，其中：</w:t>
      </w:r>
    </w:p>
    <w:p w14:paraId="5FCD2EB8">
      <w:pPr>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人员经费494.8</w:t>
      </w:r>
      <w:r>
        <w:rPr>
          <w:rFonts w:hint="eastAsia" w:ascii="Times New Roman" w:hAnsi="Times New Roman" w:eastAsia="仿宋_GB2312" w:cs="仿宋_GB2312"/>
          <w:color w:val="auto"/>
          <w:kern w:val="0"/>
          <w:sz w:val="32"/>
          <w:szCs w:val="32"/>
          <w:lang w:val="en-US" w:eastAsia="zh-CN"/>
        </w:rPr>
        <w:t>8</w:t>
      </w:r>
      <w:r>
        <w:rPr>
          <w:rFonts w:hint="eastAsia" w:ascii="Times New Roman" w:hAnsi="Times New Roman" w:eastAsia="仿宋_GB2312" w:cs="仿宋_GB2312"/>
          <w:color w:val="auto"/>
          <w:kern w:val="0"/>
          <w:sz w:val="32"/>
          <w:szCs w:val="32"/>
        </w:rPr>
        <w:t>万元，主要包括：基本工资、津贴补贴、奖金、社会保险缴费、绩效工资、机关事业单位基本养老保险缴费、职业年金缴费、其他工资福利支出、住房公积金、其他对个人和家庭的补助支出。</w:t>
      </w:r>
    </w:p>
    <w:p w14:paraId="2F100FE8">
      <w:pPr>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rPr>
        <w:t>公用经费76.1</w:t>
      </w: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万元，主要包括：办公费、印刷费、手续费、水费、电费、邮电费、差旅费、维修（护）费、会议费、培训费、劳务费、工会经费、福利费、其他交通费、其他商品和服务支出。</w:t>
      </w:r>
      <w:r>
        <w:rPr>
          <w:rFonts w:hint="eastAsia" w:ascii="Times New Roman" w:hAnsi="Times New Roman" w:eastAsia="仿宋_GB2312" w:cs="仿宋_GB2312"/>
          <w:color w:val="auto"/>
          <w:kern w:val="0"/>
          <w:sz w:val="32"/>
          <w:szCs w:val="32"/>
          <w:lang w:val="en-US" w:eastAsia="zh-CN"/>
        </w:rPr>
        <w:t xml:space="preserve">    </w:t>
      </w:r>
    </w:p>
    <w:p w14:paraId="252DB87D">
      <w:pPr>
        <w:rPr>
          <w:rStyle w:val="25"/>
          <w:rFonts w:hint="eastAsia" w:ascii="黑体" w:hAnsi="黑体" w:eastAsia="黑体" w:cs="黑体"/>
          <w:b w:val="0"/>
          <w:bCs/>
          <w:lang w:eastAsia="zh-CN"/>
        </w:rPr>
      </w:pPr>
      <w:r>
        <w:rPr>
          <w:rStyle w:val="25"/>
          <w:rFonts w:hint="eastAsia" w:ascii="黑体" w:hAnsi="黑体" w:eastAsia="黑体" w:cs="黑体"/>
          <w:b w:val="0"/>
          <w:bCs/>
          <w:lang w:eastAsia="zh-CN"/>
        </w:rPr>
        <w:t>五</w:t>
      </w:r>
      <w:r>
        <w:rPr>
          <w:rStyle w:val="25"/>
          <w:rFonts w:hint="eastAsia" w:ascii="黑体" w:hAnsi="黑体" w:eastAsia="黑体" w:cs="黑体"/>
          <w:b w:val="0"/>
          <w:bCs/>
        </w:rPr>
        <w:t>、政府性基金预算支出规模及变化情况说明</w:t>
      </w:r>
    </w:p>
    <w:p w14:paraId="49AB881F">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宜坪乡人民政府2026年没有使用政府性基金预算拨款安排的支出。</w:t>
      </w:r>
    </w:p>
    <w:p w14:paraId="7E92B446">
      <w:pPr>
        <w:rPr>
          <w:rStyle w:val="25"/>
          <w:rFonts w:hint="eastAsia" w:ascii="黑体" w:hAnsi="黑体" w:eastAsia="黑体" w:cs="黑体"/>
          <w:b w:val="0"/>
          <w:bCs/>
          <w:color w:val="auto"/>
        </w:rPr>
      </w:pPr>
      <w:r>
        <w:rPr>
          <w:rStyle w:val="25"/>
          <w:rFonts w:hint="eastAsia" w:ascii="黑体" w:hAnsi="黑体" w:eastAsia="黑体" w:cs="黑体"/>
          <w:b w:val="0"/>
          <w:bCs/>
          <w:color w:val="auto"/>
          <w:lang w:eastAsia="zh-CN"/>
        </w:rPr>
        <w:t>六</w:t>
      </w:r>
      <w:r>
        <w:rPr>
          <w:rStyle w:val="25"/>
          <w:rFonts w:hint="eastAsia" w:ascii="黑体" w:hAnsi="黑体" w:eastAsia="黑体" w:cs="黑体"/>
          <w:b w:val="0"/>
          <w:bCs/>
          <w:color w:val="auto"/>
        </w:rPr>
        <w:t>、国有资本经营预算支出规模及变化情况说明</w:t>
      </w:r>
    </w:p>
    <w:p w14:paraId="51DDF01E">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auto"/>
          <w:kern w:val="0"/>
          <w:sz w:val="32"/>
          <w:szCs w:val="32"/>
          <w:lang w:eastAsia="zh-CN"/>
        </w:rPr>
        <w:t>宜坪乡人民政府2026年没有使用国有资本经营预算拨款安排的支出。</w:t>
      </w:r>
    </w:p>
    <w:p w14:paraId="769F11A4">
      <w:pPr>
        <w:pStyle w:val="4"/>
        <w:bidi w:val="0"/>
        <w:rPr>
          <w:rStyle w:val="25"/>
          <w:rFonts w:hint="eastAsia" w:ascii="黑体" w:hAnsi="黑体" w:eastAsia="黑体" w:cs="黑体"/>
          <w:b w:val="0"/>
          <w:bCs/>
          <w:lang w:eastAsia="zh-CN"/>
        </w:rPr>
      </w:pPr>
      <w:r>
        <w:rPr>
          <w:rStyle w:val="25"/>
          <w:rFonts w:hint="eastAsia" w:ascii="黑体" w:hAnsi="黑体" w:eastAsia="黑体" w:cs="黑体"/>
          <w:b w:val="0"/>
          <w:bCs/>
          <w:lang w:eastAsia="zh-CN"/>
        </w:rPr>
        <w:t>七</w:t>
      </w:r>
      <w:r>
        <w:rPr>
          <w:rStyle w:val="25"/>
          <w:rFonts w:hint="eastAsia" w:ascii="黑体" w:hAnsi="黑体" w:eastAsia="黑体" w:cs="黑体"/>
          <w:b w:val="0"/>
          <w:bCs/>
        </w:rPr>
        <w:t>、“三公”经费预算安排情况说明</w:t>
      </w:r>
    </w:p>
    <w:p w14:paraId="0289E480">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宜坪乡人民政府</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年“三公”经费</w:t>
      </w:r>
      <w:r>
        <w:rPr>
          <w:rFonts w:hint="eastAsia" w:ascii="Times New Roman" w:hAnsi="Times New Roman" w:eastAsia="仿宋_GB2312" w:cs="仿宋_GB2312"/>
          <w:color w:val="auto"/>
          <w:kern w:val="0"/>
          <w:sz w:val="32"/>
          <w:szCs w:val="32"/>
          <w:lang w:eastAsia="zh-CN"/>
        </w:rPr>
        <w:t>财政拨款</w:t>
      </w:r>
      <w:r>
        <w:rPr>
          <w:rFonts w:hint="eastAsia" w:ascii="Times New Roman" w:hAnsi="Times New Roman" w:eastAsia="仿宋_GB2312" w:cs="仿宋_GB2312"/>
          <w:color w:val="auto"/>
          <w:kern w:val="0"/>
          <w:sz w:val="32"/>
          <w:szCs w:val="32"/>
        </w:rPr>
        <w:t>预算数12.2万元。其中</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因公出国（境）经费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万元，公务接待费</w:t>
      </w:r>
      <w:r>
        <w:rPr>
          <w:rFonts w:hint="eastAsia" w:ascii="Times New Roman" w:hAnsi="Times New Roman" w:eastAsia="仿宋_GB2312" w:cs="仿宋_GB2312"/>
          <w:color w:val="auto"/>
          <w:kern w:val="0"/>
          <w:sz w:val="32"/>
          <w:szCs w:val="32"/>
          <w:lang w:val="en-US" w:eastAsia="zh-CN"/>
        </w:rPr>
        <w:t>7.2</w:t>
      </w:r>
      <w:r>
        <w:rPr>
          <w:rFonts w:hint="eastAsia" w:ascii="Times New Roman" w:hAnsi="Times New Roman" w:eastAsia="仿宋_GB2312" w:cs="仿宋_GB2312"/>
          <w:color w:val="auto"/>
          <w:kern w:val="0"/>
          <w:sz w:val="32"/>
          <w:szCs w:val="32"/>
        </w:rPr>
        <w:t>万元，公务用车购置及运行维护费</w:t>
      </w: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万元。</w:t>
      </w:r>
    </w:p>
    <w:p w14:paraId="12B929CE">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因公出国（境）经费较上年预算持平。主要原因是</w:t>
      </w: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kern w:val="0"/>
          <w:sz w:val="32"/>
          <w:szCs w:val="32"/>
          <w:lang w:eastAsia="zh-CN"/>
        </w:rPr>
        <w:t>和2025</w:t>
      </w:r>
      <w:r>
        <w:rPr>
          <w:rFonts w:hint="eastAsia" w:ascii="Times New Roman" w:hAnsi="Times New Roman" w:eastAsia="仿宋_GB2312" w:cs="仿宋_GB2312"/>
          <w:color w:val="auto"/>
          <w:kern w:val="0"/>
          <w:sz w:val="32"/>
          <w:szCs w:val="32"/>
        </w:rPr>
        <w:t>年均无因公出国（境）费用支出。</w:t>
      </w:r>
    </w:p>
    <w:p w14:paraId="5B856582">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2.公务接待费较上年预算减少</w:t>
      </w:r>
      <w:r>
        <w:rPr>
          <w:rFonts w:hint="eastAsia" w:ascii="Times New Roman" w:hAnsi="Times New Roman" w:eastAsia="仿宋_GB2312" w:cs="仿宋_GB2312"/>
          <w:color w:val="auto"/>
          <w:kern w:val="0"/>
          <w:sz w:val="32"/>
          <w:szCs w:val="32"/>
          <w:lang w:val="en-US" w:eastAsia="zh-CN"/>
        </w:rPr>
        <w:t>0.8</w:t>
      </w:r>
      <w:r>
        <w:rPr>
          <w:rFonts w:hint="eastAsia" w:ascii="Times New Roman" w:hAnsi="Times New Roman" w:eastAsia="仿宋_GB2312" w:cs="仿宋_GB2312"/>
          <w:color w:val="auto"/>
          <w:kern w:val="0"/>
          <w:sz w:val="32"/>
          <w:szCs w:val="32"/>
        </w:rPr>
        <w:t>元，下降</w:t>
      </w:r>
      <w:r>
        <w:rPr>
          <w:rFonts w:hint="eastAsia" w:ascii="Times New Roman" w:hAnsi="Times New Roman" w:eastAsia="仿宋_GB2312" w:cs="仿宋_GB2312"/>
          <w:color w:val="auto"/>
          <w:kern w:val="0"/>
          <w:sz w:val="32"/>
          <w:szCs w:val="32"/>
          <w:lang w:val="en-US" w:eastAsia="zh-CN"/>
        </w:rPr>
        <w:t>10</w:t>
      </w:r>
      <w:r>
        <w:rPr>
          <w:rFonts w:hint="eastAsia" w:ascii="Times New Roman" w:hAnsi="Times New Roman" w:eastAsia="仿宋_GB2312" w:cs="仿宋_GB2312"/>
          <w:color w:val="auto"/>
          <w:kern w:val="0"/>
          <w:sz w:val="32"/>
          <w:szCs w:val="32"/>
        </w:rPr>
        <w:t>%。主要原因是按照中央八项规定及厉行节约、反对浪费的要求，简化接待程序，严格控制用餐及住宿标准，减少公务接待开支。</w:t>
      </w:r>
    </w:p>
    <w:p w14:paraId="39B193EB">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年公务接待费计划用于</w:t>
      </w:r>
      <w:r>
        <w:rPr>
          <w:rFonts w:hint="eastAsia" w:ascii="仿宋" w:hAnsi="仿宋" w:eastAsia="仿宋" w:cs="宋体"/>
          <w:color w:val="auto"/>
          <w:kern w:val="0"/>
          <w:sz w:val="32"/>
          <w:szCs w:val="32"/>
          <w:highlight w:val="none"/>
          <w:lang w:eastAsia="zh-CN"/>
        </w:rPr>
        <w:t>市、县各级部门单位来我单位</w:t>
      </w:r>
      <w:r>
        <w:rPr>
          <w:rFonts w:hint="eastAsia" w:ascii="仿宋" w:hAnsi="仿宋" w:eastAsia="仿宋" w:cs="宋体"/>
          <w:color w:val="auto"/>
          <w:kern w:val="0"/>
          <w:sz w:val="32"/>
          <w:szCs w:val="32"/>
          <w:highlight w:val="none"/>
        </w:rPr>
        <w:t>调研指导工作和</w:t>
      </w:r>
      <w:r>
        <w:rPr>
          <w:rFonts w:hint="eastAsia" w:ascii="仿宋" w:hAnsi="仿宋" w:eastAsia="仿宋" w:cs="宋体"/>
          <w:color w:val="auto"/>
          <w:kern w:val="0"/>
          <w:sz w:val="32"/>
          <w:szCs w:val="32"/>
          <w:highlight w:val="none"/>
          <w:lang w:eastAsia="zh-CN"/>
        </w:rPr>
        <w:t>县内其他乡镇</w:t>
      </w:r>
      <w:r>
        <w:rPr>
          <w:rFonts w:hint="eastAsia" w:ascii="仿宋" w:hAnsi="仿宋" w:eastAsia="仿宋" w:cs="宋体"/>
          <w:color w:val="auto"/>
          <w:kern w:val="0"/>
          <w:sz w:val="32"/>
          <w:szCs w:val="32"/>
          <w:highlight w:val="none"/>
        </w:rPr>
        <w:t>来我单位交流学习等。</w:t>
      </w:r>
    </w:p>
    <w:p w14:paraId="72534D9D">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3.</w:t>
      </w:r>
      <w:r>
        <w:rPr>
          <w:rFonts w:hint="eastAsia" w:ascii="Times New Roman" w:hAnsi="Times New Roman" w:eastAsia="仿宋_GB2312" w:cs="仿宋_GB2312"/>
          <w:color w:val="auto"/>
          <w:kern w:val="0"/>
          <w:sz w:val="32"/>
          <w:szCs w:val="32"/>
          <w:lang w:eastAsia="zh-CN"/>
        </w:rPr>
        <w:t>公</w:t>
      </w:r>
      <w:r>
        <w:rPr>
          <w:rFonts w:hint="eastAsia" w:ascii="Times New Roman" w:hAnsi="Times New Roman" w:eastAsia="仿宋_GB2312" w:cs="仿宋_GB2312"/>
          <w:color w:val="auto"/>
          <w:kern w:val="0"/>
          <w:sz w:val="32"/>
          <w:szCs w:val="32"/>
        </w:rPr>
        <w:t>务用车购置及运行维护费较上年预算</w:t>
      </w:r>
      <w:r>
        <w:rPr>
          <w:rFonts w:hint="eastAsia" w:ascii="Times New Roman" w:hAnsi="Times New Roman" w:eastAsia="仿宋_GB2312" w:cs="仿宋_GB2312"/>
          <w:color w:val="auto"/>
          <w:kern w:val="0"/>
          <w:sz w:val="32"/>
          <w:szCs w:val="32"/>
          <w:lang w:val="en-US" w:eastAsia="zh-CN"/>
        </w:rPr>
        <w:t>持平</w:t>
      </w:r>
      <w:r>
        <w:rPr>
          <w:rFonts w:hint="eastAsia" w:ascii="Times New Roman" w:hAnsi="Times New Roman" w:eastAsia="仿宋_GB2312" w:cs="仿宋_GB2312"/>
          <w:color w:val="auto"/>
          <w:kern w:val="0"/>
          <w:sz w:val="32"/>
          <w:szCs w:val="32"/>
        </w:rPr>
        <w:t>。</w:t>
      </w:r>
    </w:p>
    <w:p w14:paraId="4814FDDA">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单位现有公务用车</w:t>
      </w:r>
      <w:r>
        <w:rPr>
          <w:rFonts w:hint="eastAsia" w:ascii="Times New Roman" w:hAnsi="Times New Roman" w:eastAsia="仿宋_GB2312" w:cs="仿宋_GB2312"/>
          <w:color w:val="auto"/>
          <w:kern w:val="0"/>
          <w:sz w:val="32"/>
          <w:szCs w:val="32"/>
          <w:lang w:val="en-US" w:eastAsia="zh-CN"/>
        </w:rPr>
        <w:t>3</w:t>
      </w:r>
      <w:r>
        <w:rPr>
          <w:rFonts w:hint="eastAsia" w:ascii="Times New Roman" w:hAnsi="Times New Roman" w:eastAsia="仿宋_GB2312" w:cs="仿宋_GB2312"/>
          <w:color w:val="auto"/>
          <w:kern w:val="0"/>
          <w:sz w:val="32"/>
          <w:szCs w:val="32"/>
        </w:rPr>
        <w:t>辆，其中：轿车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辆，越野车</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辆，其他车型</w:t>
      </w: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rPr>
        <w:t>辆。</w:t>
      </w:r>
    </w:p>
    <w:p w14:paraId="033CB0CE">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2026年安排公务用车购置费0万元。</w:t>
      </w:r>
    </w:p>
    <w:p w14:paraId="0AA05EA0">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auto"/>
          <w:kern w:val="0"/>
          <w:sz w:val="32"/>
          <w:szCs w:val="32"/>
          <w:lang w:eastAsia="zh-CN"/>
        </w:rPr>
        <w:t>2026</w:t>
      </w:r>
      <w:r>
        <w:rPr>
          <w:rFonts w:hint="eastAsia" w:ascii="Times New Roman" w:hAnsi="Times New Roman" w:eastAsia="仿宋_GB2312" w:cs="仿宋_GB2312"/>
          <w:color w:val="auto"/>
          <w:kern w:val="0"/>
          <w:sz w:val="32"/>
          <w:szCs w:val="32"/>
        </w:rPr>
        <w:t>年安排公务用车运行维护费</w:t>
      </w: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万元，用于公务用车燃油、维修、保险及其他车辆支出</w:t>
      </w:r>
      <w:r>
        <w:rPr>
          <w:rFonts w:hint="eastAsia" w:ascii="Times New Roman" w:hAnsi="Times New Roman" w:eastAsia="仿宋_GB2312" w:cs="仿宋_GB2312"/>
          <w:color w:val="auto"/>
          <w:kern w:val="0"/>
          <w:sz w:val="32"/>
          <w:szCs w:val="32"/>
          <w:lang w:eastAsia="zh-CN"/>
        </w:rPr>
        <w:t>，主要保障相关工作开展</w:t>
      </w:r>
      <w:r>
        <w:rPr>
          <w:rFonts w:hint="eastAsia" w:ascii="Times New Roman" w:hAnsi="Times New Roman" w:eastAsia="仿宋_GB2312" w:cs="仿宋_GB2312"/>
          <w:color w:val="000000"/>
          <w:kern w:val="0"/>
          <w:sz w:val="32"/>
          <w:szCs w:val="32"/>
        </w:rPr>
        <w:t>。</w:t>
      </w:r>
    </w:p>
    <w:p w14:paraId="5BA7969B">
      <w:pPr>
        <w:pStyle w:val="4"/>
        <w:bidi w:val="0"/>
        <w:rPr>
          <w:rStyle w:val="25"/>
          <w:rFonts w:hint="eastAsia" w:ascii="黑体" w:hAnsi="黑体" w:eastAsia="黑体" w:cs="黑体"/>
          <w:b w:val="0"/>
          <w:bCs/>
          <w:lang w:eastAsia="zh-CN"/>
        </w:rPr>
      </w:pPr>
      <w:r>
        <w:rPr>
          <w:rStyle w:val="25"/>
          <w:rFonts w:hint="eastAsia" w:ascii="黑体" w:hAnsi="黑体" w:eastAsia="黑体" w:cs="黑体"/>
          <w:b w:val="0"/>
          <w:bCs/>
          <w:lang w:eastAsia="zh-CN"/>
        </w:rPr>
        <w:t>八</w:t>
      </w:r>
      <w:r>
        <w:rPr>
          <w:rStyle w:val="25"/>
          <w:rFonts w:hint="eastAsia" w:ascii="黑体" w:hAnsi="黑体" w:eastAsia="黑体" w:cs="黑体"/>
          <w:b w:val="0"/>
          <w:bCs/>
        </w:rPr>
        <w:t>、其他重要事项的情况说明</w:t>
      </w:r>
    </w:p>
    <w:p w14:paraId="5BEB7486">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422E4E3D">
      <w:pPr>
        <w:bidi w:val="0"/>
        <w:rPr>
          <w:rFonts w:hint="eastAsia" w:ascii="Times New Roman" w:hAnsi="Times New Roman" w:eastAsia="仿宋_GB2312" w:cs="仿宋_GB2312"/>
          <w:color w:val="000000"/>
          <w:sz w:val="32"/>
          <w:szCs w:val="32"/>
          <w:shd w:val="clear" w:color="auto" w:fill="FFFFFF"/>
          <w:lang w:eastAsia="zh-CN"/>
        </w:rPr>
      </w:pPr>
      <w:r>
        <w:rPr>
          <w:rFonts w:hint="eastAsia" w:ascii="Times New Roman" w:hAnsi="Times New Roman" w:eastAsia="仿宋_GB2312" w:cs="仿宋_GB2312"/>
          <w:color w:val="auto"/>
          <w:sz w:val="32"/>
          <w:szCs w:val="32"/>
          <w:shd w:val="clear" w:color="auto" w:fill="FFFFFF"/>
          <w:lang w:eastAsia="zh-CN"/>
        </w:rPr>
        <w:t>2026</w:t>
      </w:r>
      <w:r>
        <w:rPr>
          <w:rFonts w:hint="eastAsia" w:ascii="Times New Roman" w:hAnsi="Times New Roman" w:eastAsia="仿宋_GB2312" w:cs="仿宋_GB2312"/>
          <w:color w:val="auto"/>
          <w:sz w:val="32"/>
          <w:szCs w:val="32"/>
          <w:shd w:val="clear" w:color="auto" w:fill="FFFFFF"/>
        </w:rPr>
        <w:t>年</w:t>
      </w:r>
      <w:r>
        <w:rPr>
          <w:rFonts w:hint="eastAsia" w:ascii="Times New Roman" w:hAnsi="Times New Roman" w:eastAsia="仿宋_GB2312" w:cs="仿宋_GB2312"/>
          <w:color w:val="auto"/>
          <w:sz w:val="32"/>
          <w:szCs w:val="32"/>
          <w:shd w:val="clear" w:color="auto" w:fill="FFFFFF"/>
          <w:lang w:eastAsia="zh-CN"/>
        </w:rPr>
        <w:t>，</w:t>
      </w:r>
      <w:r>
        <w:rPr>
          <w:rFonts w:hint="eastAsia" w:ascii="Times New Roman" w:hAnsi="Times New Roman" w:eastAsia="仿宋_GB2312" w:cs="仿宋_GB2312"/>
          <w:color w:val="auto"/>
          <w:sz w:val="32"/>
          <w:szCs w:val="32"/>
          <w:lang w:eastAsia="zh-CN"/>
        </w:rPr>
        <w:t>宜坪乡人民政府运行经费财政拨款预算为</w:t>
      </w:r>
      <w:r>
        <w:rPr>
          <w:rFonts w:hint="eastAsia" w:ascii="Times New Roman" w:hAnsi="Times New Roman" w:eastAsia="仿宋_GB2312" w:cs="仿宋_GB2312"/>
          <w:color w:val="auto"/>
          <w:kern w:val="0"/>
          <w:sz w:val="32"/>
          <w:szCs w:val="32"/>
          <w:lang w:val="en-US" w:eastAsia="zh-CN"/>
        </w:rPr>
        <w:t>76.15</w:t>
      </w:r>
      <w:r>
        <w:rPr>
          <w:rFonts w:hint="eastAsia" w:ascii="Times New Roman" w:hAnsi="Times New Roman" w:eastAsia="仿宋_GB2312" w:cs="仿宋_GB2312"/>
          <w:color w:val="auto"/>
          <w:sz w:val="32"/>
          <w:szCs w:val="32"/>
          <w:shd w:val="clear" w:color="auto" w:fill="FFFFFF"/>
        </w:rPr>
        <w:t>万元</w:t>
      </w:r>
      <w:r>
        <w:rPr>
          <w:rFonts w:hint="eastAsia" w:ascii="Times New Roman" w:hAnsi="Times New Roman" w:eastAsia="仿宋_GB2312" w:cs="仿宋_GB2312"/>
          <w:color w:val="auto"/>
          <w:sz w:val="32"/>
          <w:szCs w:val="32"/>
          <w:shd w:val="clear" w:color="auto" w:fill="FFFFFF"/>
          <w:lang w:eastAsia="zh-CN"/>
        </w:rPr>
        <w:t>，比2025年预算</w:t>
      </w:r>
      <w:r>
        <w:rPr>
          <w:rFonts w:hint="eastAsia" w:ascii="Times New Roman" w:hAnsi="Times New Roman" w:eastAsia="仿宋_GB2312" w:cs="仿宋_GB2312"/>
          <w:color w:val="auto"/>
          <w:kern w:val="0"/>
          <w:sz w:val="32"/>
          <w:szCs w:val="32"/>
          <w:lang w:eastAsia="zh-CN"/>
        </w:rPr>
        <w:t>减少</w:t>
      </w:r>
      <w:r>
        <w:rPr>
          <w:rFonts w:hint="eastAsia" w:ascii="Times New Roman" w:hAnsi="Times New Roman" w:eastAsia="仿宋_GB2312" w:cs="仿宋_GB2312"/>
          <w:color w:val="auto"/>
          <w:kern w:val="0"/>
          <w:sz w:val="32"/>
          <w:szCs w:val="32"/>
          <w:lang w:val="en-US" w:eastAsia="zh-CN"/>
        </w:rPr>
        <w:t>15.71</w:t>
      </w:r>
      <w:r>
        <w:rPr>
          <w:rFonts w:hint="eastAsia" w:ascii="Times New Roman" w:hAnsi="Times New Roman" w:eastAsia="仿宋_GB2312" w:cs="仿宋_GB2312"/>
          <w:color w:val="auto"/>
          <w:kern w:val="0"/>
          <w:sz w:val="32"/>
          <w:szCs w:val="32"/>
          <w:lang w:eastAsia="zh-CN"/>
        </w:rPr>
        <w:t>万元，主要原因是</w:t>
      </w:r>
      <w:r>
        <w:rPr>
          <w:rFonts w:hint="eastAsia" w:ascii="Times New Roman" w:hAnsi="Times New Roman" w:eastAsia="仿宋_GB2312" w:cs="仿宋_GB2312"/>
          <w:color w:val="auto"/>
          <w:kern w:val="0"/>
          <w:sz w:val="32"/>
          <w:szCs w:val="32"/>
          <w:lang w:val="en-US" w:eastAsia="zh-CN"/>
        </w:rPr>
        <w:t>厉行节约</w:t>
      </w:r>
      <w:r>
        <w:rPr>
          <w:rFonts w:hint="eastAsia" w:ascii="Times New Roman" w:hAnsi="Times New Roman" w:eastAsia="仿宋_GB2312" w:cs="仿宋_GB2312"/>
          <w:color w:val="auto"/>
          <w:sz w:val="32"/>
          <w:szCs w:val="32"/>
          <w:shd w:val="clear" w:color="auto" w:fill="FFFFFF"/>
        </w:rPr>
        <w:t>。</w:t>
      </w:r>
    </w:p>
    <w:p w14:paraId="771029B1">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（二）政府采购情况。</w:t>
      </w:r>
    </w:p>
    <w:p w14:paraId="0A3C2DB4">
      <w:pPr>
        <w:suppressAutoHyphens/>
        <w:spacing w:line="580" w:lineRule="exact"/>
        <w:ind w:firstLine="640" w:firstLineChars="200"/>
        <w:jc w:val="both"/>
        <w:outlineLvl w:val="2"/>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sz w:val="32"/>
          <w:szCs w:val="32"/>
          <w:lang w:eastAsia="zh-CN"/>
        </w:rPr>
        <w:t>宜坪乡人民政府</w:t>
      </w:r>
      <w:r>
        <w:rPr>
          <w:rFonts w:hint="eastAsia" w:ascii="Times New Roman" w:hAnsi="Times New Roman" w:eastAsia="仿宋_GB2312" w:cs="仿宋_GB2312"/>
          <w:color w:val="auto"/>
          <w:kern w:val="0"/>
          <w:sz w:val="32"/>
          <w:szCs w:val="32"/>
          <w:lang w:eastAsia="zh-CN"/>
        </w:rPr>
        <w:t>2026年无政府采购项目，未安排政府采购预算。</w:t>
      </w:r>
    </w:p>
    <w:p w14:paraId="0D03E3C9">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三</w:t>
      </w:r>
      <w:r>
        <w:rPr>
          <w:rFonts w:hint="eastAsia" w:ascii="Times New Roman" w:hAnsi="Times New Roman" w:eastAsia="楷体_GB2312" w:cs="Times New Roman"/>
          <w:b w:val="0"/>
          <w:bCs/>
          <w:color w:val="auto"/>
          <w:sz w:val="32"/>
          <w:szCs w:val="32"/>
        </w:rPr>
        <w:t>）国有资产占有使用情况。</w:t>
      </w:r>
    </w:p>
    <w:p w14:paraId="7728F454">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kern w:val="0"/>
        </w:rPr>
        <w:t>截至</w:t>
      </w:r>
      <w:r>
        <w:rPr>
          <w:rFonts w:hint="eastAsia" w:ascii="Times New Roman" w:hAnsi="Times New Roman" w:eastAsia="仿宋_GB2312" w:cs="仿宋_GB2312"/>
          <w:color w:val="auto"/>
          <w:kern w:val="0"/>
          <w:lang w:eastAsia="zh-CN"/>
        </w:rPr>
        <w:t>2025</w:t>
      </w:r>
      <w:r>
        <w:rPr>
          <w:rFonts w:hint="eastAsia" w:ascii="Times New Roman" w:hAnsi="Times New Roman" w:eastAsia="仿宋_GB2312" w:cs="仿宋_GB2312"/>
          <w:color w:val="auto"/>
          <w:kern w:val="0"/>
        </w:rPr>
        <w:t>年底，</w:t>
      </w:r>
      <w:r>
        <w:rPr>
          <w:rFonts w:hint="eastAsia" w:ascii="Times New Roman" w:hAnsi="Times New Roman" w:eastAsia="仿宋_GB2312" w:cs="仿宋_GB2312"/>
          <w:color w:val="auto"/>
          <w:sz w:val="32"/>
          <w:szCs w:val="32"/>
          <w:lang w:eastAsia="zh-CN"/>
        </w:rPr>
        <w:t>宜坪乡人民政府</w:t>
      </w:r>
      <w:r>
        <w:rPr>
          <w:rFonts w:hint="eastAsia" w:ascii="Times New Roman" w:hAnsi="Times New Roman" w:eastAsia="仿宋_GB2312" w:cs="仿宋_GB2312"/>
          <w:color w:val="auto"/>
          <w:kern w:val="0"/>
        </w:rPr>
        <w:t>所属各预算单位共有车辆</w:t>
      </w:r>
      <w:r>
        <w:rPr>
          <w:rFonts w:hint="eastAsia" w:ascii="Times New Roman" w:hAnsi="Times New Roman" w:eastAsia="仿宋_GB2312" w:cs="仿宋_GB2312"/>
          <w:color w:val="auto"/>
          <w:kern w:val="0"/>
          <w:sz w:val="32"/>
          <w:szCs w:val="32"/>
          <w:lang w:val="en-US" w:eastAsia="zh-CN"/>
        </w:rPr>
        <w:t>3</w:t>
      </w:r>
      <w:r>
        <w:rPr>
          <w:rFonts w:hint="eastAsia" w:ascii="Times New Roman" w:hAnsi="Times New Roman" w:eastAsia="仿宋_GB2312" w:cs="仿宋_GB2312"/>
          <w:color w:val="auto"/>
          <w:kern w:val="0"/>
        </w:rPr>
        <w:t>辆其中，县级领导干部用车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辆、定向保障用车</w:t>
      </w:r>
      <w:r>
        <w:rPr>
          <w:rFonts w:hint="eastAsia" w:ascii="Times New Roman" w:hAnsi="Times New Roman" w:eastAsia="仿宋_GB2312" w:cs="仿宋_GB2312"/>
          <w:color w:val="auto"/>
          <w:kern w:val="0"/>
          <w:sz w:val="32"/>
          <w:szCs w:val="32"/>
          <w:lang w:val="en-US" w:eastAsia="zh-CN"/>
        </w:rPr>
        <w:t>3</w:t>
      </w:r>
      <w:r>
        <w:rPr>
          <w:rFonts w:hint="eastAsia" w:ascii="Times New Roman" w:hAnsi="Times New Roman" w:eastAsia="仿宋_GB2312" w:cs="仿宋_GB2312"/>
          <w:color w:val="auto"/>
          <w:kern w:val="0"/>
        </w:rPr>
        <w:t>辆、执法执勤用车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辆。单位价值200万元以上大型设备</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台（套）。</w:t>
      </w:r>
    </w:p>
    <w:p w14:paraId="0047941C">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kern w:val="0"/>
          <w:lang w:eastAsia="zh-CN"/>
        </w:rPr>
        <w:t>2026</w:t>
      </w:r>
      <w:r>
        <w:rPr>
          <w:rFonts w:hint="eastAsia" w:ascii="Times New Roman" w:hAnsi="Times New Roman" w:eastAsia="仿宋_GB2312" w:cs="仿宋_GB2312"/>
          <w:color w:val="auto"/>
          <w:kern w:val="0"/>
        </w:rPr>
        <w:t>年部门预算未安排购置车辆及单位价值200万元以上大型设备。</w:t>
      </w:r>
    </w:p>
    <w:p w14:paraId="59531A16">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四</w:t>
      </w:r>
      <w:r>
        <w:rPr>
          <w:rFonts w:hint="eastAsia" w:ascii="Times New Roman" w:hAnsi="Times New Roman" w:eastAsia="楷体_GB2312" w:cs="Times New Roman"/>
          <w:b w:val="0"/>
          <w:bCs/>
          <w:color w:val="auto"/>
          <w:sz w:val="32"/>
          <w:szCs w:val="32"/>
        </w:rPr>
        <w:t>）绩效目标设置情况。</w:t>
      </w:r>
    </w:p>
    <w:p w14:paraId="2E86322F">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2026年，</w:t>
      </w:r>
      <w:r>
        <w:rPr>
          <w:rFonts w:hint="eastAsia" w:ascii="Times New Roman" w:hAnsi="Times New Roman" w:eastAsia="仿宋_GB2312" w:cs="仿宋_GB2312"/>
          <w:color w:val="auto"/>
          <w:sz w:val="32"/>
          <w:szCs w:val="32"/>
          <w:lang w:eastAsia="zh-CN"/>
        </w:rPr>
        <w:t>宜坪乡人民政府</w:t>
      </w:r>
      <w:r>
        <w:rPr>
          <w:rFonts w:hint="eastAsia" w:ascii="Times New Roman" w:hAnsi="Times New Roman" w:eastAsia="仿宋_GB2312" w:cs="仿宋_GB2312"/>
          <w:color w:val="auto"/>
          <w:kern w:val="0"/>
          <w:sz w:val="32"/>
          <w:szCs w:val="32"/>
          <w:lang w:eastAsia="zh-CN"/>
        </w:rPr>
        <w:t>开展绩效目标管理的项目</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lang w:eastAsia="zh-CN"/>
        </w:rPr>
        <w:t>万元。其中：人员类项目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万元；运转类项目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万元；特定目标类项目</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w:t>
      </w:r>
      <w:r>
        <w:rPr>
          <w:rFonts w:hint="eastAsia" w:ascii="Times New Roman" w:hAnsi="Times New Roman" w:eastAsia="仿宋_GB2312" w:cs="仿宋_GB2312"/>
          <w:color w:val="auto"/>
          <w:kern w:val="0"/>
          <w:sz w:val="32"/>
          <w:szCs w:val="32"/>
        </w:rPr>
        <w:t>。</w:t>
      </w:r>
    </w:p>
    <w:p w14:paraId="51C12C9D">
      <w:pPr>
        <w:rPr>
          <w:rFonts w:hint="eastAsia"/>
          <w:lang w:val="en-US" w:eastAsia="zh-CN"/>
        </w:rPr>
      </w:pPr>
    </w:p>
    <w:p w14:paraId="78DBA2BD">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461CD166">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7886BA65">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73C93BFF">
      <w:pPr>
        <w:widowControl/>
        <w:numPr>
          <w:ilvl w:val="0"/>
          <w:numId w:val="0"/>
        </w:numPr>
        <w:shd w:val="clear" w:color="auto" w:fill="FFFFFF"/>
        <w:jc w:val="left"/>
        <w:rPr>
          <w:rFonts w:hint="eastAsia" w:ascii="仿宋" w:hAnsi="宋体" w:eastAsia="仿宋" w:cs="宋体"/>
          <w:color w:val="000000"/>
          <w:kern w:val="0"/>
          <w:sz w:val="32"/>
          <w:szCs w:val="32"/>
        </w:rPr>
      </w:pPr>
    </w:p>
    <w:p w14:paraId="18E5F482">
      <w:pPr>
        <w:widowControl/>
        <w:numPr>
          <w:ilvl w:val="0"/>
          <w:numId w:val="0"/>
        </w:numPr>
        <w:shd w:val="clear" w:color="auto" w:fill="FFFFFF"/>
        <w:jc w:val="left"/>
        <w:rPr>
          <w:rFonts w:hint="eastAsia" w:ascii="仿宋" w:hAnsi="宋体" w:eastAsia="仿宋" w:cs="宋体"/>
          <w:color w:val="000000"/>
          <w:kern w:val="0"/>
          <w:sz w:val="32"/>
          <w:szCs w:val="32"/>
        </w:rPr>
      </w:pPr>
    </w:p>
    <w:p w14:paraId="6684D412">
      <w:pPr>
        <w:widowControl/>
        <w:numPr>
          <w:ilvl w:val="0"/>
          <w:numId w:val="0"/>
        </w:numPr>
        <w:shd w:val="clear" w:color="auto" w:fill="FFFFFF"/>
        <w:jc w:val="left"/>
        <w:rPr>
          <w:rFonts w:hint="eastAsia" w:ascii="仿宋" w:hAnsi="宋体" w:eastAsia="仿宋" w:cs="宋体"/>
          <w:color w:val="000000"/>
          <w:kern w:val="0"/>
          <w:sz w:val="32"/>
          <w:szCs w:val="32"/>
        </w:rPr>
      </w:pPr>
    </w:p>
    <w:p w14:paraId="63454B85">
      <w:pPr>
        <w:widowControl/>
        <w:numPr>
          <w:ilvl w:val="0"/>
          <w:numId w:val="0"/>
        </w:numPr>
        <w:shd w:val="clear" w:color="auto" w:fill="FFFFFF"/>
        <w:jc w:val="left"/>
        <w:rPr>
          <w:rFonts w:hint="eastAsia" w:ascii="仿宋" w:hAnsi="宋体" w:eastAsia="仿宋" w:cs="宋体"/>
          <w:color w:val="000000"/>
          <w:kern w:val="0"/>
          <w:sz w:val="32"/>
          <w:szCs w:val="32"/>
        </w:rPr>
      </w:pPr>
    </w:p>
    <w:p w14:paraId="6730BD16">
      <w:pPr>
        <w:widowControl/>
        <w:numPr>
          <w:ilvl w:val="0"/>
          <w:numId w:val="0"/>
        </w:numPr>
        <w:shd w:val="clear" w:color="auto" w:fill="FFFFFF"/>
        <w:jc w:val="left"/>
        <w:rPr>
          <w:rFonts w:hint="eastAsia" w:ascii="仿宋" w:hAnsi="宋体" w:eastAsia="仿宋" w:cs="宋体"/>
          <w:color w:val="000000"/>
          <w:kern w:val="0"/>
          <w:sz w:val="32"/>
          <w:szCs w:val="32"/>
        </w:rPr>
      </w:pPr>
    </w:p>
    <w:p w14:paraId="62C08BA2">
      <w:pPr>
        <w:widowControl/>
        <w:numPr>
          <w:ilvl w:val="0"/>
          <w:numId w:val="0"/>
        </w:numPr>
        <w:shd w:val="clear" w:color="auto" w:fill="FFFFFF"/>
        <w:jc w:val="left"/>
        <w:rPr>
          <w:rFonts w:hint="eastAsia" w:ascii="仿宋" w:hAnsi="宋体" w:eastAsia="仿宋" w:cs="宋体"/>
          <w:color w:val="000000"/>
          <w:kern w:val="0"/>
          <w:sz w:val="32"/>
          <w:szCs w:val="32"/>
        </w:rPr>
      </w:pPr>
    </w:p>
    <w:p w14:paraId="222FE0CF">
      <w:pPr>
        <w:widowControl/>
        <w:numPr>
          <w:ilvl w:val="0"/>
          <w:numId w:val="0"/>
        </w:numPr>
        <w:shd w:val="clear" w:color="auto" w:fill="FFFFFF"/>
        <w:jc w:val="left"/>
        <w:rPr>
          <w:rFonts w:hint="eastAsia" w:ascii="仿宋" w:hAnsi="宋体" w:eastAsia="仿宋" w:cs="宋体"/>
          <w:color w:val="000000"/>
          <w:kern w:val="0"/>
          <w:sz w:val="32"/>
          <w:szCs w:val="32"/>
        </w:rPr>
      </w:pPr>
    </w:p>
    <w:p w14:paraId="4F2D6839">
      <w:pPr>
        <w:widowControl/>
        <w:numPr>
          <w:ilvl w:val="0"/>
          <w:numId w:val="0"/>
        </w:numPr>
        <w:shd w:val="clear" w:color="auto" w:fill="FFFFFF"/>
        <w:jc w:val="left"/>
        <w:rPr>
          <w:rFonts w:hint="eastAsia" w:ascii="仿宋" w:hAnsi="宋体" w:eastAsia="仿宋" w:cs="宋体"/>
          <w:color w:val="000000"/>
          <w:kern w:val="0"/>
          <w:sz w:val="32"/>
          <w:szCs w:val="32"/>
        </w:rPr>
      </w:pPr>
    </w:p>
    <w:p w14:paraId="50024811">
      <w:pPr>
        <w:widowControl/>
        <w:numPr>
          <w:ilvl w:val="0"/>
          <w:numId w:val="0"/>
        </w:numPr>
        <w:shd w:val="clear" w:color="auto" w:fill="FFFFFF"/>
        <w:jc w:val="left"/>
        <w:rPr>
          <w:rFonts w:hint="eastAsia" w:ascii="仿宋" w:hAnsi="宋体" w:eastAsia="仿宋" w:cs="宋体"/>
          <w:color w:val="000000"/>
          <w:kern w:val="0"/>
          <w:sz w:val="32"/>
          <w:szCs w:val="32"/>
        </w:rPr>
      </w:pPr>
    </w:p>
    <w:p w14:paraId="3A3052C2">
      <w:pPr>
        <w:widowControl/>
        <w:numPr>
          <w:ilvl w:val="0"/>
          <w:numId w:val="0"/>
        </w:numPr>
        <w:shd w:val="clear" w:color="auto" w:fill="FFFFFF"/>
        <w:jc w:val="left"/>
        <w:rPr>
          <w:rFonts w:hint="eastAsia" w:ascii="仿宋" w:hAnsi="宋体" w:eastAsia="仿宋" w:cs="宋体"/>
          <w:color w:val="000000"/>
          <w:kern w:val="0"/>
          <w:sz w:val="32"/>
          <w:szCs w:val="32"/>
        </w:rPr>
      </w:pPr>
    </w:p>
    <w:p w14:paraId="793B91AB">
      <w:pPr>
        <w:bidi w:val="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1276894A">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067C8764">
      <w:pPr>
        <w:bidi w:val="0"/>
        <w:rPr>
          <w:rFonts w:hint="eastAsia" w:eastAsia="仿宋"/>
          <w:lang w:eastAsia="zh-CN"/>
        </w:rPr>
      </w:pPr>
      <w:r>
        <w:rPr>
          <w:rFonts w:hint="eastAsia" w:ascii="楷体" w:hAnsi="楷体" w:eastAsia="楷体" w:cs="楷体"/>
          <w:lang w:eastAsia="zh-CN"/>
        </w:rPr>
        <w:t>（三）事业收入：</w:t>
      </w:r>
      <w:r>
        <w:rPr>
          <w:rFonts w:hint="eastAsia" w:ascii="仿宋_GB2312" w:hAnsi="仿宋_GB2312" w:eastAsia="仿宋_GB2312" w:cs="仿宋_GB2312"/>
        </w:rPr>
        <w:t>指事业单位开展专业业务活动及辅助活动所取得的收入。</w:t>
      </w:r>
    </w:p>
    <w:p w14:paraId="40F5FBE2">
      <w:pPr>
        <w:bidi w:val="0"/>
        <w:rPr>
          <w:rFonts w:hint="eastAsia" w:eastAsia="仿宋"/>
          <w:lang w:eastAsia="zh-CN"/>
        </w:rPr>
      </w:pPr>
      <w:r>
        <w:rPr>
          <w:rFonts w:hint="eastAsia" w:ascii="楷体" w:hAnsi="楷体" w:eastAsia="楷体" w:cs="楷体"/>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481BB9E2">
      <w:pPr>
        <w:bidi w:val="0"/>
        <w:rPr>
          <w:rFonts w:hint="eastAsia" w:eastAsia="仿宋"/>
          <w:lang w:eastAsia="zh-CN"/>
        </w:rPr>
      </w:pPr>
      <w:r>
        <w:rPr>
          <w:rFonts w:hint="eastAsia" w:ascii="楷体" w:hAnsi="楷体" w:eastAsia="楷体" w:cs="楷体"/>
          <w:lang w:eastAsia="zh-CN"/>
        </w:rPr>
        <w:t>（五）其他收入：</w:t>
      </w:r>
      <w:r>
        <w:rPr>
          <w:rFonts w:hint="eastAsia" w:ascii="仿宋_GB2312" w:hAnsi="仿宋_GB2312" w:eastAsia="仿宋_GB2312" w:cs="仿宋_GB2312"/>
        </w:rPr>
        <w:t>指除上述“一般公共预算拨款收入</w:t>
      </w:r>
      <w:r>
        <w:rPr>
          <w:rFonts w:hint="eastAsia" w:ascii="仿宋_GB2312" w:hAnsi="仿宋_GB2312" w:eastAsia="仿宋_GB2312" w:cs="仿宋_GB2312"/>
          <w:lang w:eastAsia="zh-CN"/>
        </w:rPr>
        <w:t>”“</w:t>
      </w:r>
      <w:r>
        <w:rPr>
          <w:rFonts w:hint="eastAsia" w:ascii="仿宋_GB2312" w:hAnsi="仿宋_GB2312" w:eastAsia="仿宋_GB2312" w:cs="仿宋_GB2312"/>
        </w:rPr>
        <w:t>事业收入</w:t>
      </w:r>
      <w:r>
        <w:rPr>
          <w:rFonts w:hint="eastAsia" w:ascii="仿宋_GB2312" w:hAnsi="仿宋_GB2312" w:eastAsia="仿宋_GB2312" w:cs="仿宋_GB2312"/>
          <w:lang w:eastAsia="zh-CN"/>
        </w:rPr>
        <w:t>”“</w:t>
      </w:r>
      <w:r>
        <w:rPr>
          <w:rFonts w:hint="eastAsia" w:ascii="仿宋_GB2312" w:hAnsi="仿宋_GB2312" w:eastAsia="仿宋_GB2312" w:cs="仿宋_GB2312"/>
        </w:rPr>
        <w:t>事业单位经营收入”等以外的收入。主要是利息收入、国有资产出租收入等。</w:t>
      </w:r>
    </w:p>
    <w:p w14:paraId="5DB61F24">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350EE543">
      <w:pPr>
        <w:bidi w:val="0"/>
        <w:rPr>
          <w:rFonts w:hint="eastAsia" w:eastAsia="仿宋"/>
          <w:lang w:eastAsia="zh-CN"/>
        </w:rPr>
      </w:pPr>
      <w:r>
        <w:rPr>
          <w:rFonts w:hint="eastAsia" w:ascii="楷体" w:hAnsi="楷体" w:eastAsia="楷体" w:cs="楷体"/>
          <w:lang w:val="en-US" w:eastAsia="zh-CN"/>
        </w:rPr>
        <w:t>（七）</w:t>
      </w:r>
      <w:r>
        <w:rPr>
          <w:rFonts w:hint="eastAsia" w:ascii="楷体" w:hAnsi="楷体"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755BAF2D">
      <w:pPr>
        <w:bidi w:val="0"/>
        <w:rPr>
          <w:rFonts w:hint="eastAsia" w:eastAsia="仿宋"/>
          <w:lang w:eastAsia="zh-CN"/>
        </w:rPr>
      </w:pP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1704808F">
      <w:pPr>
        <w:bidi w:val="0"/>
        <w:rPr>
          <w:rFonts w:hint="eastAsia" w:eastAsia="仿宋"/>
          <w:lang w:eastAsia="zh-CN"/>
        </w:rPr>
      </w:pPr>
      <w:r>
        <w:rPr>
          <w:rFonts w:hint="eastAsia" w:ascii="楷体" w:hAnsi="楷体"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464860C0">
      <w:pPr>
        <w:bidi w:val="0"/>
        <w:rPr>
          <w:rFonts w:hint="eastAsia" w:eastAsia="仿宋"/>
          <w:lang w:eastAsia="zh-CN"/>
        </w:rPr>
      </w:pPr>
      <w:r>
        <w:rPr>
          <w:rFonts w:hint="eastAsia" w:ascii="楷体" w:hAnsi="楷体"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2AFF50E1">
      <w:pPr>
        <w:bidi w:val="0"/>
        <w:rPr>
          <w:rFonts w:hint="eastAsia" w:eastAsia="仿宋"/>
          <w:lang w:eastAsia="zh-CN"/>
        </w:rPr>
      </w:pPr>
      <w:r>
        <w:rPr>
          <w:rFonts w:hint="eastAsia" w:ascii="楷体" w:hAnsi="楷体"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1FFA678A">
      <w:pPr>
        <w:bidi w:val="0"/>
        <w:rPr>
          <w:rFonts w:hint="eastAsia" w:eastAsia="仿宋"/>
          <w:lang w:eastAsia="zh-CN"/>
        </w:rPr>
      </w:pPr>
      <w:r>
        <w:rPr>
          <w:rFonts w:hint="eastAsia" w:ascii="楷体" w:hAnsi="楷体" w:eastAsia="楷体" w:cs="楷体"/>
          <w:lang w:eastAsia="zh-CN"/>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7E0D3309">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068573E6">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778AA101">
      <w:pPr>
        <w:bidi w:val="0"/>
        <w:rPr>
          <w:rFonts w:hint="eastAsia" w:eastAsia="仿宋"/>
          <w:lang w:eastAsia="zh-CN"/>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06C1B60F">
      <w:pPr>
        <w:bidi w:val="0"/>
        <w:rPr>
          <w:rFonts w:hint="eastAsia" w:eastAsia="仿宋"/>
          <w:lang w:eastAsia="zh-CN"/>
        </w:rPr>
      </w:pPr>
      <w:r>
        <w:rPr>
          <w:rFonts w:hint="eastAsia" w:ascii="楷体" w:hAnsi="楷体" w:eastAsia="楷体" w:cs="楷体"/>
          <w:lang w:eastAsia="zh-CN"/>
        </w:rPr>
        <w:t>（十六）基本支出：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1AF68DB6">
      <w:pPr>
        <w:bidi w:val="0"/>
        <w:rPr>
          <w:rFonts w:hint="eastAsia" w:eastAsia="仿宋"/>
          <w:lang w:eastAsia="zh-CN"/>
        </w:rPr>
      </w:pPr>
      <w:r>
        <w:rPr>
          <w:rFonts w:hint="eastAsia" w:ascii="楷体" w:hAnsi="楷体" w:eastAsia="楷体" w:cs="楷体"/>
          <w:lang w:eastAsia="zh-CN"/>
        </w:rPr>
        <w:t>（十七）项目支出：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354CFE36">
      <w:pPr>
        <w:bidi w:val="0"/>
        <w:rPr>
          <w:rFonts w:hint="eastAsia" w:ascii="仿宋" w:hAnsi="仿宋" w:eastAsia="仿宋" w:cs="Times New Roman"/>
          <w:sz w:val="32"/>
          <w:szCs w:val="32"/>
          <w:lang w:val="en-US" w:eastAsia="zh-CN"/>
        </w:rPr>
      </w:pPr>
      <w:r>
        <w:rPr>
          <w:rFonts w:hint="eastAsia" w:ascii="楷体" w:hAnsi="楷体" w:eastAsia="楷体" w:cs="楷体"/>
          <w:lang w:eastAsia="zh-CN"/>
        </w:rPr>
        <w:t>（十八）“三公”经费：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596704AF">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BE0FC">
    <w:pPr>
      <w:pStyle w:val="1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A0FF255">
                          <w:pPr>
                            <w:pStyle w:val="10"/>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4A0FF255">
                    <w:pPr>
                      <w:pStyle w:val="10"/>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494530"/>
    <w:multiLevelType w:val="singleLevel"/>
    <w:tmpl w:val="44494530"/>
    <w:lvl w:ilvl="0" w:tentative="0">
      <w:start w:val="1"/>
      <w:numFmt w:val="chineseCounting"/>
      <w:suff w:val="space"/>
      <w:lvlText w:val="第%1部分"/>
      <w:lvlJc w:val="left"/>
      <w:rPr>
        <w:rFonts w:hint="eastAsia"/>
      </w:rPr>
    </w:lvl>
  </w:abstractNum>
  <w:abstractNum w:abstractNumId="1">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63B59"/>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2F57CEF"/>
    <w:rsid w:val="033E43E6"/>
    <w:rsid w:val="03945CCD"/>
    <w:rsid w:val="03BA186D"/>
    <w:rsid w:val="040F3551"/>
    <w:rsid w:val="042072C2"/>
    <w:rsid w:val="043C361C"/>
    <w:rsid w:val="043F4C24"/>
    <w:rsid w:val="043F6BBB"/>
    <w:rsid w:val="04477B9D"/>
    <w:rsid w:val="044B2AE6"/>
    <w:rsid w:val="045B0809"/>
    <w:rsid w:val="04A04F6C"/>
    <w:rsid w:val="04A05348"/>
    <w:rsid w:val="04A94D2F"/>
    <w:rsid w:val="0502501C"/>
    <w:rsid w:val="05233D9C"/>
    <w:rsid w:val="05465970"/>
    <w:rsid w:val="05590821"/>
    <w:rsid w:val="056C235C"/>
    <w:rsid w:val="05895069"/>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616874"/>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112E71"/>
    <w:rsid w:val="0C31589B"/>
    <w:rsid w:val="0C343E9E"/>
    <w:rsid w:val="0C37316F"/>
    <w:rsid w:val="0C565E28"/>
    <w:rsid w:val="0C7E427E"/>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0FFB5743"/>
    <w:rsid w:val="10477490"/>
    <w:rsid w:val="106E3487"/>
    <w:rsid w:val="107A2AB2"/>
    <w:rsid w:val="10B403A4"/>
    <w:rsid w:val="10E95826"/>
    <w:rsid w:val="10FB2676"/>
    <w:rsid w:val="117B6E9B"/>
    <w:rsid w:val="11A062BA"/>
    <w:rsid w:val="11BB24DA"/>
    <w:rsid w:val="120A09B7"/>
    <w:rsid w:val="12290641"/>
    <w:rsid w:val="127150AC"/>
    <w:rsid w:val="127A774D"/>
    <w:rsid w:val="129560E0"/>
    <w:rsid w:val="12F04042"/>
    <w:rsid w:val="13030836"/>
    <w:rsid w:val="130F3E82"/>
    <w:rsid w:val="131A52D4"/>
    <w:rsid w:val="13B824DA"/>
    <w:rsid w:val="13F265CF"/>
    <w:rsid w:val="13F50541"/>
    <w:rsid w:val="13FD34D0"/>
    <w:rsid w:val="14030F44"/>
    <w:rsid w:val="1421019A"/>
    <w:rsid w:val="14250002"/>
    <w:rsid w:val="143546C3"/>
    <w:rsid w:val="14D50328"/>
    <w:rsid w:val="14FF1C34"/>
    <w:rsid w:val="15016C82"/>
    <w:rsid w:val="152D0EF1"/>
    <w:rsid w:val="15333760"/>
    <w:rsid w:val="15500F91"/>
    <w:rsid w:val="157F6F01"/>
    <w:rsid w:val="15A866E4"/>
    <w:rsid w:val="15D8136C"/>
    <w:rsid w:val="15E80FCB"/>
    <w:rsid w:val="169B01CE"/>
    <w:rsid w:val="16BA0530"/>
    <w:rsid w:val="16CD70BB"/>
    <w:rsid w:val="172E2ACB"/>
    <w:rsid w:val="17304353"/>
    <w:rsid w:val="17403920"/>
    <w:rsid w:val="17633456"/>
    <w:rsid w:val="17D759F2"/>
    <w:rsid w:val="17E4768B"/>
    <w:rsid w:val="17F770F6"/>
    <w:rsid w:val="181727DC"/>
    <w:rsid w:val="18510D87"/>
    <w:rsid w:val="18827941"/>
    <w:rsid w:val="18BD2FFF"/>
    <w:rsid w:val="18FC06F1"/>
    <w:rsid w:val="19007EC3"/>
    <w:rsid w:val="191B10A6"/>
    <w:rsid w:val="1969002C"/>
    <w:rsid w:val="19BF2755"/>
    <w:rsid w:val="19F7360C"/>
    <w:rsid w:val="1A045C10"/>
    <w:rsid w:val="1A577820"/>
    <w:rsid w:val="1A5E7EFB"/>
    <w:rsid w:val="1A7D5B0F"/>
    <w:rsid w:val="1A9A169F"/>
    <w:rsid w:val="1A9C7E2B"/>
    <w:rsid w:val="1AC01CEF"/>
    <w:rsid w:val="1AE807BA"/>
    <w:rsid w:val="1AEF7DCF"/>
    <w:rsid w:val="1AFF4785"/>
    <w:rsid w:val="1B2E6628"/>
    <w:rsid w:val="1B5F7D27"/>
    <w:rsid w:val="1BF33119"/>
    <w:rsid w:val="1C04493D"/>
    <w:rsid w:val="1C276F72"/>
    <w:rsid w:val="1C7A61E7"/>
    <w:rsid w:val="1C984EE8"/>
    <w:rsid w:val="1CAF32EA"/>
    <w:rsid w:val="1CB64F71"/>
    <w:rsid w:val="1CBD69AA"/>
    <w:rsid w:val="1CFB3E9E"/>
    <w:rsid w:val="1D216C8C"/>
    <w:rsid w:val="1D3356ED"/>
    <w:rsid w:val="1D5B07B8"/>
    <w:rsid w:val="1D6135A7"/>
    <w:rsid w:val="1DC52255"/>
    <w:rsid w:val="1DDA5D4F"/>
    <w:rsid w:val="1DDB2F47"/>
    <w:rsid w:val="1DFB51A6"/>
    <w:rsid w:val="1E3D7C87"/>
    <w:rsid w:val="1E707FD4"/>
    <w:rsid w:val="1E877297"/>
    <w:rsid w:val="1EB05D0A"/>
    <w:rsid w:val="1EDD6BE3"/>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5A03664"/>
    <w:rsid w:val="25CE1C12"/>
    <w:rsid w:val="265A431A"/>
    <w:rsid w:val="266B2A66"/>
    <w:rsid w:val="26710FF0"/>
    <w:rsid w:val="26B732BD"/>
    <w:rsid w:val="26FA6D40"/>
    <w:rsid w:val="27104C6C"/>
    <w:rsid w:val="27263D7B"/>
    <w:rsid w:val="272D4172"/>
    <w:rsid w:val="27724FB0"/>
    <w:rsid w:val="279168B5"/>
    <w:rsid w:val="27A0205E"/>
    <w:rsid w:val="27CA2B49"/>
    <w:rsid w:val="27CB754F"/>
    <w:rsid w:val="280223C0"/>
    <w:rsid w:val="28115DC0"/>
    <w:rsid w:val="283D06F2"/>
    <w:rsid w:val="28A21C19"/>
    <w:rsid w:val="298324EE"/>
    <w:rsid w:val="298D0C33"/>
    <w:rsid w:val="29A12E30"/>
    <w:rsid w:val="29B4649A"/>
    <w:rsid w:val="29DC2D0C"/>
    <w:rsid w:val="29EE4FAE"/>
    <w:rsid w:val="2A3E1EBB"/>
    <w:rsid w:val="2A6A7B31"/>
    <w:rsid w:val="2AFE1AAC"/>
    <w:rsid w:val="2B424B14"/>
    <w:rsid w:val="2B576F68"/>
    <w:rsid w:val="2B580C97"/>
    <w:rsid w:val="2B7A76AB"/>
    <w:rsid w:val="2B7F27BA"/>
    <w:rsid w:val="2B8A3D12"/>
    <w:rsid w:val="2BA94A1C"/>
    <w:rsid w:val="2BE62BB6"/>
    <w:rsid w:val="2C0868BC"/>
    <w:rsid w:val="2C262A09"/>
    <w:rsid w:val="2C456543"/>
    <w:rsid w:val="2C56698C"/>
    <w:rsid w:val="2C6829BD"/>
    <w:rsid w:val="2C726404"/>
    <w:rsid w:val="2C8269FB"/>
    <w:rsid w:val="2CA60909"/>
    <w:rsid w:val="2CC43FE4"/>
    <w:rsid w:val="2CE403B9"/>
    <w:rsid w:val="2CE77D75"/>
    <w:rsid w:val="2D122551"/>
    <w:rsid w:val="2D5F7A17"/>
    <w:rsid w:val="2DEF169F"/>
    <w:rsid w:val="2E2A4CEC"/>
    <w:rsid w:val="2E395AB2"/>
    <w:rsid w:val="2E3E712E"/>
    <w:rsid w:val="2E6F0902"/>
    <w:rsid w:val="2ED12513"/>
    <w:rsid w:val="2ED5090E"/>
    <w:rsid w:val="2ED93BF6"/>
    <w:rsid w:val="2EE53513"/>
    <w:rsid w:val="2EF717D0"/>
    <w:rsid w:val="2F0571F8"/>
    <w:rsid w:val="2F376296"/>
    <w:rsid w:val="2F6837FE"/>
    <w:rsid w:val="2F826250"/>
    <w:rsid w:val="2F9C50A0"/>
    <w:rsid w:val="2FF23CEA"/>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794A1C"/>
    <w:rsid w:val="32941411"/>
    <w:rsid w:val="32D34144"/>
    <w:rsid w:val="33180FDF"/>
    <w:rsid w:val="33993051"/>
    <w:rsid w:val="33AF50A4"/>
    <w:rsid w:val="33BF5A1C"/>
    <w:rsid w:val="33C65A3F"/>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4225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33333D"/>
    <w:rsid w:val="3B415429"/>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AF68FF"/>
    <w:rsid w:val="41E95F9F"/>
    <w:rsid w:val="42154310"/>
    <w:rsid w:val="422B7AE1"/>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7F21AA"/>
    <w:rsid w:val="46875D06"/>
    <w:rsid w:val="46BD4700"/>
    <w:rsid w:val="46CD28E5"/>
    <w:rsid w:val="47770CCA"/>
    <w:rsid w:val="477A2AB4"/>
    <w:rsid w:val="48094AE2"/>
    <w:rsid w:val="480C505B"/>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302BEB"/>
    <w:rsid w:val="4E6D7648"/>
    <w:rsid w:val="4E7B14D6"/>
    <w:rsid w:val="4F011EB4"/>
    <w:rsid w:val="4F270107"/>
    <w:rsid w:val="4F5E0589"/>
    <w:rsid w:val="4F82145C"/>
    <w:rsid w:val="4FB42FCF"/>
    <w:rsid w:val="4FB627BF"/>
    <w:rsid w:val="504B7277"/>
    <w:rsid w:val="50765CB0"/>
    <w:rsid w:val="50801331"/>
    <w:rsid w:val="50924CFB"/>
    <w:rsid w:val="50DC614F"/>
    <w:rsid w:val="50E0282D"/>
    <w:rsid w:val="51050BFE"/>
    <w:rsid w:val="51395CD6"/>
    <w:rsid w:val="5166767E"/>
    <w:rsid w:val="51710636"/>
    <w:rsid w:val="51E16B86"/>
    <w:rsid w:val="51F040FB"/>
    <w:rsid w:val="51F71E1A"/>
    <w:rsid w:val="52020133"/>
    <w:rsid w:val="522E33FF"/>
    <w:rsid w:val="523F3B40"/>
    <w:rsid w:val="526C471B"/>
    <w:rsid w:val="529507CD"/>
    <w:rsid w:val="53154D98"/>
    <w:rsid w:val="53666197"/>
    <w:rsid w:val="53A019A2"/>
    <w:rsid w:val="53A14529"/>
    <w:rsid w:val="53AB55C1"/>
    <w:rsid w:val="53CA7524"/>
    <w:rsid w:val="53D92945"/>
    <w:rsid w:val="53E62601"/>
    <w:rsid w:val="53E874BC"/>
    <w:rsid w:val="53F92DE6"/>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460AC2"/>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AF67052"/>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774241"/>
    <w:rsid w:val="5DD62F1B"/>
    <w:rsid w:val="5E0651AA"/>
    <w:rsid w:val="5E294F9F"/>
    <w:rsid w:val="5E566896"/>
    <w:rsid w:val="5E604B3E"/>
    <w:rsid w:val="5E64737F"/>
    <w:rsid w:val="5E6B6459"/>
    <w:rsid w:val="5E77526B"/>
    <w:rsid w:val="5E8E293D"/>
    <w:rsid w:val="5E921426"/>
    <w:rsid w:val="5EA77AD3"/>
    <w:rsid w:val="5EB95DD2"/>
    <w:rsid w:val="5F5C2EFA"/>
    <w:rsid w:val="5F7255C6"/>
    <w:rsid w:val="5F785834"/>
    <w:rsid w:val="5FB13C1C"/>
    <w:rsid w:val="5FC75282"/>
    <w:rsid w:val="5FE1567A"/>
    <w:rsid w:val="5FEC1BF5"/>
    <w:rsid w:val="60324287"/>
    <w:rsid w:val="60C2709E"/>
    <w:rsid w:val="60ED6C7F"/>
    <w:rsid w:val="6106329C"/>
    <w:rsid w:val="61081D0E"/>
    <w:rsid w:val="610E451F"/>
    <w:rsid w:val="61736957"/>
    <w:rsid w:val="618333EA"/>
    <w:rsid w:val="61885C5D"/>
    <w:rsid w:val="61A265C7"/>
    <w:rsid w:val="61BE18D9"/>
    <w:rsid w:val="61F91876"/>
    <w:rsid w:val="62322474"/>
    <w:rsid w:val="626012F3"/>
    <w:rsid w:val="626E260B"/>
    <w:rsid w:val="62C84DC4"/>
    <w:rsid w:val="62D62068"/>
    <w:rsid w:val="630C0C9E"/>
    <w:rsid w:val="6341785E"/>
    <w:rsid w:val="63A96A13"/>
    <w:rsid w:val="63E51F86"/>
    <w:rsid w:val="63E91B24"/>
    <w:rsid w:val="644448CA"/>
    <w:rsid w:val="6453457F"/>
    <w:rsid w:val="648B5500"/>
    <w:rsid w:val="649655B1"/>
    <w:rsid w:val="64BC2C9B"/>
    <w:rsid w:val="64E67EDA"/>
    <w:rsid w:val="64FA183E"/>
    <w:rsid w:val="65053D6A"/>
    <w:rsid w:val="65245D70"/>
    <w:rsid w:val="655E7CF1"/>
    <w:rsid w:val="6571153A"/>
    <w:rsid w:val="65724749"/>
    <w:rsid w:val="65871379"/>
    <w:rsid w:val="65B457A2"/>
    <w:rsid w:val="65CF48B7"/>
    <w:rsid w:val="65E3052E"/>
    <w:rsid w:val="65EF238E"/>
    <w:rsid w:val="65FD30D1"/>
    <w:rsid w:val="660A4448"/>
    <w:rsid w:val="661B3704"/>
    <w:rsid w:val="664807C6"/>
    <w:rsid w:val="66704573"/>
    <w:rsid w:val="66797ED2"/>
    <w:rsid w:val="66A05DC1"/>
    <w:rsid w:val="66B16DB5"/>
    <w:rsid w:val="66D91364"/>
    <w:rsid w:val="66EC4861"/>
    <w:rsid w:val="670A555D"/>
    <w:rsid w:val="675A74FA"/>
    <w:rsid w:val="67654F94"/>
    <w:rsid w:val="67DE101C"/>
    <w:rsid w:val="67FC099D"/>
    <w:rsid w:val="680C6E09"/>
    <w:rsid w:val="682F5A0B"/>
    <w:rsid w:val="683A42B9"/>
    <w:rsid w:val="68413617"/>
    <w:rsid w:val="68FA5E7F"/>
    <w:rsid w:val="69206FE6"/>
    <w:rsid w:val="69275944"/>
    <w:rsid w:val="6986246C"/>
    <w:rsid w:val="69A56796"/>
    <w:rsid w:val="69A67CDD"/>
    <w:rsid w:val="69AA25B9"/>
    <w:rsid w:val="6A5C2965"/>
    <w:rsid w:val="6ABE3F1A"/>
    <w:rsid w:val="6AEF5784"/>
    <w:rsid w:val="6AEF6426"/>
    <w:rsid w:val="6B256BBD"/>
    <w:rsid w:val="6B52582F"/>
    <w:rsid w:val="6B574BF4"/>
    <w:rsid w:val="6C17358A"/>
    <w:rsid w:val="6C192DF4"/>
    <w:rsid w:val="6C2E3BAB"/>
    <w:rsid w:val="6C6B3948"/>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35E5F"/>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10AE7"/>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3A4B63"/>
    <w:rsid w:val="78557445"/>
    <w:rsid w:val="788E1D2B"/>
    <w:rsid w:val="78AC5FDC"/>
    <w:rsid w:val="79223282"/>
    <w:rsid w:val="79657612"/>
    <w:rsid w:val="79FC224E"/>
    <w:rsid w:val="7A01796E"/>
    <w:rsid w:val="7A056E77"/>
    <w:rsid w:val="7A5173A9"/>
    <w:rsid w:val="7A5A076F"/>
    <w:rsid w:val="7ABB0CFB"/>
    <w:rsid w:val="7B3C7DB9"/>
    <w:rsid w:val="7BC22FF4"/>
    <w:rsid w:val="7BFD4C52"/>
    <w:rsid w:val="7C2251C2"/>
    <w:rsid w:val="7C622CA0"/>
    <w:rsid w:val="7C731091"/>
    <w:rsid w:val="7C945CA8"/>
    <w:rsid w:val="7C9E5B84"/>
    <w:rsid w:val="7CA440B9"/>
    <w:rsid w:val="7E5768E9"/>
    <w:rsid w:val="7EBF1A58"/>
    <w:rsid w:val="7EC3202A"/>
    <w:rsid w:val="7ED02DDB"/>
    <w:rsid w:val="7F135F7C"/>
    <w:rsid w:val="7F380CA6"/>
    <w:rsid w:val="7F455A79"/>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2"/>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5"/>
    <w:unhideWhenUsed/>
    <w:qFormat/>
    <w:uiPriority w:val="0"/>
    <w:pPr>
      <w:keepNext/>
      <w:keepLines/>
      <w:spacing w:beforeLines="0" w:beforeAutospacing="0" w:afterLines="0" w:afterAutospacing="0" w:line="360" w:lineRule="auto"/>
      <w:outlineLvl w:val="2"/>
    </w:pPr>
    <w:rPr>
      <w:b/>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annotation text"/>
    <w:basedOn w:val="1"/>
    <w:qFormat/>
    <w:uiPriority w:val="0"/>
    <w:pPr>
      <w:jc w:val="left"/>
    </w:pPr>
  </w:style>
  <w:style w:type="paragraph" w:styleId="7">
    <w:name w:val="Body Text"/>
    <w:basedOn w:val="1"/>
    <w:unhideWhenUsed/>
    <w:qFormat/>
    <w:uiPriority w:val="99"/>
    <w:pPr>
      <w:spacing w:after="120"/>
    </w:pPr>
    <w:rPr>
      <w:rFonts w:ascii="Calibri" w:hAnsi="Calibri" w:eastAsia="宋体" w:cs="Times New Roman"/>
    </w:rPr>
  </w:style>
  <w:style w:type="paragraph" w:styleId="8">
    <w:name w:val="Plain Text"/>
    <w:basedOn w:val="1"/>
    <w:qFormat/>
    <w:uiPriority w:val="0"/>
    <w:rPr>
      <w:rFonts w:ascii="宋体" w:hAnsi="Courier New"/>
    </w:rPr>
  </w:style>
  <w:style w:type="paragraph" w:styleId="9">
    <w:name w:val="Date"/>
    <w:basedOn w:val="1"/>
    <w:next w:val="1"/>
    <w:link w:val="23"/>
    <w:qFormat/>
    <w:uiPriority w:val="0"/>
    <w:pPr>
      <w:ind w:left="100" w:leftChars="2500"/>
    </w:pPr>
  </w:style>
  <w:style w:type="paragraph" w:styleId="10">
    <w:name w:val="footer"/>
    <w:basedOn w:val="1"/>
    <w:qFormat/>
    <w:uiPriority w:val="99"/>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4">
    <w:name w:val="page number"/>
    <w:basedOn w:val="13"/>
    <w:qFormat/>
    <w:uiPriority w:val="0"/>
  </w:style>
  <w:style w:type="character" w:styleId="15">
    <w:name w:val="Emphasis"/>
    <w:basedOn w:val="13"/>
    <w:qFormat/>
    <w:uiPriority w:val="0"/>
    <w:rPr>
      <w:i/>
    </w:rPr>
  </w:style>
  <w:style w:type="paragraph" w:customStyle="1" w:styleId="16">
    <w:name w:val="Quote1"/>
    <w:basedOn w:val="1"/>
    <w:next w:val="1"/>
    <w:qFormat/>
    <w:uiPriority w:val="0"/>
    <w:rPr>
      <w:i/>
      <w:iCs/>
      <w:color w:val="000000"/>
    </w:rPr>
  </w:style>
  <w:style w:type="character" w:customStyle="1" w:styleId="17">
    <w:name w:val="NormalCharacter"/>
    <w:semiHidden/>
    <w:qFormat/>
    <w:uiPriority w:val="0"/>
  </w:style>
  <w:style w:type="paragraph" w:styleId="18">
    <w:name w:val="List Paragraph"/>
    <w:basedOn w:val="1"/>
    <w:qFormat/>
    <w:uiPriority w:val="34"/>
    <w:pPr>
      <w:ind w:firstLine="420" w:firstLineChars="200"/>
    </w:pPr>
  </w:style>
  <w:style w:type="paragraph" w:customStyle="1" w:styleId="19">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20">
    <w:name w:val="引用1"/>
    <w:basedOn w:val="1"/>
    <w:next w:val="1"/>
    <w:qFormat/>
    <w:uiPriority w:val="29"/>
    <w:rPr>
      <w:i/>
      <w:iCs/>
      <w:color w:val="000000"/>
    </w:rPr>
  </w:style>
  <w:style w:type="paragraph" w:customStyle="1" w:styleId="21">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2">
    <w:name w:val="标题 2 Char"/>
    <w:basedOn w:val="13"/>
    <w:link w:val="3"/>
    <w:qFormat/>
    <w:uiPriority w:val="0"/>
    <w:rPr>
      <w:rFonts w:ascii="Arial" w:hAnsi="Arial" w:eastAsia="黑体" w:cs="Arial"/>
      <w:b/>
      <w:bCs/>
      <w:kern w:val="2"/>
      <w:sz w:val="30"/>
      <w:szCs w:val="30"/>
    </w:rPr>
  </w:style>
  <w:style w:type="character" w:customStyle="1" w:styleId="23">
    <w:name w:val="日期 Char"/>
    <w:basedOn w:val="13"/>
    <w:link w:val="9"/>
    <w:qFormat/>
    <w:uiPriority w:val="0"/>
    <w:rPr>
      <w:rFonts w:asciiTheme="minorHAnsi" w:hAnsiTheme="minorHAnsi" w:eastAsiaTheme="minorEastAsia" w:cstheme="minorBidi"/>
      <w:kern w:val="2"/>
      <w:sz w:val="21"/>
      <w:szCs w:val="24"/>
    </w:rPr>
  </w:style>
  <w:style w:type="paragraph" w:customStyle="1" w:styleId="24">
    <w:name w:val="引用11"/>
    <w:basedOn w:val="1"/>
    <w:next w:val="1"/>
    <w:qFormat/>
    <w:uiPriority w:val="29"/>
    <w:rPr>
      <w:rFonts w:ascii="Calibri" w:hAnsi="Calibri" w:eastAsia="宋体" w:cs="Times New Roman"/>
      <w:i/>
      <w:iCs/>
      <w:color w:val="000000"/>
    </w:rPr>
  </w:style>
  <w:style w:type="character" w:customStyle="1" w:styleId="25">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617cebbf-584b-45d6-aabd-ef2de8eb6948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1C661F73</paraID>
      <start>39</start>
      <end>47</end>
      <status>ignored</status>
      <modifiedWord/>
      <trackRevisions>false</trackRevisions>
    </reviewItem>
    <reviewItem>
      <errorID>0187bf89-d25f-4655-88d5-08caaba4256a</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68ED636</paraID>
      <start>47</start>
      <end>55</end>
      <status>ignored</status>
      <modifiedWord/>
      <trackRevisions>false</trackRevisions>
    </reviewItem>
    <reviewItem>
      <errorID>4426a267-78cd-401f-9f1b-dcaf56f4e738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41BF754F</paraID>
      <start>7</start>
      <end>15</end>
      <status>ignored</status>
      <modifiedWord/>
      <trackRevisions>false</trackRevisions>
    </reviewItem>
    <reviewItem>
      <errorID>46db7c9f-3482-460b-86e8-4a39ac4d710e</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481BB9E2</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b6d962-d60d-44a4-8ba3-5c439f7cf219}">
  <ds:schemaRefs/>
</ds:datastoreItem>
</file>

<file path=docProps/app.xml><?xml version="1.0" encoding="utf-8"?>
<Properties xmlns="http://schemas.openxmlformats.org/officeDocument/2006/extended-properties" xmlns:vt="http://schemas.openxmlformats.org/officeDocument/2006/docPropsVTypes">
  <Template>Normal.dotm</Template>
  <Pages>22</Pages>
  <Words>7083</Words>
  <Characters>7453</Characters>
  <Lines>1</Lines>
  <Paragraphs>1</Paragraphs>
  <TotalTime>76</TotalTime>
  <ScaleCrop>false</ScaleCrop>
  <LinksUpToDate>false</LinksUpToDate>
  <CharactersWithSpaces>7507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2026-03-25T07:02:00Z</cp:lastPrinted>
  <dcterms:modified xsi:type="dcterms:W3CDTF">2026-03-27T01:45:34Z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8D88DF498F5849FFADFFE40817133FB2_12</vt:lpwstr>
  </property>
</Properties>
</file>