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2C5FF">
      <w:pPr>
        <w:pStyle w:val="5"/>
        <w:jc w:val="center"/>
        <w:rPr>
          <w:rFonts w:hint="eastAsia" w:ascii="Times New Roman" w:hAnsi="Times New Roman" w:eastAsia="方正小标宋简体" w:cs="Times New Roman"/>
          <w:color w:val="auto"/>
          <w:kern w:val="2"/>
          <w:sz w:val="44"/>
          <w:szCs w:val="44"/>
          <w:highlight w:val="none"/>
          <w:lang w:val="en-US" w:eastAsia="zh-CN" w:bidi="ar-SA"/>
        </w:rPr>
      </w:pPr>
      <w:bookmarkStart w:id="0" w:name="_Toc15396598"/>
      <w:bookmarkStart w:id="1" w:name="_Toc15377426"/>
      <w:bookmarkStart w:id="2" w:name="_Toc15396476"/>
      <w:bookmarkStart w:id="3" w:name="_Toc15378442"/>
      <w:bookmarkStart w:id="4" w:name="_Toc15377194"/>
    </w:p>
    <w:p w14:paraId="2A34266D">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66C008DC">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2F4CCCBA">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1BCBB33A">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386BA810">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251588E5">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6384D7BC">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7D2AC944">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0E9C5719">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7429B968">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7047AD0F">
      <w:pPr>
        <w:pStyle w:val="5"/>
        <w:jc w:val="center"/>
        <w:rPr>
          <w:rFonts w:hint="eastAsia" w:ascii="Times New Roman" w:eastAsia="方正小标宋简体" w:cs="Times New Roman"/>
          <w:color w:val="auto"/>
          <w:kern w:val="2"/>
          <w:sz w:val="44"/>
          <w:szCs w:val="44"/>
          <w:highlight w:val="none"/>
          <w:lang w:val="en-US" w:eastAsia="zh-CN" w:bidi="ar-SA"/>
        </w:rPr>
      </w:pPr>
      <w:bookmarkStart w:id="5" w:name="_Toc15306268"/>
      <w:r>
        <w:rPr>
          <w:rFonts w:hint="eastAsia" w:ascii="Times New Roman" w:eastAsia="方正小标宋简体" w:cs="Times New Roman"/>
          <w:color w:val="auto"/>
          <w:kern w:val="2"/>
          <w:sz w:val="44"/>
          <w:szCs w:val="44"/>
          <w:highlight w:val="none"/>
          <w:lang w:val="en-US" w:eastAsia="zh-CN" w:bidi="ar-SA"/>
        </w:rPr>
        <w:t>峨边彝族自治县宜坪乡人民政府</w:t>
      </w:r>
    </w:p>
    <w:p w14:paraId="4BB990C6">
      <w:pPr>
        <w:pStyle w:val="5"/>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2024年度部门决算</w:t>
      </w:r>
      <w:bookmarkEnd w:id="0"/>
      <w:bookmarkEnd w:id="1"/>
      <w:bookmarkEnd w:id="2"/>
      <w:bookmarkEnd w:id="3"/>
      <w:bookmarkEnd w:id="4"/>
      <w:bookmarkEnd w:id="5"/>
    </w:p>
    <w:p w14:paraId="5A6E70DB">
      <w:pPr>
        <w:widowControl/>
        <w:jc w:val="center"/>
        <w:rPr>
          <w:rFonts w:hint="eastAsia" w:ascii="Times New Roman" w:hAnsi="Times New Roman" w:eastAsia="黑体"/>
          <w:color w:val="auto"/>
          <w:sz w:val="48"/>
          <w:szCs w:val="48"/>
          <w:highlight w:val="none"/>
        </w:rPr>
        <w:sectPr>
          <w:footerReference r:id="rId3" w:type="default"/>
          <w:pgSz w:w="11900" w:h="16840"/>
          <w:pgMar w:top="1431" w:right="1225" w:bottom="1089" w:left="1785" w:header="0" w:footer="781" w:gutter="0"/>
          <w:pgNumType w:start="1"/>
          <w:cols w:space="720" w:num="1"/>
        </w:sectPr>
      </w:pPr>
    </w:p>
    <w:p w14:paraId="39EF0F3F">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7657F989">
      <w:pPr>
        <w:widowControl/>
        <w:jc w:val="center"/>
        <w:rPr>
          <w:rFonts w:ascii="Times New Roman" w:hAnsi="Times New Roman" w:eastAsia="黑体" w:cstheme="minorBidi"/>
          <w:color w:val="auto"/>
          <w:sz w:val="28"/>
          <w:szCs w:val="28"/>
          <w:highlight w:val="none"/>
        </w:rPr>
      </w:pPr>
    </w:p>
    <w:p w14:paraId="5959D300">
      <w:pPr>
        <w:pStyle w:val="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12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5 </w:t>
      </w:r>
      <w:r>
        <w:rPr>
          <w:rFonts w:hint="eastAsia" w:ascii="Times New Roman" w:hAnsi="Times New Roman" w:eastAsia="仿宋_GB2312" w:cs="仿宋_GB2312"/>
          <w:color w:val="auto"/>
          <w:sz w:val="32"/>
          <w:szCs w:val="32"/>
          <w:highlight w:val="none"/>
        </w:rPr>
        <w:t>日</w:t>
      </w:r>
    </w:p>
    <w:p w14:paraId="20E22580">
      <w:pPr>
        <w:rPr>
          <w:rFonts w:ascii="Times New Roman" w:hAnsi="Times New Roman"/>
          <w:color w:val="auto"/>
          <w:highlight w:val="none"/>
        </w:rPr>
      </w:pPr>
    </w:p>
    <w:p w14:paraId="0990344B">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w:t>
      </w:r>
    </w:p>
    <w:p w14:paraId="4CC2A372">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w:t>
      </w:r>
    </w:p>
    <w:p w14:paraId="58E6446C">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077627C1">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w:t>
      </w:r>
    </w:p>
    <w:p w14:paraId="3DA5C638">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016DDCDB">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54C43CC9">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r>
        <w:rPr>
          <w:rFonts w:hint="eastAsia" w:eastAsia="仿宋_GB2312" w:cs="仿宋_GB2312"/>
          <w:color w:val="auto"/>
          <w:sz w:val="32"/>
          <w:szCs w:val="32"/>
          <w:highlight w:val="none"/>
          <w:lang w:val="en-US" w:eastAsia="zh-CN"/>
        </w:rPr>
        <w:tab/>
      </w:r>
    </w:p>
    <w:p w14:paraId="47C24720">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2A3FDF0B">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47137A03">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2E8ACEA2">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1DD5BF6B">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75CA4C1B">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70B6BC5C">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64C7FDFC">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14</w:t>
      </w:r>
    </w:p>
    <w:p w14:paraId="68833170">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17</w:t>
      </w:r>
    </w:p>
    <w:p w14:paraId="56C03409">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41</w:t>
      </w:r>
    </w:p>
    <w:p w14:paraId="56864DA5">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41</w:t>
      </w:r>
    </w:p>
    <w:p w14:paraId="1A6E56F3">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41</w:t>
      </w:r>
    </w:p>
    <w:p w14:paraId="63C324AB">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41</w:t>
      </w:r>
    </w:p>
    <w:p w14:paraId="677CF1FE">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41</w:t>
      </w:r>
    </w:p>
    <w:p w14:paraId="47665F10">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41</w:t>
      </w:r>
    </w:p>
    <w:p w14:paraId="69249CB6">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sectPr>
          <w:footerReference r:id="rId4" w:type="default"/>
          <w:pgSz w:w="11900" w:h="16840"/>
          <w:pgMar w:top="1431" w:right="1225" w:bottom="1089" w:left="1785" w:header="0" w:footer="781" w:gutter="0"/>
          <w:pgNumType w:start="1"/>
          <w:cols w:space="720" w:num="1"/>
        </w:sectPr>
      </w:pPr>
    </w:p>
    <w:p w14:paraId="63BD6556">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41</w:t>
      </w:r>
    </w:p>
    <w:p w14:paraId="050813DC">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41</w:t>
      </w:r>
    </w:p>
    <w:p w14:paraId="109CA67D">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41</w:t>
      </w:r>
    </w:p>
    <w:p w14:paraId="12F93CBE">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41</w:t>
      </w:r>
    </w:p>
    <w:p w14:paraId="52E2291C">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41</w:t>
      </w:r>
    </w:p>
    <w:p w14:paraId="2F291B43">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41</w:t>
      </w:r>
    </w:p>
    <w:p w14:paraId="4E6CEF86">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41</w:t>
      </w:r>
    </w:p>
    <w:p w14:paraId="42178749">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41</w:t>
      </w:r>
    </w:p>
    <w:p w14:paraId="24262939">
      <w:pPr>
        <w:pStyle w:val="2"/>
        <w:jc w:val="center"/>
        <w:rPr>
          <w:rFonts w:hint="eastAsia" w:ascii="Times New Roman" w:hAnsi="Times New Roman" w:eastAsia="方正小标宋简体" w:cs="方正小标宋简体"/>
          <w:b w:val="0"/>
          <w:color w:val="auto"/>
          <w:highlight w:val="none"/>
        </w:rPr>
        <w:sectPr>
          <w:footerReference r:id="rId5" w:type="default"/>
          <w:pgSz w:w="11900" w:h="16840"/>
          <w:pgMar w:top="1431" w:right="1225" w:bottom="1089" w:left="1785" w:header="0" w:footer="781" w:gutter="0"/>
          <w:pgNumType w:start="1"/>
          <w:cols w:space="720" w:num="1"/>
        </w:sectPr>
      </w:pPr>
      <w:bookmarkStart w:id="6" w:name="_Toc15377196"/>
      <w:bookmarkStart w:id="7" w:name="_Toc15396599"/>
    </w:p>
    <w:p w14:paraId="5A3D1F83">
      <w:pPr>
        <w:pStyle w:val="2"/>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16"/>
          <w:rFonts w:hint="eastAsia" w:ascii="Times New Roman" w:hAnsi="Times New Roman" w:eastAsia="方正小标宋简体" w:cs="方正小标宋简体"/>
          <w:b w:val="0"/>
          <w:bCs w:val="0"/>
          <w:color w:val="auto"/>
          <w:highlight w:val="none"/>
        </w:rPr>
        <w:t>部门概况</w:t>
      </w:r>
      <w:bookmarkEnd w:id="6"/>
      <w:bookmarkEnd w:id="7"/>
    </w:p>
    <w:p w14:paraId="1D247C2E">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left"/>
        <w:textAlignment w:val="baseline"/>
        <w:rPr>
          <w:rFonts w:hint="eastAsia" w:ascii="Times New Roman" w:hAnsi="Times New Roman" w:eastAsia="黑体"/>
          <w:b w:val="0"/>
          <w:color w:val="auto"/>
          <w:sz w:val="32"/>
          <w:szCs w:val="32"/>
          <w:highlight w:val="none"/>
          <w:lang w:eastAsia="zh-CN"/>
        </w:rPr>
      </w:pPr>
      <w:bookmarkStart w:id="8" w:name="_Toc15377197"/>
      <w:bookmarkStart w:id="9" w:name="_Toc15396600"/>
      <w:r>
        <w:rPr>
          <w:rFonts w:hint="eastAsia" w:ascii="Times New Roman" w:hAnsi="Times New Roman" w:eastAsia="黑体"/>
          <w:b w:val="0"/>
          <w:color w:val="auto"/>
          <w:sz w:val="32"/>
          <w:szCs w:val="32"/>
          <w:highlight w:val="none"/>
        </w:rPr>
        <w:t>一、</w:t>
      </w:r>
      <w:bookmarkEnd w:id="8"/>
      <w:bookmarkEnd w:id="9"/>
      <w:r>
        <w:rPr>
          <w:rFonts w:hint="eastAsia" w:ascii="Times New Roman" w:hAnsi="Times New Roman" w:eastAsia="黑体"/>
          <w:b w:val="0"/>
          <w:color w:val="auto"/>
          <w:sz w:val="32"/>
          <w:szCs w:val="32"/>
          <w:highlight w:val="none"/>
          <w:lang w:eastAsia="zh-CN"/>
        </w:rPr>
        <w:t>部门职责</w:t>
      </w:r>
    </w:p>
    <w:p w14:paraId="75BC09B2">
      <w:pPr>
        <w:pageBreakBefore w:val="0"/>
        <w:kinsoku/>
        <w:wordWrap/>
        <w:overflowPunct/>
        <w:topLinePunct w:val="0"/>
        <w:bidi w:val="0"/>
        <w:spacing w:line="600" w:lineRule="exact"/>
        <w:ind w:left="0" w:leftChars="0" w:right="0" w:firstLine="624" w:firstLineChars="200"/>
        <w:rPr>
          <w:rFonts w:hint="eastAsia" w:ascii="楷体_GB2312" w:hAnsi="楷体_GB2312" w:eastAsia="楷体_GB2312" w:cs="楷体_GB2312"/>
          <w:snapToGrid w:val="0"/>
          <w:color w:val="000000"/>
          <w:spacing w:val="-4"/>
          <w:kern w:val="0"/>
          <w:sz w:val="32"/>
          <w:szCs w:val="32"/>
          <w:lang w:eastAsia="en-US"/>
        </w:rPr>
      </w:pPr>
      <w:bookmarkStart w:id="10" w:name="_Toc15377200"/>
      <w:bookmarkStart w:id="11" w:name="_Toc15396601"/>
      <w:r>
        <w:rPr>
          <w:rFonts w:hint="eastAsia" w:ascii="楷体_GB2312" w:hAnsi="楷体_GB2312" w:eastAsia="楷体_GB2312" w:cs="楷体_GB2312"/>
          <w:snapToGrid w:val="0"/>
          <w:color w:val="000000"/>
          <w:spacing w:val="-4"/>
          <w:kern w:val="0"/>
          <w:sz w:val="32"/>
          <w:szCs w:val="32"/>
          <w:lang w:val="en-US" w:eastAsia="zh-CN"/>
        </w:rPr>
        <w:t>（一）</w:t>
      </w:r>
      <w:r>
        <w:rPr>
          <w:rFonts w:hint="eastAsia" w:ascii="楷体_GB2312" w:hAnsi="楷体_GB2312" w:eastAsia="楷体_GB2312" w:cs="楷体_GB2312"/>
          <w:snapToGrid w:val="0"/>
          <w:color w:val="000000"/>
          <w:spacing w:val="-4"/>
          <w:kern w:val="0"/>
          <w:sz w:val="32"/>
          <w:szCs w:val="32"/>
          <w:lang w:eastAsia="en-US"/>
        </w:rPr>
        <w:t>乡党委主要职责</w:t>
      </w:r>
    </w:p>
    <w:p w14:paraId="20913EA9">
      <w:pPr>
        <w:pageBreakBefore w:val="0"/>
        <w:kinsoku/>
        <w:wordWrap/>
        <w:overflowPunct/>
        <w:topLinePunct w:val="0"/>
        <w:bidi w:val="0"/>
        <w:spacing w:line="600" w:lineRule="exact"/>
        <w:ind w:left="0" w:right="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1.</w:t>
      </w:r>
      <w:r>
        <w:rPr>
          <w:rFonts w:hint="eastAsia" w:ascii="仿宋" w:hAnsi="仿宋" w:eastAsia="仿宋" w:cs="仿宋"/>
          <w:snapToGrid w:val="0"/>
          <w:color w:val="000000"/>
          <w:spacing w:val="-4"/>
          <w:kern w:val="0"/>
          <w:sz w:val="32"/>
          <w:szCs w:val="32"/>
          <w:lang w:eastAsia="en-US"/>
        </w:rPr>
        <w:t>宣传和贯彻执行党的路线方针政策和党中央、上级党组织及本乡党员代表大会的决议。</w:t>
      </w:r>
    </w:p>
    <w:p w14:paraId="3D22CA81">
      <w:pPr>
        <w:pageBreakBefore w:val="0"/>
        <w:kinsoku/>
        <w:wordWrap/>
        <w:overflowPunct/>
        <w:topLinePunct w:val="0"/>
        <w:bidi w:val="0"/>
        <w:spacing w:line="600" w:lineRule="exact"/>
        <w:ind w:left="0" w:right="0" w:firstLine="624" w:firstLineChars="20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2.</w:t>
      </w:r>
      <w:r>
        <w:rPr>
          <w:rFonts w:hint="eastAsia" w:ascii="仿宋" w:hAnsi="仿宋" w:eastAsia="仿宋" w:cs="仿宋"/>
          <w:snapToGrid w:val="0"/>
          <w:color w:val="000000"/>
          <w:spacing w:val="-4"/>
          <w:kern w:val="0"/>
          <w:sz w:val="32"/>
          <w:szCs w:val="32"/>
          <w:lang w:eastAsia="en-US"/>
        </w:rPr>
        <w:t>讨论和决定本乡经济建设、政治建设、文化建设、社会建设、生态文明建设和党的建设以及乡村振兴中的重大问题。需由乡政权机关或者集体经济组织决定的重要事项，经乡党委研究讨论后，由乡政权机关或者集体经济组织依照法律和有关规定作出决定。</w:t>
      </w:r>
    </w:p>
    <w:p w14:paraId="6199E83C">
      <w:pPr>
        <w:pageBreakBefore w:val="0"/>
        <w:kinsoku/>
        <w:wordWrap/>
        <w:overflowPunct/>
        <w:topLinePunct w:val="0"/>
        <w:bidi w:val="0"/>
        <w:spacing w:line="600" w:lineRule="exact"/>
        <w:ind w:left="0" w:right="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3.</w:t>
      </w:r>
      <w:r>
        <w:rPr>
          <w:rFonts w:hint="eastAsia" w:ascii="仿宋" w:hAnsi="仿宋" w:eastAsia="仿宋" w:cs="仿宋"/>
          <w:snapToGrid w:val="0"/>
          <w:color w:val="000000"/>
          <w:spacing w:val="-4"/>
          <w:kern w:val="0"/>
          <w:sz w:val="32"/>
          <w:szCs w:val="32"/>
          <w:lang w:eastAsia="en-US"/>
        </w:rPr>
        <w:t>领导乡政权机关、群团组织和其他各类组织，加强指导和规范，支持和保证这些机关和组织依照国家法律法规以及各自章程履行职责。</w:t>
      </w:r>
    </w:p>
    <w:p w14:paraId="458F144C">
      <w:pPr>
        <w:pageBreakBefore w:val="0"/>
        <w:kinsoku/>
        <w:wordWrap/>
        <w:overflowPunct/>
        <w:topLinePunct w:val="0"/>
        <w:bidi w:val="0"/>
        <w:spacing w:line="600" w:lineRule="exact"/>
        <w:ind w:left="0" w:right="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4.</w:t>
      </w:r>
      <w:r>
        <w:rPr>
          <w:rFonts w:hint="eastAsia" w:ascii="仿宋" w:hAnsi="仿宋" w:eastAsia="仿宋" w:cs="仿宋"/>
          <w:snapToGrid w:val="0"/>
          <w:color w:val="000000"/>
          <w:spacing w:val="-4"/>
          <w:kern w:val="0"/>
          <w:sz w:val="32"/>
          <w:szCs w:val="32"/>
          <w:lang w:eastAsia="en-US"/>
        </w:rPr>
        <w:t>加强乡党委自身建设和村党组织建设，以及其他隶属乡党委的党组织建设，抓好发展党员工作，加强党员队伍建设。维护和执行党的纪律，监督党员干部和其他任何工作人员严格遵守国家法律法规。</w:t>
      </w:r>
    </w:p>
    <w:p w14:paraId="51369D34">
      <w:pPr>
        <w:pageBreakBefore w:val="0"/>
        <w:kinsoku/>
        <w:wordWrap/>
        <w:overflowPunct/>
        <w:topLinePunct w:val="0"/>
        <w:bidi w:val="0"/>
        <w:spacing w:line="600" w:lineRule="exact"/>
        <w:ind w:left="0" w:right="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5.</w:t>
      </w:r>
      <w:r>
        <w:rPr>
          <w:rFonts w:hint="eastAsia" w:ascii="仿宋" w:hAnsi="仿宋" w:eastAsia="仿宋" w:cs="仿宋"/>
          <w:snapToGrid w:val="0"/>
          <w:color w:val="000000"/>
          <w:spacing w:val="-4"/>
          <w:kern w:val="0"/>
          <w:sz w:val="32"/>
          <w:szCs w:val="32"/>
          <w:lang w:eastAsia="en-US"/>
        </w:rPr>
        <w:t>按照干部管理权限，负责干部的教育、培训、选拔、考核和监督工作。协助管理上级有关部门驻乡单位的干部。做好人才 服务和引进工作。</w:t>
      </w:r>
    </w:p>
    <w:p w14:paraId="0D413303">
      <w:pPr>
        <w:pageBreakBefore w:val="0"/>
        <w:kinsoku/>
        <w:wordWrap/>
        <w:overflowPunct/>
        <w:topLinePunct w:val="0"/>
        <w:bidi w:val="0"/>
        <w:spacing w:line="600" w:lineRule="exact"/>
        <w:ind w:left="0" w:right="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6.</w:t>
      </w:r>
      <w:r>
        <w:rPr>
          <w:rFonts w:hint="eastAsia" w:ascii="仿宋" w:hAnsi="仿宋" w:eastAsia="仿宋" w:cs="仿宋"/>
          <w:snapToGrid w:val="0"/>
          <w:color w:val="000000"/>
          <w:spacing w:val="-4"/>
          <w:kern w:val="0"/>
          <w:sz w:val="32"/>
          <w:szCs w:val="32"/>
          <w:lang w:eastAsia="en-US"/>
        </w:rPr>
        <w:t>领导本乡的基层治理，加强社会主义民主法治建设和精神文明建设，加强社会治安综合治理，做好生态环保、宜居宜业和美乡村建设、民生保障、民族宗教等工作。</w:t>
      </w:r>
    </w:p>
    <w:p w14:paraId="51D3BAE4">
      <w:pPr>
        <w:pageBreakBefore w:val="0"/>
        <w:kinsoku/>
        <w:wordWrap/>
        <w:overflowPunct/>
        <w:topLinePunct w:val="0"/>
        <w:bidi w:val="0"/>
        <w:spacing w:line="600" w:lineRule="exact"/>
        <w:ind w:left="0" w:right="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7.</w:t>
      </w:r>
      <w:r>
        <w:rPr>
          <w:rFonts w:hint="eastAsia" w:ascii="仿宋" w:hAnsi="仿宋" w:eastAsia="仿宋" w:cs="仿宋"/>
          <w:snapToGrid w:val="0"/>
          <w:color w:val="000000"/>
          <w:spacing w:val="-4"/>
          <w:kern w:val="0"/>
          <w:sz w:val="32"/>
          <w:szCs w:val="32"/>
          <w:lang w:eastAsia="en-US"/>
        </w:rPr>
        <w:t>完成上级党委交办的其他任务。</w:t>
      </w:r>
    </w:p>
    <w:p w14:paraId="34AF54C1">
      <w:pPr>
        <w:pageBreakBefore w:val="0"/>
        <w:kinsoku/>
        <w:wordWrap/>
        <w:overflowPunct/>
        <w:topLinePunct w:val="0"/>
        <w:bidi w:val="0"/>
        <w:spacing w:line="600" w:lineRule="exact"/>
        <w:ind w:left="0" w:leftChars="0" w:right="0" w:firstLine="624" w:firstLineChars="200"/>
        <w:rPr>
          <w:rFonts w:hint="eastAsia" w:ascii="楷体_GB2312" w:hAnsi="楷体_GB2312" w:eastAsia="楷体_GB2312" w:cs="楷体_GB2312"/>
          <w:snapToGrid w:val="0"/>
          <w:color w:val="000000"/>
          <w:spacing w:val="-4"/>
          <w:kern w:val="0"/>
          <w:sz w:val="32"/>
          <w:szCs w:val="32"/>
          <w:lang w:val="en-US" w:eastAsia="en-US"/>
        </w:rPr>
      </w:pPr>
      <w:r>
        <w:rPr>
          <w:rFonts w:hint="eastAsia" w:ascii="楷体_GB2312" w:hAnsi="楷体_GB2312" w:eastAsia="楷体_GB2312" w:cs="楷体_GB2312"/>
          <w:snapToGrid w:val="0"/>
          <w:color w:val="000000"/>
          <w:spacing w:val="-4"/>
          <w:kern w:val="0"/>
          <w:sz w:val="32"/>
          <w:szCs w:val="32"/>
          <w:lang w:val="en-US" w:eastAsia="zh-CN"/>
        </w:rPr>
        <w:t>（二）</w:t>
      </w:r>
      <w:r>
        <w:rPr>
          <w:rFonts w:hint="eastAsia" w:ascii="楷体_GB2312" w:hAnsi="楷体_GB2312" w:eastAsia="楷体_GB2312" w:cs="楷体_GB2312"/>
          <w:snapToGrid w:val="0"/>
          <w:color w:val="000000"/>
          <w:spacing w:val="-4"/>
          <w:kern w:val="0"/>
          <w:sz w:val="32"/>
          <w:szCs w:val="32"/>
          <w:lang w:val="en-US" w:eastAsia="en-US"/>
        </w:rPr>
        <w:t>乡人民政府主要职责</w:t>
      </w:r>
    </w:p>
    <w:p w14:paraId="2399B153">
      <w:pPr>
        <w:pageBreakBefore w:val="0"/>
        <w:kinsoku/>
        <w:wordWrap/>
        <w:overflowPunct/>
        <w:topLinePunct w:val="0"/>
        <w:bidi w:val="0"/>
        <w:spacing w:line="600" w:lineRule="exact"/>
        <w:ind w:left="0" w:right="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1.</w:t>
      </w:r>
      <w:r>
        <w:rPr>
          <w:rFonts w:hint="eastAsia" w:ascii="仿宋" w:hAnsi="仿宋" w:eastAsia="仿宋" w:cs="仿宋"/>
          <w:snapToGrid w:val="0"/>
          <w:color w:val="000000"/>
          <w:spacing w:val="-4"/>
          <w:kern w:val="0"/>
          <w:sz w:val="32"/>
          <w:szCs w:val="32"/>
          <w:lang w:eastAsia="en-US"/>
        </w:rPr>
        <w:t>贯彻落实党的路线方针政策和国家法律法规以及上级党委、政府的决议、决定和命令，执行乡党委和乡人民代表大会的决议，加强农村基层政权建设，巩固党在农村的执政基础。</w:t>
      </w:r>
    </w:p>
    <w:p w14:paraId="1DE91089">
      <w:pPr>
        <w:pageBreakBefore w:val="0"/>
        <w:kinsoku/>
        <w:wordWrap/>
        <w:overflowPunct/>
        <w:topLinePunct w:val="0"/>
        <w:bidi w:val="0"/>
        <w:spacing w:line="600" w:lineRule="exact"/>
        <w:ind w:left="0" w:right="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2.</w:t>
      </w:r>
      <w:r>
        <w:rPr>
          <w:rFonts w:hint="eastAsia" w:ascii="仿宋" w:hAnsi="仿宋" w:eastAsia="仿宋" w:cs="仿宋"/>
          <w:snapToGrid w:val="0"/>
          <w:color w:val="000000"/>
          <w:spacing w:val="-4"/>
          <w:kern w:val="0"/>
          <w:sz w:val="32"/>
          <w:szCs w:val="32"/>
          <w:lang w:eastAsia="en-US"/>
        </w:rPr>
        <w:t>组织编制本行政区域经济社会发展规划</w:t>
      </w:r>
      <w:r>
        <w:rPr>
          <w:rFonts w:hint="eastAsia" w:ascii="仿宋" w:hAnsi="仿宋" w:eastAsia="仿宋" w:cs="仿宋"/>
          <w:snapToGrid w:val="0"/>
          <w:color w:val="000000"/>
          <w:spacing w:val="-4"/>
          <w:kern w:val="0"/>
          <w:sz w:val="32"/>
          <w:szCs w:val="32"/>
          <w:lang w:eastAsia="zh-CN"/>
        </w:rPr>
        <w:t>和城</w:t>
      </w:r>
      <w:r>
        <w:rPr>
          <w:rFonts w:hint="eastAsia" w:ascii="仿宋" w:hAnsi="仿宋" w:eastAsia="仿宋" w:cs="仿宋"/>
          <w:snapToGrid w:val="0"/>
          <w:color w:val="000000"/>
          <w:spacing w:val="-4"/>
          <w:kern w:val="0"/>
          <w:sz w:val="32"/>
          <w:szCs w:val="32"/>
          <w:lang w:eastAsia="en-US"/>
        </w:rPr>
        <w:t>乡国土空间规划。负责农村基础设施和各项公益事业建设，实施乡村振兴战略，加快经济社会发展，改善群众生产生活环境。</w:t>
      </w:r>
    </w:p>
    <w:p w14:paraId="6AEDFC00">
      <w:pPr>
        <w:pageBreakBefore w:val="0"/>
        <w:kinsoku/>
        <w:wordWrap/>
        <w:overflowPunct/>
        <w:topLinePunct w:val="0"/>
        <w:bidi w:val="0"/>
        <w:spacing w:line="600" w:lineRule="exact"/>
        <w:ind w:left="0" w:right="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3.</w:t>
      </w:r>
      <w:r>
        <w:rPr>
          <w:rFonts w:hint="eastAsia" w:ascii="仿宋" w:hAnsi="仿宋" w:eastAsia="仿宋" w:cs="仿宋"/>
          <w:snapToGrid w:val="0"/>
          <w:color w:val="000000"/>
          <w:spacing w:val="-4"/>
          <w:kern w:val="0"/>
          <w:sz w:val="32"/>
          <w:szCs w:val="32"/>
          <w:lang w:eastAsia="en-US"/>
        </w:rPr>
        <w:t>指导农村经济发展，推进农业经济结构调整，促进</w:t>
      </w:r>
      <w:r>
        <w:rPr>
          <w:rFonts w:hint="eastAsia" w:ascii="仿宋" w:hAnsi="仿宋" w:cs="仿宋"/>
          <w:snapToGrid w:val="0"/>
          <w:color w:val="000000"/>
          <w:spacing w:val="-4"/>
          <w:kern w:val="0"/>
          <w:sz w:val="32"/>
          <w:szCs w:val="32"/>
          <w:lang w:eastAsia="zh-CN"/>
        </w:rPr>
        <w:t>农</w:t>
      </w:r>
      <w:r>
        <w:rPr>
          <w:rFonts w:hint="eastAsia" w:ascii="仿宋" w:hAnsi="仿宋" w:eastAsia="仿宋" w:cs="仿宋"/>
          <w:snapToGrid w:val="0"/>
          <w:color w:val="000000"/>
          <w:spacing w:val="-4"/>
          <w:kern w:val="0"/>
          <w:sz w:val="32"/>
          <w:szCs w:val="32"/>
          <w:lang w:eastAsia="zh-CN"/>
        </w:rPr>
        <w:t>村集体经济</w:t>
      </w:r>
      <w:r>
        <w:rPr>
          <w:rFonts w:hint="eastAsia" w:ascii="仿宋" w:hAnsi="仿宋" w:eastAsia="仿宋" w:cs="仿宋"/>
          <w:snapToGrid w:val="0"/>
          <w:color w:val="000000"/>
          <w:spacing w:val="-4"/>
          <w:kern w:val="0"/>
          <w:sz w:val="32"/>
          <w:szCs w:val="32"/>
          <w:lang w:eastAsia="en-US"/>
        </w:rPr>
        <w:t>增长、农业增效、农民增收。</w:t>
      </w:r>
    </w:p>
    <w:p w14:paraId="2BF605FC">
      <w:pPr>
        <w:pageBreakBefore w:val="0"/>
        <w:kinsoku/>
        <w:wordWrap/>
        <w:overflowPunct/>
        <w:topLinePunct w:val="0"/>
        <w:bidi w:val="0"/>
        <w:spacing w:line="600" w:lineRule="exact"/>
        <w:ind w:left="0" w:right="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4.</w:t>
      </w:r>
      <w:r>
        <w:rPr>
          <w:rFonts w:hint="eastAsia" w:ascii="仿宋" w:hAnsi="仿宋" w:eastAsia="仿宋" w:cs="仿宋"/>
          <w:snapToGrid w:val="0"/>
          <w:color w:val="000000"/>
          <w:spacing w:val="-4"/>
          <w:kern w:val="0"/>
          <w:sz w:val="32"/>
          <w:szCs w:val="32"/>
          <w:lang w:eastAsia="en-US"/>
        </w:rPr>
        <w:t>加强农村公共服务体系建设，抓好基础教育、科技、文化、体育、卫生健康、食</w:t>
      </w:r>
      <w:r>
        <w:rPr>
          <w:rFonts w:hint="eastAsia" w:ascii="仿宋" w:hAnsi="仿宋" w:eastAsia="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药</w:t>
      </w:r>
      <w:r>
        <w:rPr>
          <w:rFonts w:hint="eastAsia" w:ascii="仿宋" w:hAnsi="仿宋" w:eastAsia="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品安全等工作，做好民政事务、残疾、老龄、就业创业、社会保障、劳动关系协调、民族宗教、退役军人事务、统计等工作，促进农村社会事业健康发展。</w:t>
      </w:r>
    </w:p>
    <w:p w14:paraId="7618D23D">
      <w:pPr>
        <w:pageBreakBefore w:val="0"/>
        <w:kinsoku/>
        <w:wordWrap/>
        <w:overflowPunct/>
        <w:topLinePunct w:val="0"/>
        <w:bidi w:val="0"/>
        <w:spacing w:line="600" w:lineRule="exact"/>
        <w:ind w:left="0" w:right="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5.</w:t>
      </w:r>
      <w:r>
        <w:rPr>
          <w:rFonts w:hint="eastAsia" w:ascii="仿宋" w:hAnsi="仿宋" w:eastAsia="仿宋" w:cs="仿宋"/>
          <w:snapToGrid w:val="0"/>
          <w:color w:val="000000"/>
          <w:spacing w:val="-4"/>
          <w:kern w:val="0"/>
          <w:sz w:val="32"/>
          <w:szCs w:val="32"/>
          <w:lang w:eastAsia="en-US"/>
        </w:rPr>
        <w:t>负责辖区内自然资源、生态环境保护、森林防灭火、防汛 抗旱、粮食安全、供销合作社等工作。</w:t>
      </w:r>
    </w:p>
    <w:p w14:paraId="54CAF505">
      <w:pPr>
        <w:pageBreakBefore w:val="0"/>
        <w:kinsoku/>
        <w:wordWrap/>
        <w:overflowPunct/>
        <w:topLinePunct w:val="0"/>
        <w:bidi w:val="0"/>
        <w:spacing w:line="600" w:lineRule="exact"/>
        <w:ind w:left="0" w:right="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6.</w:t>
      </w:r>
      <w:r>
        <w:rPr>
          <w:rFonts w:hint="eastAsia" w:ascii="仿宋" w:hAnsi="仿宋" w:eastAsia="仿宋" w:cs="仿宋"/>
          <w:snapToGrid w:val="0"/>
          <w:color w:val="000000"/>
          <w:spacing w:val="-4"/>
          <w:kern w:val="0"/>
          <w:sz w:val="32"/>
          <w:szCs w:val="32"/>
          <w:lang w:eastAsia="en-US"/>
        </w:rPr>
        <w:t>推进基层民主法治建设，加强普法依法治理，指导村</w:t>
      </w:r>
      <w:r>
        <w:rPr>
          <w:rFonts w:hint="eastAsia" w:ascii="仿宋" w:hAnsi="仿宋" w:eastAsia="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居</w:t>
      </w:r>
      <w:r>
        <w:rPr>
          <w:rFonts w:hint="eastAsia" w:ascii="仿宋" w:hAnsi="仿宋" w:eastAsia="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 xml:space="preserve"> 民委员会工作，维护群众合法权益。</w:t>
      </w:r>
    </w:p>
    <w:p w14:paraId="6EB3B23D">
      <w:pPr>
        <w:pageBreakBefore w:val="0"/>
        <w:kinsoku/>
        <w:wordWrap/>
        <w:overflowPunct/>
        <w:topLinePunct w:val="0"/>
        <w:bidi w:val="0"/>
        <w:spacing w:line="600" w:lineRule="exact"/>
        <w:ind w:left="0" w:right="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7.</w:t>
      </w:r>
      <w:r>
        <w:rPr>
          <w:rFonts w:hint="eastAsia" w:ascii="仿宋" w:hAnsi="仿宋" w:eastAsia="仿宋" w:cs="仿宋"/>
          <w:snapToGrid w:val="0"/>
          <w:color w:val="000000"/>
          <w:spacing w:val="-4"/>
          <w:kern w:val="0"/>
          <w:sz w:val="32"/>
          <w:szCs w:val="32"/>
          <w:lang w:eastAsia="en-US"/>
        </w:rPr>
        <w:t>承担辖区内基层治理、平安建设、社会治安综合治理、安全和应急管理等有关工作。负责群众来信来访，反映社情民意，化解矛盾纠纷，维护社会安全稳定。</w:t>
      </w:r>
    </w:p>
    <w:p w14:paraId="2F040553">
      <w:pPr>
        <w:pageBreakBefore w:val="0"/>
        <w:kinsoku/>
        <w:wordWrap/>
        <w:overflowPunct/>
        <w:topLinePunct w:val="0"/>
        <w:bidi w:val="0"/>
        <w:spacing w:line="600" w:lineRule="exact"/>
        <w:ind w:left="0" w:right="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8.</w:t>
      </w:r>
      <w:r>
        <w:rPr>
          <w:rFonts w:hint="eastAsia" w:ascii="仿宋" w:hAnsi="仿宋" w:eastAsia="仿宋" w:cs="仿宋"/>
          <w:snapToGrid w:val="0"/>
          <w:color w:val="000000"/>
          <w:spacing w:val="-4"/>
          <w:kern w:val="0"/>
          <w:sz w:val="32"/>
          <w:szCs w:val="32"/>
          <w:lang w:eastAsia="en-US"/>
        </w:rPr>
        <w:t>负责国防教育、兵役征集、民兵预备役等有关工作。</w:t>
      </w:r>
    </w:p>
    <w:p w14:paraId="134D856F">
      <w:pPr>
        <w:pageBreakBefore w:val="0"/>
        <w:kinsoku/>
        <w:wordWrap/>
        <w:overflowPunct/>
        <w:topLinePunct w:val="0"/>
        <w:bidi w:val="0"/>
        <w:spacing w:line="600" w:lineRule="exact"/>
        <w:ind w:left="0" w:right="0" w:firstLine="650"/>
        <w:rPr>
          <w:rFonts w:hint="eastAsia" w:ascii="仿宋_GB2312" w:hAnsi="仿宋_GB2312" w:eastAsia="仿宋_GB2312" w:cs="仿宋_GB2312"/>
          <w:color w:val="FF0000"/>
          <w:sz w:val="32"/>
          <w:szCs w:val="32"/>
        </w:rPr>
      </w:pPr>
      <w:r>
        <w:rPr>
          <w:rFonts w:hint="eastAsia" w:ascii="仿宋" w:hAnsi="仿宋" w:cs="仿宋"/>
          <w:snapToGrid w:val="0"/>
          <w:color w:val="000000"/>
          <w:spacing w:val="-4"/>
          <w:kern w:val="0"/>
          <w:sz w:val="32"/>
          <w:szCs w:val="32"/>
          <w:lang w:val="en-US" w:eastAsia="zh-CN"/>
        </w:rPr>
        <w:t>9.</w:t>
      </w:r>
      <w:r>
        <w:rPr>
          <w:rFonts w:hint="eastAsia" w:ascii="仿宋" w:hAnsi="仿宋" w:eastAsia="仿宋" w:cs="仿宋"/>
          <w:snapToGrid w:val="0"/>
          <w:color w:val="000000"/>
          <w:spacing w:val="-4"/>
          <w:kern w:val="0"/>
          <w:sz w:val="32"/>
          <w:szCs w:val="32"/>
          <w:lang w:eastAsia="en-US"/>
        </w:rPr>
        <w:t>承担法律法规、规章规定的其他职能和上级党委、政府交 办的其他工作。</w:t>
      </w:r>
    </w:p>
    <w:p w14:paraId="255EA9C4">
      <w:pPr>
        <w:pStyle w:val="3"/>
        <w:pageBreakBefore w:val="0"/>
        <w:kinsoku/>
        <w:wordWrap/>
        <w:overflowPunct/>
        <w:topLinePunct w:val="0"/>
        <w:bidi w:val="0"/>
        <w:spacing w:before="0" w:after="0" w:line="600" w:lineRule="exact"/>
        <w:ind w:left="0" w:right="0"/>
        <w:rPr>
          <w:rStyle w:val="17"/>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17"/>
          <w:rFonts w:hint="eastAsia" w:ascii="Times New Roman" w:hAnsi="Times New Roman" w:eastAsia="黑体"/>
          <w:b w:val="0"/>
          <w:bCs w:val="0"/>
          <w:color w:val="auto"/>
          <w:highlight w:val="none"/>
        </w:rPr>
        <w:t>构设置</w:t>
      </w:r>
      <w:bookmarkEnd w:id="10"/>
      <w:bookmarkEnd w:id="11"/>
    </w:p>
    <w:p w14:paraId="5EB2B8AE">
      <w:pPr>
        <w:pageBreakBefore w:val="0"/>
        <w:kinsoku/>
        <w:wordWrap/>
        <w:overflowPunct/>
        <w:topLinePunct w:val="0"/>
        <w:bidi w:val="0"/>
        <w:spacing w:line="600" w:lineRule="exact"/>
        <w:ind w:left="0" w:right="0"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峨边彝族自治县宜坪乡人民政府</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457903C9">
      <w:pPr>
        <w:pStyle w:val="5"/>
        <w:pageBreakBefore w:val="0"/>
        <w:kinsoku/>
        <w:wordWrap/>
        <w:overflowPunct/>
        <w:topLinePunct w:val="0"/>
        <w:bidi w:val="0"/>
        <w:adjustRightInd w:val="0"/>
        <w:snapToGrid w:val="0"/>
        <w:spacing w:beforeLines="0" w:line="600" w:lineRule="exact"/>
        <w:ind w:left="0" w:right="0" w:firstLine="672" w:firstLineChars="210"/>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13BB7737">
      <w:pPr>
        <w:pStyle w:val="2"/>
        <w:pageBreakBefore w:val="0"/>
        <w:kinsoku/>
        <w:wordWrap/>
        <w:overflowPunct/>
        <w:topLinePunct w:val="0"/>
        <w:bidi w:val="0"/>
        <w:spacing w:before="0" w:after="0" w:line="600" w:lineRule="exact"/>
        <w:ind w:left="0" w:right="0"/>
        <w:jc w:val="center"/>
        <w:rPr>
          <w:rFonts w:hint="eastAsia" w:ascii="Times New Roman" w:hAnsi="Times New Roman" w:eastAsia="方正小标宋简体" w:cs="方正小标宋简体"/>
          <w:b w:val="0"/>
          <w:color w:val="auto"/>
          <w:highlight w:val="none"/>
        </w:rPr>
      </w:pPr>
      <w:bookmarkStart w:id="12" w:name="_Toc15377204"/>
      <w:bookmarkStart w:id="13"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2"/>
      <w:bookmarkEnd w:id="13"/>
    </w:p>
    <w:p w14:paraId="6A73560E">
      <w:pPr>
        <w:pageBreakBefore w:val="0"/>
        <w:kinsoku/>
        <w:wordWrap/>
        <w:overflowPunct/>
        <w:topLinePunct w:val="0"/>
        <w:bidi w:val="0"/>
        <w:spacing w:line="600" w:lineRule="exact"/>
        <w:ind w:left="0" w:right="0"/>
        <w:rPr>
          <w:rFonts w:ascii="Times New Roman" w:hAnsi="Times New Roman"/>
          <w:color w:val="auto"/>
          <w:highlight w:val="none"/>
        </w:rPr>
      </w:pPr>
    </w:p>
    <w:p w14:paraId="07ACD0C6">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textAlignment w:val="auto"/>
        <w:outlineLvl w:val="1"/>
        <w:rPr>
          <w:rStyle w:val="17"/>
          <w:rFonts w:hint="eastAsia" w:ascii="Times New Roman" w:hAnsi="Times New Roman" w:eastAsia="黑体"/>
          <w:b w:val="0"/>
          <w:color w:val="auto"/>
          <w:highlight w:val="none"/>
        </w:rPr>
      </w:pPr>
      <w:bookmarkStart w:id="14" w:name="_Toc15396603"/>
      <w:bookmarkStart w:id="15"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17"/>
          <w:rFonts w:hint="eastAsia" w:ascii="Times New Roman" w:hAnsi="Times New Roman" w:eastAsia="黑体"/>
          <w:b w:val="0"/>
          <w:color w:val="auto"/>
          <w:highlight w:val="none"/>
        </w:rPr>
        <w:t>入支出决算总体情况说明</w:t>
      </w:r>
      <w:bookmarkEnd w:id="14"/>
      <w:bookmarkEnd w:id="15"/>
    </w:p>
    <w:p w14:paraId="12963C2D">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979.32</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17.18</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1.79</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人员经费和日常公用经费的减少。</w:t>
      </w:r>
    </w:p>
    <w:p w14:paraId="0EF9011E">
      <w:pPr>
        <w:keepNext w:val="0"/>
        <w:keepLines w:val="0"/>
        <w:pageBreakBefore w:val="0"/>
        <w:widowControl w:val="0"/>
        <w:kinsoku/>
        <w:wordWrap/>
        <w:overflowPunct/>
        <w:topLinePunct w:val="0"/>
        <w:autoSpaceDE/>
        <w:autoSpaceDN/>
        <w:bidi w:val="0"/>
        <w:adjustRightInd/>
        <w:snapToGrid/>
        <w:spacing w:line="600" w:lineRule="exact"/>
        <w:ind w:left="0" w:right="0" w:firstLine="420" w:firstLineChars="200"/>
        <w:textAlignment w:val="auto"/>
        <w:rPr>
          <w:rFonts w:hint="eastAsia" w:ascii="Times New Roman" w:hAnsi="Times New Roman" w:eastAsia="仿宋_GB2312" w:cs="仿宋_GB2312"/>
          <w:color w:val="auto"/>
          <w:sz w:val="32"/>
          <w:szCs w:val="32"/>
          <w:highlight w:val="none"/>
        </w:rPr>
      </w:pPr>
      <w:r>
        <w:drawing>
          <wp:anchor distT="0" distB="0" distL="114300" distR="114300" simplePos="0" relativeHeight="251659264" behindDoc="1" locked="0" layoutInCell="1" allowOverlap="1">
            <wp:simplePos x="0" y="0"/>
            <wp:positionH relativeFrom="column">
              <wp:posOffset>379095</wp:posOffset>
            </wp:positionH>
            <wp:positionV relativeFrom="paragraph">
              <wp:posOffset>127635</wp:posOffset>
            </wp:positionV>
            <wp:extent cx="4378960" cy="2458085"/>
            <wp:effectExtent l="4445" t="4445" r="17145" b="13970"/>
            <wp:wrapTight wrapText="bothSides">
              <wp:wrapPolygon>
                <wp:start x="-22" y="-39"/>
                <wp:lineTo x="-22" y="21555"/>
                <wp:lineTo x="21497" y="21555"/>
                <wp:lineTo x="21497" y="-39"/>
                <wp:lineTo x="-22" y="-39"/>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4D114CF">
      <w:pPr>
        <w:pStyle w:val="12"/>
        <w:pageBreakBefore w:val="0"/>
        <w:kinsoku/>
        <w:wordWrap/>
        <w:overflowPunct/>
        <w:topLinePunct w:val="0"/>
        <w:bidi w:val="0"/>
        <w:spacing w:line="600" w:lineRule="exact"/>
        <w:ind w:left="0" w:right="0"/>
        <w:rPr>
          <w:rFonts w:hint="eastAsia"/>
        </w:rPr>
      </w:pPr>
    </w:p>
    <w:p w14:paraId="5E345497">
      <w:pPr>
        <w:pageBreakBefore w:val="0"/>
        <w:kinsoku/>
        <w:wordWrap/>
        <w:overflowPunct/>
        <w:topLinePunct w:val="0"/>
        <w:bidi w:val="0"/>
        <w:spacing w:line="600" w:lineRule="exact"/>
        <w:ind w:left="0" w:right="0"/>
        <w:rPr>
          <w:rFonts w:hint="eastAsia"/>
        </w:rPr>
      </w:pPr>
    </w:p>
    <w:p w14:paraId="3BAB80C9">
      <w:pPr>
        <w:pStyle w:val="12"/>
        <w:pageBreakBefore w:val="0"/>
        <w:kinsoku/>
        <w:wordWrap/>
        <w:overflowPunct/>
        <w:topLinePunct w:val="0"/>
        <w:bidi w:val="0"/>
        <w:spacing w:line="600" w:lineRule="exact"/>
        <w:ind w:left="0" w:right="0"/>
        <w:rPr>
          <w:rFonts w:hint="eastAsia"/>
        </w:rPr>
      </w:pPr>
    </w:p>
    <w:p w14:paraId="37B6A67A">
      <w:pPr>
        <w:pageBreakBefore w:val="0"/>
        <w:kinsoku/>
        <w:wordWrap/>
        <w:overflowPunct/>
        <w:topLinePunct w:val="0"/>
        <w:bidi w:val="0"/>
        <w:spacing w:line="600" w:lineRule="exact"/>
        <w:ind w:left="0" w:right="0"/>
        <w:rPr>
          <w:rFonts w:hint="eastAsia"/>
        </w:rPr>
      </w:pPr>
    </w:p>
    <w:p w14:paraId="41CE57CE">
      <w:pPr>
        <w:pStyle w:val="12"/>
        <w:pageBreakBefore w:val="0"/>
        <w:kinsoku/>
        <w:wordWrap/>
        <w:overflowPunct/>
        <w:topLinePunct w:val="0"/>
        <w:bidi w:val="0"/>
        <w:spacing w:line="600" w:lineRule="exact"/>
        <w:ind w:left="0" w:right="0"/>
        <w:rPr>
          <w:rFonts w:hint="eastAsia"/>
        </w:rPr>
      </w:pPr>
    </w:p>
    <w:p w14:paraId="4F4F8C9E">
      <w:pPr>
        <w:pageBreakBefore w:val="0"/>
        <w:kinsoku/>
        <w:wordWrap/>
        <w:overflowPunct/>
        <w:topLinePunct w:val="0"/>
        <w:bidi w:val="0"/>
        <w:spacing w:line="600" w:lineRule="exact"/>
        <w:ind w:left="0" w:right="0"/>
        <w:rPr>
          <w:rFonts w:hint="eastAsia"/>
        </w:rPr>
      </w:pPr>
    </w:p>
    <w:p w14:paraId="69520662">
      <w:pPr>
        <w:pStyle w:val="12"/>
        <w:pageBreakBefore w:val="0"/>
        <w:kinsoku/>
        <w:wordWrap/>
        <w:overflowPunct/>
        <w:topLinePunct w:val="0"/>
        <w:bidi w:val="0"/>
        <w:spacing w:line="600" w:lineRule="exact"/>
        <w:ind w:left="0" w:right="0"/>
        <w:rPr>
          <w:rFonts w:hint="eastAsia"/>
        </w:rPr>
      </w:pPr>
    </w:p>
    <w:p w14:paraId="0584A34B">
      <w:pPr>
        <w:pStyle w:val="12"/>
        <w:pageBreakBefore w:val="0"/>
        <w:kinsoku/>
        <w:wordWrap/>
        <w:overflowPunct/>
        <w:topLinePunct w:val="0"/>
        <w:bidi w:val="0"/>
        <w:spacing w:line="600" w:lineRule="exact"/>
        <w:ind w:left="0" w:right="0"/>
        <w:jc w:val="both"/>
        <w:rPr>
          <w:rFonts w:hint="eastAsia"/>
        </w:rPr>
      </w:pPr>
    </w:p>
    <w:p w14:paraId="18DA14C0">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77206"/>
      <w:bookmarkStart w:id="17" w:name="_Toc15396604"/>
      <w:r>
        <w:rPr>
          <w:rFonts w:hint="eastAsia" w:ascii="Times New Roman" w:hAnsi="Times New Roman" w:eastAsia="黑体"/>
          <w:color w:val="auto"/>
          <w:sz w:val="32"/>
          <w:szCs w:val="32"/>
          <w:highlight w:val="none"/>
          <w:lang w:eastAsia="zh-CN"/>
        </w:rPr>
        <w:t>二、收入决算情况说明</w:t>
      </w:r>
      <w:bookmarkEnd w:id="16"/>
      <w:bookmarkEnd w:id="17"/>
    </w:p>
    <w:p w14:paraId="14606225">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945.32万元，其中：一般公共预算财政拨款收入823.5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87.11</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121.82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12.8</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lang w:eastAsia="zh-CN"/>
        </w:rPr>
        <w:t>。</w:t>
      </w:r>
    </w:p>
    <w:p w14:paraId="6B0ECCC7">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0F8F611C">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32403CE9">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3E0E9FF2">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459B8D54">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420" w:firstLineChars="200"/>
        <w:jc w:val="left"/>
        <w:textAlignment w:val="auto"/>
        <w:outlineLvl w:val="1"/>
        <w:rPr>
          <w:rFonts w:hint="eastAsia" w:ascii="仿宋_GB2312" w:hAnsi="仿宋_GB2312" w:eastAsia="仿宋_GB2312" w:cs="仿宋_GB2312"/>
          <w:color w:val="auto"/>
          <w:sz w:val="32"/>
          <w:szCs w:val="32"/>
          <w:highlight w:val="none"/>
          <w:lang w:eastAsia="zh-CN"/>
        </w:rPr>
      </w:pPr>
      <w:r>
        <w:drawing>
          <wp:anchor distT="0" distB="0" distL="114300" distR="114300" simplePos="0" relativeHeight="251663360" behindDoc="1" locked="0" layoutInCell="1" allowOverlap="1">
            <wp:simplePos x="0" y="0"/>
            <wp:positionH relativeFrom="column">
              <wp:posOffset>366395</wp:posOffset>
            </wp:positionH>
            <wp:positionV relativeFrom="paragraph">
              <wp:posOffset>153035</wp:posOffset>
            </wp:positionV>
            <wp:extent cx="4368800" cy="2599690"/>
            <wp:effectExtent l="4445" t="4445" r="8255" b="5715"/>
            <wp:wrapTight wrapText="bothSides">
              <wp:wrapPolygon>
                <wp:start x="-22" y="-37"/>
                <wp:lineTo x="-22" y="21489"/>
                <wp:lineTo x="21547" y="21489"/>
                <wp:lineTo x="21547" y="-37"/>
                <wp:lineTo x="-22" y="-37"/>
              </wp:wrapPolygon>
            </wp:wrapTight>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AF04E78">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0046B8A1">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0F494824">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09A8B16D">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6988D95F">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6BDC3465">
      <w:pPr>
        <w:pageBreakBefore w:val="0"/>
        <w:kinsoku/>
        <w:wordWrap/>
        <w:overflowPunct/>
        <w:topLinePunct w:val="0"/>
        <w:bidi w:val="0"/>
        <w:spacing w:line="600" w:lineRule="exact"/>
        <w:ind w:left="0" w:right="0" w:firstLine="800" w:firstLineChars="250"/>
        <w:rPr>
          <w:rFonts w:hint="eastAsia" w:ascii="Times New Roman" w:hAnsi="Times New Roman" w:eastAsia="仿宋_GB2312" w:cs="仿宋_GB2312"/>
          <w:color w:val="auto"/>
          <w:sz w:val="32"/>
          <w:szCs w:val="32"/>
          <w:highlight w:val="none"/>
          <w:lang w:eastAsia="zh-CN"/>
        </w:rPr>
      </w:pPr>
    </w:p>
    <w:p w14:paraId="3CBB7CA7">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textAlignment w:val="auto"/>
        <w:outlineLvl w:val="1"/>
        <w:rPr>
          <w:rFonts w:hint="eastAsia" w:ascii="Times New Roman" w:hAnsi="Times New Roman" w:eastAsia="黑体"/>
          <w:color w:val="auto"/>
          <w:sz w:val="32"/>
          <w:szCs w:val="32"/>
          <w:highlight w:val="none"/>
          <w:lang w:eastAsia="zh-CN"/>
        </w:rPr>
      </w:pPr>
      <w:bookmarkStart w:id="18" w:name="_Toc15396605"/>
      <w:bookmarkStart w:id="19" w:name="_Toc15377207"/>
    </w:p>
    <w:p w14:paraId="3E7BFD71">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textAlignment w:val="auto"/>
        <w:outlineLvl w:val="1"/>
        <w:rPr>
          <w:rStyle w:val="17"/>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17"/>
          <w:rFonts w:hint="eastAsia" w:ascii="Times New Roman" w:hAnsi="Times New Roman" w:eastAsia="黑体"/>
          <w:b w:val="0"/>
          <w:color w:val="auto"/>
          <w:highlight w:val="none"/>
        </w:rPr>
        <w:t>出决算情况说明</w:t>
      </w:r>
      <w:bookmarkEnd w:id="18"/>
      <w:bookmarkEnd w:id="19"/>
    </w:p>
    <w:p w14:paraId="08DD0B30">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945.32</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731.78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77.41</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213.54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22.5</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color w:val="auto"/>
          <w:sz w:val="32"/>
          <w:szCs w:val="32"/>
          <w:highlight w:val="none"/>
          <w:lang w:eastAsia="zh-CN"/>
        </w:rPr>
        <w:t>%。</w:t>
      </w:r>
    </w:p>
    <w:p w14:paraId="3B0CFCE3">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420" w:firstLineChars="200"/>
        <w:jc w:val="left"/>
        <w:textAlignment w:val="auto"/>
        <w:outlineLvl w:val="1"/>
        <w:rPr>
          <w:rFonts w:hint="eastAsia" w:ascii="仿宋_GB2312" w:hAnsi="仿宋_GB2312" w:eastAsia="仿宋_GB2312" w:cs="仿宋_GB2312"/>
          <w:color w:val="auto"/>
          <w:sz w:val="32"/>
          <w:szCs w:val="32"/>
          <w:highlight w:val="none"/>
          <w:lang w:eastAsia="zh-CN"/>
        </w:rPr>
      </w:pPr>
      <w:r>
        <w:drawing>
          <wp:anchor distT="0" distB="0" distL="114300" distR="114300" simplePos="0" relativeHeight="251660288" behindDoc="1" locked="0" layoutInCell="1" allowOverlap="1">
            <wp:simplePos x="0" y="0"/>
            <wp:positionH relativeFrom="column">
              <wp:posOffset>379095</wp:posOffset>
            </wp:positionH>
            <wp:positionV relativeFrom="paragraph">
              <wp:posOffset>147955</wp:posOffset>
            </wp:positionV>
            <wp:extent cx="4216400" cy="2628900"/>
            <wp:effectExtent l="4445" t="4445" r="8255" b="14605"/>
            <wp:wrapTight wrapText="bothSides">
              <wp:wrapPolygon>
                <wp:start x="-23" y="-37"/>
                <wp:lineTo x="-23" y="21563"/>
                <wp:lineTo x="21545" y="21563"/>
                <wp:lineTo x="21545" y="-37"/>
                <wp:lineTo x="-23" y="-37"/>
              </wp:wrapPolygon>
            </wp:wrapTight>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B4E7E9F">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6A137C7F">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5AD514F5">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39690CC3">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275D0A7D">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49318DB4">
      <w:pPr>
        <w:pageBreakBefore w:val="0"/>
        <w:kinsoku/>
        <w:wordWrap/>
        <w:overflowPunct/>
        <w:topLinePunct w:val="0"/>
        <w:bidi w:val="0"/>
        <w:spacing w:line="600" w:lineRule="exact"/>
        <w:ind w:left="0" w:right="0" w:firstLine="800" w:firstLineChars="250"/>
        <w:rPr>
          <w:rFonts w:hint="eastAsia" w:ascii="Times New Roman" w:hAnsi="Times New Roman" w:eastAsia="仿宋_GB2312" w:cs="仿宋_GB2312"/>
          <w:color w:val="auto"/>
          <w:sz w:val="32"/>
          <w:szCs w:val="32"/>
          <w:highlight w:val="none"/>
          <w:lang w:eastAsia="zh-CN"/>
        </w:rPr>
      </w:pPr>
    </w:p>
    <w:p w14:paraId="1F9A47D8">
      <w:pPr>
        <w:pageBreakBefore w:val="0"/>
        <w:kinsoku/>
        <w:wordWrap/>
        <w:overflowPunct/>
        <w:topLinePunct w:val="0"/>
        <w:bidi w:val="0"/>
        <w:spacing w:line="600" w:lineRule="exact"/>
        <w:ind w:left="0" w:right="0"/>
        <w:rPr>
          <w:rFonts w:hint="eastAsia"/>
          <w:lang w:eastAsia="zh-CN"/>
        </w:rPr>
      </w:pPr>
    </w:p>
    <w:p w14:paraId="221841FB">
      <w:pPr>
        <w:pageBreakBefore w:val="0"/>
        <w:kinsoku/>
        <w:wordWrap/>
        <w:overflowPunct/>
        <w:topLinePunct w:val="0"/>
        <w:bidi w:val="0"/>
        <w:spacing w:line="600" w:lineRule="exact"/>
        <w:ind w:left="0" w:right="0" w:firstLine="640" w:firstLineChars="200"/>
        <w:outlineLvl w:val="1"/>
        <w:rPr>
          <w:rFonts w:hint="eastAsia" w:ascii="Times New Roman" w:hAnsi="Times New Roman" w:eastAsia="黑体"/>
          <w:color w:val="auto"/>
          <w:sz w:val="32"/>
          <w:szCs w:val="32"/>
          <w:highlight w:val="none"/>
        </w:rPr>
      </w:pPr>
      <w:bookmarkStart w:id="20" w:name="_Toc15396606"/>
      <w:bookmarkStart w:id="21" w:name="_Toc15377208"/>
    </w:p>
    <w:p w14:paraId="16353B62">
      <w:pPr>
        <w:pageBreakBefore w:val="0"/>
        <w:kinsoku/>
        <w:wordWrap/>
        <w:overflowPunct/>
        <w:topLinePunct w:val="0"/>
        <w:bidi w:val="0"/>
        <w:spacing w:line="600" w:lineRule="exact"/>
        <w:ind w:left="0" w:right="0" w:firstLine="640" w:firstLineChars="200"/>
        <w:outlineLvl w:val="1"/>
        <w:rPr>
          <w:rStyle w:val="17"/>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17"/>
          <w:rFonts w:hint="eastAsia" w:ascii="Times New Roman" w:hAnsi="Times New Roman" w:eastAsia="黑体"/>
          <w:b w:val="0"/>
          <w:color w:val="auto"/>
          <w:highlight w:val="none"/>
        </w:rPr>
        <w:t>政拨款收入支出决算总体情况说明</w:t>
      </w:r>
      <w:bookmarkEnd w:id="20"/>
      <w:bookmarkEnd w:id="21"/>
    </w:p>
    <w:p w14:paraId="0DAABC3E">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979.32</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w:t>
      </w:r>
      <w:r>
        <w:rPr>
          <w:rFonts w:hint="eastAsia" w:ascii="Times New Roman" w:hAnsi="Times New Roman" w:eastAsia="仿宋_GB2312" w:cs="仿宋_GB2312"/>
          <w:color w:val="auto"/>
          <w:sz w:val="32"/>
          <w:szCs w:val="32"/>
          <w:highlight w:val="none"/>
        </w:rPr>
        <w:t>减少</w:t>
      </w:r>
      <w:r>
        <w:rPr>
          <w:rFonts w:hint="eastAsia" w:eastAsia="仿宋_GB2312" w:cs="仿宋_GB2312"/>
          <w:color w:val="auto"/>
          <w:sz w:val="32"/>
          <w:szCs w:val="32"/>
          <w:highlight w:val="none"/>
          <w:lang w:val="en-US" w:eastAsia="zh-CN"/>
        </w:rPr>
        <w:t>17.18</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1.79</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人员经费和日常公用经费的减少。</w:t>
      </w:r>
    </w:p>
    <w:p w14:paraId="4279867C">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420" w:firstLineChars="200"/>
        <w:textAlignment w:val="auto"/>
        <w:outlineLvl w:val="1"/>
        <w:rPr>
          <w:rFonts w:hint="eastAsia"/>
          <w:lang w:val="en-US" w:eastAsia="zh-CN"/>
        </w:rPr>
      </w:pPr>
      <w:r>
        <w:drawing>
          <wp:anchor distT="0" distB="0" distL="114300" distR="114300" simplePos="0" relativeHeight="251665408" behindDoc="1" locked="0" layoutInCell="1" allowOverlap="1">
            <wp:simplePos x="0" y="0"/>
            <wp:positionH relativeFrom="column">
              <wp:posOffset>261620</wp:posOffset>
            </wp:positionH>
            <wp:positionV relativeFrom="paragraph">
              <wp:posOffset>213995</wp:posOffset>
            </wp:positionV>
            <wp:extent cx="4940300" cy="2743200"/>
            <wp:effectExtent l="4445" t="4445" r="8255" b="14605"/>
            <wp:wrapNone/>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5EF3462C">
      <w:pPr>
        <w:pageBreakBefore w:val="0"/>
        <w:kinsoku/>
        <w:wordWrap/>
        <w:overflowPunct/>
        <w:topLinePunct w:val="0"/>
        <w:bidi w:val="0"/>
        <w:spacing w:line="600" w:lineRule="exact"/>
        <w:ind w:left="0" w:right="0"/>
        <w:rPr>
          <w:rFonts w:hint="eastAsia"/>
          <w:lang w:val="en-US" w:eastAsia="zh-CN"/>
        </w:rPr>
      </w:pPr>
    </w:p>
    <w:p w14:paraId="1826B485">
      <w:pPr>
        <w:pageBreakBefore w:val="0"/>
        <w:kinsoku/>
        <w:wordWrap/>
        <w:overflowPunct/>
        <w:topLinePunct w:val="0"/>
        <w:bidi w:val="0"/>
        <w:spacing w:line="600" w:lineRule="exact"/>
        <w:ind w:left="0" w:right="0" w:firstLine="640" w:firstLineChars="200"/>
        <w:outlineLvl w:val="1"/>
        <w:rPr>
          <w:rFonts w:hint="eastAsia" w:ascii="Times New Roman" w:hAnsi="Times New Roman" w:eastAsia="黑体"/>
          <w:color w:val="auto"/>
          <w:sz w:val="32"/>
          <w:szCs w:val="32"/>
          <w:highlight w:val="none"/>
        </w:rPr>
      </w:pPr>
      <w:bookmarkStart w:id="22" w:name="_Toc15377209"/>
      <w:bookmarkStart w:id="23" w:name="_Toc15396607"/>
    </w:p>
    <w:p w14:paraId="74AA5EE5">
      <w:pPr>
        <w:pageBreakBefore w:val="0"/>
        <w:kinsoku/>
        <w:wordWrap/>
        <w:overflowPunct/>
        <w:topLinePunct w:val="0"/>
        <w:bidi w:val="0"/>
        <w:spacing w:line="600" w:lineRule="exact"/>
        <w:ind w:left="0" w:right="0" w:firstLine="640" w:firstLineChars="200"/>
        <w:outlineLvl w:val="1"/>
        <w:rPr>
          <w:rFonts w:hint="eastAsia" w:ascii="Times New Roman" w:hAnsi="Times New Roman" w:eastAsia="黑体"/>
          <w:color w:val="auto"/>
          <w:sz w:val="32"/>
          <w:szCs w:val="32"/>
          <w:highlight w:val="none"/>
        </w:rPr>
      </w:pPr>
    </w:p>
    <w:p w14:paraId="1669B1AA">
      <w:pPr>
        <w:pageBreakBefore w:val="0"/>
        <w:kinsoku/>
        <w:wordWrap/>
        <w:overflowPunct/>
        <w:topLinePunct w:val="0"/>
        <w:bidi w:val="0"/>
        <w:spacing w:line="600" w:lineRule="exact"/>
        <w:ind w:left="0" w:right="0" w:firstLine="640" w:firstLineChars="200"/>
        <w:outlineLvl w:val="1"/>
        <w:rPr>
          <w:rFonts w:hint="eastAsia" w:ascii="Times New Roman" w:hAnsi="Times New Roman" w:eastAsia="黑体"/>
          <w:color w:val="auto"/>
          <w:sz w:val="32"/>
          <w:szCs w:val="32"/>
          <w:highlight w:val="none"/>
        </w:rPr>
      </w:pPr>
    </w:p>
    <w:p w14:paraId="72AB81F6">
      <w:pPr>
        <w:pageBreakBefore w:val="0"/>
        <w:kinsoku/>
        <w:wordWrap/>
        <w:overflowPunct/>
        <w:topLinePunct w:val="0"/>
        <w:bidi w:val="0"/>
        <w:spacing w:line="600" w:lineRule="exact"/>
        <w:ind w:left="0" w:right="0" w:firstLine="640" w:firstLineChars="200"/>
        <w:outlineLvl w:val="1"/>
        <w:rPr>
          <w:rFonts w:hint="eastAsia" w:ascii="Times New Roman" w:hAnsi="Times New Roman" w:eastAsia="黑体"/>
          <w:color w:val="auto"/>
          <w:sz w:val="32"/>
          <w:szCs w:val="32"/>
          <w:highlight w:val="none"/>
        </w:rPr>
      </w:pPr>
    </w:p>
    <w:p w14:paraId="4F413874">
      <w:pPr>
        <w:pageBreakBefore w:val="0"/>
        <w:kinsoku/>
        <w:wordWrap/>
        <w:overflowPunct/>
        <w:topLinePunct w:val="0"/>
        <w:bidi w:val="0"/>
        <w:spacing w:line="600" w:lineRule="exact"/>
        <w:ind w:left="0" w:right="0" w:firstLine="640" w:firstLineChars="200"/>
        <w:outlineLvl w:val="1"/>
        <w:rPr>
          <w:rFonts w:hint="eastAsia" w:ascii="Times New Roman" w:hAnsi="Times New Roman" w:eastAsia="黑体"/>
          <w:color w:val="auto"/>
          <w:sz w:val="32"/>
          <w:szCs w:val="32"/>
          <w:highlight w:val="none"/>
        </w:rPr>
      </w:pPr>
    </w:p>
    <w:p w14:paraId="2167288A">
      <w:pPr>
        <w:pageBreakBefore w:val="0"/>
        <w:kinsoku/>
        <w:wordWrap/>
        <w:overflowPunct/>
        <w:topLinePunct w:val="0"/>
        <w:bidi w:val="0"/>
        <w:spacing w:line="600" w:lineRule="exact"/>
        <w:ind w:right="0"/>
        <w:outlineLvl w:val="1"/>
        <w:rPr>
          <w:rFonts w:hint="eastAsia" w:ascii="Times New Roman" w:hAnsi="Times New Roman" w:eastAsia="黑体"/>
          <w:color w:val="auto"/>
          <w:sz w:val="32"/>
          <w:szCs w:val="32"/>
          <w:highlight w:val="none"/>
        </w:rPr>
      </w:pPr>
    </w:p>
    <w:p w14:paraId="481A2CDE">
      <w:pPr>
        <w:pageBreakBefore w:val="0"/>
        <w:kinsoku/>
        <w:wordWrap/>
        <w:overflowPunct/>
        <w:topLinePunct w:val="0"/>
        <w:bidi w:val="0"/>
        <w:spacing w:line="600" w:lineRule="exact"/>
        <w:ind w:left="0" w:right="0" w:firstLine="640" w:firstLineChars="200"/>
        <w:outlineLvl w:val="1"/>
        <w:rPr>
          <w:rStyle w:val="17"/>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17"/>
          <w:rFonts w:hint="eastAsia" w:ascii="Times New Roman" w:hAnsi="Times New Roman" w:eastAsia="黑体"/>
          <w:b w:val="0"/>
          <w:color w:val="auto"/>
          <w:highlight w:val="none"/>
        </w:rPr>
        <w:t>般公共预算财政拨款支出决算情况说明</w:t>
      </w:r>
      <w:bookmarkEnd w:id="22"/>
      <w:bookmarkEnd w:id="23"/>
    </w:p>
    <w:p w14:paraId="380EEA5B">
      <w:pPr>
        <w:pageBreakBefore w:val="0"/>
        <w:kinsoku/>
        <w:wordWrap/>
        <w:overflowPunct/>
        <w:topLinePunct w:val="0"/>
        <w:bidi w:val="0"/>
        <w:spacing w:line="600" w:lineRule="exact"/>
        <w:ind w:left="0" w:leftChars="0" w:right="0" w:firstLine="624" w:firstLineChars="200"/>
        <w:rPr>
          <w:rFonts w:hint="eastAsia" w:ascii="楷体_GB2312" w:hAnsi="楷体_GB2312" w:eastAsia="楷体_GB2312" w:cs="楷体_GB2312"/>
          <w:snapToGrid w:val="0"/>
          <w:color w:val="000000"/>
          <w:spacing w:val="-4"/>
          <w:kern w:val="0"/>
          <w:sz w:val="32"/>
          <w:szCs w:val="32"/>
          <w:lang w:val="en-US" w:eastAsia="zh-CN"/>
        </w:rPr>
      </w:pPr>
      <w:bookmarkStart w:id="24" w:name="_Toc15377210"/>
      <w:r>
        <w:rPr>
          <w:rFonts w:hint="eastAsia" w:ascii="楷体_GB2312" w:hAnsi="楷体_GB2312" w:eastAsia="楷体_GB2312" w:cs="楷体_GB2312"/>
          <w:snapToGrid w:val="0"/>
          <w:color w:val="000000"/>
          <w:spacing w:val="-4"/>
          <w:kern w:val="0"/>
          <w:sz w:val="32"/>
          <w:szCs w:val="32"/>
          <w:lang w:val="en-US" w:eastAsia="zh-CN"/>
        </w:rPr>
        <w:t>（一）一般公共预算财政拨款支出决算总体情况</w:t>
      </w:r>
      <w:bookmarkEnd w:id="24"/>
    </w:p>
    <w:p w14:paraId="7298C248">
      <w:pPr>
        <w:pageBreakBefore w:val="0"/>
        <w:kinsoku/>
        <w:wordWrap/>
        <w:overflowPunct/>
        <w:topLinePunct w:val="0"/>
        <w:bidi w:val="0"/>
        <w:spacing w:line="600" w:lineRule="exact"/>
        <w:ind w:left="0" w:right="0"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823.5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87.11</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%。与2023年度相比，一般公共预算财政拨款支出减少97万元，下降10.54%。主要变动原因是</w:t>
      </w:r>
      <w:r>
        <w:rPr>
          <w:rFonts w:hint="eastAsia" w:eastAsia="仿宋_GB2312" w:cs="仿宋_GB2312"/>
          <w:color w:val="auto"/>
          <w:sz w:val="32"/>
          <w:szCs w:val="32"/>
          <w:highlight w:val="none"/>
          <w:lang w:val="en-US" w:eastAsia="zh-CN"/>
        </w:rPr>
        <w:t>人员经费和日常公用经费的减少</w:t>
      </w:r>
      <w:r>
        <w:rPr>
          <w:rFonts w:hint="eastAsia" w:ascii="仿宋_GB2312" w:hAnsi="仿宋_GB2312" w:eastAsia="仿宋_GB2312" w:cs="仿宋_GB2312"/>
          <w:color w:val="auto"/>
          <w:kern w:val="2"/>
          <w:sz w:val="32"/>
          <w:szCs w:val="32"/>
          <w:highlight w:val="none"/>
          <w:lang w:val="en-US" w:eastAsia="zh-CN" w:bidi="ar-SA"/>
        </w:rPr>
        <w:t>。</w:t>
      </w:r>
    </w:p>
    <w:p w14:paraId="6B15E5EC">
      <w:pPr>
        <w:pageBreakBefore w:val="0"/>
        <w:kinsoku/>
        <w:wordWrap/>
        <w:overflowPunct/>
        <w:topLinePunct w:val="0"/>
        <w:bidi w:val="0"/>
        <w:spacing w:line="600" w:lineRule="exact"/>
        <w:ind w:left="0" w:right="0" w:firstLine="420" w:firstLineChars="200"/>
        <w:outlineLvl w:val="2"/>
        <w:rPr>
          <w:rFonts w:hint="eastAsia" w:ascii="Times New Roman" w:hAnsi="Times New Roman" w:eastAsia="楷体_GB2312" w:cs="楷体_GB2312"/>
          <w:b/>
          <w:color w:val="auto"/>
          <w:sz w:val="32"/>
          <w:szCs w:val="32"/>
          <w:highlight w:val="none"/>
        </w:rPr>
      </w:pPr>
      <w:bookmarkStart w:id="25" w:name="_Toc15377211"/>
      <w:r>
        <w:drawing>
          <wp:anchor distT="0" distB="0" distL="114300" distR="114300" simplePos="0" relativeHeight="251661312" behindDoc="1" locked="0" layoutInCell="1" allowOverlap="1">
            <wp:simplePos x="0" y="0"/>
            <wp:positionH relativeFrom="column">
              <wp:posOffset>245745</wp:posOffset>
            </wp:positionH>
            <wp:positionV relativeFrom="paragraph">
              <wp:posOffset>148590</wp:posOffset>
            </wp:positionV>
            <wp:extent cx="4940300" cy="3343275"/>
            <wp:effectExtent l="4445" t="4445" r="8255" b="5080"/>
            <wp:wrapTight wrapText="bothSides">
              <wp:wrapPolygon>
                <wp:start x="-19" y="-29"/>
                <wp:lineTo x="-19" y="21510"/>
                <wp:lineTo x="21553" y="21510"/>
                <wp:lineTo x="21553" y="-29"/>
                <wp:lineTo x="-19" y="-29"/>
              </wp:wrapPolygon>
            </wp:wrapTight>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4448E25">
      <w:pPr>
        <w:pageBreakBefore w:val="0"/>
        <w:kinsoku/>
        <w:wordWrap/>
        <w:overflowPunct/>
        <w:topLinePunct w:val="0"/>
        <w:bidi w:val="0"/>
        <w:spacing w:line="600" w:lineRule="exact"/>
        <w:ind w:left="0" w:right="0" w:firstLine="643" w:firstLineChars="200"/>
        <w:outlineLvl w:val="2"/>
        <w:rPr>
          <w:rFonts w:hint="eastAsia" w:ascii="Times New Roman" w:hAnsi="Times New Roman" w:eastAsia="楷体_GB2312" w:cs="楷体_GB2312"/>
          <w:b/>
          <w:color w:val="auto"/>
          <w:sz w:val="32"/>
          <w:szCs w:val="32"/>
          <w:highlight w:val="none"/>
        </w:rPr>
      </w:pPr>
    </w:p>
    <w:p w14:paraId="7C11C51C">
      <w:pPr>
        <w:pStyle w:val="12"/>
        <w:pageBreakBefore w:val="0"/>
        <w:kinsoku/>
        <w:wordWrap/>
        <w:overflowPunct/>
        <w:topLinePunct w:val="0"/>
        <w:bidi w:val="0"/>
        <w:spacing w:line="600" w:lineRule="exact"/>
        <w:ind w:left="0" w:right="0"/>
        <w:rPr>
          <w:rFonts w:hint="eastAsia" w:ascii="Times New Roman" w:hAnsi="Times New Roman" w:eastAsia="楷体_GB2312" w:cs="楷体_GB2312"/>
          <w:b/>
          <w:color w:val="auto"/>
          <w:sz w:val="32"/>
          <w:szCs w:val="32"/>
          <w:highlight w:val="none"/>
        </w:rPr>
      </w:pPr>
    </w:p>
    <w:p w14:paraId="23006A5A">
      <w:pPr>
        <w:pageBreakBefore w:val="0"/>
        <w:kinsoku/>
        <w:wordWrap/>
        <w:overflowPunct/>
        <w:topLinePunct w:val="0"/>
        <w:bidi w:val="0"/>
        <w:spacing w:line="600" w:lineRule="exact"/>
        <w:ind w:left="0" w:right="0"/>
        <w:rPr>
          <w:rFonts w:hint="eastAsia" w:ascii="Times New Roman" w:hAnsi="Times New Roman" w:eastAsia="楷体_GB2312" w:cs="楷体_GB2312"/>
          <w:b/>
          <w:color w:val="auto"/>
          <w:sz w:val="32"/>
          <w:szCs w:val="32"/>
          <w:highlight w:val="none"/>
        </w:rPr>
      </w:pPr>
    </w:p>
    <w:p w14:paraId="4736CA58">
      <w:pPr>
        <w:pStyle w:val="12"/>
        <w:pageBreakBefore w:val="0"/>
        <w:kinsoku/>
        <w:wordWrap/>
        <w:overflowPunct/>
        <w:topLinePunct w:val="0"/>
        <w:bidi w:val="0"/>
        <w:spacing w:line="600" w:lineRule="exact"/>
        <w:ind w:left="0" w:right="0"/>
        <w:rPr>
          <w:rFonts w:hint="eastAsia" w:ascii="Times New Roman" w:hAnsi="Times New Roman" w:eastAsia="楷体_GB2312" w:cs="楷体_GB2312"/>
          <w:b/>
          <w:color w:val="auto"/>
          <w:sz w:val="32"/>
          <w:szCs w:val="32"/>
          <w:highlight w:val="none"/>
        </w:rPr>
      </w:pPr>
    </w:p>
    <w:p w14:paraId="6AD0533F">
      <w:pPr>
        <w:pageBreakBefore w:val="0"/>
        <w:kinsoku/>
        <w:wordWrap/>
        <w:overflowPunct/>
        <w:topLinePunct w:val="0"/>
        <w:bidi w:val="0"/>
        <w:spacing w:line="600" w:lineRule="exact"/>
        <w:ind w:left="0" w:right="0"/>
        <w:rPr>
          <w:rFonts w:hint="eastAsia" w:ascii="Times New Roman" w:hAnsi="Times New Roman" w:eastAsia="楷体_GB2312" w:cs="楷体_GB2312"/>
          <w:b/>
          <w:color w:val="auto"/>
          <w:sz w:val="32"/>
          <w:szCs w:val="32"/>
          <w:highlight w:val="none"/>
        </w:rPr>
      </w:pPr>
    </w:p>
    <w:p w14:paraId="15086A60">
      <w:pPr>
        <w:pStyle w:val="12"/>
        <w:pageBreakBefore w:val="0"/>
        <w:kinsoku/>
        <w:wordWrap/>
        <w:overflowPunct/>
        <w:topLinePunct w:val="0"/>
        <w:bidi w:val="0"/>
        <w:spacing w:line="600" w:lineRule="exact"/>
        <w:ind w:left="0" w:right="0"/>
        <w:rPr>
          <w:rFonts w:hint="eastAsia"/>
        </w:rPr>
      </w:pPr>
    </w:p>
    <w:p w14:paraId="43B5C387">
      <w:pPr>
        <w:pageBreakBefore w:val="0"/>
        <w:kinsoku/>
        <w:wordWrap/>
        <w:overflowPunct/>
        <w:topLinePunct w:val="0"/>
        <w:bidi w:val="0"/>
        <w:spacing w:line="600" w:lineRule="exact"/>
        <w:ind w:right="0"/>
        <w:outlineLvl w:val="2"/>
        <w:rPr>
          <w:rFonts w:hint="eastAsia" w:ascii="Times New Roman" w:hAnsi="Times New Roman" w:eastAsia="楷体_GB2312" w:cs="楷体_GB2312"/>
          <w:b/>
          <w:color w:val="auto"/>
          <w:sz w:val="32"/>
          <w:szCs w:val="32"/>
          <w:highlight w:val="none"/>
        </w:rPr>
      </w:pPr>
    </w:p>
    <w:p w14:paraId="3E29FAB6">
      <w:pPr>
        <w:pageBreakBefore w:val="0"/>
        <w:kinsoku/>
        <w:wordWrap/>
        <w:overflowPunct/>
        <w:topLinePunct w:val="0"/>
        <w:bidi w:val="0"/>
        <w:spacing w:line="600" w:lineRule="exact"/>
        <w:ind w:left="0" w:leftChars="0" w:right="0" w:firstLine="624" w:firstLineChars="200"/>
        <w:rPr>
          <w:rFonts w:hint="eastAsia" w:ascii="楷体_GB2312" w:hAnsi="楷体_GB2312" w:eastAsia="楷体_GB2312" w:cs="楷体_GB2312"/>
          <w:snapToGrid w:val="0"/>
          <w:color w:val="000000"/>
          <w:spacing w:val="-4"/>
          <w:kern w:val="0"/>
          <w:sz w:val="32"/>
          <w:szCs w:val="32"/>
          <w:lang w:val="en-US" w:eastAsia="zh-CN"/>
        </w:rPr>
      </w:pPr>
      <w:r>
        <w:rPr>
          <w:rFonts w:hint="eastAsia" w:ascii="楷体_GB2312" w:hAnsi="楷体_GB2312" w:eastAsia="楷体_GB2312" w:cs="楷体_GB2312"/>
          <w:snapToGrid w:val="0"/>
          <w:color w:val="000000"/>
          <w:spacing w:val="-4"/>
          <w:kern w:val="0"/>
          <w:sz w:val="32"/>
          <w:szCs w:val="32"/>
          <w:lang w:val="en-US" w:eastAsia="zh-CN"/>
        </w:rPr>
        <w:t>（二）一般公共预算财政拨款支出决算结构情况</w:t>
      </w:r>
      <w:bookmarkEnd w:id="25"/>
    </w:p>
    <w:p w14:paraId="7D00163A">
      <w:pPr>
        <w:pageBreakBefore w:val="0"/>
        <w:kinsoku/>
        <w:wordWrap/>
        <w:overflowPunct/>
        <w:topLinePunct w:val="0"/>
        <w:bidi w:val="0"/>
        <w:spacing w:line="600" w:lineRule="exact"/>
        <w:ind w:left="0" w:right="0" w:firstLine="640"/>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823.5</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488.15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59.28</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80.93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9.83</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14.26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1.73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农林水支出196.92万元，占23.91%；</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43.24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5.25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D6CFA30">
      <w:pPr>
        <w:pageBreakBefore w:val="0"/>
        <w:kinsoku/>
        <w:wordWrap/>
        <w:overflowPunct/>
        <w:topLinePunct w:val="0"/>
        <w:bidi w:val="0"/>
        <w:spacing w:line="600" w:lineRule="exact"/>
        <w:ind w:left="0" w:right="0"/>
        <w:rPr>
          <w:rFonts w:hint="eastAsia"/>
          <w:lang w:val="en-US" w:eastAsia="zh-CN"/>
        </w:rPr>
      </w:pPr>
    </w:p>
    <w:p w14:paraId="16272ABC">
      <w:pPr>
        <w:pStyle w:val="12"/>
        <w:pageBreakBefore w:val="0"/>
        <w:kinsoku/>
        <w:wordWrap/>
        <w:overflowPunct/>
        <w:topLinePunct w:val="0"/>
        <w:bidi w:val="0"/>
        <w:spacing w:line="600" w:lineRule="exact"/>
        <w:ind w:left="0" w:right="0"/>
        <w:rPr>
          <w:rFonts w:hint="eastAsia"/>
          <w:lang w:val="en-US" w:eastAsia="zh-CN"/>
        </w:rPr>
      </w:pPr>
      <w:r>
        <w:drawing>
          <wp:anchor distT="0" distB="0" distL="114300" distR="114300" simplePos="0" relativeHeight="251664384" behindDoc="1" locked="0" layoutInCell="1" allowOverlap="1">
            <wp:simplePos x="0" y="0"/>
            <wp:positionH relativeFrom="column">
              <wp:posOffset>617220</wp:posOffset>
            </wp:positionH>
            <wp:positionV relativeFrom="paragraph">
              <wp:posOffset>146050</wp:posOffset>
            </wp:positionV>
            <wp:extent cx="4254500" cy="2476500"/>
            <wp:effectExtent l="4445" t="4445" r="8255" b="14605"/>
            <wp:wrapTight wrapText="bothSides">
              <wp:wrapPolygon>
                <wp:start x="-23" y="-39"/>
                <wp:lineTo x="-23" y="21561"/>
                <wp:lineTo x="21545" y="21561"/>
                <wp:lineTo x="21545" y="-39"/>
                <wp:lineTo x="-23" y="-39"/>
              </wp:wrapPolygon>
            </wp:wrapTight>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7B10D262">
      <w:pPr>
        <w:pageBreakBefore w:val="0"/>
        <w:kinsoku/>
        <w:wordWrap/>
        <w:overflowPunct/>
        <w:topLinePunct w:val="0"/>
        <w:bidi w:val="0"/>
        <w:spacing w:line="600" w:lineRule="exact"/>
        <w:ind w:left="0" w:right="0"/>
        <w:rPr>
          <w:rFonts w:hint="eastAsia"/>
          <w:lang w:val="en-US" w:eastAsia="zh-CN"/>
        </w:rPr>
      </w:pPr>
    </w:p>
    <w:p w14:paraId="772CA092">
      <w:pPr>
        <w:pStyle w:val="12"/>
        <w:pageBreakBefore w:val="0"/>
        <w:kinsoku/>
        <w:wordWrap/>
        <w:overflowPunct/>
        <w:topLinePunct w:val="0"/>
        <w:bidi w:val="0"/>
        <w:spacing w:line="600" w:lineRule="exact"/>
        <w:ind w:left="0" w:right="0"/>
        <w:rPr>
          <w:rFonts w:hint="eastAsia"/>
          <w:lang w:val="en-US" w:eastAsia="zh-CN"/>
        </w:rPr>
      </w:pPr>
    </w:p>
    <w:p w14:paraId="24D5778E">
      <w:pPr>
        <w:pageBreakBefore w:val="0"/>
        <w:kinsoku/>
        <w:wordWrap/>
        <w:overflowPunct/>
        <w:topLinePunct w:val="0"/>
        <w:bidi w:val="0"/>
        <w:spacing w:line="600" w:lineRule="exact"/>
        <w:ind w:left="0" w:right="0"/>
        <w:rPr>
          <w:rFonts w:hint="eastAsia"/>
          <w:lang w:val="en-US" w:eastAsia="zh-CN"/>
        </w:rPr>
      </w:pPr>
    </w:p>
    <w:p w14:paraId="692BF281">
      <w:pPr>
        <w:pStyle w:val="12"/>
        <w:pageBreakBefore w:val="0"/>
        <w:kinsoku/>
        <w:wordWrap/>
        <w:overflowPunct/>
        <w:topLinePunct w:val="0"/>
        <w:bidi w:val="0"/>
        <w:spacing w:line="600" w:lineRule="exact"/>
        <w:ind w:left="0" w:right="0"/>
        <w:rPr>
          <w:rFonts w:hint="eastAsia"/>
          <w:lang w:val="en-US" w:eastAsia="zh-CN"/>
        </w:rPr>
      </w:pPr>
    </w:p>
    <w:p w14:paraId="0C23F978">
      <w:pPr>
        <w:pageBreakBefore w:val="0"/>
        <w:kinsoku/>
        <w:wordWrap/>
        <w:overflowPunct/>
        <w:topLinePunct w:val="0"/>
        <w:bidi w:val="0"/>
        <w:spacing w:line="600" w:lineRule="exact"/>
        <w:ind w:left="0" w:right="0"/>
        <w:rPr>
          <w:rFonts w:hint="eastAsia"/>
          <w:lang w:val="en-US" w:eastAsia="zh-CN"/>
        </w:rPr>
      </w:pPr>
    </w:p>
    <w:p w14:paraId="63A27BAA">
      <w:pPr>
        <w:pStyle w:val="12"/>
        <w:pageBreakBefore w:val="0"/>
        <w:kinsoku/>
        <w:wordWrap/>
        <w:overflowPunct/>
        <w:topLinePunct w:val="0"/>
        <w:bidi w:val="0"/>
        <w:spacing w:line="600" w:lineRule="exact"/>
        <w:ind w:left="0" w:right="0"/>
        <w:rPr>
          <w:rFonts w:hint="eastAsia"/>
          <w:lang w:val="en-US" w:eastAsia="zh-CN"/>
        </w:rPr>
      </w:pPr>
    </w:p>
    <w:p w14:paraId="46BA3281">
      <w:pPr>
        <w:pStyle w:val="12"/>
        <w:pageBreakBefore w:val="0"/>
        <w:kinsoku/>
        <w:wordWrap/>
        <w:overflowPunct/>
        <w:topLinePunct w:val="0"/>
        <w:bidi w:val="0"/>
        <w:spacing w:line="600" w:lineRule="exact"/>
        <w:ind w:left="0" w:right="0"/>
        <w:rPr>
          <w:rFonts w:hint="eastAsia"/>
          <w:lang w:val="en-US" w:eastAsia="zh-CN"/>
        </w:rPr>
      </w:pPr>
    </w:p>
    <w:p w14:paraId="5059E6C3">
      <w:pPr>
        <w:pageBreakBefore w:val="0"/>
        <w:kinsoku/>
        <w:wordWrap/>
        <w:overflowPunct/>
        <w:topLinePunct w:val="0"/>
        <w:bidi w:val="0"/>
        <w:spacing w:line="600" w:lineRule="exact"/>
        <w:ind w:left="0" w:leftChars="0" w:right="0" w:firstLine="624" w:firstLineChars="200"/>
        <w:rPr>
          <w:rFonts w:hint="eastAsia" w:ascii="楷体_GB2312" w:hAnsi="楷体_GB2312" w:eastAsia="楷体_GB2312" w:cs="楷体_GB2312"/>
          <w:snapToGrid w:val="0"/>
          <w:color w:val="000000"/>
          <w:spacing w:val="-4"/>
          <w:kern w:val="0"/>
          <w:sz w:val="32"/>
          <w:szCs w:val="32"/>
          <w:lang w:val="en-US" w:eastAsia="zh-CN"/>
        </w:rPr>
      </w:pPr>
      <w:bookmarkStart w:id="26" w:name="_Toc15377212"/>
      <w:r>
        <w:rPr>
          <w:rFonts w:hint="eastAsia" w:ascii="楷体_GB2312" w:hAnsi="楷体_GB2312" w:eastAsia="楷体_GB2312" w:cs="楷体_GB2312"/>
          <w:snapToGrid w:val="0"/>
          <w:color w:val="000000"/>
          <w:spacing w:val="-4"/>
          <w:kern w:val="0"/>
          <w:sz w:val="32"/>
          <w:szCs w:val="32"/>
          <w:lang w:val="en-US" w:eastAsia="zh-CN"/>
        </w:rPr>
        <w:t>（三）一般公共预算财政拨款支出决算具体情况</w:t>
      </w:r>
      <w:bookmarkEnd w:id="26"/>
    </w:p>
    <w:p w14:paraId="2971E9F7">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bookmarkStart w:id="27" w:name="_Toc15377213"/>
      <w:bookmarkStart w:id="28" w:name="_Toc15378460"/>
      <w:bookmarkStart w:id="29"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823.5</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p>
    <w:p w14:paraId="1105CC37">
      <w:pPr>
        <w:pageBreakBefore w:val="0"/>
        <w:kinsoku/>
        <w:wordWrap/>
        <w:overflowPunct/>
        <w:topLinePunct w:val="0"/>
        <w:bidi w:val="0"/>
        <w:spacing w:line="600" w:lineRule="exact"/>
        <w:ind w:left="0" w:right="0"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一般公共服务（类）政府办公厅（室）及相关机构事务（款）行政运行（项）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347.97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B5428F7">
      <w:pPr>
        <w:pageBreakBefore w:val="0"/>
        <w:kinsoku/>
        <w:wordWrap/>
        <w:overflowPunct/>
        <w:topLinePunct w:val="0"/>
        <w:bidi w:val="0"/>
        <w:spacing w:line="600" w:lineRule="exact"/>
        <w:ind w:left="0" w:right="0"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一般公共服务（类）政府办公厅（室）及相关机构事务（款）事业运行（项）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140.18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C2BB10A">
      <w:pPr>
        <w:pageBreakBefore w:val="0"/>
        <w:kinsoku/>
        <w:wordWrap/>
        <w:overflowPunct/>
        <w:topLinePunct w:val="0"/>
        <w:bidi w:val="0"/>
        <w:spacing w:line="600" w:lineRule="exact"/>
        <w:ind w:left="0" w:right="0"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49.78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759E974">
      <w:pPr>
        <w:pageBreakBefore w:val="0"/>
        <w:kinsoku/>
        <w:wordWrap/>
        <w:overflowPunct/>
        <w:topLinePunct w:val="0"/>
        <w:bidi w:val="0"/>
        <w:spacing w:line="600" w:lineRule="exact"/>
        <w:ind w:left="0" w:right="0"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24.89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2F788F2">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6.26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0C8C8365">
      <w:pPr>
        <w:pageBreakBefore w:val="0"/>
        <w:kinsoku/>
        <w:wordWrap/>
        <w:overflowPunct/>
        <w:topLinePunct w:val="0"/>
        <w:bidi w:val="0"/>
        <w:spacing w:line="600" w:lineRule="exact"/>
        <w:ind w:left="0" w:right="0"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14.26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02A2332">
      <w:pPr>
        <w:pageBreakBefore w:val="0"/>
        <w:kinsoku/>
        <w:wordWrap/>
        <w:overflowPunct/>
        <w:topLinePunct w:val="0"/>
        <w:bidi w:val="0"/>
        <w:spacing w:line="600" w:lineRule="exact"/>
        <w:ind w:left="0" w:right="0"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7.农林水支出（类）农业农村（款）其他农业农村支出（项）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7032770">
      <w:pPr>
        <w:pageBreakBefore w:val="0"/>
        <w:kinsoku/>
        <w:wordWrap/>
        <w:overflowPunct/>
        <w:topLinePunct w:val="0"/>
        <w:bidi w:val="0"/>
        <w:spacing w:line="600" w:lineRule="exact"/>
        <w:ind w:left="0" w:right="0"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.农林水支出（类）巩固脱贫攻坚成果衔接乡村振兴（款）一般行政管理事务（项）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DA04A52">
      <w:pPr>
        <w:pageBreakBefore w:val="0"/>
        <w:kinsoku/>
        <w:wordWrap/>
        <w:overflowPunct/>
        <w:topLinePunct w:val="0"/>
        <w:bidi w:val="0"/>
        <w:spacing w:line="600" w:lineRule="exact"/>
        <w:ind w:left="0" w:right="0"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.农林水支出（类）巩固脱贫攻坚成果衔接乡村振兴（款）其他巩固脱贫攻坚成果衔接乡村振兴支出（项）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13.96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E2A2922">
      <w:pPr>
        <w:pageBreakBefore w:val="0"/>
        <w:kinsoku/>
        <w:wordWrap/>
        <w:overflowPunct/>
        <w:topLinePunct w:val="0"/>
        <w:bidi w:val="0"/>
        <w:spacing w:line="600" w:lineRule="exact"/>
        <w:ind w:left="0" w:right="0"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.农林水支出（类）农村综合改革（款）对村民委员会和村党支部的补助（项）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105.56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F39E3EC">
      <w:pPr>
        <w:pageBreakBefore w:val="0"/>
        <w:kinsoku/>
        <w:wordWrap/>
        <w:overflowPunct/>
        <w:topLinePunct w:val="0"/>
        <w:bidi w:val="0"/>
        <w:spacing w:line="600" w:lineRule="exact"/>
        <w:ind w:left="0" w:right="0"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.农林水支出（类）巩固脱贫攻坚成果衔接乡村振兴（款）农村综合改革示范试点补助（项）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67.4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14732F6">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43.24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4DFA749">
      <w:pPr>
        <w:pageBreakBefore w:val="0"/>
        <w:tabs>
          <w:tab w:val="right" w:pos="8306"/>
        </w:tabs>
        <w:kinsoku/>
        <w:wordWrap/>
        <w:overflowPunct/>
        <w:topLinePunct w:val="0"/>
        <w:bidi w:val="0"/>
        <w:spacing w:line="600" w:lineRule="exact"/>
        <w:ind w:left="0" w:right="0" w:firstLine="640"/>
        <w:outlineLvl w:val="1"/>
        <w:rPr>
          <w:rStyle w:val="17"/>
          <w:rFonts w:ascii="Times New Roman" w:hAnsi="Times New Roman"/>
          <w:color w:val="auto"/>
          <w:highlight w:val="none"/>
        </w:rPr>
      </w:pPr>
      <w:bookmarkStart w:id="30" w:name="_Toc15396608"/>
      <w:bookmarkStart w:id="31"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17"/>
          <w:rFonts w:hint="eastAsia" w:ascii="Times New Roman" w:hAnsi="Times New Roman" w:eastAsia="黑体"/>
          <w:b w:val="0"/>
          <w:color w:val="auto"/>
          <w:highlight w:val="none"/>
        </w:rPr>
        <w:t>般公共预算财政拨款基本支出决算情况说明</w:t>
      </w:r>
      <w:bookmarkEnd w:id="30"/>
      <w:bookmarkEnd w:id="31"/>
      <w:r>
        <w:rPr>
          <w:rStyle w:val="17"/>
          <w:rFonts w:ascii="Times New Roman" w:hAnsi="Times New Roman" w:eastAsia="黑体"/>
          <w:b w:val="0"/>
          <w:color w:val="auto"/>
          <w:highlight w:val="none"/>
        </w:rPr>
        <w:tab/>
      </w:r>
    </w:p>
    <w:p w14:paraId="1EF87B2F">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731.78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599FA8E1">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631.02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100.76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41470A1">
      <w:pPr>
        <w:pageBreakBefore w:val="0"/>
        <w:kinsoku/>
        <w:wordWrap/>
        <w:overflowPunct/>
        <w:topLinePunct w:val="0"/>
        <w:bidi w:val="0"/>
        <w:spacing w:line="600" w:lineRule="exact"/>
        <w:ind w:left="0" w:right="0" w:firstLine="640"/>
        <w:outlineLvl w:val="1"/>
        <w:rPr>
          <w:rStyle w:val="17"/>
          <w:rFonts w:ascii="Times New Roman" w:hAnsi="Times New Roman" w:eastAsia="黑体"/>
          <w:b w:val="0"/>
          <w:color w:val="auto"/>
          <w:highlight w:val="none"/>
        </w:rPr>
      </w:pPr>
      <w:bookmarkStart w:id="32" w:name="_Toc15377215"/>
      <w:bookmarkStart w:id="33" w:name="_Toc15396609"/>
      <w:r>
        <w:rPr>
          <w:rFonts w:hint="eastAsia" w:ascii="Times New Roman" w:hAnsi="Times New Roman" w:eastAsia="黑体"/>
          <w:color w:val="auto"/>
          <w:sz w:val="32"/>
          <w:szCs w:val="32"/>
          <w:highlight w:val="none"/>
        </w:rPr>
        <w:t>七、</w:t>
      </w:r>
      <w:r>
        <w:rPr>
          <w:rStyle w:val="17"/>
          <w:rFonts w:hint="eastAsia" w:ascii="Times New Roman" w:hAnsi="Times New Roman" w:eastAsia="黑体"/>
          <w:b w:val="0"/>
          <w:color w:val="auto"/>
          <w:highlight w:val="none"/>
        </w:rPr>
        <w:t>财政拨款</w:t>
      </w:r>
      <w:r>
        <w:rPr>
          <w:rStyle w:val="17"/>
          <w:rFonts w:hint="eastAsia" w:ascii="Times New Roman" w:hAnsi="Times New Roman" w:eastAsia="黑体"/>
          <w:color w:val="auto"/>
          <w:highlight w:val="none"/>
        </w:rPr>
        <w:t>“</w:t>
      </w:r>
      <w:r>
        <w:rPr>
          <w:rStyle w:val="17"/>
          <w:rFonts w:hint="eastAsia" w:ascii="Times New Roman" w:hAnsi="Times New Roman" w:eastAsia="黑体"/>
          <w:b w:val="0"/>
          <w:color w:val="auto"/>
          <w:highlight w:val="none"/>
        </w:rPr>
        <w:t>三公”经费支出决算情况说明</w:t>
      </w:r>
      <w:bookmarkEnd w:id="32"/>
      <w:bookmarkEnd w:id="33"/>
    </w:p>
    <w:p w14:paraId="52CDD0BC">
      <w:pPr>
        <w:pageBreakBefore w:val="0"/>
        <w:kinsoku/>
        <w:wordWrap/>
        <w:overflowPunct/>
        <w:topLinePunct w:val="0"/>
        <w:bidi w:val="0"/>
        <w:spacing w:line="600" w:lineRule="exact"/>
        <w:ind w:left="0" w:leftChars="0" w:right="0" w:firstLine="624" w:firstLineChars="200"/>
        <w:rPr>
          <w:rFonts w:hint="eastAsia" w:ascii="楷体_GB2312" w:hAnsi="楷体_GB2312" w:eastAsia="楷体_GB2312" w:cs="楷体_GB2312"/>
          <w:snapToGrid w:val="0"/>
          <w:color w:val="000000"/>
          <w:spacing w:val="-4"/>
          <w:kern w:val="0"/>
          <w:sz w:val="32"/>
          <w:szCs w:val="32"/>
          <w:lang w:val="en-US" w:eastAsia="zh-CN"/>
        </w:rPr>
      </w:pPr>
      <w:bookmarkStart w:id="34" w:name="_Toc15377216"/>
      <w:r>
        <w:rPr>
          <w:rFonts w:hint="eastAsia" w:ascii="楷体_GB2312" w:hAnsi="楷体_GB2312" w:eastAsia="楷体_GB2312" w:cs="楷体_GB2312"/>
          <w:snapToGrid w:val="0"/>
          <w:color w:val="000000"/>
          <w:spacing w:val="-4"/>
          <w:kern w:val="0"/>
          <w:sz w:val="32"/>
          <w:szCs w:val="32"/>
          <w:lang w:val="en-US" w:eastAsia="zh-CN"/>
        </w:rPr>
        <w:t>（一）“三公”经费财政拨款支出决算总体情况说明</w:t>
      </w:r>
      <w:bookmarkEnd w:id="34"/>
    </w:p>
    <w:p w14:paraId="3BAE23A2">
      <w:pPr>
        <w:pageBreakBefore w:val="0"/>
        <w:kinsoku/>
        <w:wordWrap/>
        <w:overflowPunct/>
        <w:topLinePunct w:val="0"/>
        <w:bidi w:val="0"/>
        <w:spacing w:line="600" w:lineRule="exact"/>
        <w:ind w:left="0" w:right="0"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6.16</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25.9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80.79</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2023年购入新车投入固定资产。</w:t>
      </w:r>
    </w:p>
    <w:p w14:paraId="4EEC1C79">
      <w:pPr>
        <w:pageBreakBefore w:val="0"/>
        <w:kinsoku/>
        <w:wordWrap/>
        <w:overflowPunct/>
        <w:topLinePunct w:val="0"/>
        <w:bidi w:val="0"/>
        <w:spacing w:line="600" w:lineRule="exact"/>
        <w:ind w:left="0" w:leftChars="0" w:right="0" w:firstLine="624" w:firstLineChars="200"/>
        <w:rPr>
          <w:rFonts w:hint="eastAsia" w:ascii="楷体_GB2312" w:hAnsi="楷体_GB2312" w:eastAsia="楷体_GB2312" w:cs="楷体_GB2312"/>
          <w:snapToGrid w:val="0"/>
          <w:color w:val="000000"/>
          <w:spacing w:val="-4"/>
          <w:kern w:val="0"/>
          <w:sz w:val="32"/>
          <w:szCs w:val="32"/>
          <w:lang w:val="en-US" w:eastAsia="zh-CN"/>
        </w:rPr>
      </w:pPr>
      <w:bookmarkStart w:id="35" w:name="_Toc15377217"/>
      <w:r>
        <w:rPr>
          <w:rFonts w:hint="eastAsia" w:ascii="楷体_GB2312" w:hAnsi="楷体_GB2312" w:eastAsia="楷体_GB2312" w:cs="楷体_GB2312"/>
          <w:snapToGrid w:val="0"/>
          <w:color w:val="000000"/>
          <w:spacing w:val="-4"/>
          <w:kern w:val="0"/>
          <w:sz w:val="32"/>
          <w:szCs w:val="32"/>
          <w:lang w:val="en-US" w:eastAsia="zh-CN"/>
        </w:rPr>
        <w:t>（二）“三公”经费财政拨款支出决算具体情况说明</w:t>
      </w:r>
      <w:bookmarkEnd w:id="35"/>
    </w:p>
    <w:p w14:paraId="3C029BF1">
      <w:pPr>
        <w:pageBreakBefore w:val="0"/>
        <w:kinsoku/>
        <w:wordWrap/>
        <w:overflowPunct/>
        <w:topLinePunct w:val="0"/>
        <w:bidi w:val="0"/>
        <w:spacing w:line="600" w:lineRule="exact"/>
        <w:ind w:left="0" w:right="0"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3.09</w:t>
      </w:r>
      <w:r>
        <w:rPr>
          <w:rFonts w:hint="eastAsia" w:ascii="仿宋_GB2312" w:hAnsi="仿宋_GB2312" w:eastAsia="仿宋_GB2312" w:cs="仿宋_GB2312"/>
          <w:color w:val="auto"/>
          <w:kern w:val="2"/>
          <w:sz w:val="32"/>
          <w:szCs w:val="32"/>
          <w:highlight w:val="none"/>
          <w:lang w:val="en-US" w:eastAsia="zh-CN" w:bidi="ar-SA"/>
        </w:rPr>
        <w:t>万元，占50.16%；公务接待费支出决算</w:t>
      </w:r>
      <w:r>
        <w:rPr>
          <w:rFonts w:hint="eastAsia" w:ascii="仿宋_GB2312" w:hAnsi="仿宋_GB2312" w:eastAsia="仿宋_GB2312" w:cs="仿宋_GB2312"/>
          <w:sz w:val="32"/>
          <w:szCs w:val="32"/>
        </w:rPr>
        <w:t>3.07</w:t>
      </w:r>
      <w:r>
        <w:rPr>
          <w:rFonts w:hint="eastAsia" w:ascii="仿宋_GB2312" w:hAnsi="仿宋_GB2312" w:eastAsia="仿宋_GB2312" w:cs="仿宋_GB2312"/>
          <w:color w:val="auto"/>
          <w:kern w:val="2"/>
          <w:sz w:val="32"/>
          <w:szCs w:val="32"/>
          <w:highlight w:val="none"/>
          <w:lang w:val="en-US" w:eastAsia="zh-CN" w:bidi="ar-SA"/>
        </w:rPr>
        <w:t>万元，占49.84%。具体情况如下：</w:t>
      </w:r>
    </w:p>
    <w:p w14:paraId="70B53486">
      <w:pPr>
        <w:pageBreakBefore w:val="0"/>
        <w:kinsoku/>
        <w:wordWrap/>
        <w:overflowPunct/>
        <w:topLinePunct w:val="0"/>
        <w:bidi w:val="0"/>
        <w:spacing w:line="600" w:lineRule="exact"/>
        <w:ind w:left="0" w:right="0" w:firstLine="640"/>
        <w:rPr>
          <w:rFonts w:hint="eastAsia" w:ascii="Times New Roman" w:hAnsi="Times New Roman" w:eastAsia="仿宋_GB2312" w:cs="仿宋_GB2312"/>
          <w:b/>
          <w:bCs/>
          <w:color w:val="auto"/>
          <w:kern w:val="2"/>
          <w:sz w:val="32"/>
          <w:szCs w:val="32"/>
          <w:highlight w:val="none"/>
          <w:lang w:val="en-US" w:eastAsia="zh-CN" w:bidi="ar-SA"/>
        </w:rPr>
      </w:pPr>
      <w:r>
        <w:drawing>
          <wp:anchor distT="0" distB="0" distL="114300" distR="114300" simplePos="0" relativeHeight="251662336" behindDoc="1" locked="0" layoutInCell="1" allowOverlap="1">
            <wp:simplePos x="0" y="0"/>
            <wp:positionH relativeFrom="column">
              <wp:posOffset>302895</wp:posOffset>
            </wp:positionH>
            <wp:positionV relativeFrom="paragraph">
              <wp:posOffset>247015</wp:posOffset>
            </wp:positionV>
            <wp:extent cx="4940300" cy="2743200"/>
            <wp:effectExtent l="4445" t="4445" r="8255" b="14605"/>
            <wp:wrapTight wrapText="bothSides">
              <wp:wrapPolygon>
                <wp:start x="-19" y="-35"/>
                <wp:lineTo x="-19" y="21565"/>
                <wp:lineTo x="21553" y="21565"/>
                <wp:lineTo x="21553" y="-35"/>
                <wp:lineTo x="-19" y="-35"/>
              </wp:wrapPolygon>
            </wp:wrapTight>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3310513C">
      <w:pPr>
        <w:pStyle w:val="12"/>
        <w:pageBreakBefore w:val="0"/>
        <w:kinsoku/>
        <w:wordWrap/>
        <w:overflowPunct/>
        <w:topLinePunct w:val="0"/>
        <w:bidi w:val="0"/>
        <w:spacing w:line="600" w:lineRule="exact"/>
        <w:ind w:left="0" w:right="0"/>
        <w:rPr>
          <w:rFonts w:hint="eastAsia" w:ascii="Times New Roman" w:hAnsi="Times New Roman" w:eastAsia="仿宋_GB2312" w:cs="仿宋_GB2312"/>
          <w:b/>
          <w:bCs/>
          <w:color w:val="auto"/>
          <w:kern w:val="2"/>
          <w:sz w:val="32"/>
          <w:szCs w:val="32"/>
          <w:highlight w:val="none"/>
          <w:lang w:val="en-US" w:eastAsia="zh-CN" w:bidi="ar-SA"/>
        </w:rPr>
      </w:pPr>
    </w:p>
    <w:p w14:paraId="5128060E">
      <w:pPr>
        <w:pageBreakBefore w:val="0"/>
        <w:kinsoku/>
        <w:wordWrap/>
        <w:overflowPunct/>
        <w:topLinePunct w:val="0"/>
        <w:bidi w:val="0"/>
        <w:spacing w:line="600" w:lineRule="exact"/>
        <w:ind w:left="0" w:right="0"/>
        <w:rPr>
          <w:rFonts w:hint="eastAsia" w:ascii="Times New Roman" w:hAnsi="Times New Roman" w:eastAsia="仿宋_GB2312" w:cs="仿宋_GB2312"/>
          <w:b/>
          <w:bCs/>
          <w:color w:val="auto"/>
          <w:kern w:val="2"/>
          <w:sz w:val="32"/>
          <w:szCs w:val="32"/>
          <w:highlight w:val="none"/>
          <w:lang w:val="en-US" w:eastAsia="zh-CN" w:bidi="ar-SA"/>
        </w:rPr>
      </w:pPr>
    </w:p>
    <w:p w14:paraId="7FA75A74">
      <w:pPr>
        <w:pStyle w:val="12"/>
        <w:pageBreakBefore w:val="0"/>
        <w:kinsoku/>
        <w:wordWrap/>
        <w:overflowPunct/>
        <w:topLinePunct w:val="0"/>
        <w:bidi w:val="0"/>
        <w:spacing w:line="600" w:lineRule="exact"/>
        <w:ind w:left="0" w:right="0"/>
        <w:rPr>
          <w:rFonts w:hint="eastAsia" w:ascii="Times New Roman" w:hAnsi="Times New Roman" w:eastAsia="仿宋_GB2312" w:cs="仿宋_GB2312"/>
          <w:b/>
          <w:bCs/>
          <w:color w:val="auto"/>
          <w:kern w:val="2"/>
          <w:sz w:val="32"/>
          <w:szCs w:val="32"/>
          <w:highlight w:val="none"/>
          <w:lang w:val="en-US" w:eastAsia="zh-CN" w:bidi="ar-SA"/>
        </w:rPr>
      </w:pPr>
    </w:p>
    <w:p w14:paraId="37CB0EF6">
      <w:pPr>
        <w:pageBreakBefore w:val="0"/>
        <w:kinsoku/>
        <w:wordWrap/>
        <w:overflowPunct/>
        <w:topLinePunct w:val="0"/>
        <w:bidi w:val="0"/>
        <w:spacing w:line="600" w:lineRule="exact"/>
        <w:ind w:left="0" w:right="0"/>
        <w:rPr>
          <w:rFonts w:hint="eastAsia" w:ascii="Times New Roman" w:hAnsi="Times New Roman" w:eastAsia="仿宋_GB2312" w:cs="仿宋_GB2312"/>
          <w:b/>
          <w:bCs/>
          <w:color w:val="auto"/>
          <w:kern w:val="2"/>
          <w:sz w:val="32"/>
          <w:szCs w:val="32"/>
          <w:highlight w:val="none"/>
          <w:lang w:val="en-US" w:eastAsia="zh-CN" w:bidi="ar-SA"/>
        </w:rPr>
      </w:pPr>
    </w:p>
    <w:p w14:paraId="46B6C3C2">
      <w:pPr>
        <w:pStyle w:val="12"/>
        <w:pageBreakBefore w:val="0"/>
        <w:kinsoku/>
        <w:wordWrap/>
        <w:overflowPunct/>
        <w:topLinePunct w:val="0"/>
        <w:bidi w:val="0"/>
        <w:spacing w:line="600" w:lineRule="exact"/>
        <w:ind w:left="0" w:right="0"/>
        <w:rPr>
          <w:rFonts w:hint="eastAsia" w:ascii="Times New Roman" w:hAnsi="Times New Roman" w:eastAsia="仿宋_GB2312" w:cs="仿宋_GB2312"/>
          <w:b/>
          <w:bCs/>
          <w:color w:val="auto"/>
          <w:kern w:val="2"/>
          <w:sz w:val="32"/>
          <w:szCs w:val="32"/>
          <w:highlight w:val="none"/>
          <w:lang w:val="en-US" w:eastAsia="zh-CN" w:bidi="ar-SA"/>
        </w:rPr>
      </w:pPr>
    </w:p>
    <w:p w14:paraId="722ECC79">
      <w:pPr>
        <w:pageBreakBefore w:val="0"/>
        <w:kinsoku/>
        <w:wordWrap/>
        <w:overflowPunct/>
        <w:topLinePunct w:val="0"/>
        <w:bidi w:val="0"/>
        <w:spacing w:line="600" w:lineRule="exact"/>
        <w:ind w:left="0" w:right="0"/>
        <w:rPr>
          <w:rFonts w:hint="eastAsia" w:ascii="Times New Roman" w:hAnsi="Times New Roman" w:eastAsia="仿宋_GB2312" w:cs="仿宋_GB2312"/>
          <w:b/>
          <w:bCs/>
          <w:color w:val="auto"/>
          <w:kern w:val="2"/>
          <w:sz w:val="32"/>
          <w:szCs w:val="32"/>
          <w:highlight w:val="none"/>
          <w:lang w:val="en-US" w:eastAsia="zh-CN" w:bidi="ar-SA"/>
        </w:rPr>
      </w:pPr>
    </w:p>
    <w:p w14:paraId="6A844B43">
      <w:pPr>
        <w:pStyle w:val="12"/>
        <w:pageBreakBefore w:val="0"/>
        <w:kinsoku/>
        <w:wordWrap/>
        <w:overflowPunct/>
        <w:topLinePunct w:val="0"/>
        <w:bidi w:val="0"/>
        <w:spacing w:line="600" w:lineRule="exact"/>
        <w:ind w:left="0" w:right="0"/>
        <w:rPr>
          <w:rFonts w:hint="eastAsia" w:ascii="Times New Roman" w:hAnsi="Times New Roman" w:eastAsia="仿宋_GB2312" w:cs="仿宋_GB2312"/>
          <w:b/>
          <w:bCs/>
          <w:color w:val="auto"/>
          <w:kern w:val="2"/>
          <w:sz w:val="32"/>
          <w:szCs w:val="32"/>
          <w:highlight w:val="none"/>
          <w:lang w:val="en-US" w:eastAsia="zh-CN" w:bidi="ar-SA"/>
        </w:rPr>
      </w:pPr>
    </w:p>
    <w:p w14:paraId="2431AFAB">
      <w:pPr>
        <w:pStyle w:val="12"/>
        <w:pageBreakBefore w:val="0"/>
        <w:kinsoku/>
        <w:wordWrap/>
        <w:overflowPunct/>
        <w:topLinePunct w:val="0"/>
        <w:bidi w:val="0"/>
        <w:spacing w:line="600" w:lineRule="exact"/>
        <w:ind w:left="0" w:right="0"/>
        <w:jc w:val="both"/>
        <w:rPr>
          <w:rFonts w:hint="eastAsia"/>
          <w:lang w:val="en-US" w:eastAsia="zh-CN"/>
        </w:rPr>
      </w:pPr>
    </w:p>
    <w:p w14:paraId="207D456B">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5671C8CD">
      <w:pPr>
        <w:pageBreakBefore w:val="0"/>
        <w:kinsoku/>
        <w:wordWrap/>
        <w:overflowPunct/>
        <w:topLinePunct w:val="0"/>
        <w:bidi w:val="0"/>
        <w:spacing w:line="600" w:lineRule="exact"/>
        <w:ind w:left="0" w:right="0"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3.09万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公务用车购置及运行维护费支出决算比2023年度增减少</w:t>
      </w:r>
      <w:r>
        <w:rPr>
          <w:rFonts w:hint="eastAsia" w:eastAsia="仿宋_GB2312" w:cs="仿宋_GB2312"/>
          <w:color w:val="auto"/>
          <w:kern w:val="2"/>
          <w:sz w:val="32"/>
          <w:szCs w:val="32"/>
          <w:highlight w:val="none"/>
          <w:lang w:val="en-US" w:eastAsia="zh-CN" w:bidi="ar-SA"/>
        </w:rPr>
        <w:t>25.85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89.33</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2023年购入新车投入固定资产。</w:t>
      </w:r>
    </w:p>
    <w:p w14:paraId="6EC62A86">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1EFE5591">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3.09</w:t>
      </w:r>
      <w:r>
        <w:rPr>
          <w:rFonts w:hint="eastAsia" w:ascii="Times New Roman" w:hAnsi="Times New Roman" w:eastAsia="仿宋_GB2312" w:cs="仿宋_GB2312"/>
          <w:color w:val="auto"/>
          <w:kern w:val="2"/>
          <w:sz w:val="32"/>
          <w:szCs w:val="32"/>
          <w:highlight w:val="none"/>
          <w:lang w:val="en-US" w:eastAsia="zh-CN" w:bidi="ar-SA"/>
        </w:rPr>
        <w:t>万元。主要用于具体工作所需的公务用车燃料费、维修费、过路过桥费、保险费等支出。</w:t>
      </w:r>
    </w:p>
    <w:p w14:paraId="30246A66">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3.07万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0.05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缩减开支，减少了接待人员人数和次数</w:t>
      </w:r>
      <w:r>
        <w:rPr>
          <w:rFonts w:hint="eastAsia" w:ascii="Times New Roman" w:hAnsi="Times New Roman" w:eastAsia="仿宋_GB2312" w:cs="仿宋_GB2312"/>
          <w:color w:val="auto"/>
          <w:kern w:val="2"/>
          <w:sz w:val="32"/>
          <w:szCs w:val="32"/>
          <w:highlight w:val="none"/>
          <w:lang w:val="en-US" w:eastAsia="zh-CN" w:bidi="ar-SA"/>
        </w:rPr>
        <w:t>。其中：</w:t>
      </w:r>
    </w:p>
    <w:p w14:paraId="79E5DEB2">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3.07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36</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564</w:t>
      </w:r>
      <w:r>
        <w:rPr>
          <w:rFonts w:hint="eastAsia" w:ascii="Times New Roman" w:hAnsi="Times New Roman" w:eastAsia="仿宋_GB2312" w:cs="仿宋_GB2312"/>
          <w:color w:val="auto"/>
          <w:kern w:val="2"/>
          <w:sz w:val="32"/>
          <w:szCs w:val="32"/>
          <w:highlight w:val="none"/>
          <w:lang w:val="en-US" w:eastAsia="zh-CN" w:bidi="ar-SA"/>
        </w:rPr>
        <w:t>人次（不包括陪同人员）。</w:t>
      </w:r>
    </w:p>
    <w:p w14:paraId="052B8903">
      <w:pPr>
        <w:pageBreakBefore w:val="0"/>
        <w:kinsoku/>
        <w:wordWrap/>
        <w:overflowPunct/>
        <w:topLinePunct w:val="0"/>
        <w:bidi w:val="0"/>
        <w:spacing w:line="600" w:lineRule="exact"/>
        <w:ind w:left="0" w:right="0" w:firstLine="640"/>
        <w:rPr>
          <w:rFonts w:hint="eastAsia" w:ascii="Times New Roman" w:hAnsi="Times New Roman" w:eastAsia="黑体"/>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w:t>
      </w:r>
      <w:r>
        <w:rPr>
          <w:rFonts w:hint="eastAsia" w:ascii="Times New Roman" w:hAnsi="Times New Roman" w:eastAsia="仿宋_GB2312" w:cs="仿宋_GB2312"/>
          <w:color w:val="auto"/>
          <w:kern w:val="2"/>
          <w:sz w:val="32"/>
          <w:szCs w:val="32"/>
          <w:highlight w:val="none"/>
          <w:lang w:val="en-US" w:eastAsia="zh-CN" w:bidi="ar-SA"/>
        </w:rPr>
        <w:t>。</w:t>
      </w:r>
      <w:bookmarkStart w:id="36" w:name="_Toc15377218"/>
      <w:bookmarkStart w:id="37" w:name="_Toc15396610"/>
    </w:p>
    <w:p w14:paraId="7BAD471B">
      <w:pPr>
        <w:pageBreakBefore w:val="0"/>
        <w:kinsoku/>
        <w:wordWrap/>
        <w:overflowPunct/>
        <w:topLinePunct w:val="0"/>
        <w:bidi w:val="0"/>
        <w:spacing w:line="600" w:lineRule="exact"/>
        <w:ind w:left="0" w:right="0" w:firstLine="640"/>
        <w:outlineLvl w:val="1"/>
        <w:rPr>
          <w:rStyle w:val="17"/>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17"/>
          <w:rFonts w:hint="eastAsia" w:ascii="Times New Roman" w:hAnsi="Times New Roman" w:eastAsia="黑体"/>
          <w:b w:val="0"/>
          <w:color w:val="auto"/>
          <w:highlight w:val="none"/>
        </w:rPr>
        <w:t>政府性基金预算支出决算情况说明</w:t>
      </w:r>
      <w:bookmarkEnd w:id="36"/>
      <w:bookmarkEnd w:id="37"/>
    </w:p>
    <w:p w14:paraId="5E23E289">
      <w:pPr>
        <w:pageBreakBefore w:val="0"/>
        <w:kinsoku/>
        <w:wordWrap/>
        <w:overflowPunct/>
        <w:topLinePunct w:val="0"/>
        <w:bidi w:val="0"/>
        <w:spacing w:line="600" w:lineRule="exact"/>
        <w:ind w:left="0" w:right="0"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121.82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12.88</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79.82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190.05</w:t>
      </w:r>
      <w:r>
        <w:rPr>
          <w:rFonts w:hint="eastAsia" w:ascii="Times New Roman" w:hAnsi="Times New Roman" w:eastAsia="仿宋_GB2312" w:cs="仿宋_GB2312"/>
          <w:color w:val="auto"/>
          <w:kern w:val="2"/>
          <w:sz w:val="32"/>
          <w:szCs w:val="32"/>
          <w:highlight w:val="none"/>
          <w:lang w:val="en-US" w:eastAsia="zh-CN" w:bidi="ar-SA"/>
        </w:rPr>
        <w:t>%。主要</w:t>
      </w:r>
      <w:bookmarkStart w:id="64" w:name="_GoBack"/>
      <w:bookmarkEnd w:id="64"/>
      <w:r>
        <w:rPr>
          <w:rFonts w:hint="eastAsia" w:ascii="Times New Roman" w:hAnsi="Times New Roman" w:eastAsia="仿宋_GB2312" w:cs="仿宋_GB2312"/>
          <w:color w:val="auto"/>
          <w:kern w:val="2"/>
          <w:sz w:val="32"/>
          <w:szCs w:val="32"/>
          <w:highlight w:val="none"/>
          <w:lang w:val="en-US" w:eastAsia="zh-CN" w:bidi="ar-SA"/>
        </w:rPr>
        <w:t>原因是</w:t>
      </w:r>
      <w:r>
        <w:rPr>
          <w:rFonts w:hint="eastAsia" w:eastAsia="仿宋_GB2312" w:cs="仿宋_GB2312"/>
          <w:color w:val="auto"/>
          <w:kern w:val="2"/>
          <w:sz w:val="32"/>
          <w:szCs w:val="32"/>
          <w:highlight w:val="none"/>
          <w:lang w:val="en-US" w:eastAsia="zh-CN" w:bidi="ar-SA"/>
        </w:rPr>
        <w:t>政府性基金项目的增加，经费增加。</w:t>
      </w:r>
    </w:p>
    <w:p w14:paraId="7C10A488">
      <w:pPr>
        <w:pageBreakBefore w:val="0"/>
        <w:numPr>
          <w:ilvl w:val="0"/>
          <w:numId w:val="0"/>
        </w:numPr>
        <w:kinsoku/>
        <w:wordWrap/>
        <w:overflowPunct/>
        <w:topLinePunct w:val="0"/>
        <w:bidi w:val="0"/>
        <w:spacing w:line="600" w:lineRule="exact"/>
        <w:ind w:left="0" w:leftChars="0" w:right="0" w:firstLine="640" w:firstLineChars="200"/>
        <w:outlineLvl w:val="1"/>
        <w:rPr>
          <w:rStyle w:val="17"/>
          <w:rFonts w:ascii="Times New Roman" w:hAnsi="Times New Roman" w:eastAsia="黑体"/>
          <w:b w:val="0"/>
          <w:color w:val="auto"/>
          <w:highlight w:val="none"/>
        </w:rPr>
      </w:pPr>
      <w:bookmarkStart w:id="38" w:name="_Toc15396611"/>
      <w:bookmarkStart w:id="39" w:name="_Toc15377219"/>
      <w:r>
        <w:rPr>
          <w:rStyle w:val="17"/>
          <w:rFonts w:hint="eastAsia" w:ascii="Times New Roman" w:hAnsi="Times New Roman" w:eastAsia="黑体"/>
          <w:b w:val="0"/>
          <w:color w:val="auto"/>
          <w:highlight w:val="none"/>
          <w:lang w:eastAsia="zh-CN"/>
        </w:rPr>
        <w:t>九、</w:t>
      </w:r>
      <w:r>
        <w:rPr>
          <w:rStyle w:val="17"/>
          <w:rFonts w:hint="eastAsia" w:ascii="Times New Roman" w:hAnsi="Times New Roman" w:eastAsia="黑体"/>
          <w:b w:val="0"/>
          <w:color w:val="auto"/>
          <w:highlight w:val="none"/>
        </w:rPr>
        <w:t>国有资本经营预算支出决算情况说明</w:t>
      </w:r>
      <w:bookmarkEnd w:id="38"/>
      <w:bookmarkEnd w:id="39"/>
    </w:p>
    <w:p w14:paraId="5DC330D3">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9A788CC">
      <w:pPr>
        <w:pageBreakBefore w:val="0"/>
        <w:numPr>
          <w:ilvl w:val="0"/>
          <w:numId w:val="0"/>
        </w:numPr>
        <w:kinsoku/>
        <w:wordWrap/>
        <w:overflowPunct/>
        <w:topLinePunct w:val="0"/>
        <w:bidi w:val="0"/>
        <w:spacing w:line="600" w:lineRule="exact"/>
        <w:ind w:left="0" w:leftChars="0" w:right="0" w:firstLine="640" w:firstLineChars="200"/>
        <w:outlineLvl w:val="1"/>
        <w:rPr>
          <w:rStyle w:val="17"/>
          <w:rFonts w:hint="eastAsia" w:ascii="Times New Roman" w:hAnsi="Times New Roman" w:eastAsia="黑体"/>
          <w:b w:val="0"/>
          <w:color w:val="auto"/>
          <w:highlight w:val="none"/>
        </w:rPr>
      </w:pPr>
      <w:bookmarkStart w:id="40" w:name="_Toc15377221"/>
      <w:bookmarkStart w:id="41" w:name="_Toc15396612"/>
      <w:r>
        <w:rPr>
          <w:rStyle w:val="17"/>
          <w:rFonts w:hint="eastAsia" w:ascii="Times New Roman" w:hAnsi="Times New Roman" w:eastAsia="黑体"/>
          <w:b w:val="0"/>
          <w:color w:val="auto"/>
          <w:highlight w:val="none"/>
          <w:lang w:eastAsia="zh-CN"/>
        </w:rPr>
        <w:t>十、</w:t>
      </w:r>
      <w:r>
        <w:rPr>
          <w:rStyle w:val="17"/>
          <w:rFonts w:hint="eastAsia" w:ascii="Times New Roman" w:hAnsi="Times New Roman" w:eastAsia="黑体"/>
          <w:b w:val="0"/>
          <w:color w:val="auto"/>
          <w:highlight w:val="none"/>
        </w:rPr>
        <w:t>其他重要事项的情况说明</w:t>
      </w:r>
      <w:bookmarkEnd w:id="40"/>
      <w:bookmarkEnd w:id="41"/>
    </w:p>
    <w:p w14:paraId="11673C9B">
      <w:pPr>
        <w:pageBreakBefore w:val="0"/>
        <w:kinsoku/>
        <w:wordWrap/>
        <w:overflowPunct/>
        <w:topLinePunct w:val="0"/>
        <w:bidi w:val="0"/>
        <w:spacing w:line="600" w:lineRule="exact"/>
        <w:ind w:left="0" w:leftChars="0" w:right="0" w:firstLine="624" w:firstLineChars="200"/>
        <w:rPr>
          <w:rFonts w:hint="eastAsia" w:ascii="楷体_GB2312" w:hAnsi="楷体_GB2312" w:eastAsia="楷体_GB2312" w:cs="楷体_GB2312"/>
          <w:snapToGrid w:val="0"/>
          <w:color w:val="000000"/>
          <w:spacing w:val="-4"/>
          <w:kern w:val="0"/>
          <w:sz w:val="32"/>
          <w:szCs w:val="32"/>
          <w:lang w:val="en-US" w:eastAsia="zh-CN"/>
        </w:rPr>
      </w:pPr>
      <w:bookmarkStart w:id="42" w:name="_Toc15377222"/>
      <w:r>
        <w:rPr>
          <w:rFonts w:hint="eastAsia" w:ascii="楷体_GB2312" w:hAnsi="楷体_GB2312" w:eastAsia="楷体_GB2312" w:cs="楷体_GB2312"/>
          <w:snapToGrid w:val="0"/>
          <w:color w:val="000000"/>
          <w:spacing w:val="-4"/>
          <w:kern w:val="0"/>
          <w:sz w:val="32"/>
          <w:szCs w:val="32"/>
          <w:lang w:val="en-US" w:eastAsia="zh-CN"/>
        </w:rPr>
        <w:t>（一）机关运行经费支出情况</w:t>
      </w:r>
      <w:bookmarkEnd w:id="42"/>
    </w:p>
    <w:p w14:paraId="643FB03E">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峨边彝族自治县宜坪乡人民政府</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100.76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6.67</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6.21</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缩减开支，厉行节约。</w:t>
      </w:r>
    </w:p>
    <w:p w14:paraId="6BCE3ABF">
      <w:pPr>
        <w:pageBreakBefore w:val="0"/>
        <w:kinsoku/>
        <w:wordWrap/>
        <w:overflowPunct/>
        <w:topLinePunct w:val="0"/>
        <w:bidi w:val="0"/>
        <w:spacing w:line="600" w:lineRule="exact"/>
        <w:ind w:left="0" w:leftChars="0" w:right="0" w:firstLine="624" w:firstLineChars="200"/>
        <w:rPr>
          <w:rFonts w:hint="eastAsia" w:ascii="楷体_GB2312" w:hAnsi="楷体_GB2312" w:eastAsia="楷体_GB2312" w:cs="楷体_GB2312"/>
          <w:snapToGrid w:val="0"/>
          <w:color w:val="000000"/>
          <w:spacing w:val="-4"/>
          <w:kern w:val="0"/>
          <w:sz w:val="32"/>
          <w:szCs w:val="32"/>
          <w:lang w:val="en-US" w:eastAsia="zh-CN"/>
        </w:rPr>
      </w:pPr>
      <w:bookmarkStart w:id="43" w:name="_Toc15377223"/>
      <w:r>
        <w:rPr>
          <w:rFonts w:hint="eastAsia" w:ascii="楷体_GB2312" w:hAnsi="楷体_GB2312" w:eastAsia="楷体_GB2312" w:cs="楷体_GB2312"/>
          <w:snapToGrid w:val="0"/>
          <w:color w:val="000000"/>
          <w:spacing w:val="-4"/>
          <w:kern w:val="0"/>
          <w:sz w:val="32"/>
          <w:szCs w:val="32"/>
          <w:lang w:val="en-US" w:eastAsia="zh-CN"/>
        </w:rPr>
        <w:t>（二）政府采购支出情况</w:t>
      </w:r>
      <w:bookmarkEnd w:id="43"/>
    </w:p>
    <w:p w14:paraId="72C4409E">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峨边彝族自治县宜坪乡人民</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14665A82">
      <w:pPr>
        <w:pageBreakBefore w:val="0"/>
        <w:kinsoku/>
        <w:wordWrap/>
        <w:overflowPunct/>
        <w:topLinePunct w:val="0"/>
        <w:bidi w:val="0"/>
        <w:spacing w:line="600" w:lineRule="exact"/>
        <w:ind w:left="0" w:leftChars="0" w:right="0" w:firstLine="624" w:firstLineChars="200"/>
        <w:rPr>
          <w:rFonts w:hint="eastAsia" w:ascii="楷体_GB2312" w:hAnsi="楷体_GB2312" w:eastAsia="楷体_GB2312" w:cs="楷体_GB2312"/>
          <w:snapToGrid w:val="0"/>
          <w:color w:val="000000"/>
          <w:spacing w:val="-4"/>
          <w:kern w:val="0"/>
          <w:sz w:val="32"/>
          <w:szCs w:val="32"/>
          <w:lang w:val="en-US" w:eastAsia="zh-CN"/>
        </w:rPr>
      </w:pPr>
      <w:bookmarkStart w:id="44" w:name="_Toc15377224"/>
      <w:r>
        <w:rPr>
          <w:rFonts w:hint="eastAsia" w:ascii="楷体_GB2312" w:hAnsi="楷体_GB2312" w:eastAsia="楷体_GB2312" w:cs="楷体_GB2312"/>
          <w:snapToGrid w:val="0"/>
          <w:color w:val="000000"/>
          <w:spacing w:val="-4"/>
          <w:kern w:val="0"/>
          <w:sz w:val="32"/>
          <w:szCs w:val="32"/>
          <w:lang w:val="en-US" w:eastAsia="zh-CN"/>
        </w:rPr>
        <w:t>（三）国有资产占有使用情况</w:t>
      </w:r>
      <w:bookmarkEnd w:id="44"/>
    </w:p>
    <w:p w14:paraId="197A79E7">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峨边彝族自治县宜坪乡人民政府</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1877F15F">
      <w:pPr>
        <w:pageBreakBefore w:val="0"/>
        <w:kinsoku/>
        <w:wordWrap/>
        <w:overflowPunct/>
        <w:topLinePunct w:val="0"/>
        <w:bidi w:val="0"/>
        <w:spacing w:line="600" w:lineRule="exact"/>
        <w:ind w:left="0" w:leftChars="0" w:right="0" w:firstLine="624" w:firstLineChars="200"/>
        <w:rPr>
          <w:rFonts w:hint="eastAsia" w:ascii="楷体_GB2312" w:hAnsi="楷体_GB2312" w:eastAsia="楷体_GB2312" w:cs="楷体_GB2312"/>
          <w:snapToGrid w:val="0"/>
          <w:color w:val="000000"/>
          <w:spacing w:val="-4"/>
          <w:kern w:val="0"/>
          <w:sz w:val="32"/>
          <w:szCs w:val="32"/>
          <w:lang w:val="en-US" w:eastAsia="zh-CN"/>
        </w:rPr>
      </w:pPr>
      <w:r>
        <w:rPr>
          <w:rFonts w:hint="eastAsia" w:ascii="楷体_GB2312" w:hAnsi="楷体_GB2312" w:eastAsia="楷体_GB2312" w:cs="楷体_GB2312"/>
          <w:snapToGrid w:val="0"/>
          <w:color w:val="000000"/>
          <w:spacing w:val="-4"/>
          <w:kern w:val="0"/>
          <w:sz w:val="32"/>
          <w:szCs w:val="32"/>
          <w:lang w:val="en-US" w:eastAsia="zh-CN"/>
        </w:rPr>
        <w:t>（四）预算绩效管理情况</w:t>
      </w:r>
    </w:p>
    <w:p w14:paraId="133623BE">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宜坪乡政府</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1BBF59E4">
      <w:pPr>
        <w:pageBreakBefore w:val="0"/>
        <w:kinsoku/>
        <w:wordWrap/>
        <w:overflowPunct/>
        <w:topLinePunct w:val="0"/>
        <w:bidi w:val="0"/>
        <w:spacing w:line="600" w:lineRule="exact"/>
        <w:ind w:left="0" w:right="0"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宜坪乡政府</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w:t>
      </w:r>
      <w:r>
        <w:rPr>
          <w:rFonts w:hint="eastAsia" w:eastAsia="仿宋_GB2312" w:cs="仿宋_GB2312"/>
          <w:color w:val="auto"/>
          <w:kern w:val="2"/>
          <w:sz w:val="32"/>
          <w:szCs w:val="32"/>
          <w:highlight w:val="none"/>
          <w:lang w:val="en-US" w:eastAsia="zh-CN" w:bidi="ar-SA"/>
        </w:rPr>
        <w:t>告和</w:t>
      </w:r>
      <w:r>
        <w:rPr>
          <w:rFonts w:hint="eastAsia" w:ascii="Times New Roman" w:hAnsi="Times New Roman" w:eastAsia="仿宋_GB2312" w:cs="仿宋_GB2312"/>
          <w:color w:val="auto"/>
          <w:kern w:val="2"/>
          <w:sz w:val="32"/>
          <w:szCs w:val="32"/>
          <w:highlight w:val="none"/>
          <w:lang w:val="en-US" w:eastAsia="zh-CN" w:bidi="ar-SA"/>
        </w:rPr>
        <w:t>专项预算项目绩效自评报告，其中，</w:t>
      </w:r>
      <w:r>
        <w:rPr>
          <w:rFonts w:hint="eastAsia" w:eastAsia="仿宋_GB2312" w:cs="仿宋_GB2312"/>
          <w:color w:val="auto"/>
          <w:kern w:val="2"/>
          <w:sz w:val="32"/>
          <w:szCs w:val="32"/>
          <w:highlight w:val="none"/>
          <w:lang w:val="en-US" w:eastAsia="zh-CN" w:bidi="ar-SA"/>
        </w:rPr>
        <w:t>宜坪乡政府</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97</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97分</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97分</w:t>
      </w:r>
      <w:r>
        <w:rPr>
          <w:rFonts w:hint="eastAsia" w:ascii="Times New Roman" w:hAnsi="Times New Roman" w:eastAsia="仿宋_GB2312" w:cs="仿宋_GB2312"/>
          <w:color w:val="auto"/>
          <w:kern w:val="2"/>
          <w:sz w:val="32"/>
          <w:szCs w:val="32"/>
          <w:highlight w:val="none"/>
          <w:lang w:val="en-US" w:eastAsia="zh-CN" w:bidi="ar-SA"/>
        </w:rPr>
        <w:t>，绩效自评综述</w:t>
      </w:r>
      <w:r>
        <w:rPr>
          <w:rFonts w:hint="eastAsia" w:eastAsia="仿宋_GB2312" w:cs="仿宋_GB2312"/>
          <w:color w:val="auto"/>
          <w:kern w:val="2"/>
          <w:sz w:val="32"/>
          <w:szCs w:val="32"/>
          <w:highlight w:val="none"/>
          <w:lang w:val="en-US" w:eastAsia="zh-CN" w:bidi="ar-SA"/>
        </w:rPr>
        <w:t>97分</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52224161">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p>
    <w:p w14:paraId="0B50A7E3">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p>
    <w:p w14:paraId="1C6BCD31">
      <w:pPr>
        <w:pStyle w:val="12"/>
        <w:pageBreakBefore w:val="0"/>
        <w:kinsoku/>
        <w:wordWrap/>
        <w:overflowPunct/>
        <w:topLinePunct w:val="0"/>
        <w:bidi w:val="0"/>
        <w:spacing w:line="600" w:lineRule="exact"/>
        <w:ind w:left="0" w:right="0"/>
        <w:rPr>
          <w:rFonts w:hint="eastAsia" w:ascii="Times New Roman" w:hAnsi="Times New Roman" w:eastAsia="仿宋_GB2312" w:cs="仿宋_GB2312"/>
          <w:color w:val="auto"/>
          <w:kern w:val="2"/>
          <w:sz w:val="32"/>
          <w:szCs w:val="32"/>
          <w:highlight w:val="none"/>
          <w:lang w:val="en-US" w:eastAsia="zh-CN" w:bidi="ar-SA"/>
        </w:rPr>
      </w:pPr>
    </w:p>
    <w:p w14:paraId="562262B7">
      <w:pPr>
        <w:pageBreakBefore w:val="0"/>
        <w:kinsoku/>
        <w:wordWrap/>
        <w:overflowPunct/>
        <w:topLinePunct w:val="0"/>
        <w:bidi w:val="0"/>
        <w:spacing w:line="600" w:lineRule="exact"/>
        <w:ind w:left="0" w:right="0"/>
        <w:rPr>
          <w:rFonts w:hint="eastAsia" w:ascii="Times New Roman" w:hAnsi="Times New Roman" w:eastAsia="仿宋_GB2312" w:cs="仿宋_GB2312"/>
          <w:color w:val="auto"/>
          <w:kern w:val="2"/>
          <w:sz w:val="32"/>
          <w:szCs w:val="32"/>
          <w:highlight w:val="none"/>
          <w:lang w:val="en-US" w:eastAsia="zh-CN" w:bidi="ar-SA"/>
        </w:rPr>
      </w:pPr>
    </w:p>
    <w:p w14:paraId="18A250F7">
      <w:pPr>
        <w:pStyle w:val="12"/>
        <w:pageBreakBefore w:val="0"/>
        <w:kinsoku/>
        <w:wordWrap/>
        <w:overflowPunct/>
        <w:topLinePunct w:val="0"/>
        <w:bidi w:val="0"/>
        <w:spacing w:line="600" w:lineRule="exact"/>
        <w:ind w:left="0" w:right="0"/>
        <w:rPr>
          <w:rFonts w:hint="eastAsia" w:ascii="Times New Roman" w:hAnsi="Times New Roman" w:eastAsia="仿宋_GB2312" w:cs="仿宋_GB2312"/>
          <w:color w:val="auto"/>
          <w:kern w:val="2"/>
          <w:sz w:val="32"/>
          <w:szCs w:val="32"/>
          <w:highlight w:val="none"/>
          <w:lang w:val="en-US" w:eastAsia="zh-CN" w:bidi="ar-SA"/>
        </w:rPr>
      </w:pPr>
    </w:p>
    <w:p w14:paraId="6522C3B1">
      <w:pPr>
        <w:pageBreakBefore w:val="0"/>
        <w:kinsoku/>
        <w:wordWrap/>
        <w:overflowPunct/>
        <w:topLinePunct w:val="0"/>
        <w:bidi w:val="0"/>
        <w:spacing w:line="600" w:lineRule="exact"/>
        <w:ind w:left="0" w:right="0"/>
        <w:rPr>
          <w:rFonts w:hint="eastAsia" w:ascii="Times New Roman" w:hAnsi="Times New Roman" w:eastAsia="仿宋_GB2312" w:cs="仿宋_GB2312"/>
          <w:color w:val="auto"/>
          <w:kern w:val="2"/>
          <w:sz w:val="32"/>
          <w:szCs w:val="32"/>
          <w:highlight w:val="none"/>
          <w:lang w:val="en-US" w:eastAsia="zh-CN" w:bidi="ar-SA"/>
        </w:rPr>
      </w:pPr>
    </w:p>
    <w:p w14:paraId="5623C712">
      <w:pPr>
        <w:pStyle w:val="12"/>
        <w:pageBreakBefore w:val="0"/>
        <w:kinsoku/>
        <w:wordWrap/>
        <w:overflowPunct/>
        <w:topLinePunct w:val="0"/>
        <w:bidi w:val="0"/>
        <w:spacing w:line="600" w:lineRule="exact"/>
        <w:ind w:left="0" w:right="0"/>
        <w:rPr>
          <w:rFonts w:hint="eastAsia" w:ascii="Times New Roman" w:hAnsi="Times New Roman" w:eastAsia="仿宋_GB2312" w:cs="仿宋_GB2312"/>
          <w:color w:val="auto"/>
          <w:kern w:val="2"/>
          <w:sz w:val="32"/>
          <w:szCs w:val="32"/>
          <w:highlight w:val="none"/>
          <w:lang w:val="en-US" w:eastAsia="zh-CN" w:bidi="ar-SA"/>
        </w:rPr>
      </w:pPr>
    </w:p>
    <w:p w14:paraId="53CFD56C">
      <w:pPr>
        <w:pageBreakBefore w:val="0"/>
        <w:kinsoku/>
        <w:wordWrap/>
        <w:overflowPunct/>
        <w:topLinePunct w:val="0"/>
        <w:bidi w:val="0"/>
        <w:spacing w:line="600" w:lineRule="exact"/>
        <w:ind w:left="0" w:right="0"/>
        <w:rPr>
          <w:rFonts w:hint="eastAsia" w:ascii="Times New Roman" w:hAnsi="Times New Roman" w:eastAsia="仿宋_GB2312" w:cs="仿宋_GB2312"/>
          <w:color w:val="auto"/>
          <w:kern w:val="2"/>
          <w:sz w:val="32"/>
          <w:szCs w:val="32"/>
          <w:highlight w:val="none"/>
          <w:lang w:val="en-US" w:eastAsia="zh-CN" w:bidi="ar-SA"/>
        </w:rPr>
      </w:pPr>
    </w:p>
    <w:p w14:paraId="4ED42404">
      <w:pPr>
        <w:pStyle w:val="12"/>
        <w:pageBreakBefore w:val="0"/>
        <w:kinsoku/>
        <w:wordWrap/>
        <w:overflowPunct/>
        <w:topLinePunct w:val="0"/>
        <w:bidi w:val="0"/>
        <w:spacing w:line="600" w:lineRule="exact"/>
        <w:ind w:left="0" w:right="0"/>
        <w:rPr>
          <w:rFonts w:hint="eastAsia" w:ascii="Times New Roman" w:hAnsi="Times New Roman" w:eastAsia="仿宋_GB2312" w:cs="仿宋_GB2312"/>
          <w:color w:val="auto"/>
          <w:kern w:val="2"/>
          <w:sz w:val="32"/>
          <w:szCs w:val="32"/>
          <w:highlight w:val="none"/>
          <w:lang w:val="en-US" w:eastAsia="zh-CN" w:bidi="ar-SA"/>
        </w:rPr>
      </w:pPr>
    </w:p>
    <w:p w14:paraId="2A8846BF">
      <w:pPr>
        <w:pageBreakBefore w:val="0"/>
        <w:kinsoku/>
        <w:wordWrap/>
        <w:overflowPunct/>
        <w:topLinePunct w:val="0"/>
        <w:bidi w:val="0"/>
        <w:spacing w:line="600" w:lineRule="exact"/>
        <w:ind w:left="0" w:right="0"/>
        <w:rPr>
          <w:rFonts w:hint="eastAsia" w:ascii="Times New Roman" w:hAnsi="Times New Roman" w:eastAsia="仿宋_GB2312" w:cs="仿宋_GB2312"/>
          <w:color w:val="auto"/>
          <w:kern w:val="2"/>
          <w:sz w:val="32"/>
          <w:szCs w:val="32"/>
          <w:highlight w:val="none"/>
          <w:lang w:val="en-US" w:eastAsia="zh-CN" w:bidi="ar-SA"/>
        </w:rPr>
      </w:pPr>
    </w:p>
    <w:p w14:paraId="4470487C">
      <w:pPr>
        <w:pStyle w:val="12"/>
        <w:pageBreakBefore w:val="0"/>
        <w:kinsoku/>
        <w:wordWrap/>
        <w:overflowPunct/>
        <w:topLinePunct w:val="0"/>
        <w:bidi w:val="0"/>
        <w:spacing w:line="600" w:lineRule="exact"/>
        <w:ind w:left="0" w:right="0"/>
        <w:rPr>
          <w:rFonts w:hint="eastAsia" w:ascii="Times New Roman" w:hAnsi="Times New Roman" w:eastAsia="仿宋_GB2312" w:cs="仿宋_GB2312"/>
          <w:color w:val="auto"/>
          <w:kern w:val="2"/>
          <w:sz w:val="32"/>
          <w:szCs w:val="32"/>
          <w:highlight w:val="none"/>
          <w:lang w:val="en-US" w:eastAsia="zh-CN" w:bidi="ar-SA"/>
        </w:rPr>
      </w:pPr>
    </w:p>
    <w:p w14:paraId="5EB4F55F">
      <w:pPr>
        <w:pageBreakBefore w:val="0"/>
        <w:kinsoku/>
        <w:wordWrap/>
        <w:overflowPunct/>
        <w:topLinePunct w:val="0"/>
        <w:bidi w:val="0"/>
        <w:spacing w:line="600" w:lineRule="exact"/>
        <w:ind w:left="0" w:right="0"/>
        <w:rPr>
          <w:rFonts w:hint="eastAsia" w:ascii="Times New Roman" w:hAnsi="Times New Roman" w:eastAsia="仿宋_GB2312" w:cs="仿宋_GB2312"/>
          <w:color w:val="auto"/>
          <w:kern w:val="2"/>
          <w:sz w:val="32"/>
          <w:szCs w:val="32"/>
          <w:highlight w:val="none"/>
          <w:lang w:val="en-US" w:eastAsia="zh-CN" w:bidi="ar-SA"/>
        </w:rPr>
      </w:pPr>
    </w:p>
    <w:p w14:paraId="233AC861">
      <w:pPr>
        <w:pStyle w:val="12"/>
        <w:pageBreakBefore w:val="0"/>
        <w:kinsoku/>
        <w:wordWrap/>
        <w:overflowPunct/>
        <w:topLinePunct w:val="0"/>
        <w:bidi w:val="0"/>
        <w:spacing w:line="600" w:lineRule="exact"/>
        <w:ind w:left="0" w:right="0"/>
        <w:rPr>
          <w:rFonts w:hint="eastAsia" w:ascii="Times New Roman" w:hAnsi="Times New Roman" w:eastAsia="仿宋_GB2312" w:cs="仿宋_GB2312"/>
          <w:color w:val="auto"/>
          <w:kern w:val="2"/>
          <w:sz w:val="32"/>
          <w:szCs w:val="32"/>
          <w:highlight w:val="none"/>
          <w:lang w:val="en-US" w:eastAsia="zh-CN" w:bidi="ar-SA"/>
        </w:rPr>
      </w:pPr>
    </w:p>
    <w:p w14:paraId="36FE5530">
      <w:pPr>
        <w:pageBreakBefore w:val="0"/>
        <w:kinsoku/>
        <w:wordWrap/>
        <w:overflowPunct/>
        <w:topLinePunct w:val="0"/>
        <w:bidi w:val="0"/>
        <w:spacing w:line="600" w:lineRule="exact"/>
        <w:ind w:left="0" w:right="0"/>
        <w:rPr>
          <w:rFonts w:hint="eastAsia" w:ascii="Times New Roman" w:hAnsi="Times New Roman" w:eastAsia="仿宋_GB2312" w:cs="仿宋_GB2312"/>
          <w:color w:val="auto"/>
          <w:kern w:val="2"/>
          <w:sz w:val="32"/>
          <w:szCs w:val="32"/>
          <w:highlight w:val="none"/>
          <w:lang w:val="en-US" w:eastAsia="zh-CN" w:bidi="ar-SA"/>
        </w:rPr>
      </w:pPr>
    </w:p>
    <w:p w14:paraId="211FE606">
      <w:pPr>
        <w:pStyle w:val="12"/>
        <w:pageBreakBefore w:val="0"/>
        <w:kinsoku/>
        <w:wordWrap/>
        <w:overflowPunct/>
        <w:topLinePunct w:val="0"/>
        <w:bidi w:val="0"/>
        <w:spacing w:line="600" w:lineRule="exact"/>
        <w:ind w:left="0" w:right="0"/>
        <w:rPr>
          <w:rFonts w:hint="eastAsia" w:ascii="Times New Roman" w:hAnsi="Times New Roman" w:eastAsia="仿宋_GB2312" w:cs="仿宋_GB2312"/>
          <w:color w:val="auto"/>
          <w:kern w:val="2"/>
          <w:sz w:val="32"/>
          <w:szCs w:val="32"/>
          <w:highlight w:val="none"/>
          <w:lang w:val="en-US" w:eastAsia="zh-CN" w:bidi="ar-SA"/>
        </w:rPr>
      </w:pPr>
    </w:p>
    <w:p w14:paraId="3BCD0FE5">
      <w:pPr>
        <w:pageBreakBefore w:val="0"/>
        <w:kinsoku/>
        <w:wordWrap/>
        <w:overflowPunct/>
        <w:topLinePunct w:val="0"/>
        <w:bidi w:val="0"/>
        <w:spacing w:line="600" w:lineRule="exact"/>
        <w:ind w:left="0" w:right="0"/>
        <w:rPr>
          <w:rFonts w:hint="eastAsia" w:ascii="Times New Roman" w:hAnsi="Times New Roman" w:eastAsia="仿宋_GB2312" w:cs="仿宋_GB2312"/>
          <w:color w:val="auto"/>
          <w:kern w:val="2"/>
          <w:sz w:val="32"/>
          <w:szCs w:val="32"/>
          <w:highlight w:val="none"/>
          <w:lang w:val="en-US" w:eastAsia="zh-CN" w:bidi="ar-SA"/>
        </w:rPr>
      </w:pPr>
    </w:p>
    <w:p w14:paraId="0B67D69C">
      <w:pPr>
        <w:pStyle w:val="12"/>
        <w:pageBreakBefore w:val="0"/>
        <w:kinsoku/>
        <w:wordWrap/>
        <w:overflowPunct/>
        <w:topLinePunct w:val="0"/>
        <w:bidi w:val="0"/>
        <w:spacing w:line="600" w:lineRule="exact"/>
        <w:ind w:left="0" w:right="0"/>
        <w:rPr>
          <w:rFonts w:hint="eastAsia" w:ascii="Times New Roman" w:hAnsi="Times New Roman" w:eastAsia="仿宋_GB2312" w:cs="仿宋_GB2312"/>
          <w:color w:val="auto"/>
          <w:kern w:val="2"/>
          <w:sz w:val="32"/>
          <w:szCs w:val="32"/>
          <w:highlight w:val="none"/>
          <w:lang w:val="en-US" w:eastAsia="zh-CN" w:bidi="ar-SA"/>
        </w:rPr>
      </w:pPr>
    </w:p>
    <w:p w14:paraId="059D1814">
      <w:pPr>
        <w:pageBreakBefore w:val="0"/>
        <w:kinsoku/>
        <w:wordWrap/>
        <w:overflowPunct/>
        <w:topLinePunct w:val="0"/>
        <w:bidi w:val="0"/>
        <w:spacing w:line="600" w:lineRule="exact"/>
        <w:ind w:left="0" w:right="0"/>
        <w:rPr>
          <w:rFonts w:hint="eastAsia" w:ascii="Times New Roman" w:hAnsi="Times New Roman" w:eastAsia="仿宋_GB2312" w:cs="仿宋_GB2312"/>
          <w:color w:val="auto"/>
          <w:kern w:val="2"/>
          <w:sz w:val="32"/>
          <w:szCs w:val="32"/>
          <w:highlight w:val="none"/>
          <w:lang w:val="en-US" w:eastAsia="zh-CN" w:bidi="ar-SA"/>
        </w:rPr>
      </w:pPr>
    </w:p>
    <w:p w14:paraId="29F637B8">
      <w:pPr>
        <w:pStyle w:val="12"/>
        <w:pageBreakBefore w:val="0"/>
        <w:kinsoku/>
        <w:wordWrap/>
        <w:overflowPunct/>
        <w:topLinePunct w:val="0"/>
        <w:bidi w:val="0"/>
        <w:spacing w:line="600" w:lineRule="exact"/>
        <w:ind w:left="0" w:right="0"/>
        <w:rPr>
          <w:rFonts w:hint="eastAsia" w:ascii="Times New Roman" w:hAnsi="Times New Roman" w:eastAsia="仿宋_GB2312" w:cs="仿宋_GB2312"/>
          <w:color w:val="auto"/>
          <w:kern w:val="2"/>
          <w:sz w:val="32"/>
          <w:szCs w:val="32"/>
          <w:highlight w:val="none"/>
          <w:lang w:val="en-US" w:eastAsia="zh-CN" w:bidi="ar-SA"/>
        </w:rPr>
      </w:pPr>
    </w:p>
    <w:p w14:paraId="4752CD43">
      <w:pPr>
        <w:pageBreakBefore w:val="0"/>
        <w:kinsoku/>
        <w:wordWrap/>
        <w:overflowPunct/>
        <w:topLinePunct w:val="0"/>
        <w:bidi w:val="0"/>
        <w:spacing w:line="600" w:lineRule="exact"/>
        <w:ind w:left="0" w:right="0"/>
        <w:rPr>
          <w:rFonts w:hint="eastAsia" w:ascii="Times New Roman" w:hAnsi="Times New Roman" w:eastAsia="仿宋_GB2312" w:cs="仿宋_GB2312"/>
          <w:color w:val="auto"/>
          <w:kern w:val="2"/>
          <w:sz w:val="32"/>
          <w:szCs w:val="32"/>
          <w:highlight w:val="none"/>
          <w:lang w:val="en-US" w:eastAsia="zh-CN" w:bidi="ar-SA"/>
        </w:rPr>
      </w:pPr>
    </w:p>
    <w:p w14:paraId="4BE3F72E">
      <w:pPr>
        <w:pageBreakBefore w:val="0"/>
        <w:kinsoku/>
        <w:wordWrap/>
        <w:overflowPunct/>
        <w:topLinePunct w:val="0"/>
        <w:bidi w:val="0"/>
        <w:spacing w:line="600" w:lineRule="exact"/>
        <w:ind w:left="0" w:right="0"/>
        <w:rPr>
          <w:rFonts w:hint="eastAsia"/>
          <w:lang w:val="en-US" w:eastAsia="zh-CN"/>
        </w:rPr>
      </w:pPr>
    </w:p>
    <w:p w14:paraId="1BC835DB">
      <w:pPr>
        <w:pageBreakBefore w:val="0"/>
        <w:kinsoku/>
        <w:wordWrap/>
        <w:overflowPunct/>
        <w:topLinePunct w:val="0"/>
        <w:bidi w:val="0"/>
        <w:spacing w:line="600" w:lineRule="exact"/>
        <w:ind w:left="0" w:right="0"/>
        <w:rPr>
          <w:rFonts w:hint="eastAsia"/>
          <w:lang w:val="en-US" w:eastAsia="zh-CN"/>
        </w:rPr>
      </w:pPr>
    </w:p>
    <w:p w14:paraId="608C3033">
      <w:pPr>
        <w:pageBreakBefore w:val="0"/>
        <w:numPr>
          <w:ilvl w:val="0"/>
          <w:numId w:val="0"/>
        </w:numPr>
        <w:kinsoku/>
        <w:wordWrap/>
        <w:overflowPunct/>
        <w:topLinePunct w:val="0"/>
        <w:bidi w:val="0"/>
        <w:spacing w:line="600" w:lineRule="exact"/>
        <w:ind w:left="0" w:right="0"/>
        <w:jc w:val="center"/>
        <w:outlineLvl w:val="0"/>
        <w:rPr>
          <w:rFonts w:hint="eastAsia" w:ascii="Times New Roman" w:hAnsi="Times New Roman" w:eastAsia="黑体"/>
          <w:color w:val="auto"/>
          <w:sz w:val="44"/>
          <w:szCs w:val="44"/>
          <w:highlight w:val="none"/>
        </w:rPr>
      </w:pPr>
      <w:bookmarkStart w:id="45" w:name="_Toc15396613"/>
      <w:bookmarkStart w:id="46"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14:paraId="34E4FF7E">
      <w:pPr>
        <w:pageBreakBefore w:val="0"/>
        <w:kinsoku/>
        <w:wordWrap/>
        <w:overflowPunct/>
        <w:topLinePunct w:val="0"/>
        <w:bidi w:val="0"/>
        <w:spacing w:line="600" w:lineRule="exact"/>
        <w:ind w:left="0" w:right="0"/>
        <w:jc w:val="left"/>
        <w:rPr>
          <w:rFonts w:ascii="Times New Roman" w:hAnsi="Times New Roman"/>
          <w:b/>
          <w:color w:val="auto"/>
          <w:sz w:val="44"/>
          <w:szCs w:val="44"/>
          <w:highlight w:val="none"/>
        </w:rPr>
      </w:pPr>
    </w:p>
    <w:p w14:paraId="27EDE740">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6DA5CC7D">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193F62DF">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2CC3FA8E">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1C486583">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5087AB5D">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08A36F44">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0A7235B7">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41776499">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一般公共服务（类）政府办公厅（室）及相关机构事务（款）行政运行（项）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指行政运行方面的支出。</w:t>
      </w:r>
    </w:p>
    <w:p w14:paraId="42C61661">
      <w:pPr>
        <w:pageBreakBefore w:val="0"/>
        <w:kinsoku/>
        <w:wordWrap/>
        <w:overflowPunct/>
        <w:topLinePunct w:val="0"/>
        <w:bidi w:val="0"/>
        <w:spacing w:line="600" w:lineRule="exact"/>
        <w:ind w:left="0" w:right="0"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一般公共服务（类）政府办公厅（室）及相关机构事务（款）事业运行（项）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指事业运行方面的支出。</w:t>
      </w:r>
    </w:p>
    <w:p w14:paraId="28B765AA">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w:t>
      </w:r>
      <w:r>
        <w:rPr>
          <w:rFonts w:hint="eastAsia" w:eastAsia="仿宋_GB2312" w:cs="仿宋_GB2312"/>
          <w:color w:val="auto"/>
          <w:kern w:val="2"/>
          <w:sz w:val="32"/>
          <w:szCs w:val="32"/>
          <w:highlight w:val="none"/>
          <w:lang w:val="en-US" w:eastAsia="zh-CN" w:bidi="ar-SA"/>
        </w:rPr>
        <w:t>养老保险</w:t>
      </w:r>
      <w:r>
        <w:rPr>
          <w:rFonts w:hint="eastAsia" w:ascii="Times New Roman" w:hAnsi="Times New Roman" w:eastAsia="仿宋_GB2312" w:cs="仿宋_GB2312"/>
          <w:color w:val="auto"/>
          <w:kern w:val="2"/>
          <w:sz w:val="32"/>
          <w:szCs w:val="32"/>
          <w:highlight w:val="none"/>
          <w:lang w:val="en-US" w:eastAsia="zh-CN" w:bidi="ar-SA"/>
        </w:rPr>
        <w:t>缴费的支出。</w:t>
      </w:r>
    </w:p>
    <w:p w14:paraId="0BBC55C8">
      <w:pPr>
        <w:pageBreakBefore w:val="0"/>
        <w:kinsoku/>
        <w:wordWrap/>
        <w:overflowPunct/>
        <w:topLinePunct w:val="0"/>
        <w:bidi w:val="0"/>
        <w:spacing w:line="600" w:lineRule="exact"/>
        <w:ind w:left="0" w:right="0"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指职业年金的缴费的支出。</w:t>
      </w:r>
    </w:p>
    <w:p w14:paraId="01DAE2E9">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指失业、工伤保险</w:t>
      </w:r>
      <w:r>
        <w:rPr>
          <w:rFonts w:hint="eastAsia" w:eastAsia="仿宋_GB2312" w:cs="仿宋_GB2312"/>
          <w:color w:val="auto"/>
          <w:kern w:val="2"/>
          <w:sz w:val="32"/>
          <w:szCs w:val="32"/>
          <w:highlight w:val="none"/>
          <w:lang w:val="en-US" w:eastAsia="zh-CN" w:bidi="ar-SA"/>
        </w:rPr>
        <w:t>等</w:t>
      </w:r>
      <w:r>
        <w:rPr>
          <w:rFonts w:hint="eastAsia" w:ascii="Times New Roman" w:hAnsi="Times New Roman" w:eastAsia="仿宋_GB2312" w:cs="仿宋_GB2312"/>
          <w:color w:val="auto"/>
          <w:kern w:val="2"/>
          <w:sz w:val="32"/>
          <w:szCs w:val="32"/>
          <w:highlight w:val="none"/>
          <w:lang w:val="en-US" w:eastAsia="zh-CN" w:bidi="ar-SA"/>
        </w:rPr>
        <w:t>缴费的支出。</w:t>
      </w:r>
    </w:p>
    <w:p w14:paraId="052E0F2A">
      <w:pPr>
        <w:pageBreakBefore w:val="0"/>
        <w:kinsoku/>
        <w:wordWrap/>
        <w:overflowPunct/>
        <w:topLinePunct w:val="0"/>
        <w:bidi w:val="0"/>
        <w:spacing w:line="600" w:lineRule="exact"/>
        <w:ind w:left="0" w:right="0"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指医疗保险的</w:t>
      </w:r>
      <w:r>
        <w:rPr>
          <w:rFonts w:hint="eastAsia" w:eastAsia="仿宋_GB2312" w:cs="仿宋_GB2312"/>
          <w:color w:val="auto"/>
          <w:kern w:val="2"/>
          <w:sz w:val="32"/>
          <w:szCs w:val="32"/>
          <w:highlight w:val="none"/>
          <w:lang w:val="en-US" w:eastAsia="zh-CN" w:bidi="ar-SA"/>
        </w:rPr>
        <w:t>缴费</w:t>
      </w:r>
      <w:r>
        <w:rPr>
          <w:rFonts w:hint="eastAsia" w:ascii="Times New Roman" w:hAnsi="Times New Roman" w:eastAsia="仿宋_GB2312" w:cs="仿宋_GB2312"/>
          <w:color w:val="auto"/>
          <w:kern w:val="2"/>
          <w:sz w:val="32"/>
          <w:szCs w:val="32"/>
          <w:highlight w:val="none"/>
          <w:lang w:val="en-US" w:eastAsia="zh-CN" w:bidi="ar-SA"/>
        </w:rPr>
        <w:t>支出。</w:t>
      </w:r>
    </w:p>
    <w:p w14:paraId="30BE9B6D">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15.农林水支出（类）农业农村（款）其他农业农村支出（项）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指农业农村方面的支出。</w:t>
      </w:r>
    </w:p>
    <w:p w14:paraId="200BDFAB">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16.农林水支出（类）巩固脱贫攻坚成果衔接乡村振兴（款）一般行政管理事务（项）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衔接乡村振兴方面的支出。</w:t>
      </w:r>
    </w:p>
    <w:p w14:paraId="159B5800">
      <w:pPr>
        <w:pageBreakBefore w:val="0"/>
        <w:kinsoku/>
        <w:wordWrap/>
        <w:overflowPunct/>
        <w:topLinePunct w:val="0"/>
        <w:bidi w:val="0"/>
        <w:spacing w:line="600" w:lineRule="exact"/>
        <w:ind w:left="0" w:right="0"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17.农林水支出（类）巩固脱贫攻坚成果衔接乡村振兴（款）其他巩固脱贫攻坚成果衔接乡村振兴支出（项）</w:t>
      </w:r>
      <w:r>
        <w:rPr>
          <w:rFonts w:hint="eastAsia" w:eastAsia="仿宋_GB2312" w:cs="仿宋_GB2312"/>
          <w:color w:val="auto"/>
          <w:kern w:val="2"/>
          <w:sz w:val="32"/>
          <w:szCs w:val="32"/>
          <w:highlight w:val="none"/>
          <w:lang w:val="en-US" w:eastAsia="zh-CN" w:bidi="ar-SA"/>
        </w:rPr>
        <w:t>：指其他</w:t>
      </w:r>
      <w:r>
        <w:rPr>
          <w:rFonts w:hint="eastAsia" w:ascii="Times New Roman" w:hAnsi="Times New Roman" w:eastAsia="仿宋_GB2312" w:cs="仿宋_GB2312"/>
          <w:color w:val="auto"/>
          <w:kern w:val="2"/>
          <w:sz w:val="32"/>
          <w:szCs w:val="32"/>
          <w:highlight w:val="none"/>
          <w:lang w:val="en-US" w:eastAsia="zh-CN" w:bidi="ar-SA"/>
        </w:rPr>
        <w:t>衔接乡村振兴方面的支出。</w:t>
      </w:r>
    </w:p>
    <w:p w14:paraId="2F375A20">
      <w:pPr>
        <w:pageBreakBefore w:val="0"/>
        <w:kinsoku/>
        <w:wordWrap/>
        <w:overflowPunct/>
        <w:topLinePunct w:val="0"/>
        <w:bidi w:val="0"/>
        <w:spacing w:line="600" w:lineRule="exact"/>
        <w:ind w:left="0" w:right="0"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18.农林水支出（类）农村综合改革（款）对村民委员会和村党支部的补助（项）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对村民委员会和村党支部的补助支出。</w:t>
      </w:r>
    </w:p>
    <w:p w14:paraId="77584B38">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19.农林水支出（类）巩固脱贫攻坚成果衔接乡村振兴（款）农村综合改革示范试点补助（项）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农村综合改革示范试点补助的支出。</w:t>
      </w:r>
    </w:p>
    <w:p w14:paraId="3948FA33">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指住房公积金的缴费支出。</w:t>
      </w:r>
    </w:p>
    <w:p w14:paraId="271399AC">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504779DA">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692C1A10">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9B7C4DA">
      <w:pPr>
        <w:pageBreakBefore w:val="0"/>
        <w:kinsoku/>
        <w:wordWrap/>
        <w:overflowPunct/>
        <w:topLinePunct w:val="0"/>
        <w:bidi w:val="0"/>
        <w:spacing w:line="600" w:lineRule="exact"/>
        <w:ind w:left="0" w:right="0"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24</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287F6F0">
      <w:pPr>
        <w:pageBreakBefore w:val="0"/>
        <w:kinsoku/>
        <w:wordWrap/>
        <w:overflowPunct/>
        <w:topLinePunct w:val="0"/>
        <w:bidi w:val="0"/>
        <w:spacing w:line="600" w:lineRule="exact"/>
        <w:ind w:left="0" w:right="0"/>
        <w:jc w:val="center"/>
        <w:rPr>
          <w:rFonts w:hint="eastAsia" w:ascii="Times New Roman" w:hAnsi="Times New Roman" w:eastAsia="黑体"/>
          <w:color w:val="auto"/>
          <w:sz w:val="44"/>
          <w:szCs w:val="44"/>
          <w:highlight w:val="none"/>
        </w:rPr>
      </w:pPr>
      <w:bookmarkStart w:id="47" w:name="_Toc15396614"/>
      <w:bookmarkStart w:id="48" w:name="_Toc15377226"/>
    </w:p>
    <w:p w14:paraId="15240C57">
      <w:pPr>
        <w:pageBreakBefore w:val="0"/>
        <w:kinsoku/>
        <w:wordWrap/>
        <w:overflowPunct/>
        <w:topLinePunct w:val="0"/>
        <w:bidi w:val="0"/>
        <w:spacing w:line="600" w:lineRule="exact"/>
        <w:ind w:left="0" w:right="0"/>
        <w:jc w:val="center"/>
        <w:rPr>
          <w:rFonts w:hint="eastAsia" w:ascii="Times New Roman" w:hAnsi="Times New Roman" w:eastAsia="黑体"/>
          <w:color w:val="auto"/>
          <w:sz w:val="44"/>
          <w:szCs w:val="44"/>
          <w:highlight w:val="none"/>
        </w:rPr>
      </w:pPr>
    </w:p>
    <w:p w14:paraId="3E2D855E">
      <w:pPr>
        <w:pageBreakBefore w:val="0"/>
        <w:kinsoku/>
        <w:wordWrap/>
        <w:overflowPunct/>
        <w:topLinePunct w:val="0"/>
        <w:bidi w:val="0"/>
        <w:spacing w:line="600" w:lineRule="exact"/>
        <w:ind w:left="0" w:right="0"/>
        <w:jc w:val="center"/>
        <w:rPr>
          <w:rFonts w:hint="eastAsia" w:ascii="Times New Roman" w:hAnsi="Times New Roman" w:eastAsia="黑体"/>
          <w:color w:val="auto"/>
          <w:sz w:val="44"/>
          <w:szCs w:val="44"/>
          <w:highlight w:val="none"/>
        </w:rPr>
      </w:pPr>
    </w:p>
    <w:p w14:paraId="253EA231">
      <w:pPr>
        <w:pageBreakBefore w:val="0"/>
        <w:kinsoku/>
        <w:wordWrap/>
        <w:overflowPunct/>
        <w:topLinePunct w:val="0"/>
        <w:bidi w:val="0"/>
        <w:spacing w:line="600" w:lineRule="exact"/>
        <w:ind w:left="0" w:right="0"/>
        <w:jc w:val="center"/>
        <w:rPr>
          <w:rFonts w:hint="eastAsia" w:ascii="Times New Roman" w:hAnsi="Times New Roman" w:eastAsia="黑体"/>
          <w:color w:val="auto"/>
          <w:sz w:val="44"/>
          <w:szCs w:val="44"/>
          <w:highlight w:val="none"/>
        </w:rPr>
      </w:pPr>
    </w:p>
    <w:p w14:paraId="4FA10695">
      <w:pPr>
        <w:pStyle w:val="12"/>
        <w:pageBreakBefore w:val="0"/>
        <w:kinsoku/>
        <w:wordWrap/>
        <w:overflowPunct/>
        <w:topLinePunct w:val="0"/>
        <w:bidi w:val="0"/>
        <w:spacing w:line="600" w:lineRule="exact"/>
        <w:ind w:left="0" w:right="0"/>
        <w:rPr>
          <w:rFonts w:hint="eastAsia" w:ascii="Times New Roman" w:hAnsi="Times New Roman" w:eastAsia="黑体"/>
          <w:color w:val="auto"/>
          <w:sz w:val="44"/>
          <w:szCs w:val="44"/>
          <w:highlight w:val="none"/>
        </w:rPr>
      </w:pPr>
    </w:p>
    <w:p w14:paraId="4312FFCD">
      <w:pPr>
        <w:pageBreakBefore w:val="0"/>
        <w:kinsoku/>
        <w:wordWrap/>
        <w:overflowPunct/>
        <w:topLinePunct w:val="0"/>
        <w:bidi w:val="0"/>
        <w:spacing w:line="600" w:lineRule="exact"/>
        <w:ind w:left="0" w:right="0"/>
        <w:rPr>
          <w:rFonts w:hint="eastAsia" w:ascii="Times New Roman" w:hAnsi="Times New Roman" w:eastAsia="黑体"/>
          <w:color w:val="auto"/>
          <w:sz w:val="44"/>
          <w:szCs w:val="44"/>
          <w:highlight w:val="none"/>
        </w:rPr>
      </w:pPr>
    </w:p>
    <w:p w14:paraId="66D52AF9">
      <w:pPr>
        <w:pStyle w:val="12"/>
        <w:pageBreakBefore w:val="0"/>
        <w:kinsoku/>
        <w:wordWrap/>
        <w:overflowPunct/>
        <w:topLinePunct w:val="0"/>
        <w:bidi w:val="0"/>
        <w:spacing w:line="600" w:lineRule="exact"/>
        <w:ind w:left="0" w:right="0"/>
        <w:rPr>
          <w:rFonts w:hint="eastAsia" w:ascii="Times New Roman" w:hAnsi="Times New Roman" w:eastAsia="黑体"/>
          <w:color w:val="auto"/>
          <w:sz w:val="44"/>
          <w:szCs w:val="44"/>
          <w:highlight w:val="none"/>
        </w:rPr>
      </w:pPr>
    </w:p>
    <w:p w14:paraId="2059EE51">
      <w:pPr>
        <w:pStyle w:val="12"/>
        <w:pageBreakBefore w:val="0"/>
        <w:kinsoku/>
        <w:wordWrap/>
        <w:overflowPunct/>
        <w:topLinePunct w:val="0"/>
        <w:bidi w:val="0"/>
        <w:spacing w:line="600" w:lineRule="exact"/>
        <w:ind w:left="0" w:right="0"/>
        <w:jc w:val="both"/>
        <w:rPr>
          <w:rFonts w:hint="eastAsia"/>
        </w:rPr>
      </w:pPr>
    </w:p>
    <w:p w14:paraId="394941E2">
      <w:pPr>
        <w:pageBreakBefore w:val="0"/>
        <w:kinsoku/>
        <w:wordWrap/>
        <w:overflowPunct/>
        <w:topLinePunct w:val="0"/>
        <w:bidi w:val="0"/>
        <w:spacing w:line="600" w:lineRule="exact"/>
        <w:ind w:left="0" w:right="0"/>
        <w:jc w:val="center"/>
        <w:rPr>
          <w:rStyle w:val="16"/>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7"/>
    </w:p>
    <w:p w14:paraId="4C000DA9">
      <w:pPr>
        <w:keepNext w:val="0"/>
        <w:keepLines w:val="0"/>
        <w:pageBreakBefore w:val="0"/>
        <w:kinsoku/>
        <w:wordWrap/>
        <w:overflowPunct/>
        <w:topLinePunct w:val="0"/>
        <w:autoSpaceDE/>
        <w:autoSpaceDN/>
        <w:bidi w:val="0"/>
        <w:spacing w:line="600" w:lineRule="exact"/>
        <w:ind w:left="0" w:right="0"/>
        <w:jc w:val="left"/>
        <w:textAlignment w:val="auto"/>
        <w:outlineLvl w:val="0"/>
        <w:rPr>
          <w:rFonts w:hint="eastAsia" w:ascii="Times New Roman" w:hAnsi="Times New Roman" w:eastAsia="黑体" w:cs="黑体"/>
          <w:color w:val="FF0000"/>
          <w:sz w:val="32"/>
          <w:szCs w:val="32"/>
          <w:highlight w:val="none"/>
        </w:rPr>
      </w:pPr>
    </w:p>
    <w:p w14:paraId="76825061">
      <w:pPr>
        <w:keepNext w:val="0"/>
        <w:keepLines w:val="0"/>
        <w:pageBreakBefore w:val="0"/>
        <w:kinsoku/>
        <w:wordWrap/>
        <w:overflowPunct/>
        <w:topLinePunct w:val="0"/>
        <w:autoSpaceDE/>
        <w:autoSpaceDN/>
        <w:bidi w:val="0"/>
        <w:spacing w:line="600" w:lineRule="exact"/>
        <w:ind w:left="0" w:right="0"/>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235E0B15">
      <w:pPr>
        <w:keepNext w:val="0"/>
        <w:keepLines w:val="0"/>
        <w:pageBreakBefore w:val="0"/>
        <w:widowControl/>
        <w:kinsoku/>
        <w:wordWrap/>
        <w:overflowPunct/>
        <w:topLinePunct w:val="0"/>
        <w:autoSpaceDE/>
        <w:autoSpaceDN/>
        <w:bidi w:val="0"/>
        <w:spacing w:line="600" w:lineRule="exact"/>
        <w:ind w:left="0" w:right="0"/>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0CEE201B">
      <w:pPr>
        <w:keepNext w:val="0"/>
        <w:keepLines w:val="0"/>
        <w:pageBreakBefore w:val="0"/>
        <w:widowControl/>
        <w:kinsoku/>
        <w:wordWrap/>
        <w:overflowPunct/>
        <w:topLinePunct w:val="0"/>
        <w:autoSpaceDE/>
        <w:autoSpaceDN/>
        <w:bidi w:val="0"/>
        <w:spacing w:line="600" w:lineRule="exact"/>
        <w:ind w:left="0" w:right="0"/>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3D55908A">
      <w:pPr>
        <w:keepNext w:val="0"/>
        <w:keepLines w:val="0"/>
        <w:pageBreakBefore w:val="0"/>
        <w:widowControl/>
        <w:kinsoku/>
        <w:wordWrap/>
        <w:overflowPunct/>
        <w:topLinePunct w:val="0"/>
        <w:autoSpaceDE/>
        <w:autoSpaceDN/>
        <w:bidi w:val="0"/>
        <w:adjustRightInd w:val="0"/>
        <w:snapToGrid w:val="0"/>
        <w:spacing w:line="600" w:lineRule="exact"/>
        <w:ind w:left="0" w:right="0"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06142783">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right="0"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部门基本情况</w:t>
      </w:r>
    </w:p>
    <w:p w14:paraId="4E51642D">
      <w:pPr>
        <w:pageBreakBefore w:val="0"/>
        <w:kinsoku/>
        <w:wordWrap/>
        <w:overflowPunct/>
        <w:topLinePunct w:val="0"/>
        <w:bidi w:val="0"/>
        <w:spacing w:line="600" w:lineRule="exact"/>
        <w:ind w:left="0" w:leftChars="0" w:right="0" w:firstLine="624" w:firstLineChars="200"/>
        <w:rPr>
          <w:rFonts w:hint="default" w:ascii="楷体_GB2312" w:hAnsi="楷体_GB2312" w:eastAsia="楷体_GB2312" w:cs="楷体_GB2312"/>
          <w:snapToGrid w:val="0"/>
          <w:color w:val="000000"/>
          <w:spacing w:val="-4"/>
          <w:kern w:val="0"/>
          <w:sz w:val="32"/>
          <w:szCs w:val="32"/>
          <w:lang w:val="zh-CN" w:eastAsia="zh-CN"/>
        </w:rPr>
      </w:pPr>
      <w:r>
        <w:rPr>
          <w:rFonts w:hint="eastAsia" w:ascii="楷体_GB2312" w:hAnsi="楷体_GB2312" w:eastAsia="楷体_GB2312" w:cs="楷体_GB2312"/>
          <w:snapToGrid w:val="0"/>
          <w:color w:val="000000"/>
          <w:spacing w:val="-4"/>
          <w:kern w:val="0"/>
          <w:sz w:val="32"/>
          <w:szCs w:val="32"/>
          <w:lang w:val="zh-CN" w:eastAsia="zh-CN"/>
        </w:rPr>
        <w:t>（一）</w:t>
      </w:r>
      <w:r>
        <w:rPr>
          <w:rFonts w:hint="default" w:ascii="楷体_GB2312" w:hAnsi="楷体_GB2312" w:eastAsia="楷体_GB2312" w:cs="楷体_GB2312"/>
          <w:snapToGrid w:val="0"/>
          <w:color w:val="000000"/>
          <w:spacing w:val="-4"/>
          <w:kern w:val="0"/>
          <w:sz w:val="32"/>
          <w:szCs w:val="32"/>
          <w:lang w:val="zh-CN" w:eastAsia="zh-CN"/>
        </w:rPr>
        <w:t>机构组成</w:t>
      </w:r>
    </w:p>
    <w:p w14:paraId="41D22849">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right="0" w:firstLine="640" w:firstLineChars="200"/>
        <w:contextualSpacing/>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宜坪乡人民政府由党政办公室、党建工作办公室、</w:t>
      </w:r>
      <w:r>
        <w:rPr>
          <w:rFonts w:hint="eastAsia" w:ascii="仿宋" w:hAnsi="仿宋" w:eastAsia="仿宋" w:cs="仿宋"/>
          <w:snapToGrid w:val="0"/>
          <w:color w:val="000000"/>
          <w:spacing w:val="3"/>
          <w:kern w:val="0"/>
          <w:sz w:val="32"/>
          <w:szCs w:val="32"/>
          <w:lang w:eastAsia="en-US"/>
        </w:rPr>
        <w:t>社会事务和社会治理办公室</w:t>
      </w:r>
      <w:r>
        <w:rPr>
          <w:rFonts w:hint="eastAsia" w:ascii="仿宋" w:hAnsi="仿宋" w:eastAsia="仿宋" w:cs="仿宋"/>
          <w:snapToGrid w:val="0"/>
          <w:color w:val="000000"/>
          <w:spacing w:val="3"/>
          <w:kern w:val="0"/>
          <w:sz w:val="32"/>
          <w:szCs w:val="32"/>
          <w:lang w:eastAsia="zh-CN"/>
        </w:rPr>
        <w:t>、</w:t>
      </w:r>
      <w:r>
        <w:rPr>
          <w:rFonts w:hint="eastAsia" w:ascii="仿宋" w:hAnsi="仿宋" w:eastAsia="仿宋" w:cs="仿宋"/>
          <w:snapToGrid w:val="0"/>
          <w:color w:val="000000"/>
          <w:spacing w:val="7"/>
          <w:kern w:val="0"/>
          <w:sz w:val="32"/>
          <w:szCs w:val="32"/>
          <w:lang w:eastAsia="en-US"/>
        </w:rPr>
        <w:t>经济发展和规划建设办公室</w:t>
      </w:r>
      <w:r>
        <w:rPr>
          <w:rFonts w:hint="eastAsia" w:ascii="仿宋" w:hAnsi="仿宋" w:eastAsia="仿宋" w:cs="仿宋"/>
          <w:snapToGrid w:val="0"/>
          <w:color w:val="000000"/>
          <w:spacing w:val="7"/>
          <w:kern w:val="0"/>
          <w:sz w:val="32"/>
          <w:szCs w:val="32"/>
          <w:lang w:eastAsia="zh-CN"/>
        </w:rPr>
        <w:t>、</w:t>
      </w:r>
      <w:r>
        <w:rPr>
          <w:rFonts w:hint="eastAsia" w:ascii="仿宋" w:hAnsi="仿宋" w:eastAsia="仿宋" w:cs="仿宋"/>
          <w:snapToGrid w:val="0"/>
          <w:color w:val="000000"/>
          <w:spacing w:val="6"/>
          <w:kern w:val="0"/>
          <w:sz w:val="32"/>
          <w:szCs w:val="32"/>
          <w:lang w:eastAsia="en-US"/>
        </w:rPr>
        <w:t>综合执法和应急管理办公室</w:t>
      </w:r>
      <w:r>
        <w:rPr>
          <w:rFonts w:hint="eastAsia" w:ascii="仿宋" w:hAnsi="仿宋" w:eastAsia="仿宋" w:cs="仿宋"/>
          <w:snapToGrid w:val="0"/>
          <w:color w:val="000000"/>
          <w:spacing w:val="6"/>
          <w:kern w:val="0"/>
          <w:sz w:val="32"/>
          <w:szCs w:val="32"/>
          <w:lang w:val="en-US" w:eastAsia="zh-CN"/>
        </w:rPr>
        <w:t>组成。</w:t>
      </w:r>
    </w:p>
    <w:p w14:paraId="17A52582">
      <w:pPr>
        <w:pageBreakBefore w:val="0"/>
        <w:kinsoku/>
        <w:wordWrap/>
        <w:overflowPunct/>
        <w:topLinePunct w:val="0"/>
        <w:bidi w:val="0"/>
        <w:spacing w:line="600" w:lineRule="exact"/>
        <w:ind w:left="0" w:leftChars="0" w:right="0" w:firstLine="624" w:firstLineChars="200"/>
        <w:rPr>
          <w:rFonts w:hint="eastAsia" w:ascii="楷体_GB2312" w:hAnsi="楷体_GB2312" w:eastAsia="楷体_GB2312" w:cs="楷体_GB2312"/>
          <w:snapToGrid w:val="0"/>
          <w:color w:val="000000"/>
          <w:spacing w:val="-4"/>
          <w:kern w:val="0"/>
          <w:sz w:val="32"/>
          <w:szCs w:val="32"/>
          <w:lang w:val="zh-CN" w:eastAsia="zh-CN"/>
        </w:rPr>
      </w:pPr>
      <w:r>
        <w:rPr>
          <w:rFonts w:hint="default" w:ascii="楷体_GB2312" w:hAnsi="楷体_GB2312" w:eastAsia="楷体_GB2312" w:cs="楷体_GB2312"/>
          <w:snapToGrid w:val="0"/>
          <w:color w:val="000000"/>
          <w:spacing w:val="-4"/>
          <w:kern w:val="0"/>
          <w:sz w:val="32"/>
          <w:szCs w:val="32"/>
          <w:lang w:val="zh-CN" w:eastAsia="zh-CN"/>
        </w:rPr>
        <w:t>（二）机构职能</w:t>
      </w:r>
    </w:p>
    <w:p w14:paraId="556D2DD7">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52" w:firstLineChars="200"/>
        <w:jc w:val="left"/>
        <w:textAlignment w:val="baseline"/>
        <w:rPr>
          <w:rFonts w:ascii="仿宋" w:hAnsi="仿宋" w:eastAsia="仿宋_GB2312" w:cs="仿宋"/>
          <w:snapToGrid w:val="0"/>
          <w:color w:val="000000"/>
          <w:kern w:val="0"/>
          <w:sz w:val="32"/>
          <w:szCs w:val="32"/>
          <w:lang w:eastAsia="en-US"/>
        </w:rPr>
      </w:pPr>
      <w:r>
        <w:rPr>
          <w:rFonts w:hint="eastAsia" w:ascii="楷体" w:hAnsi="楷体" w:eastAsia="楷体" w:cs="楷体"/>
          <w:snapToGrid w:val="0"/>
          <w:color w:val="000000"/>
          <w:spacing w:val="3"/>
          <w:kern w:val="0"/>
          <w:sz w:val="32"/>
          <w:szCs w:val="32"/>
          <w:lang w:val="en-US" w:eastAsia="zh-CN"/>
        </w:rPr>
        <w:t>1.</w:t>
      </w:r>
      <w:r>
        <w:rPr>
          <w:rFonts w:ascii="楷体" w:hAnsi="楷体" w:eastAsia="楷体" w:cs="楷体"/>
          <w:snapToGrid w:val="0"/>
          <w:color w:val="000000"/>
          <w:spacing w:val="3"/>
          <w:kern w:val="0"/>
          <w:sz w:val="32"/>
          <w:szCs w:val="32"/>
          <w:lang w:eastAsia="en-US"/>
        </w:rPr>
        <w:t>党政办公室。</w:t>
      </w:r>
      <w:r>
        <w:rPr>
          <w:rFonts w:ascii="仿宋" w:hAnsi="仿宋" w:eastAsia="仿宋_GB2312" w:cs="仿宋"/>
          <w:snapToGrid w:val="0"/>
          <w:color w:val="000000"/>
          <w:spacing w:val="3"/>
          <w:kern w:val="0"/>
          <w:sz w:val="32"/>
          <w:szCs w:val="32"/>
          <w:lang w:eastAsia="en-US"/>
        </w:rPr>
        <w:t>负责乡党委、政府综合协调、政策调</w:t>
      </w:r>
      <w:r>
        <w:rPr>
          <w:rFonts w:ascii="仿宋" w:hAnsi="仿宋" w:eastAsia="仿宋_GB2312" w:cs="仿宋"/>
          <w:snapToGrid w:val="0"/>
          <w:color w:val="000000"/>
          <w:spacing w:val="2"/>
          <w:kern w:val="0"/>
          <w:sz w:val="32"/>
          <w:szCs w:val="32"/>
          <w:lang w:eastAsia="en-US"/>
        </w:rPr>
        <w:t>研、</w:t>
      </w:r>
      <w:r>
        <w:rPr>
          <w:rFonts w:ascii="仿宋" w:hAnsi="仿宋" w:eastAsia="仿宋_GB2312" w:cs="仿宋"/>
          <w:snapToGrid w:val="0"/>
          <w:color w:val="000000"/>
          <w:spacing w:val="4"/>
          <w:kern w:val="0"/>
          <w:sz w:val="32"/>
          <w:szCs w:val="32"/>
          <w:lang w:eastAsia="en-US"/>
        </w:rPr>
        <w:t>政务公开、督促检查、绩效管理等工作；负责文电会务、保密机要、印章管理、档案管理及后勤保障服务等工作；负责财政</w:t>
      </w:r>
      <w:r>
        <w:rPr>
          <w:rFonts w:ascii="仿宋" w:hAnsi="仿宋" w:eastAsia="仿宋_GB2312" w:cs="仿宋"/>
          <w:snapToGrid w:val="0"/>
          <w:color w:val="000000"/>
          <w:spacing w:val="3"/>
          <w:kern w:val="0"/>
          <w:sz w:val="32"/>
          <w:szCs w:val="32"/>
          <w:lang w:eastAsia="en-US"/>
        </w:rPr>
        <w:t>领域</w:t>
      </w:r>
      <w:r>
        <w:rPr>
          <w:rFonts w:ascii="仿宋" w:hAnsi="仿宋" w:eastAsia="仿宋_GB2312" w:cs="仿宋"/>
          <w:snapToGrid w:val="0"/>
          <w:color w:val="000000"/>
          <w:spacing w:val="4"/>
          <w:kern w:val="0"/>
          <w:sz w:val="32"/>
          <w:szCs w:val="32"/>
          <w:lang w:eastAsia="en-US"/>
        </w:rPr>
        <w:t>各项方针政策、法律法规规章的贯彻落实；负责编制和执行本级预算、决算草案和预算绩效管理工作；负责本级财政资金收支管理及行政事业单位会计核算工作；负责资金监管工作；负责政府</w:t>
      </w:r>
      <w:r>
        <w:rPr>
          <w:rFonts w:ascii="仿宋" w:hAnsi="仿宋" w:eastAsia="仿宋_GB2312" w:cs="仿宋"/>
          <w:snapToGrid w:val="0"/>
          <w:color w:val="000000"/>
          <w:spacing w:val="15"/>
          <w:kern w:val="0"/>
          <w:sz w:val="32"/>
          <w:szCs w:val="32"/>
          <w:lang w:eastAsia="en-US"/>
        </w:rPr>
        <w:t>采购工作；负责乡财务管理，代管村</w:t>
      </w:r>
      <w:r>
        <w:rPr>
          <w:rFonts w:hint="eastAsia" w:ascii="仿宋" w:hAnsi="仿宋" w:eastAsia="仿宋_GB2312" w:cs="仿宋"/>
          <w:snapToGrid w:val="0"/>
          <w:color w:val="000000"/>
          <w:spacing w:val="15"/>
          <w:kern w:val="0"/>
          <w:sz w:val="32"/>
          <w:szCs w:val="32"/>
          <w:lang w:eastAsia="zh-CN"/>
        </w:rPr>
        <w:t>（</w:t>
      </w:r>
      <w:r>
        <w:rPr>
          <w:rFonts w:ascii="仿宋" w:hAnsi="仿宋" w:eastAsia="仿宋_GB2312" w:cs="仿宋"/>
          <w:snapToGrid w:val="0"/>
          <w:color w:val="000000"/>
          <w:spacing w:val="15"/>
          <w:kern w:val="0"/>
          <w:sz w:val="32"/>
          <w:szCs w:val="32"/>
          <w:lang w:eastAsia="en-US"/>
        </w:rPr>
        <w:t>社区</w:t>
      </w:r>
      <w:r>
        <w:rPr>
          <w:rFonts w:hint="eastAsia" w:ascii="仿宋" w:hAnsi="仿宋" w:eastAsia="仿宋_GB2312" w:cs="仿宋"/>
          <w:snapToGrid w:val="0"/>
          <w:color w:val="000000"/>
          <w:spacing w:val="15"/>
          <w:kern w:val="0"/>
          <w:sz w:val="32"/>
          <w:szCs w:val="32"/>
          <w:lang w:eastAsia="zh-CN"/>
        </w:rPr>
        <w:t>）</w:t>
      </w:r>
      <w:r>
        <w:rPr>
          <w:rFonts w:ascii="仿宋" w:hAnsi="仿宋" w:eastAsia="仿宋_GB2312" w:cs="仿宋"/>
          <w:snapToGrid w:val="0"/>
          <w:color w:val="000000"/>
          <w:spacing w:val="15"/>
          <w:kern w:val="0"/>
          <w:sz w:val="32"/>
          <w:szCs w:val="32"/>
          <w:lang w:eastAsia="en-US"/>
        </w:rPr>
        <w:t>财务；指导农村集</w:t>
      </w:r>
      <w:r>
        <w:rPr>
          <w:rFonts w:ascii="仿宋" w:hAnsi="仿宋" w:eastAsia="仿宋_GB2312" w:cs="仿宋"/>
          <w:snapToGrid w:val="0"/>
          <w:color w:val="000000"/>
          <w:spacing w:val="5"/>
          <w:kern w:val="0"/>
          <w:sz w:val="32"/>
          <w:szCs w:val="32"/>
          <w:lang w:eastAsia="en-US"/>
        </w:rPr>
        <w:t>体“三资”管理等工作；负责国有资产管理</w:t>
      </w:r>
      <w:r>
        <w:rPr>
          <w:rFonts w:ascii="仿宋" w:hAnsi="仿宋" w:eastAsia="仿宋_GB2312" w:cs="仿宋"/>
          <w:snapToGrid w:val="0"/>
          <w:color w:val="000000"/>
          <w:spacing w:val="4"/>
          <w:kern w:val="0"/>
          <w:sz w:val="32"/>
          <w:szCs w:val="32"/>
          <w:lang w:eastAsia="en-US"/>
        </w:rPr>
        <w:t>工作；负责落实兑现</w:t>
      </w:r>
      <w:r>
        <w:rPr>
          <w:rFonts w:ascii="仿宋" w:hAnsi="仿宋" w:eastAsia="仿宋_GB2312" w:cs="仿宋"/>
          <w:snapToGrid w:val="0"/>
          <w:color w:val="000000"/>
          <w:spacing w:val="-10"/>
          <w:kern w:val="0"/>
          <w:sz w:val="32"/>
          <w:szCs w:val="32"/>
          <w:lang w:eastAsia="en-US"/>
        </w:rPr>
        <w:t>各级财政惠农惠民补贴资金；负责财务管理的培训、指导、监督；负责做好财务档案管理工作；完成乡党委、政府交办的其他工作。</w:t>
      </w:r>
    </w:p>
    <w:p w14:paraId="47E615BF">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811"/>
        <w:jc w:val="left"/>
        <w:textAlignment w:val="baseline"/>
        <w:rPr>
          <w:rFonts w:ascii="仿宋" w:hAnsi="仿宋" w:eastAsia="仿宋_GB2312" w:cs="仿宋"/>
          <w:snapToGrid w:val="0"/>
          <w:color w:val="000000"/>
          <w:kern w:val="0"/>
          <w:sz w:val="32"/>
          <w:szCs w:val="32"/>
          <w:lang w:eastAsia="en-US"/>
        </w:rPr>
      </w:pPr>
      <w:r>
        <w:rPr>
          <w:rFonts w:hint="eastAsia" w:ascii="楷体" w:hAnsi="楷体" w:eastAsia="楷体" w:cs="楷体"/>
          <w:snapToGrid w:val="0"/>
          <w:color w:val="000000"/>
          <w:spacing w:val="3"/>
          <w:kern w:val="0"/>
          <w:sz w:val="32"/>
          <w:szCs w:val="32"/>
          <w:lang w:val="en-US" w:eastAsia="zh-CN"/>
        </w:rPr>
        <w:t>2.</w:t>
      </w:r>
      <w:r>
        <w:rPr>
          <w:rFonts w:ascii="楷体" w:hAnsi="楷体" w:eastAsia="楷体" w:cs="楷体"/>
          <w:snapToGrid w:val="0"/>
          <w:color w:val="000000"/>
          <w:spacing w:val="3"/>
          <w:kern w:val="0"/>
          <w:sz w:val="32"/>
          <w:szCs w:val="32"/>
          <w:lang w:eastAsia="en-US"/>
        </w:rPr>
        <w:t>党建工作办公室</w:t>
      </w:r>
      <w:r>
        <w:rPr>
          <w:rFonts w:ascii="仿宋" w:hAnsi="仿宋" w:eastAsia="仿宋_GB2312" w:cs="仿宋"/>
          <w:snapToGrid w:val="0"/>
          <w:color w:val="000000"/>
          <w:spacing w:val="3"/>
          <w:kern w:val="0"/>
          <w:sz w:val="32"/>
          <w:szCs w:val="32"/>
          <w:lang w:eastAsia="en-US"/>
        </w:rPr>
        <w:t>。负责基层党的建设，制定并实施基</w:t>
      </w:r>
      <w:r>
        <w:rPr>
          <w:rFonts w:ascii="仿宋" w:hAnsi="仿宋" w:eastAsia="仿宋_GB2312" w:cs="仿宋"/>
          <w:snapToGrid w:val="0"/>
          <w:color w:val="000000"/>
          <w:spacing w:val="-4"/>
          <w:kern w:val="0"/>
          <w:sz w:val="32"/>
          <w:szCs w:val="32"/>
          <w:lang w:eastAsia="en-US"/>
        </w:rPr>
        <w:t>层党组织建设规划，指导基层党组织党建工作；负责组织开展党的思想建设、组织建设、作风建设、制度建设等各项活动，统筹</w:t>
      </w:r>
      <w:r>
        <w:rPr>
          <w:rFonts w:ascii="仿宋" w:hAnsi="仿宋" w:eastAsia="仿宋_GB2312" w:cs="仿宋"/>
          <w:snapToGrid w:val="0"/>
          <w:color w:val="000000"/>
          <w:spacing w:val="8"/>
          <w:kern w:val="0"/>
          <w:sz w:val="32"/>
          <w:szCs w:val="32"/>
          <w:lang w:eastAsia="en-US"/>
        </w:rPr>
        <w:t>村</w:t>
      </w:r>
      <w:r>
        <w:rPr>
          <w:rFonts w:hint="eastAsia" w:ascii="仿宋" w:hAnsi="仿宋" w:eastAsia="仿宋_GB2312" w:cs="仿宋"/>
          <w:snapToGrid w:val="0"/>
          <w:color w:val="000000"/>
          <w:spacing w:val="8"/>
          <w:kern w:val="0"/>
          <w:sz w:val="32"/>
          <w:szCs w:val="32"/>
          <w:lang w:eastAsia="zh-CN"/>
        </w:rPr>
        <w:t>（</w:t>
      </w:r>
      <w:r>
        <w:rPr>
          <w:rFonts w:ascii="仿宋" w:hAnsi="仿宋" w:eastAsia="仿宋_GB2312" w:cs="仿宋"/>
          <w:snapToGrid w:val="0"/>
          <w:color w:val="000000"/>
          <w:spacing w:val="8"/>
          <w:kern w:val="0"/>
          <w:sz w:val="32"/>
          <w:szCs w:val="32"/>
          <w:lang w:eastAsia="en-US"/>
        </w:rPr>
        <w:t>社区</w:t>
      </w:r>
      <w:r>
        <w:rPr>
          <w:rFonts w:hint="eastAsia" w:ascii="仿宋" w:hAnsi="仿宋" w:eastAsia="仿宋_GB2312" w:cs="仿宋"/>
          <w:snapToGrid w:val="0"/>
          <w:color w:val="000000"/>
          <w:spacing w:val="8"/>
          <w:kern w:val="0"/>
          <w:sz w:val="32"/>
          <w:szCs w:val="32"/>
          <w:lang w:eastAsia="zh-CN"/>
        </w:rPr>
        <w:t>）</w:t>
      </w:r>
      <w:r>
        <w:rPr>
          <w:rFonts w:ascii="仿宋" w:hAnsi="仿宋" w:eastAsia="仿宋_GB2312" w:cs="仿宋"/>
          <w:snapToGrid w:val="0"/>
          <w:color w:val="000000"/>
          <w:spacing w:val="8"/>
          <w:kern w:val="0"/>
          <w:sz w:val="32"/>
          <w:szCs w:val="32"/>
          <w:lang w:eastAsia="en-US"/>
        </w:rPr>
        <w:t>党建、单位党建、行业党建工作；负责区域内村级班</w:t>
      </w:r>
      <w:r>
        <w:rPr>
          <w:rFonts w:ascii="仿宋" w:hAnsi="仿宋" w:eastAsia="仿宋_GB2312" w:cs="仿宋"/>
          <w:snapToGrid w:val="0"/>
          <w:color w:val="000000"/>
          <w:spacing w:val="-3"/>
          <w:kern w:val="0"/>
          <w:sz w:val="32"/>
          <w:szCs w:val="32"/>
          <w:lang w:eastAsia="en-US"/>
        </w:rPr>
        <w:t>子建设；负责机关及直属事业单位干部人事、机构</w:t>
      </w:r>
      <w:r>
        <w:rPr>
          <w:rFonts w:ascii="仿宋" w:hAnsi="仿宋" w:eastAsia="仿宋_GB2312" w:cs="仿宋"/>
          <w:snapToGrid w:val="0"/>
          <w:color w:val="000000"/>
          <w:spacing w:val="-4"/>
          <w:kern w:val="0"/>
          <w:sz w:val="32"/>
          <w:szCs w:val="32"/>
          <w:lang w:eastAsia="en-US"/>
        </w:rPr>
        <w:t>编制、职称评</w:t>
      </w:r>
      <w:r>
        <w:rPr>
          <w:rFonts w:ascii="仿宋" w:hAnsi="仿宋" w:eastAsia="仿宋_GB2312" w:cs="仿宋"/>
          <w:snapToGrid w:val="0"/>
          <w:color w:val="000000"/>
          <w:spacing w:val="-3"/>
          <w:kern w:val="0"/>
          <w:sz w:val="32"/>
          <w:szCs w:val="32"/>
          <w:lang w:eastAsia="en-US"/>
        </w:rPr>
        <w:t>聘、教育培训及退休人员管理服务等人事工作；负责人才开发引</w:t>
      </w:r>
      <w:r>
        <w:rPr>
          <w:rFonts w:ascii="仿宋" w:hAnsi="仿宋" w:eastAsia="仿宋_GB2312" w:cs="仿宋"/>
          <w:snapToGrid w:val="0"/>
          <w:color w:val="000000"/>
          <w:spacing w:val="-2"/>
          <w:kern w:val="0"/>
          <w:sz w:val="32"/>
          <w:szCs w:val="32"/>
          <w:lang w:eastAsia="en-US"/>
        </w:rPr>
        <w:t>进、农民工回引等工作；配合做好驻村帮扶相关工</w:t>
      </w:r>
      <w:r>
        <w:rPr>
          <w:rFonts w:ascii="仿宋" w:hAnsi="仿宋" w:eastAsia="仿宋_GB2312" w:cs="仿宋"/>
          <w:snapToGrid w:val="0"/>
          <w:color w:val="000000"/>
          <w:spacing w:val="-3"/>
          <w:kern w:val="0"/>
          <w:sz w:val="32"/>
          <w:szCs w:val="32"/>
          <w:lang w:eastAsia="en-US"/>
        </w:rPr>
        <w:t>作；承担乡人</w:t>
      </w:r>
      <w:r>
        <w:rPr>
          <w:rFonts w:ascii="仿宋" w:hAnsi="仿宋" w:eastAsia="仿宋_GB2312" w:cs="仿宋"/>
          <w:snapToGrid w:val="0"/>
          <w:color w:val="000000"/>
          <w:spacing w:val="-1"/>
          <w:kern w:val="0"/>
          <w:sz w:val="32"/>
          <w:szCs w:val="32"/>
          <w:lang w:eastAsia="en-US"/>
        </w:rPr>
        <w:t>大主席团日常事务；承担纪检监察、政法、宣传、统战、民族宗</w:t>
      </w:r>
      <w:r>
        <w:rPr>
          <w:rFonts w:ascii="仿宋" w:hAnsi="仿宋" w:eastAsia="仿宋_GB2312" w:cs="仿宋"/>
          <w:snapToGrid w:val="0"/>
          <w:color w:val="000000"/>
          <w:spacing w:val="-3"/>
          <w:kern w:val="0"/>
          <w:sz w:val="32"/>
          <w:szCs w:val="32"/>
          <w:lang w:eastAsia="en-US"/>
        </w:rPr>
        <w:t>教、老干部、精神文明等工作；承担工会、共青团、妇联、残联</w:t>
      </w:r>
      <w:r>
        <w:rPr>
          <w:rFonts w:ascii="仿宋" w:hAnsi="仿宋" w:eastAsia="仿宋_GB2312" w:cs="仿宋"/>
          <w:snapToGrid w:val="0"/>
          <w:color w:val="000000"/>
          <w:spacing w:val="-7"/>
          <w:kern w:val="0"/>
          <w:sz w:val="32"/>
          <w:szCs w:val="32"/>
          <w:lang w:eastAsia="en-US"/>
        </w:rPr>
        <w:t>等群团工作；完成乡党委、政府交办的其他工作。</w:t>
      </w:r>
    </w:p>
    <w:p w14:paraId="4A627D96">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810"/>
        <w:jc w:val="left"/>
        <w:textAlignment w:val="baseline"/>
        <w:rPr>
          <w:rFonts w:hint="eastAsia" w:ascii="仿宋" w:hAnsi="仿宋" w:eastAsia="仿宋_GB2312" w:cs="仿宋"/>
          <w:snapToGrid w:val="0"/>
          <w:color w:val="000000"/>
          <w:spacing w:val="3"/>
          <w:kern w:val="0"/>
          <w:sz w:val="32"/>
          <w:szCs w:val="32"/>
          <w:lang w:val="en-US" w:eastAsia="zh-CN"/>
        </w:rPr>
      </w:pPr>
      <w:r>
        <w:rPr>
          <w:rFonts w:hint="eastAsia" w:ascii="楷体" w:hAnsi="楷体" w:eastAsia="楷体" w:cs="楷体"/>
          <w:snapToGrid w:val="0"/>
          <w:color w:val="000000"/>
          <w:spacing w:val="3"/>
          <w:kern w:val="0"/>
          <w:sz w:val="32"/>
          <w:szCs w:val="32"/>
          <w:lang w:val="en-US" w:eastAsia="zh-CN"/>
        </w:rPr>
        <w:t>3.</w:t>
      </w:r>
      <w:r>
        <w:rPr>
          <w:rFonts w:ascii="楷体" w:hAnsi="楷体" w:eastAsia="楷体" w:cs="楷体"/>
          <w:snapToGrid w:val="0"/>
          <w:color w:val="000000"/>
          <w:spacing w:val="3"/>
          <w:kern w:val="0"/>
          <w:sz w:val="32"/>
          <w:szCs w:val="32"/>
          <w:lang w:eastAsia="en-US"/>
        </w:rPr>
        <w:t>社会事务和社会治理办公室</w:t>
      </w:r>
      <w:r>
        <w:rPr>
          <w:rFonts w:ascii="仿宋" w:hAnsi="仿宋" w:eastAsia="仿宋_GB2312" w:cs="仿宋"/>
          <w:snapToGrid w:val="0"/>
          <w:color w:val="000000"/>
          <w:spacing w:val="3"/>
          <w:kern w:val="0"/>
          <w:sz w:val="32"/>
          <w:szCs w:val="32"/>
          <w:lang w:eastAsia="en-US"/>
        </w:rPr>
        <w:t>。主要承担指导推进公共</w:t>
      </w:r>
      <w:r>
        <w:rPr>
          <w:rFonts w:hint="eastAsia" w:ascii="仿宋" w:hAnsi="仿宋" w:eastAsia="仿宋_GB2312" w:cs="仿宋"/>
          <w:snapToGrid w:val="0"/>
          <w:color w:val="000000"/>
          <w:spacing w:val="3"/>
          <w:kern w:val="0"/>
          <w:sz w:val="32"/>
          <w:szCs w:val="32"/>
          <w:lang w:val="en-US" w:eastAsia="zh-CN"/>
        </w:rPr>
        <w:t>外</w:t>
      </w:r>
    </w:p>
    <w:p w14:paraId="3EDDC768">
      <w:pPr>
        <w:keepNext w:val="0"/>
        <w:keepLines w:val="0"/>
        <w:pageBreakBefore w:val="0"/>
        <w:widowControl/>
        <w:kinsoku/>
        <w:wordWrap/>
        <w:overflowPunct/>
        <w:topLinePunct w:val="0"/>
        <w:autoSpaceDE w:val="0"/>
        <w:autoSpaceDN w:val="0"/>
        <w:bidi w:val="0"/>
        <w:adjustRightInd w:val="0"/>
        <w:snapToGrid w:val="0"/>
        <w:spacing w:line="600" w:lineRule="exact"/>
        <w:ind w:left="0" w:right="0"/>
        <w:jc w:val="left"/>
        <w:textAlignment w:val="baseline"/>
        <w:rPr>
          <w:rFonts w:ascii="仿宋" w:hAnsi="仿宋" w:eastAsia="仿宋_GB2312" w:cs="仿宋"/>
          <w:snapToGrid w:val="0"/>
          <w:color w:val="000000"/>
          <w:spacing w:val="3"/>
          <w:kern w:val="0"/>
          <w:sz w:val="32"/>
          <w:szCs w:val="32"/>
          <w:lang w:eastAsia="en-US"/>
        </w:rPr>
      </w:pPr>
      <w:r>
        <w:rPr>
          <w:rFonts w:ascii="仿宋" w:hAnsi="仿宋" w:eastAsia="仿宋_GB2312" w:cs="仿宋"/>
          <w:snapToGrid w:val="0"/>
          <w:color w:val="000000"/>
          <w:spacing w:val="3"/>
          <w:kern w:val="0"/>
          <w:sz w:val="32"/>
          <w:szCs w:val="32"/>
          <w:lang w:eastAsia="en-US"/>
        </w:rPr>
        <w:t>事务和综合管理等职责；负责编制并组织实施社会发展规划和年度计划；负责组织实施各项公共服务工作；负责教育、民政、劳动就业、社会保障、农村道路、卫生健康、人居环境、乡村风貌、残疾人事业等工作；承担公益事业和社会服务事业相关工作；会同便民服务中心根据法定职能或受委托承担辖区内行政审批、证照办理、政策咨询、劳动就业、社会保障、劳动关系调整、科技信息服务等事项。负责基层治理相关工作；指导村</w:t>
      </w:r>
      <w:r>
        <w:rPr>
          <w:rFonts w:hint="eastAsia" w:ascii="仿宋" w:hAnsi="仿宋" w:eastAsia="仿宋_GB2312" w:cs="仿宋"/>
          <w:snapToGrid w:val="0"/>
          <w:color w:val="000000"/>
          <w:spacing w:val="3"/>
          <w:kern w:val="0"/>
          <w:sz w:val="32"/>
          <w:szCs w:val="32"/>
          <w:lang w:eastAsia="zh-CN"/>
        </w:rPr>
        <w:t>（</w:t>
      </w:r>
      <w:r>
        <w:rPr>
          <w:rFonts w:ascii="仿宋" w:hAnsi="仿宋" w:eastAsia="仿宋_GB2312" w:cs="仿宋"/>
          <w:snapToGrid w:val="0"/>
          <w:color w:val="000000"/>
          <w:spacing w:val="3"/>
          <w:kern w:val="0"/>
          <w:sz w:val="32"/>
          <w:szCs w:val="32"/>
          <w:lang w:eastAsia="en-US"/>
        </w:rPr>
        <w:t>居</w:t>
      </w:r>
      <w:r>
        <w:rPr>
          <w:rFonts w:hint="eastAsia" w:ascii="仿宋" w:hAnsi="仿宋" w:eastAsia="仿宋_GB2312" w:cs="仿宋"/>
          <w:snapToGrid w:val="0"/>
          <w:color w:val="000000"/>
          <w:spacing w:val="3"/>
          <w:kern w:val="0"/>
          <w:sz w:val="32"/>
          <w:szCs w:val="32"/>
          <w:lang w:eastAsia="zh-CN"/>
        </w:rPr>
        <w:t>）</w:t>
      </w:r>
      <w:r>
        <w:rPr>
          <w:rFonts w:ascii="仿宋" w:hAnsi="仿宋" w:eastAsia="仿宋_GB2312" w:cs="仿宋"/>
          <w:snapToGrid w:val="0"/>
          <w:color w:val="000000"/>
          <w:spacing w:val="3"/>
          <w:kern w:val="0"/>
          <w:sz w:val="32"/>
          <w:szCs w:val="32"/>
          <w:lang w:eastAsia="en-US"/>
        </w:rPr>
        <w:t>民委员会工作，健全完善自治、法治、德治相结合的基层治理体系；负责基层治理信息收集、分析研判、调度指挥、反馈督办、绩效评估等工作；牵头负责辖区内网格化管理体系建设；负责社会治安综合治理、平安建设、信访稳定、法治宣传教育、多元化解、司法调解、法律援助、外来人口管理以及综治工作平台建设和日常管理协调工作；承担基层社会治安综合防控体系建设工作和社会治理综合信息平台运行的管理保障；完成乡党委、政府交办的其他工作。</w:t>
      </w:r>
    </w:p>
    <w:p w14:paraId="75075851">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839"/>
        <w:jc w:val="left"/>
        <w:textAlignment w:val="baseline"/>
        <w:rPr>
          <w:rFonts w:ascii="仿宋" w:hAnsi="仿宋" w:eastAsia="仿宋_GB2312" w:cs="仿宋"/>
          <w:snapToGrid w:val="0"/>
          <w:color w:val="000000"/>
          <w:kern w:val="0"/>
          <w:sz w:val="32"/>
          <w:szCs w:val="32"/>
          <w:lang w:eastAsia="en-US"/>
        </w:rPr>
      </w:pPr>
      <w:r>
        <w:rPr>
          <w:rFonts w:hint="eastAsia" w:ascii="楷体" w:hAnsi="楷体" w:eastAsia="楷体" w:cs="楷体"/>
          <w:snapToGrid w:val="0"/>
          <w:color w:val="000000"/>
          <w:spacing w:val="7"/>
          <w:kern w:val="0"/>
          <w:sz w:val="32"/>
          <w:szCs w:val="32"/>
          <w:lang w:val="en-US" w:eastAsia="zh-CN"/>
        </w:rPr>
        <w:t>4.</w:t>
      </w:r>
      <w:r>
        <w:rPr>
          <w:rFonts w:ascii="楷体" w:hAnsi="楷体" w:eastAsia="楷体" w:cs="楷体"/>
          <w:snapToGrid w:val="0"/>
          <w:color w:val="000000"/>
          <w:spacing w:val="7"/>
          <w:kern w:val="0"/>
          <w:sz w:val="32"/>
          <w:szCs w:val="32"/>
          <w:lang w:eastAsia="en-US"/>
        </w:rPr>
        <w:t>经济发展和规划建设办公室</w:t>
      </w:r>
      <w:r>
        <w:rPr>
          <w:rFonts w:ascii="仿宋" w:hAnsi="仿宋" w:eastAsia="仿宋_GB2312" w:cs="仿宋"/>
          <w:snapToGrid w:val="0"/>
          <w:color w:val="000000"/>
          <w:spacing w:val="7"/>
          <w:kern w:val="0"/>
          <w:sz w:val="32"/>
          <w:szCs w:val="32"/>
          <w:lang w:eastAsia="en-US"/>
        </w:rPr>
        <w:t>。负责项目推进、科技创</w:t>
      </w:r>
      <w:r>
        <w:rPr>
          <w:rFonts w:ascii="仿宋" w:hAnsi="仿宋" w:eastAsia="仿宋_GB2312" w:cs="仿宋"/>
          <w:snapToGrid w:val="0"/>
          <w:color w:val="000000"/>
          <w:spacing w:val="3"/>
          <w:kern w:val="0"/>
          <w:sz w:val="32"/>
          <w:szCs w:val="32"/>
          <w:lang w:eastAsia="en-US"/>
        </w:rPr>
        <w:t>新、数据开发共享、价格、节能、能源、粮食流通、工业、信息化、招商引资、商务经济合作、统计调查分析、国民经济核算等工作；负责拟定农业、工业、三产服务业等经济发展规划和政策</w:t>
      </w:r>
      <w:r>
        <w:rPr>
          <w:rFonts w:ascii="仿宋" w:hAnsi="仿宋" w:eastAsia="仿宋_GB2312" w:cs="仿宋"/>
          <w:snapToGrid w:val="0"/>
          <w:color w:val="000000"/>
          <w:spacing w:val="4"/>
          <w:kern w:val="0"/>
          <w:sz w:val="32"/>
          <w:szCs w:val="32"/>
          <w:lang w:eastAsia="en-US"/>
        </w:rPr>
        <w:t>措施，负责协调第</w:t>
      </w:r>
      <w:r>
        <w:rPr>
          <w:rFonts w:hint="eastAsia" w:ascii="仿宋" w:hAnsi="仿宋" w:eastAsia="仿宋_GB2312" w:cs="仿宋"/>
          <w:snapToGrid w:val="0"/>
          <w:color w:val="000000"/>
          <w:spacing w:val="4"/>
          <w:kern w:val="0"/>
          <w:sz w:val="32"/>
          <w:szCs w:val="32"/>
          <w:lang w:eastAsia="zh-CN"/>
        </w:rPr>
        <w:t>一二三产业</w:t>
      </w:r>
      <w:r>
        <w:rPr>
          <w:rFonts w:ascii="仿宋" w:hAnsi="仿宋" w:eastAsia="仿宋_GB2312" w:cs="仿宋"/>
          <w:snapToGrid w:val="0"/>
          <w:color w:val="000000"/>
          <w:spacing w:val="4"/>
          <w:kern w:val="0"/>
          <w:sz w:val="32"/>
          <w:szCs w:val="32"/>
          <w:lang w:eastAsia="en-US"/>
        </w:rPr>
        <w:t>发展的重大问题；负责</w:t>
      </w:r>
      <w:r>
        <w:rPr>
          <w:rFonts w:ascii="仿宋" w:hAnsi="仿宋" w:eastAsia="仿宋_GB2312" w:cs="仿宋"/>
          <w:snapToGrid w:val="0"/>
          <w:color w:val="000000"/>
          <w:spacing w:val="3"/>
          <w:kern w:val="0"/>
          <w:sz w:val="32"/>
          <w:szCs w:val="32"/>
          <w:lang w:eastAsia="en-US"/>
        </w:rPr>
        <w:t>做好工</w:t>
      </w:r>
      <w:r>
        <w:rPr>
          <w:rFonts w:ascii="仿宋" w:hAnsi="仿宋" w:eastAsia="仿宋_GB2312" w:cs="仿宋"/>
          <w:snapToGrid w:val="0"/>
          <w:color w:val="000000"/>
          <w:spacing w:val="4"/>
          <w:kern w:val="0"/>
          <w:sz w:val="32"/>
          <w:szCs w:val="32"/>
          <w:lang w:eastAsia="en-US"/>
        </w:rPr>
        <w:t>业、农业、投资、商贸服务业、基本单位名录库记忆住户收支调</w:t>
      </w:r>
      <w:r>
        <w:rPr>
          <w:rFonts w:ascii="仿宋" w:hAnsi="仿宋" w:eastAsia="仿宋_GB2312" w:cs="仿宋"/>
          <w:snapToGrid w:val="0"/>
          <w:color w:val="000000"/>
          <w:spacing w:val="-4"/>
          <w:kern w:val="0"/>
          <w:sz w:val="32"/>
          <w:szCs w:val="32"/>
          <w:lang w:eastAsia="en-US"/>
        </w:rPr>
        <w:t>查等统计工作；负责自然资源和生态环境保护领域各项方针政策、法律法规规章的贯彻落实；负责项目建设的规划和组织实施工作；</w:t>
      </w:r>
      <w:r>
        <w:rPr>
          <w:rFonts w:ascii="仿宋" w:hAnsi="仿宋" w:eastAsia="仿宋_GB2312" w:cs="仿宋"/>
          <w:snapToGrid w:val="0"/>
          <w:color w:val="000000"/>
          <w:spacing w:val="4"/>
          <w:kern w:val="0"/>
          <w:sz w:val="32"/>
          <w:szCs w:val="32"/>
          <w:lang w:eastAsia="en-US"/>
        </w:rPr>
        <w:t>负责辖区内水库移民后期扶持工作；负责城乡建设、空</w:t>
      </w:r>
      <w:r>
        <w:rPr>
          <w:rFonts w:ascii="仿宋" w:hAnsi="仿宋" w:eastAsia="仿宋_GB2312" w:cs="仿宋"/>
          <w:snapToGrid w:val="0"/>
          <w:color w:val="000000"/>
          <w:spacing w:val="3"/>
          <w:kern w:val="0"/>
          <w:sz w:val="32"/>
          <w:szCs w:val="32"/>
          <w:lang w:eastAsia="en-US"/>
        </w:rPr>
        <w:t>间规划等</w:t>
      </w:r>
      <w:r>
        <w:rPr>
          <w:rFonts w:ascii="仿宋" w:hAnsi="仿宋" w:eastAsia="仿宋_GB2312" w:cs="仿宋"/>
          <w:snapToGrid w:val="0"/>
          <w:color w:val="000000"/>
          <w:spacing w:val="5"/>
          <w:kern w:val="0"/>
          <w:sz w:val="32"/>
          <w:szCs w:val="32"/>
          <w:lang w:eastAsia="en-US"/>
        </w:rPr>
        <w:t>领域各项方针政策、法律法规规章的贯彻落实；负责协助重点项目的征地、拆迁、安置等工作；负责宅基地管理、农业设施用地管理等工作；协助做好国土空间、交通、旅游等规划的编</w:t>
      </w:r>
      <w:r>
        <w:rPr>
          <w:rFonts w:ascii="仿宋" w:hAnsi="仿宋" w:eastAsia="仿宋_GB2312" w:cs="仿宋"/>
          <w:snapToGrid w:val="0"/>
          <w:color w:val="000000"/>
          <w:spacing w:val="4"/>
          <w:kern w:val="0"/>
          <w:sz w:val="32"/>
          <w:szCs w:val="32"/>
          <w:lang w:eastAsia="en-US"/>
        </w:rPr>
        <w:t>制和实</w:t>
      </w:r>
      <w:r>
        <w:rPr>
          <w:rFonts w:ascii="仿宋" w:hAnsi="仿宋" w:eastAsia="仿宋_GB2312" w:cs="仿宋"/>
          <w:snapToGrid w:val="0"/>
          <w:color w:val="000000"/>
          <w:spacing w:val="5"/>
          <w:kern w:val="0"/>
          <w:sz w:val="32"/>
          <w:szCs w:val="32"/>
          <w:lang w:eastAsia="en-US"/>
        </w:rPr>
        <w:t>施，并负责监督、管理。协调交通运输、电</w:t>
      </w:r>
      <w:r>
        <w:rPr>
          <w:rFonts w:ascii="仿宋" w:hAnsi="仿宋" w:eastAsia="仿宋_GB2312" w:cs="仿宋"/>
          <w:snapToGrid w:val="0"/>
          <w:color w:val="000000"/>
          <w:spacing w:val="4"/>
          <w:kern w:val="0"/>
          <w:sz w:val="32"/>
          <w:szCs w:val="32"/>
          <w:lang w:eastAsia="en-US"/>
        </w:rPr>
        <w:t>力、通讯、水利等基</w:t>
      </w:r>
      <w:r>
        <w:rPr>
          <w:rFonts w:ascii="仿宋" w:hAnsi="仿宋" w:eastAsia="仿宋_GB2312" w:cs="仿宋"/>
          <w:snapToGrid w:val="0"/>
          <w:color w:val="000000"/>
          <w:spacing w:val="1"/>
          <w:kern w:val="0"/>
          <w:sz w:val="32"/>
          <w:szCs w:val="32"/>
          <w:lang w:eastAsia="en-US"/>
        </w:rPr>
        <w:t>础建设工作；完成乡党委、政府交办的其他工作。</w:t>
      </w:r>
    </w:p>
    <w:p w14:paraId="6C5BF874">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64" w:firstLineChars="200"/>
        <w:jc w:val="both"/>
        <w:textAlignment w:val="baseline"/>
        <w:rPr>
          <w:rFonts w:ascii="仿宋" w:hAnsi="仿宋" w:eastAsia="仿宋_GB2312" w:cs="仿宋"/>
          <w:snapToGrid w:val="0"/>
          <w:color w:val="000000"/>
          <w:kern w:val="0"/>
          <w:sz w:val="32"/>
          <w:szCs w:val="32"/>
          <w:lang w:eastAsia="en-US"/>
        </w:rPr>
      </w:pPr>
      <w:r>
        <w:rPr>
          <w:rFonts w:hint="eastAsia" w:ascii="楷体" w:hAnsi="楷体" w:eastAsia="楷体" w:cs="楷体"/>
          <w:snapToGrid w:val="0"/>
          <w:color w:val="000000"/>
          <w:spacing w:val="6"/>
          <w:kern w:val="0"/>
          <w:sz w:val="32"/>
          <w:szCs w:val="32"/>
          <w:lang w:val="en-US" w:eastAsia="zh-CN"/>
        </w:rPr>
        <w:t>5.</w:t>
      </w:r>
      <w:r>
        <w:rPr>
          <w:rFonts w:ascii="楷体" w:hAnsi="楷体" w:eastAsia="楷体" w:cs="楷体"/>
          <w:snapToGrid w:val="0"/>
          <w:color w:val="000000"/>
          <w:spacing w:val="6"/>
          <w:kern w:val="0"/>
          <w:sz w:val="32"/>
          <w:szCs w:val="32"/>
          <w:lang w:eastAsia="en-US"/>
        </w:rPr>
        <w:t>综合执法和应急管理办公室。</w:t>
      </w:r>
      <w:r>
        <w:rPr>
          <w:rFonts w:ascii="仿宋" w:hAnsi="仿宋" w:eastAsia="仿宋_GB2312" w:cs="仿宋"/>
          <w:snapToGrid w:val="0"/>
          <w:color w:val="000000"/>
          <w:spacing w:val="6"/>
          <w:kern w:val="0"/>
          <w:sz w:val="32"/>
          <w:szCs w:val="32"/>
          <w:lang w:eastAsia="en-US"/>
        </w:rPr>
        <w:t>根据有关法律法规和赋</w:t>
      </w:r>
      <w:r>
        <w:rPr>
          <w:rFonts w:ascii="仿宋" w:hAnsi="仿宋" w:eastAsia="仿宋_GB2312" w:cs="仿宋"/>
          <w:snapToGrid w:val="0"/>
          <w:color w:val="000000"/>
          <w:spacing w:val="5"/>
          <w:kern w:val="0"/>
          <w:sz w:val="32"/>
          <w:szCs w:val="32"/>
          <w:lang w:eastAsia="en-US"/>
        </w:rPr>
        <w:t>权等，承担本行政区域内的综合行政执法工作；负责开展日常巡</w:t>
      </w:r>
      <w:r>
        <w:rPr>
          <w:rFonts w:ascii="仿宋" w:hAnsi="仿宋" w:eastAsia="仿宋_GB2312" w:cs="仿宋"/>
          <w:snapToGrid w:val="0"/>
          <w:color w:val="000000"/>
          <w:spacing w:val="3"/>
          <w:kern w:val="0"/>
          <w:sz w:val="32"/>
          <w:szCs w:val="32"/>
          <w:lang w:eastAsia="en-US"/>
        </w:rPr>
        <w:t>查和有关执法检查；负责统一指挥协调县级部门派驻乡的行政执</w:t>
      </w:r>
      <w:r>
        <w:rPr>
          <w:rFonts w:ascii="仿宋" w:hAnsi="仿宋" w:eastAsia="仿宋_GB2312" w:cs="仿宋"/>
          <w:snapToGrid w:val="0"/>
          <w:color w:val="000000"/>
          <w:spacing w:val="2"/>
          <w:kern w:val="0"/>
          <w:sz w:val="32"/>
          <w:szCs w:val="32"/>
          <w:lang w:eastAsia="en-US"/>
        </w:rPr>
        <w:t>法力量；负责支持、配合县级相关部门的执法工作；负责生态环</w:t>
      </w:r>
      <w:r>
        <w:rPr>
          <w:rFonts w:ascii="仿宋" w:hAnsi="仿宋" w:eastAsia="仿宋_GB2312" w:cs="仿宋"/>
          <w:snapToGrid w:val="0"/>
          <w:color w:val="000000"/>
          <w:spacing w:val="3"/>
          <w:kern w:val="0"/>
          <w:sz w:val="32"/>
          <w:szCs w:val="32"/>
          <w:lang w:eastAsia="en-US"/>
        </w:rPr>
        <w:t>境保护和城乡环境综合治理等工作；完成乡党委、政府交</w:t>
      </w:r>
      <w:r>
        <w:rPr>
          <w:rFonts w:ascii="仿宋" w:hAnsi="仿宋" w:eastAsia="仿宋_GB2312" w:cs="仿宋"/>
          <w:snapToGrid w:val="0"/>
          <w:color w:val="000000"/>
          <w:spacing w:val="2"/>
          <w:kern w:val="0"/>
          <w:sz w:val="32"/>
          <w:szCs w:val="32"/>
          <w:lang w:eastAsia="en-US"/>
        </w:rPr>
        <w:t>办的其</w:t>
      </w:r>
      <w:r>
        <w:rPr>
          <w:rFonts w:ascii="仿宋" w:hAnsi="仿宋" w:eastAsia="仿宋_GB2312" w:cs="仿宋"/>
          <w:snapToGrid w:val="0"/>
          <w:color w:val="000000"/>
          <w:spacing w:val="3"/>
          <w:kern w:val="0"/>
          <w:sz w:val="32"/>
          <w:szCs w:val="32"/>
          <w:lang w:eastAsia="en-US"/>
        </w:rPr>
        <w:t>他工作；负责应急管理、安全生产等领域各项方针政策</w:t>
      </w:r>
      <w:r>
        <w:rPr>
          <w:rFonts w:ascii="仿宋" w:hAnsi="仿宋" w:eastAsia="仿宋_GB2312" w:cs="仿宋"/>
          <w:snapToGrid w:val="0"/>
          <w:color w:val="000000"/>
          <w:spacing w:val="2"/>
          <w:kern w:val="0"/>
          <w:sz w:val="32"/>
          <w:szCs w:val="32"/>
          <w:lang w:eastAsia="en-US"/>
        </w:rPr>
        <w:t>、法律法</w:t>
      </w:r>
      <w:r>
        <w:rPr>
          <w:rFonts w:ascii="仿宋" w:hAnsi="仿宋" w:eastAsia="仿宋_GB2312" w:cs="仿宋"/>
          <w:snapToGrid w:val="0"/>
          <w:color w:val="000000"/>
          <w:spacing w:val="-4"/>
          <w:kern w:val="0"/>
          <w:sz w:val="32"/>
          <w:szCs w:val="32"/>
          <w:lang w:eastAsia="en-US"/>
        </w:rPr>
        <w:t>规规章的贯彻落实；负责辖区内安全生产、抗震救灾、防汛抗旱、</w:t>
      </w:r>
      <w:r>
        <w:rPr>
          <w:rFonts w:ascii="仿宋" w:hAnsi="仿宋" w:eastAsia="仿宋_GB2312" w:cs="仿宋"/>
          <w:snapToGrid w:val="0"/>
          <w:color w:val="000000"/>
          <w:spacing w:val="2"/>
          <w:kern w:val="0"/>
          <w:sz w:val="32"/>
          <w:szCs w:val="32"/>
          <w:lang w:eastAsia="en-US"/>
        </w:rPr>
        <w:t>地质灾害、消防安全、森林防灭火、道路交通安全、生态环境事</w:t>
      </w:r>
      <w:r>
        <w:rPr>
          <w:rFonts w:ascii="仿宋" w:hAnsi="仿宋" w:eastAsia="仿宋_GB2312" w:cs="仿宋"/>
          <w:snapToGrid w:val="0"/>
          <w:color w:val="000000"/>
          <w:spacing w:val="14"/>
          <w:kern w:val="0"/>
          <w:sz w:val="32"/>
          <w:szCs w:val="32"/>
          <w:lang w:eastAsia="en-US"/>
        </w:rPr>
        <w:t>件、公共卫生事件、食品药品安全事件、动</w:t>
      </w:r>
      <w:r>
        <w:rPr>
          <w:rFonts w:hint="eastAsia" w:ascii="仿宋" w:hAnsi="仿宋" w:eastAsia="仿宋_GB2312" w:cs="仿宋"/>
          <w:snapToGrid w:val="0"/>
          <w:color w:val="000000"/>
          <w:spacing w:val="14"/>
          <w:kern w:val="0"/>
          <w:sz w:val="32"/>
          <w:szCs w:val="32"/>
          <w:lang w:eastAsia="zh-CN"/>
        </w:rPr>
        <w:t>（</w:t>
      </w:r>
      <w:r>
        <w:rPr>
          <w:rFonts w:ascii="仿宋" w:hAnsi="仿宋" w:eastAsia="仿宋_GB2312" w:cs="仿宋"/>
          <w:snapToGrid w:val="0"/>
          <w:color w:val="000000"/>
          <w:spacing w:val="14"/>
          <w:kern w:val="0"/>
          <w:sz w:val="32"/>
          <w:szCs w:val="32"/>
          <w:lang w:eastAsia="en-US"/>
        </w:rPr>
        <w:t>植</w:t>
      </w:r>
      <w:r>
        <w:rPr>
          <w:rFonts w:hint="eastAsia" w:ascii="仿宋" w:hAnsi="仿宋" w:eastAsia="仿宋_GB2312" w:cs="仿宋"/>
          <w:snapToGrid w:val="0"/>
          <w:color w:val="000000"/>
          <w:spacing w:val="14"/>
          <w:kern w:val="0"/>
          <w:sz w:val="32"/>
          <w:szCs w:val="32"/>
          <w:lang w:eastAsia="zh-CN"/>
        </w:rPr>
        <w:t>）</w:t>
      </w:r>
      <w:r>
        <w:rPr>
          <w:rFonts w:ascii="仿宋" w:hAnsi="仿宋" w:eastAsia="仿宋_GB2312" w:cs="仿宋"/>
          <w:snapToGrid w:val="0"/>
          <w:color w:val="000000"/>
          <w:spacing w:val="14"/>
          <w:kern w:val="0"/>
          <w:sz w:val="32"/>
          <w:szCs w:val="32"/>
          <w:lang w:eastAsia="en-US"/>
        </w:rPr>
        <w:t>物疫情事件及</w:t>
      </w:r>
      <w:r>
        <w:rPr>
          <w:rFonts w:ascii="仿宋" w:hAnsi="仿宋" w:eastAsia="仿宋_GB2312" w:cs="仿宋"/>
          <w:snapToGrid w:val="0"/>
          <w:color w:val="000000"/>
          <w:spacing w:val="-4"/>
          <w:kern w:val="0"/>
          <w:sz w:val="32"/>
          <w:szCs w:val="32"/>
          <w:lang w:eastAsia="en-US"/>
        </w:rPr>
        <w:t>各类突发事件应急处置工作。完成乡党委、政府交办的其他工作。</w:t>
      </w:r>
    </w:p>
    <w:p w14:paraId="5F30C741">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64"/>
        <w:jc w:val="left"/>
        <w:textAlignment w:val="baseline"/>
        <w:rPr>
          <w:rFonts w:hint="default" w:ascii="Times New Roman" w:hAnsi="Times New Roman" w:eastAsia="楷体_GB2312" w:cs="Times New Roman"/>
          <w:b/>
          <w:bCs/>
          <w:color w:val="000000"/>
          <w:kern w:val="0"/>
          <w:szCs w:val="32"/>
          <w:highlight w:val="none"/>
          <w:shd w:val="clear" w:color="auto" w:fill="FFFFFF"/>
          <w:lang w:val="zh-CN"/>
        </w:rPr>
      </w:pPr>
      <w:r>
        <w:rPr>
          <w:rFonts w:ascii="仿宋" w:hAnsi="仿宋" w:eastAsia="仿宋_GB2312" w:cs="仿宋"/>
          <w:snapToGrid w:val="0"/>
          <w:color w:val="000000"/>
          <w:spacing w:val="2"/>
          <w:kern w:val="0"/>
          <w:sz w:val="32"/>
          <w:szCs w:val="32"/>
          <w:lang w:eastAsia="en-US"/>
        </w:rPr>
        <w:t>宜坪乡纪检监察、人大、人民武装等机构和群团组</w:t>
      </w:r>
      <w:r>
        <w:rPr>
          <w:rFonts w:ascii="仿宋" w:hAnsi="仿宋" w:eastAsia="仿宋_GB2312" w:cs="仿宋"/>
          <w:snapToGrid w:val="0"/>
          <w:color w:val="000000"/>
          <w:spacing w:val="-4"/>
          <w:kern w:val="0"/>
          <w:sz w:val="32"/>
          <w:szCs w:val="32"/>
          <w:lang w:eastAsia="en-US"/>
        </w:rPr>
        <w:t>织按有关规定或章程设置。</w:t>
      </w:r>
    </w:p>
    <w:p w14:paraId="1FCC2D41">
      <w:pPr>
        <w:pageBreakBefore w:val="0"/>
        <w:kinsoku/>
        <w:wordWrap/>
        <w:overflowPunct/>
        <w:topLinePunct w:val="0"/>
        <w:bidi w:val="0"/>
        <w:spacing w:line="600" w:lineRule="exact"/>
        <w:ind w:left="0" w:leftChars="0" w:right="0" w:firstLine="624" w:firstLineChars="200"/>
        <w:rPr>
          <w:rFonts w:hint="eastAsia" w:ascii="楷体_GB2312" w:hAnsi="楷体_GB2312" w:eastAsia="楷体_GB2312" w:cs="楷体_GB2312"/>
          <w:snapToGrid w:val="0"/>
          <w:color w:val="000000"/>
          <w:spacing w:val="-4"/>
          <w:kern w:val="0"/>
          <w:sz w:val="32"/>
          <w:szCs w:val="32"/>
          <w:lang w:val="zh-CN" w:eastAsia="zh-CN"/>
        </w:rPr>
      </w:pPr>
      <w:r>
        <w:rPr>
          <w:rFonts w:hint="default" w:ascii="楷体_GB2312" w:hAnsi="楷体_GB2312" w:eastAsia="楷体_GB2312" w:cs="楷体_GB2312"/>
          <w:snapToGrid w:val="0"/>
          <w:color w:val="000000"/>
          <w:spacing w:val="-4"/>
          <w:kern w:val="0"/>
          <w:sz w:val="32"/>
          <w:szCs w:val="32"/>
          <w:lang w:val="zh-CN" w:eastAsia="zh-CN"/>
        </w:rPr>
        <w:t>（</w:t>
      </w:r>
      <w:r>
        <w:rPr>
          <w:rFonts w:hint="eastAsia" w:ascii="楷体_GB2312" w:hAnsi="楷体_GB2312" w:eastAsia="楷体_GB2312" w:cs="楷体_GB2312"/>
          <w:snapToGrid w:val="0"/>
          <w:color w:val="000000"/>
          <w:spacing w:val="-4"/>
          <w:kern w:val="0"/>
          <w:sz w:val="32"/>
          <w:szCs w:val="32"/>
          <w:lang w:val="zh-CN" w:eastAsia="zh-CN"/>
        </w:rPr>
        <w:t>三</w:t>
      </w:r>
      <w:r>
        <w:rPr>
          <w:rFonts w:hint="default" w:ascii="楷体_GB2312" w:hAnsi="楷体_GB2312" w:eastAsia="楷体_GB2312" w:cs="楷体_GB2312"/>
          <w:snapToGrid w:val="0"/>
          <w:color w:val="000000"/>
          <w:spacing w:val="-4"/>
          <w:kern w:val="0"/>
          <w:sz w:val="32"/>
          <w:szCs w:val="32"/>
          <w:lang w:val="zh-CN" w:eastAsia="zh-CN"/>
        </w:rPr>
        <w:t>）人员概况</w:t>
      </w:r>
    </w:p>
    <w:p w14:paraId="555ACFC7">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left"/>
        <w:textAlignment w:val="baseline"/>
        <w:rPr>
          <w:rFonts w:hint="eastAsia" w:ascii="Times New Roman" w:hAnsi="Times New Roman" w:eastAsia="仿宋_GB2312" w:cs="Times New Roman"/>
          <w:szCs w:val="32"/>
          <w:lang w:eastAsia="zh-CN"/>
        </w:rPr>
      </w:pPr>
      <w:r>
        <w:rPr>
          <w:rFonts w:hint="default" w:ascii="Times New Roman" w:hAnsi="Times New Roman" w:eastAsia="仿宋_GB2312" w:cs="Times New Roman"/>
          <w:sz w:val="32"/>
          <w:szCs w:val="32"/>
          <w:lang w:val="en-US" w:eastAsia="zh-CN"/>
        </w:rPr>
        <w:t>截至202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年末</w:t>
      </w:r>
      <w:r>
        <w:rPr>
          <w:rFonts w:hint="eastAsia" w:eastAsia="仿宋_GB2312" w:cs="Times New Roman"/>
          <w:sz w:val="32"/>
          <w:szCs w:val="32"/>
          <w:lang w:val="en-US" w:eastAsia="zh-CN"/>
        </w:rPr>
        <w:t>，</w:t>
      </w:r>
      <w:r>
        <w:rPr>
          <w:rFonts w:ascii="仿宋" w:hAnsi="仿宋" w:eastAsia="仿宋_GB2312" w:cs="仿宋"/>
          <w:snapToGrid w:val="0"/>
          <w:color w:val="000000"/>
          <w:spacing w:val="13"/>
          <w:kern w:val="0"/>
          <w:sz w:val="32"/>
          <w:szCs w:val="32"/>
          <w:lang w:eastAsia="en-US"/>
        </w:rPr>
        <w:t>宜坪乡核定机关行政编制17名。核定领导职数11</w:t>
      </w:r>
      <w:r>
        <w:rPr>
          <w:rFonts w:ascii="仿宋" w:hAnsi="仿宋" w:eastAsia="仿宋_GB2312" w:cs="仿宋"/>
          <w:snapToGrid w:val="0"/>
          <w:color w:val="000000"/>
          <w:spacing w:val="29"/>
          <w:kern w:val="0"/>
          <w:sz w:val="32"/>
          <w:szCs w:val="32"/>
          <w:lang w:eastAsia="en-US"/>
        </w:rPr>
        <w:t>名，其中党委书记1名，乡长</w:t>
      </w:r>
      <w:r>
        <w:rPr>
          <w:rFonts w:hint="eastAsia" w:ascii="仿宋" w:hAnsi="仿宋" w:eastAsia="仿宋_GB2312" w:cs="仿宋"/>
          <w:snapToGrid w:val="0"/>
          <w:color w:val="000000"/>
          <w:spacing w:val="29"/>
          <w:kern w:val="0"/>
          <w:sz w:val="32"/>
          <w:szCs w:val="32"/>
          <w:lang w:eastAsia="zh-CN"/>
        </w:rPr>
        <w:t>（</w:t>
      </w:r>
      <w:r>
        <w:rPr>
          <w:rFonts w:ascii="仿宋" w:hAnsi="仿宋" w:eastAsia="仿宋_GB2312" w:cs="仿宋"/>
          <w:snapToGrid w:val="0"/>
          <w:color w:val="000000"/>
          <w:spacing w:val="29"/>
          <w:kern w:val="0"/>
          <w:sz w:val="32"/>
          <w:szCs w:val="32"/>
          <w:lang w:eastAsia="en-US"/>
        </w:rPr>
        <w:t>副书记</w:t>
      </w:r>
      <w:r>
        <w:rPr>
          <w:rFonts w:hint="eastAsia" w:ascii="仿宋" w:hAnsi="仿宋" w:eastAsia="仿宋_GB2312" w:cs="仿宋"/>
          <w:snapToGrid w:val="0"/>
          <w:color w:val="000000"/>
          <w:spacing w:val="29"/>
          <w:kern w:val="0"/>
          <w:sz w:val="32"/>
          <w:szCs w:val="32"/>
          <w:lang w:eastAsia="zh-CN"/>
        </w:rPr>
        <w:t>）</w:t>
      </w:r>
      <w:r>
        <w:rPr>
          <w:rFonts w:ascii="仿宋" w:hAnsi="仿宋" w:eastAsia="仿宋_GB2312" w:cs="仿宋"/>
          <w:snapToGrid w:val="0"/>
          <w:color w:val="000000"/>
          <w:spacing w:val="29"/>
          <w:kern w:val="0"/>
          <w:sz w:val="32"/>
          <w:szCs w:val="32"/>
          <w:lang w:eastAsia="en-US"/>
        </w:rPr>
        <w:t>1名，人大主席1名，</w:t>
      </w:r>
      <w:r>
        <w:rPr>
          <w:rFonts w:ascii="仿宋" w:hAnsi="仿宋" w:eastAsia="仿宋_GB2312" w:cs="仿宋"/>
          <w:snapToGrid w:val="0"/>
          <w:color w:val="000000"/>
          <w:spacing w:val="12"/>
          <w:kern w:val="0"/>
          <w:sz w:val="32"/>
          <w:szCs w:val="32"/>
          <w:lang w:eastAsia="en-US"/>
        </w:rPr>
        <w:t>专职副书记1名、副乡长3名、武装部长1名</w:t>
      </w:r>
      <w:r>
        <w:rPr>
          <w:rFonts w:hint="eastAsia" w:ascii="仿宋" w:hAnsi="仿宋" w:eastAsia="仿宋_GB2312" w:cs="仿宋"/>
          <w:snapToGrid w:val="0"/>
          <w:color w:val="000000"/>
          <w:spacing w:val="12"/>
          <w:kern w:val="0"/>
          <w:sz w:val="32"/>
          <w:szCs w:val="32"/>
          <w:lang w:eastAsia="zh-CN"/>
        </w:rPr>
        <w:t>（</w:t>
      </w:r>
      <w:r>
        <w:rPr>
          <w:rFonts w:ascii="仿宋" w:hAnsi="仿宋" w:eastAsia="仿宋_GB2312" w:cs="仿宋"/>
          <w:snapToGrid w:val="0"/>
          <w:color w:val="000000"/>
          <w:spacing w:val="12"/>
          <w:kern w:val="0"/>
          <w:sz w:val="32"/>
          <w:szCs w:val="32"/>
          <w:lang w:eastAsia="en-US"/>
        </w:rPr>
        <w:t>由党委委员兼任</w:t>
      </w:r>
      <w:r>
        <w:rPr>
          <w:rFonts w:hint="eastAsia" w:ascii="仿宋" w:hAnsi="仿宋" w:eastAsia="仿宋_GB2312" w:cs="仿宋"/>
          <w:snapToGrid w:val="0"/>
          <w:color w:val="000000"/>
          <w:spacing w:val="12"/>
          <w:kern w:val="0"/>
          <w:sz w:val="32"/>
          <w:szCs w:val="32"/>
          <w:lang w:eastAsia="zh-CN"/>
        </w:rPr>
        <w:t>）</w:t>
      </w:r>
      <w:r>
        <w:rPr>
          <w:rFonts w:ascii="仿宋" w:hAnsi="仿宋" w:eastAsia="仿宋_GB2312" w:cs="仿宋"/>
          <w:snapToGrid w:val="0"/>
          <w:color w:val="000000"/>
          <w:spacing w:val="11"/>
          <w:kern w:val="0"/>
          <w:sz w:val="32"/>
          <w:szCs w:val="32"/>
          <w:lang w:eastAsia="en-US"/>
        </w:rPr>
        <w:t>、</w:t>
      </w:r>
      <w:r>
        <w:rPr>
          <w:rFonts w:ascii="仿宋" w:hAnsi="仿宋" w:eastAsia="仿宋_GB2312" w:cs="仿宋"/>
          <w:snapToGrid w:val="0"/>
          <w:color w:val="000000"/>
          <w:spacing w:val="13"/>
          <w:kern w:val="0"/>
          <w:sz w:val="32"/>
          <w:szCs w:val="32"/>
          <w:lang w:eastAsia="en-US"/>
        </w:rPr>
        <w:t>纪委书记1名、组织委员1名</w:t>
      </w:r>
      <w:r>
        <w:rPr>
          <w:rFonts w:hint="eastAsia" w:ascii="仿宋" w:hAnsi="仿宋" w:eastAsia="仿宋_GB2312" w:cs="仿宋"/>
          <w:snapToGrid w:val="0"/>
          <w:color w:val="000000"/>
          <w:spacing w:val="13"/>
          <w:kern w:val="0"/>
          <w:sz w:val="32"/>
          <w:szCs w:val="32"/>
          <w:lang w:eastAsia="zh-CN"/>
        </w:rPr>
        <w:t>（</w:t>
      </w:r>
      <w:r>
        <w:rPr>
          <w:rFonts w:ascii="仿宋" w:hAnsi="仿宋" w:eastAsia="仿宋_GB2312" w:cs="仿宋"/>
          <w:snapToGrid w:val="0"/>
          <w:color w:val="000000"/>
          <w:spacing w:val="13"/>
          <w:kern w:val="0"/>
          <w:sz w:val="32"/>
          <w:szCs w:val="32"/>
          <w:lang w:eastAsia="en-US"/>
        </w:rPr>
        <w:t>兼任统战委员</w:t>
      </w:r>
      <w:r>
        <w:rPr>
          <w:rFonts w:hint="eastAsia" w:ascii="仿宋" w:hAnsi="仿宋" w:eastAsia="仿宋_GB2312" w:cs="仿宋"/>
          <w:snapToGrid w:val="0"/>
          <w:color w:val="000000"/>
          <w:spacing w:val="13"/>
          <w:kern w:val="0"/>
          <w:sz w:val="32"/>
          <w:szCs w:val="32"/>
          <w:lang w:eastAsia="zh-CN"/>
        </w:rPr>
        <w:t>）</w:t>
      </w:r>
      <w:r>
        <w:rPr>
          <w:rFonts w:ascii="仿宋" w:hAnsi="仿宋" w:eastAsia="仿宋_GB2312" w:cs="仿宋"/>
          <w:snapToGrid w:val="0"/>
          <w:color w:val="000000"/>
          <w:spacing w:val="13"/>
          <w:kern w:val="0"/>
          <w:sz w:val="32"/>
          <w:szCs w:val="32"/>
          <w:lang w:eastAsia="en-US"/>
        </w:rPr>
        <w:t>、宣传委员1名</w:t>
      </w:r>
      <w:r>
        <w:rPr>
          <w:rFonts w:hint="eastAsia" w:ascii="仿宋" w:hAnsi="仿宋" w:eastAsia="仿宋_GB2312" w:cs="仿宋"/>
          <w:snapToGrid w:val="0"/>
          <w:color w:val="000000"/>
          <w:spacing w:val="13"/>
          <w:kern w:val="0"/>
          <w:sz w:val="32"/>
          <w:szCs w:val="32"/>
          <w:lang w:eastAsia="zh-CN"/>
        </w:rPr>
        <w:t>（</w:t>
      </w:r>
      <w:r>
        <w:rPr>
          <w:rFonts w:ascii="仿宋" w:hAnsi="仿宋" w:eastAsia="仿宋_GB2312" w:cs="仿宋"/>
          <w:snapToGrid w:val="0"/>
          <w:color w:val="000000"/>
          <w:spacing w:val="13"/>
          <w:kern w:val="0"/>
          <w:sz w:val="32"/>
          <w:szCs w:val="32"/>
          <w:lang w:eastAsia="en-US"/>
        </w:rPr>
        <w:t>兼</w:t>
      </w:r>
      <w:r>
        <w:rPr>
          <w:rFonts w:ascii="仿宋" w:hAnsi="仿宋" w:eastAsia="仿宋_GB2312" w:cs="仿宋"/>
          <w:snapToGrid w:val="0"/>
          <w:color w:val="000000"/>
          <w:spacing w:val="14"/>
          <w:kern w:val="0"/>
          <w:sz w:val="32"/>
          <w:szCs w:val="32"/>
          <w:lang w:eastAsia="en-US"/>
        </w:rPr>
        <w:t>任人大副主席</w:t>
      </w:r>
      <w:r>
        <w:rPr>
          <w:rFonts w:hint="eastAsia" w:ascii="仿宋" w:hAnsi="仿宋" w:eastAsia="仿宋_GB2312" w:cs="仿宋"/>
          <w:snapToGrid w:val="0"/>
          <w:color w:val="000000"/>
          <w:spacing w:val="14"/>
          <w:kern w:val="0"/>
          <w:sz w:val="32"/>
          <w:szCs w:val="32"/>
          <w:lang w:eastAsia="zh-CN"/>
        </w:rPr>
        <w:t>）</w:t>
      </w:r>
      <w:r>
        <w:rPr>
          <w:rFonts w:ascii="仿宋" w:hAnsi="仿宋" w:eastAsia="仿宋_GB2312" w:cs="仿宋"/>
          <w:snapToGrid w:val="0"/>
          <w:color w:val="000000"/>
          <w:spacing w:val="14"/>
          <w:kern w:val="0"/>
          <w:sz w:val="32"/>
          <w:szCs w:val="32"/>
          <w:lang w:eastAsia="en-US"/>
        </w:rPr>
        <w:t>、政法委员1名。设中层职</w:t>
      </w:r>
      <w:r>
        <w:rPr>
          <w:rFonts w:ascii="仿宋" w:hAnsi="仿宋" w:eastAsia="仿宋_GB2312" w:cs="仿宋"/>
          <w:snapToGrid w:val="0"/>
          <w:color w:val="000000"/>
          <w:spacing w:val="13"/>
          <w:kern w:val="0"/>
          <w:sz w:val="32"/>
          <w:szCs w:val="32"/>
          <w:lang w:eastAsia="en-US"/>
        </w:rPr>
        <w:t>数5名</w:t>
      </w:r>
      <w:r>
        <w:rPr>
          <w:rFonts w:hint="eastAsia" w:ascii="仿宋" w:hAnsi="仿宋" w:eastAsia="仿宋_GB2312" w:cs="仿宋"/>
          <w:snapToGrid w:val="0"/>
          <w:color w:val="000000"/>
          <w:spacing w:val="13"/>
          <w:kern w:val="0"/>
          <w:sz w:val="32"/>
          <w:szCs w:val="32"/>
          <w:lang w:eastAsia="zh-CN"/>
        </w:rPr>
        <w:t>，</w:t>
      </w:r>
      <w:r>
        <w:rPr>
          <w:rFonts w:ascii="仿宋" w:hAnsi="仿宋" w:eastAsia="仿宋_GB2312" w:cs="仿宋"/>
          <w:snapToGrid w:val="0"/>
          <w:color w:val="000000"/>
          <w:spacing w:val="1"/>
          <w:kern w:val="0"/>
          <w:sz w:val="32"/>
          <w:szCs w:val="32"/>
          <w:lang w:eastAsia="en-US"/>
        </w:rPr>
        <w:t>核定宜坪乡事业编制14名</w:t>
      </w:r>
      <w:r>
        <w:rPr>
          <w:rFonts w:hint="eastAsia" w:ascii="仿宋" w:hAnsi="仿宋" w:eastAsia="仿宋_GB2312" w:cs="仿宋"/>
          <w:snapToGrid w:val="0"/>
          <w:color w:val="000000"/>
          <w:spacing w:val="1"/>
          <w:kern w:val="0"/>
          <w:sz w:val="32"/>
          <w:szCs w:val="32"/>
          <w:lang w:eastAsia="zh-CN"/>
        </w:rPr>
        <w:t>。</w:t>
      </w:r>
    </w:p>
    <w:p w14:paraId="2237B3B6">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right="0"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458F864A">
      <w:pPr>
        <w:pageBreakBefore w:val="0"/>
        <w:kinsoku/>
        <w:wordWrap/>
        <w:overflowPunct/>
        <w:topLinePunct w:val="0"/>
        <w:bidi w:val="0"/>
        <w:spacing w:line="600" w:lineRule="exact"/>
        <w:ind w:left="0" w:leftChars="0" w:right="0" w:firstLine="624" w:firstLineChars="200"/>
        <w:rPr>
          <w:rFonts w:hint="default" w:ascii="楷体_GB2312" w:hAnsi="楷体_GB2312" w:eastAsia="楷体_GB2312" w:cs="楷体_GB2312"/>
          <w:snapToGrid w:val="0"/>
          <w:color w:val="000000"/>
          <w:spacing w:val="-4"/>
          <w:kern w:val="0"/>
          <w:sz w:val="32"/>
          <w:szCs w:val="32"/>
          <w:lang w:val="zh-CN" w:eastAsia="zh-CN"/>
        </w:rPr>
      </w:pPr>
      <w:r>
        <w:rPr>
          <w:rFonts w:hint="default" w:ascii="楷体_GB2312" w:hAnsi="楷体_GB2312" w:eastAsia="楷体_GB2312" w:cs="楷体_GB2312"/>
          <w:snapToGrid w:val="0"/>
          <w:color w:val="000000"/>
          <w:spacing w:val="-4"/>
          <w:kern w:val="0"/>
          <w:sz w:val="32"/>
          <w:szCs w:val="32"/>
          <w:lang w:val="zh-CN" w:eastAsia="zh-CN"/>
        </w:rPr>
        <w:t>（一）</w:t>
      </w:r>
      <w:r>
        <w:rPr>
          <w:rFonts w:hint="eastAsia" w:ascii="楷体_GB2312" w:hAnsi="楷体_GB2312" w:eastAsia="楷体_GB2312" w:cs="楷体_GB2312"/>
          <w:snapToGrid w:val="0"/>
          <w:color w:val="000000"/>
          <w:spacing w:val="-4"/>
          <w:kern w:val="0"/>
          <w:sz w:val="32"/>
          <w:szCs w:val="32"/>
          <w:lang w:val="zh-CN" w:eastAsia="zh-CN"/>
        </w:rPr>
        <w:t>收入情况</w:t>
      </w:r>
    </w:p>
    <w:p w14:paraId="4E296C2A">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contextualSpacing/>
        <w:jc w:val="left"/>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2024年年初预算收入641.6万元。决算报表收入979.32万元。</w:t>
      </w:r>
      <w:r>
        <w:rPr>
          <w:rFonts w:hint="eastAsia" w:ascii="仿宋" w:hAnsi="仿宋" w:eastAsia="仿宋" w:cs="仿宋"/>
          <w:b w:val="0"/>
          <w:bCs w:val="0"/>
          <w:sz w:val="32"/>
          <w:szCs w:val="32"/>
          <w:lang w:eastAsia="zh-CN"/>
        </w:rPr>
        <w:t>其中：一般公共预算财政拨款收入</w:t>
      </w:r>
      <w:r>
        <w:rPr>
          <w:rFonts w:hint="eastAsia" w:ascii="仿宋" w:hAnsi="仿宋" w:eastAsia="仿宋" w:cs="仿宋"/>
          <w:b w:val="0"/>
          <w:bCs w:val="0"/>
          <w:sz w:val="32"/>
          <w:szCs w:val="32"/>
          <w:lang w:val="en-US" w:eastAsia="zh-CN"/>
        </w:rPr>
        <w:t>823.5</w:t>
      </w:r>
      <w:r>
        <w:rPr>
          <w:rFonts w:hint="eastAsia" w:ascii="仿宋" w:hAnsi="仿宋" w:eastAsia="仿宋" w:cs="仿宋"/>
          <w:b w:val="0"/>
          <w:bCs w:val="0"/>
          <w:sz w:val="32"/>
          <w:szCs w:val="32"/>
          <w:lang w:eastAsia="zh-CN"/>
        </w:rPr>
        <w:t>万元，政府性基金预算财政拨款收入</w:t>
      </w:r>
      <w:r>
        <w:rPr>
          <w:rFonts w:hint="eastAsia" w:ascii="仿宋" w:hAnsi="仿宋" w:eastAsia="仿宋" w:cs="仿宋"/>
          <w:b w:val="0"/>
          <w:bCs w:val="0"/>
          <w:sz w:val="32"/>
          <w:szCs w:val="32"/>
          <w:lang w:val="en-US" w:eastAsia="zh-CN"/>
        </w:rPr>
        <w:t>121.82万元，结转结余34万元</w:t>
      </w:r>
      <w:r>
        <w:rPr>
          <w:rFonts w:hint="eastAsia" w:ascii="仿宋" w:hAnsi="仿宋" w:eastAsia="仿宋" w:cs="仿宋"/>
          <w:b w:val="0"/>
          <w:bCs w:val="0"/>
          <w:sz w:val="32"/>
          <w:szCs w:val="32"/>
          <w:lang w:eastAsia="zh-CN"/>
        </w:rPr>
        <w:t>。</w:t>
      </w:r>
    </w:p>
    <w:p w14:paraId="59C02E50">
      <w:pPr>
        <w:pageBreakBefore w:val="0"/>
        <w:kinsoku/>
        <w:wordWrap/>
        <w:overflowPunct/>
        <w:topLinePunct w:val="0"/>
        <w:bidi w:val="0"/>
        <w:spacing w:line="600" w:lineRule="exact"/>
        <w:ind w:left="0" w:leftChars="0" w:right="0" w:firstLine="624" w:firstLineChars="200"/>
        <w:rPr>
          <w:rFonts w:hint="default" w:ascii="楷体_GB2312" w:hAnsi="楷体_GB2312" w:eastAsia="楷体_GB2312" w:cs="楷体_GB2312"/>
          <w:snapToGrid w:val="0"/>
          <w:color w:val="000000"/>
          <w:spacing w:val="-4"/>
          <w:kern w:val="0"/>
          <w:sz w:val="32"/>
          <w:szCs w:val="32"/>
          <w:lang w:val="zh-CN" w:eastAsia="zh-CN"/>
        </w:rPr>
      </w:pPr>
      <w:r>
        <w:rPr>
          <w:rFonts w:hint="default" w:ascii="楷体_GB2312" w:hAnsi="楷体_GB2312" w:eastAsia="楷体_GB2312" w:cs="楷体_GB2312"/>
          <w:snapToGrid w:val="0"/>
          <w:color w:val="000000"/>
          <w:spacing w:val="-4"/>
          <w:kern w:val="0"/>
          <w:sz w:val="32"/>
          <w:szCs w:val="32"/>
          <w:lang w:val="zh-CN" w:eastAsia="zh-CN"/>
        </w:rPr>
        <w:t>（</w:t>
      </w:r>
      <w:r>
        <w:rPr>
          <w:rFonts w:hint="eastAsia" w:ascii="楷体_GB2312" w:hAnsi="楷体_GB2312" w:eastAsia="楷体_GB2312" w:cs="楷体_GB2312"/>
          <w:snapToGrid w:val="0"/>
          <w:color w:val="000000"/>
          <w:spacing w:val="-4"/>
          <w:kern w:val="0"/>
          <w:sz w:val="32"/>
          <w:szCs w:val="32"/>
          <w:lang w:val="zh-CN" w:eastAsia="zh-CN"/>
        </w:rPr>
        <w:t>二</w:t>
      </w:r>
      <w:r>
        <w:rPr>
          <w:rFonts w:hint="default" w:ascii="楷体_GB2312" w:hAnsi="楷体_GB2312" w:eastAsia="楷体_GB2312" w:cs="楷体_GB2312"/>
          <w:snapToGrid w:val="0"/>
          <w:color w:val="000000"/>
          <w:spacing w:val="-4"/>
          <w:kern w:val="0"/>
          <w:sz w:val="32"/>
          <w:szCs w:val="32"/>
          <w:lang w:val="zh-CN" w:eastAsia="zh-CN"/>
        </w:rPr>
        <w:t>）</w:t>
      </w:r>
      <w:r>
        <w:rPr>
          <w:rFonts w:hint="eastAsia" w:ascii="楷体_GB2312" w:hAnsi="楷体_GB2312" w:eastAsia="楷体_GB2312" w:cs="楷体_GB2312"/>
          <w:snapToGrid w:val="0"/>
          <w:color w:val="000000"/>
          <w:spacing w:val="-4"/>
          <w:kern w:val="0"/>
          <w:sz w:val="32"/>
          <w:szCs w:val="32"/>
          <w:lang w:val="zh-CN" w:eastAsia="zh-CN"/>
        </w:rPr>
        <w:t>支出情况</w:t>
      </w:r>
    </w:p>
    <w:p w14:paraId="6600E6F1">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right="0" w:firstLine="640" w:firstLineChars="200"/>
        <w:contextualSpacing/>
        <w:jc w:val="left"/>
        <w:textAlignment w:val="auto"/>
        <w:outlineLvl w:val="9"/>
        <w:rPr>
          <w:rFonts w:hint="eastAsia" w:ascii="仿宋" w:hAnsi="仿宋" w:eastAsia="仿宋" w:cs="仿宋"/>
          <w:b w:val="0"/>
          <w:bCs w:val="0"/>
          <w:sz w:val="32"/>
          <w:szCs w:val="32"/>
          <w:lang w:val="zh-CN" w:eastAsia="zh-CN"/>
        </w:rPr>
      </w:pPr>
      <w:r>
        <w:rPr>
          <w:rFonts w:hint="eastAsia" w:ascii="仿宋" w:hAnsi="仿宋" w:eastAsia="仿宋" w:cs="仿宋"/>
          <w:b w:val="0"/>
          <w:bCs w:val="0"/>
          <w:sz w:val="32"/>
          <w:szCs w:val="32"/>
          <w:lang w:val="en-US" w:eastAsia="zh-CN"/>
        </w:rPr>
        <w:t>2024年年</w:t>
      </w:r>
      <w:r>
        <w:rPr>
          <w:rFonts w:hint="eastAsia" w:ascii="仿宋" w:hAnsi="仿宋" w:eastAsia="仿宋" w:cs="仿宋"/>
          <w:sz w:val="32"/>
          <w:szCs w:val="32"/>
          <w:lang w:val="en-US" w:eastAsia="zh-CN"/>
        </w:rPr>
        <w:t>初预算支出641.6万元、决算报表支出979.32万元。</w:t>
      </w:r>
      <w:r>
        <w:rPr>
          <w:rFonts w:hint="eastAsia" w:ascii="仿宋" w:hAnsi="仿宋" w:eastAsia="仿宋" w:cs="仿宋"/>
          <w:b w:val="0"/>
          <w:bCs w:val="0"/>
          <w:kern w:val="2"/>
          <w:sz w:val="32"/>
          <w:szCs w:val="32"/>
          <w:lang w:val="en-US" w:eastAsia="zh-CN" w:bidi="ar"/>
        </w:rPr>
        <w:t>其中：基本支出731.78万元，项目支出213.54万元，结转结余34万元。</w:t>
      </w:r>
    </w:p>
    <w:p w14:paraId="30A38062">
      <w:pPr>
        <w:pageBreakBefore w:val="0"/>
        <w:kinsoku/>
        <w:wordWrap/>
        <w:overflowPunct/>
        <w:topLinePunct w:val="0"/>
        <w:bidi w:val="0"/>
        <w:spacing w:line="600" w:lineRule="exact"/>
        <w:ind w:left="0" w:leftChars="0" w:right="0" w:firstLine="624" w:firstLineChars="200"/>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楷体_GB2312" w:hAnsi="楷体_GB2312" w:eastAsia="楷体_GB2312" w:cs="楷体_GB2312"/>
          <w:snapToGrid w:val="0"/>
          <w:color w:val="000000"/>
          <w:spacing w:val="-4"/>
          <w:kern w:val="0"/>
          <w:sz w:val="32"/>
          <w:szCs w:val="32"/>
          <w:lang w:val="zh-CN" w:eastAsia="zh-CN"/>
        </w:rPr>
        <w:t>（</w:t>
      </w:r>
      <w:r>
        <w:rPr>
          <w:rFonts w:hint="eastAsia" w:ascii="楷体_GB2312" w:hAnsi="楷体_GB2312" w:eastAsia="楷体_GB2312" w:cs="楷体_GB2312"/>
          <w:snapToGrid w:val="0"/>
          <w:color w:val="000000"/>
          <w:spacing w:val="-4"/>
          <w:kern w:val="0"/>
          <w:sz w:val="32"/>
          <w:szCs w:val="32"/>
          <w:lang w:val="zh-CN" w:eastAsia="zh-CN"/>
        </w:rPr>
        <w:t>三</w:t>
      </w:r>
      <w:r>
        <w:rPr>
          <w:rFonts w:hint="default" w:ascii="楷体_GB2312" w:hAnsi="楷体_GB2312" w:eastAsia="楷体_GB2312" w:cs="楷体_GB2312"/>
          <w:snapToGrid w:val="0"/>
          <w:color w:val="000000"/>
          <w:spacing w:val="-4"/>
          <w:kern w:val="0"/>
          <w:sz w:val="32"/>
          <w:szCs w:val="32"/>
          <w:lang w:val="zh-CN" w:eastAsia="zh-CN"/>
        </w:rPr>
        <w:t>）结余分配和结转结余情况</w:t>
      </w:r>
    </w:p>
    <w:p w14:paraId="7E8C5B8E">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eastAsia" w:ascii="Times New Roman" w:hAnsi="Times New Roman" w:eastAsia="仿宋_GB2312" w:cs="Times New Roman"/>
          <w:sz w:val="32"/>
          <w:szCs w:val="32"/>
          <w:lang w:val="en-US" w:eastAsia="zh-CN"/>
        </w:rPr>
        <w:t>2024年决算报表</w:t>
      </w:r>
      <w:r>
        <w:rPr>
          <w:rFonts w:hint="default" w:ascii="Times New Roman" w:hAnsi="Times New Roman" w:eastAsia="仿宋_GB2312" w:cs="Times New Roman"/>
          <w:sz w:val="32"/>
          <w:szCs w:val="32"/>
          <w:lang w:val="en-US" w:eastAsia="zh-CN"/>
        </w:rPr>
        <w:t>结转结余</w:t>
      </w:r>
      <w:r>
        <w:rPr>
          <w:rFonts w:hint="eastAsia" w:eastAsia="仿宋_GB2312" w:cs="Times New Roman"/>
          <w:sz w:val="32"/>
          <w:szCs w:val="32"/>
          <w:lang w:val="en-US" w:eastAsia="zh-CN"/>
        </w:rPr>
        <w:t>34万元，农林水支出项目下的一般行政管理事务</w:t>
      </w:r>
      <w:r>
        <w:rPr>
          <w:rFonts w:hint="default" w:ascii="Times New Roman" w:hAnsi="Times New Roman" w:eastAsia="仿宋_GB2312" w:cs="Times New Roman"/>
          <w:sz w:val="32"/>
          <w:szCs w:val="32"/>
          <w:lang w:val="en-US" w:eastAsia="zh-CN"/>
        </w:rPr>
        <w:t>。</w:t>
      </w:r>
    </w:p>
    <w:p w14:paraId="462E32AE">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right="0"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3DEB59FF">
      <w:pPr>
        <w:pageBreakBefore w:val="0"/>
        <w:kinsoku/>
        <w:wordWrap/>
        <w:overflowPunct/>
        <w:topLinePunct w:val="0"/>
        <w:bidi w:val="0"/>
        <w:spacing w:line="600" w:lineRule="exact"/>
        <w:ind w:left="0" w:leftChars="0" w:right="0" w:firstLine="624" w:firstLineChars="200"/>
        <w:rPr>
          <w:rFonts w:hint="default" w:ascii="楷体_GB2312" w:hAnsi="楷体_GB2312" w:eastAsia="楷体_GB2312" w:cs="楷体_GB2312"/>
          <w:snapToGrid w:val="0"/>
          <w:color w:val="000000"/>
          <w:spacing w:val="-4"/>
          <w:kern w:val="0"/>
          <w:sz w:val="32"/>
          <w:szCs w:val="32"/>
          <w:lang w:val="zh-CN" w:eastAsia="zh-CN"/>
        </w:rPr>
      </w:pPr>
      <w:r>
        <w:rPr>
          <w:rFonts w:hint="default" w:ascii="楷体_GB2312" w:hAnsi="楷体_GB2312" w:eastAsia="楷体_GB2312" w:cs="楷体_GB2312"/>
          <w:snapToGrid w:val="0"/>
          <w:color w:val="000000"/>
          <w:spacing w:val="-4"/>
          <w:kern w:val="0"/>
          <w:sz w:val="32"/>
          <w:szCs w:val="32"/>
          <w:lang w:val="zh-CN" w:eastAsia="zh-CN"/>
        </w:rPr>
        <w:t>（一）</w:t>
      </w:r>
      <w:r>
        <w:rPr>
          <w:rFonts w:hint="eastAsia" w:ascii="楷体_GB2312" w:hAnsi="楷体_GB2312" w:eastAsia="楷体_GB2312" w:cs="楷体_GB2312"/>
          <w:snapToGrid w:val="0"/>
          <w:color w:val="000000"/>
          <w:spacing w:val="-4"/>
          <w:kern w:val="0"/>
          <w:sz w:val="32"/>
          <w:szCs w:val="32"/>
          <w:lang w:val="zh-CN" w:eastAsia="zh-CN"/>
        </w:rPr>
        <w:t>部门预算</w:t>
      </w:r>
      <w:r>
        <w:rPr>
          <w:rFonts w:hint="default" w:ascii="楷体_GB2312" w:hAnsi="楷体_GB2312" w:eastAsia="楷体_GB2312" w:cs="楷体_GB2312"/>
          <w:snapToGrid w:val="0"/>
          <w:color w:val="000000"/>
          <w:spacing w:val="-4"/>
          <w:kern w:val="0"/>
          <w:sz w:val="32"/>
          <w:szCs w:val="32"/>
          <w:lang w:val="zh-CN" w:eastAsia="zh-CN"/>
        </w:rPr>
        <w:t>总体绩效分析</w:t>
      </w:r>
    </w:p>
    <w:p w14:paraId="7736A294">
      <w:pPr>
        <w:keepNext w:val="0"/>
        <w:keepLines w:val="0"/>
        <w:pageBreakBefore w:val="0"/>
        <w:widowControl/>
        <w:numPr>
          <w:ilvl w:val="0"/>
          <w:numId w:val="0"/>
        </w:numPr>
        <w:kinsoku/>
        <w:wordWrap/>
        <w:overflowPunct/>
        <w:topLinePunct w:val="0"/>
        <w:bidi w:val="0"/>
        <w:adjustRightInd w:val="0"/>
        <w:snapToGrid w:val="0"/>
        <w:spacing w:line="600" w:lineRule="exact"/>
        <w:ind w:left="0" w:right="0" w:firstLine="640" w:firstLineChars="200"/>
        <w:contextualSpacing/>
        <w:jc w:val="left"/>
        <w:rPr>
          <w:rFonts w:hint="eastAsia" w:ascii="仿宋" w:hAnsi="仿宋" w:eastAsia="仿宋_GB2312" w:cs="仿宋"/>
          <w:color w:val="000000"/>
          <w:kern w:val="0"/>
          <w:sz w:val="32"/>
          <w:szCs w:val="32"/>
          <w:shd w:val="clear" w:color="auto" w:fill="FFFFFF"/>
          <w:lang w:val="en-US" w:eastAsia="zh-CN"/>
        </w:rPr>
      </w:pPr>
      <w:r>
        <w:rPr>
          <w:rFonts w:hint="eastAsia" w:ascii="仿宋" w:hAnsi="仿宋" w:eastAsia="仿宋_GB2312" w:cs="仿宋"/>
          <w:color w:val="000000"/>
          <w:kern w:val="0"/>
          <w:sz w:val="32"/>
          <w:szCs w:val="32"/>
          <w:shd w:val="clear" w:color="auto" w:fill="FFFFFF"/>
          <w:lang w:val="zh-CN"/>
        </w:rPr>
        <w:t>预算管理方面，编制内在职人员控制率小于100%，支出总额控制在预算总额以内。制度执行总体较为有效，但仍需进一步强化资金使用管理。单位制度需进一步健全</w:t>
      </w:r>
      <w:r>
        <w:rPr>
          <w:rFonts w:hint="eastAsia" w:ascii="仿宋" w:hAnsi="仿宋" w:eastAsia="仿宋_GB2312" w:cs="仿宋"/>
          <w:color w:val="000000"/>
          <w:kern w:val="0"/>
          <w:sz w:val="32"/>
          <w:szCs w:val="32"/>
          <w:shd w:val="clear" w:color="auto" w:fill="FFFFFF"/>
          <w:lang w:val="en-US" w:eastAsia="zh-CN"/>
        </w:rPr>
        <w:t>及</w:t>
      </w:r>
      <w:r>
        <w:rPr>
          <w:rFonts w:hint="eastAsia" w:ascii="仿宋" w:hAnsi="仿宋" w:eastAsia="仿宋_GB2312" w:cs="仿宋"/>
          <w:color w:val="000000"/>
          <w:kern w:val="0"/>
          <w:sz w:val="32"/>
          <w:szCs w:val="32"/>
          <w:shd w:val="clear" w:color="auto" w:fill="FFFFFF"/>
          <w:lang w:val="zh-CN"/>
        </w:rPr>
        <w:t>规范。</w:t>
      </w:r>
      <w:r>
        <w:rPr>
          <w:rFonts w:hint="eastAsia" w:ascii="仿宋" w:hAnsi="仿宋" w:eastAsia="仿宋_GB2312" w:cs="仿宋"/>
          <w:color w:val="000000"/>
          <w:kern w:val="0"/>
          <w:sz w:val="32"/>
          <w:szCs w:val="32"/>
          <w:shd w:val="clear" w:color="auto" w:fill="FFFFFF"/>
          <w:lang w:val="en-US" w:eastAsia="zh-CN"/>
        </w:rPr>
        <w:t xml:space="preserve">  </w:t>
      </w:r>
    </w:p>
    <w:p w14:paraId="2BDE27BD">
      <w:pPr>
        <w:keepNext w:val="0"/>
        <w:keepLines w:val="0"/>
        <w:pageBreakBefore w:val="0"/>
        <w:widowControl/>
        <w:numPr>
          <w:ilvl w:val="0"/>
          <w:numId w:val="0"/>
        </w:numPr>
        <w:kinsoku/>
        <w:wordWrap/>
        <w:overflowPunct/>
        <w:topLinePunct w:val="0"/>
        <w:bidi w:val="0"/>
        <w:adjustRightInd w:val="0"/>
        <w:snapToGrid w:val="0"/>
        <w:spacing w:line="600" w:lineRule="exact"/>
        <w:ind w:left="0" w:right="0" w:firstLine="640" w:firstLineChars="200"/>
        <w:contextualSpacing/>
        <w:jc w:val="left"/>
        <w:rPr>
          <w:rStyle w:val="15"/>
          <w:rFonts w:hint="eastAsia" w:ascii="仿宋" w:hAnsi="仿宋" w:eastAsia="仿宋_GB2312" w:cs="仿宋"/>
          <w:b w:val="0"/>
          <w:bCs w:val="0"/>
          <w:i w:val="0"/>
          <w:iCs w:val="0"/>
          <w:caps w:val="0"/>
          <w:color w:val="000000"/>
          <w:spacing w:val="0"/>
          <w:sz w:val="32"/>
          <w:szCs w:val="32"/>
          <w:highlight w:val="none"/>
          <w:shd w:val="clear" w:fill="FFFFFF"/>
          <w:lang w:val="zh-CN"/>
        </w:rPr>
      </w:pPr>
      <w:r>
        <w:rPr>
          <w:rStyle w:val="15"/>
          <w:rFonts w:hint="eastAsia" w:ascii="仿宋" w:hAnsi="仿宋" w:eastAsia="仿宋_GB2312" w:cs="仿宋"/>
          <w:b w:val="0"/>
          <w:bCs w:val="0"/>
          <w:i w:val="0"/>
          <w:iCs w:val="0"/>
          <w:caps w:val="0"/>
          <w:color w:val="000000"/>
          <w:spacing w:val="0"/>
          <w:sz w:val="32"/>
          <w:szCs w:val="32"/>
          <w:highlight w:val="none"/>
          <w:shd w:val="clear" w:fill="FFFFFF"/>
          <w:lang w:val="en-US" w:eastAsia="zh-CN"/>
        </w:rPr>
        <w:t>1.</w:t>
      </w:r>
      <w:r>
        <w:rPr>
          <w:rStyle w:val="15"/>
          <w:rFonts w:hint="eastAsia" w:ascii="仿宋" w:hAnsi="仿宋" w:eastAsia="仿宋_GB2312" w:cs="仿宋"/>
          <w:b w:val="0"/>
          <w:bCs w:val="0"/>
          <w:i w:val="0"/>
          <w:iCs w:val="0"/>
          <w:caps w:val="0"/>
          <w:color w:val="000000"/>
          <w:spacing w:val="0"/>
          <w:sz w:val="32"/>
          <w:szCs w:val="32"/>
          <w:highlight w:val="none"/>
          <w:shd w:val="clear" w:fill="FFFFFF"/>
          <w:lang w:val="zh-CN"/>
        </w:rPr>
        <w:t>整体情况</w:t>
      </w:r>
    </w:p>
    <w:p w14:paraId="308326F6">
      <w:pPr>
        <w:keepNext w:val="0"/>
        <w:keepLines w:val="0"/>
        <w:pageBreakBefore w:val="0"/>
        <w:widowControl/>
        <w:numPr>
          <w:ilvl w:val="0"/>
          <w:numId w:val="0"/>
        </w:numPr>
        <w:kinsoku/>
        <w:wordWrap/>
        <w:overflowPunct/>
        <w:topLinePunct w:val="0"/>
        <w:bidi w:val="0"/>
        <w:adjustRightInd w:val="0"/>
        <w:snapToGrid w:val="0"/>
        <w:spacing w:line="600" w:lineRule="exact"/>
        <w:ind w:left="0" w:right="0" w:firstLine="640" w:firstLineChars="200"/>
        <w:contextualSpacing/>
        <w:jc w:val="left"/>
        <w:rPr>
          <w:rStyle w:val="15"/>
          <w:rFonts w:hint="eastAsia" w:ascii="仿宋" w:hAnsi="仿宋" w:eastAsia="仿宋_GB2312" w:cs="仿宋"/>
          <w:b w:val="0"/>
          <w:bCs w:val="0"/>
          <w:i w:val="0"/>
          <w:iCs w:val="0"/>
          <w:caps w:val="0"/>
          <w:color w:val="000000"/>
          <w:spacing w:val="0"/>
          <w:sz w:val="32"/>
          <w:szCs w:val="32"/>
          <w:highlight w:val="none"/>
          <w:shd w:val="clear" w:fill="FFFFFF"/>
          <w:lang w:val="zh-CN"/>
        </w:rPr>
      </w:pPr>
      <w:r>
        <w:rPr>
          <w:rStyle w:val="15"/>
          <w:rFonts w:hint="eastAsia" w:ascii="仿宋" w:hAnsi="仿宋" w:eastAsia="仿宋_GB2312" w:cs="仿宋"/>
          <w:b w:val="0"/>
          <w:bCs w:val="0"/>
          <w:i w:val="0"/>
          <w:iCs w:val="0"/>
          <w:caps w:val="0"/>
          <w:color w:val="000000"/>
          <w:spacing w:val="0"/>
          <w:sz w:val="32"/>
          <w:szCs w:val="32"/>
          <w:highlight w:val="none"/>
          <w:shd w:val="clear" w:fill="FFFFFF"/>
          <w:lang w:val="zh-CN"/>
        </w:rPr>
        <w:t>宜坪乡人民政府绩效目标按要求公开，部门整体绩效自评情况和自行组织的评价情况向社会公开。资金主要投入在</w:t>
      </w:r>
      <w:r>
        <w:rPr>
          <w:rFonts w:hint="eastAsia" w:ascii="仿宋" w:hAnsi="仿宋" w:eastAsia="仿宋_GB2312" w:cs="仿宋"/>
          <w:color w:val="auto"/>
          <w:sz w:val="32"/>
          <w:szCs w:val="32"/>
          <w:lang w:val="zh-CN" w:eastAsia="zh-CN"/>
        </w:rPr>
        <w:t>乡镇交管办劝导员补贴</w:t>
      </w:r>
      <w:r>
        <w:rPr>
          <w:rFonts w:hint="eastAsia" w:ascii="仿宋" w:hAnsi="仿宋" w:eastAsia="仿宋_GB2312" w:cs="仿宋"/>
          <w:color w:val="auto"/>
          <w:sz w:val="32"/>
          <w:szCs w:val="32"/>
          <w:lang w:val="en-US" w:eastAsia="zh-CN"/>
        </w:rPr>
        <w:t>2.52万元</w:t>
      </w:r>
      <w:r>
        <w:rPr>
          <w:rFonts w:hint="eastAsia" w:ascii="仿宋" w:hAnsi="仿宋" w:eastAsia="仿宋_GB2312" w:cs="仿宋"/>
          <w:color w:val="auto"/>
          <w:sz w:val="32"/>
          <w:szCs w:val="32"/>
          <w:lang w:val="zh-CN" w:eastAsia="zh-CN"/>
        </w:rPr>
        <w:t>、交通安全工作经费</w:t>
      </w:r>
      <w:r>
        <w:rPr>
          <w:rFonts w:hint="eastAsia" w:ascii="仿宋" w:hAnsi="仿宋" w:eastAsia="仿宋_GB2312" w:cs="仿宋"/>
          <w:color w:val="auto"/>
          <w:sz w:val="32"/>
          <w:szCs w:val="32"/>
          <w:lang w:val="en-US" w:eastAsia="zh-CN"/>
        </w:rPr>
        <w:t>2</w:t>
      </w:r>
      <w:r>
        <w:rPr>
          <w:rFonts w:hint="eastAsia" w:ascii="仿宋" w:hAnsi="仿宋" w:eastAsia="仿宋_GB2312" w:cs="仿宋"/>
          <w:color w:val="auto"/>
          <w:sz w:val="32"/>
          <w:szCs w:val="32"/>
          <w:lang w:val="zh-CN" w:eastAsia="zh-CN"/>
        </w:rPr>
        <w:t>万元、西大门综合服务区运行管理维护费</w:t>
      </w:r>
      <w:r>
        <w:rPr>
          <w:rFonts w:hint="eastAsia" w:ascii="仿宋" w:hAnsi="仿宋" w:eastAsia="仿宋_GB2312" w:cs="仿宋"/>
          <w:color w:val="auto"/>
          <w:sz w:val="32"/>
          <w:szCs w:val="32"/>
          <w:lang w:val="en-US" w:eastAsia="zh-CN"/>
        </w:rPr>
        <w:t>8万元、拖欠企业账款清偿项目31.82万元、2024年基层组织和农村公共服务运行维护费（上级）52.8万元、2024年基层组织和农村公共服务运行维护费（县级）26.4万元、城乡融合重大项目前期工作经费（宜坪乡）90万元，预算执行率为100%，按照要求进行支付</w:t>
      </w:r>
      <w:r>
        <w:rPr>
          <w:rStyle w:val="15"/>
          <w:rFonts w:hint="eastAsia" w:ascii="仿宋" w:hAnsi="仿宋" w:eastAsia="仿宋_GB2312" w:cs="仿宋"/>
          <w:b w:val="0"/>
          <w:bCs w:val="0"/>
          <w:i w:val="0"/>
          <w:iCs w:val="0"/>
          <w:caps w:val="0"/>
          <w:color w:val="000000"/>
          <w:spacing w:val="0"/>
          <w:sz w:val="32"/>
          <w:szCs w:val="32"/>
          <w:highlight w:val="none"/>
          <w:shd w:val="clear" w:fill="FFFFFF"/>
          <w:lang w:val="zh-CN"/>
        </w:rPr>
        <w:t>。通过统计分析获取了人民群众</w:t>
      </w:r>
      <w:r>
        <w:rPr>
          <w:rStyle w:val="15"/>
          <w:rFonts w:hint="eastAsia" w:ascii="仿宋" w:hAnsi="仿宋" w:eastAsia="仿宋_GB2312" w:cs="仿宋"/>
          <w:b w:val="0"/>
          <w:bCs w:val="0"/>
          <w:i w:val="0"/>
          <w:iCs w:val="0"/>
          <w:caps w:val="0"/>
          <w:color w:val="000000"/>
          <w:spacing w:val="0"/>
          <w:sz w:val="32"/>
          <w:szCs w:val="32"/>
          <w:highlight w:val="none"/>
          <w:shd w:val="clear" w:fill="FFFFFF"/>
          <w:lang w:val="en-US" w:eastAsia="zh-CN"/>
        </w:rPr>
        <w:t>的满意度</w:t>
      </w:r>
      <w:r>
        <w:rPr>
          <w:rStyle w:val="15"/>
          <w:rFonts w:hint="eastAsia" w:ascii="仿宋" w:hAnsi="仿宋" w:eastAsia="仿宋_GB2312" w:cs="仿宋"/>
          <w:b w:val="0"/>
          <w:bCs w:val="0"/>
          <w:i w:val="0"/>
          <w:iCs w:val="0"/>
          <w:caps w:val="0"/>
          <w:color w:val="000000"/>
          <w:spacing w:val="0"/>
          <w:sz w:val="32"/>
          <w:szCs w:val="32"/>
          <w:highlight w:val="none"/>
          <w:shd w:val="clear" w:fill="FFFFFF"/>
          <w:lang w:val="zh-CN"/>
        </w:rPr>
        <w:t>、居住生活的舒适度、工作出行的便捷度、居住生活的安全度各方面的良好评价。</w:t>
      </w:r>
    </w:p>
    <w:p w14:paraId="1818D2EA">
      <w:pPr>
        <w:keepNext w:val="0"/>
        <w:keepLines w:val="0"/>
        <w:pageBreakBefore w:val="0"/>
        <w:widowControl/>
        <w:numPr>
          <w:ilvl w:val="0"/>
          <w:numId w:val="0"/>
        </w:numPr>
        <w:kinsoku/>
        <w:wordWrap/>
        <w:overflowPunct/>
        <w:topLinePunct w:val="0"/>
        <w:bidi w:val="0"/>
        <w:adjustRightInd w:val="0"/>
        <w:snapToGrid w:val="0"/>
        <w:spacing w:line="600" w:lineRule="exact"/>
        <w:ind w:left="0" w:right="0" w:firstLine="640" w:firstLineChars="200"/>
        <w:contextualSpacing/>
        <w:jc w:val="left"/>
        <w:rPr>
          <w:rFonts w:hint="eastAsia" w:ascii="仿宋" w:hAnsi="仿宋" w:eastAsia="仿宋_GB2312" w:cs="仿宋"/>
          <w:kern w:val="0"/>
          <w:sz w:val="32"/>
          <w:szCs w:val="32"/>
          <w:shd w:val="clear" w:color="auto" w:fill="FFFFFF"/>
          <w:lang w:val="en-US" w:eastAsia="zh-CN"/>
        </w:rPr>
      </w:pPr>
      <w:r>
        <w:rPr>
          <w:rFonts w:hint="eastAsia" w:ascii="仿宋" w:hAnsi="仿宋" w:eastAsia="仿宋_GB2312" w:cs="仿宋"/>
          <w:kern w:val="0"/>
          <w:sz w:val="32"/>
          <w:szCs w:val="32"/>
          <w:shd w:val="clear" w:color="auto" w:fill="FFFFFF"/>
          <w:lang w:val="en-US" w:eastAsia="zh-CN"/>
        </w:rPr>
        <w:t>2.各项目完成及资金使用情况</w:t>
      </w:r>
    </w:p>
    <w:p w14:paraId="7F4C0161">
      <w:pPr>
        <w:keepNext w:val="0"/>
        <w:keepLines w:val="0"/>
        <w:pageBreakBefore w:val="0"/>
        <w:widowControl/>
        <w:numPr>
          <w:ilvl w:val="0"/>
          <w:numId w:val="0"/>
        </w:numPr>
        <w:kinsoku/>
        <w:wordWrap/>
        <w:overflowPunct/>
        <w:topLinePunct w:val="0"/>
        <w:bidi w:val="0"/>
        <w:adjustRightInd w:val="0"/>
        <w:snapToGrid w:val="0"/>
        <w:spacing w:line="600" w:lineRule="exact"/>
        <w:ind w:left="0" w:right="0" w:firstLine="640" w:firstLineChars="200"/>
        <w:contextualSpacing/>
        <w:jc w:val="left"/>
        <w:rPr>
          <w:rFonts w:hint="eastAsia"/>
          <w:lang w:val="en-US" w:eastAsia="zh-CN"/>
        </w:rPr>
      </w:pPr>
      <w:r>
        <w:rPr>
          <w:rFonts w:hint="eastAsia" w:ascii="仿宋" w:hAnsi="仿宋" w:eastAsia="仿宋_GB2312" w:cs="仿宋"/>
          <w:color w:val="auto"/>
          <w:kern w:val="0"/>
          <w:sz w:val="32"/>
          <w:szCs w:val="32"/>
          <w:shd w:val="clear" w:color="auto" w:fill="FFFFFF"/>
          <w:lang w:val="en-US" w:eastAsia="zh-CN" w:bidi="ar-SA"/>
        </w:rPr>
        <w:t>（1）乡镇交管办劝导员补贴2.52万元：该项目资金为发放全乡5个村7名交通劝导员补贴，已于2024年12月全部完成支付。劝导员上路开展交通劝导工作，保障全乡各村的交通有序进行，减少交通安全事故的发生。提高了群众安全感，使群众满意度达到98%。</w:t>
      </w:r>
    </w:p>
    <w:p w14:paraId="4264DB28">
      <w:pPr>
        <w:keepNext w:val="0"/>
        <w:keepLines w:val="0"/>
        <w:pageBreakBefore w:val="0"/>
        <w:widowControl/>
        <w:numPr>
          <w:ilvl w:val="0"/>
          <w:numId w:val="0"/>
        </w:numPr>
        <w:kinsoku/>
        <w:wordWrap/>
        <w:overflowPunct/>
        <w:topLinePunct w:val="0"/>
        <w:bidi w:val="0"/>
        <w:adjustRightInd w:val="0"/>
        <w:snapToGrid w:val="0"/>
        <w:spacing w:line="600" w:lineRule="exact"/>
        <w:ind w:left="0" w:right="0" w:firstLine="640" w:firstLineChars="200"/>
        <w:contextualSpacing/>
        <w:jc w:val="left"/>
        <w:rPr>
          <w:rFonts w:hint="eastAsia" w:ascii="仿宋" w:hAnsi="仿宋" w:eastAsia="仿宋_GB2312" w:cs="仿宋"/>
          <w:kern w:val="0"/>
          <w:sz w:val="32"/>
          <w:szCs w:val="32"/>
          <w:shd w:val="clear" w:color="auto" w:fill="FFFFFF"/>
          <w:lang w:eastAsia="zh-CN"/>
        </w:rPr>
      </w:pPr>
      <w:r>
        <w:rPr>
          <w:rFonts w:hint="eastAsia" w:ascii="仿宋" w:hAnsi="仿宋" w:eastAsia="仿宋_GB2312" w:cs="仿宋"/>
          <w:kern w:val="0"/>
          <w:sz w:val="32"/>
          <w:szCs w:val="32"/>
          <w:shd w:val="clear" w:color="auto" w:fill="FFFFFF"/>
          <w:lang w:eastAsia="zh-CN"/>
        </w:rPr>
        <w:t>（</w:t>
      </w:r>
      <w:r>
        <w:rPr>
          <w:rFonts w:hint="eastAsia" w:ascii="仿宋" w:hAnsi="仿宋" w:eastAsia="仿宋_GB2312" w:cs="仿宋"/>
          <w:kern w:val="0"/>
          <w:sz w:val="32"/>
          <w:szCs w:val="32"/>
          <w:shd w:val="clear" w:color="auto" w:fill="FFFFFF"/>
          <w:lang w:val="en-US" w:eastAsia="zh-CN"/>
        </w:rPr>
        <w:t>2</w:t>
      </w:r>
      <w:r>
        <w:rPr>
          <w:rFonts w:hint="eastAsia" w:ascii="仿宋" w:hAnsi="仿宋" w:eastAsia="仿宋_GB2312" w:cs="仿宋"/>
          <w:kern w:val="0"/>
          <w:sz w:val="32"/>
          <w:szCs w:val="32"/>
          <w:shd w:val="clear" w:color="auto" w:fill="FFFFFF"/>
          <w:lang w:eastAsia="zh-CN"/>
        </w:rPr>
        <w:t>）</w:t>
      </w:r>
      <w:r>
        <w:rPr>
          <w:rFonts w:hint="eastAsia" w:ascii="仿宋" w:hAnsi="仿宋" w:eastAsia="仿宋_GB2312" w:cs="仿宋"/>
          <w:kern w:val="0"/>
          <w:sz w:val="32"/>
          <w:szCs w:val="32"/>
          <w:shd w:val="clear" w:color="auto" w:fill="FFFFFF"/>
        </w:rPr>
        <w:t>交通安全工作经费</w:t>
      </w:r>
      <w:r>
        <w:rPr>
          <w:rFonts w:hint="eastAsia" w:ascii="仿宋" w:hAnsi="仿宋" w:eastAsia="仿宋_GB2312" w:cs="仿宋"/>
          <w:kern w:val="0"/>
          <w:sz w:val="32"/>
          <w:szCs w:val="32"/>
          <w:shd w:val="clear" w:color="auto" w:fill="FFFFFF"/>
          <w:lang w:val="en-US" w:eastAsia="zh-CN"/>
        </w:rPr>
        <w:t>2</w:t>
      </w:r>
      <w:r>
        <w:rPr>
          <w:rFonts w:hint="eastAsia" w:ascii="仿宋" w:hAnsi="仿宋" w:eastAsia="仿宋_GB2312" w:cs="仿宋"/>
          <w:kern w:val="0"/>
          <w:sz w:val="32"/>
          <w:szCs w:val="32"/>
          <w:shd w:val="clear" w:color="auto" w:fill="FFFFFF"/>
        </w:rPr>
        <w:t>万元</w:t>
      </w:r>
      <w:r>
        <w:rPr>
          <w:rFonts w:hint="eastAsia" w:ascii="仿宋" w:hAnsi="仿宋" w:eastAsia="仿宋_GB2312" w:cs="仿宋"/>
          <w:kern w:val="0"/>
          <w:sz w:val="32"/>
          <w:szCs w:val="32"/>
          <w:shd w:val="clear" w:color="auto" w:fill="FFFFFF"/>
          <w:lang w:eastAsia="zh-CN"/>
        </w:rPr>
        <w:t>：2024年县财政局下达</w:t>
      </w:r>
      <w:r>
        <w:rPr>
          <w:rFonts w:hint="eastAsia" w:ascii="仿宋" w:hAnsi="仿宋" w:eastAsia="仿宋_GB2312" w:cs="仿宋"/>
          <w:kern w:val="0"/>
          <w:sz w:val="32"/>
          <w:szCs w:val="32"/>
          <w:shd w:val="clear" w:color="auto" w:fill="FFFFFF"/>
          <w:lang w:val="en-US" w:eastAsia="zh-CN"/>
        </w:rPr>
        <w:t>2</w:t>
      </w:r>
      <w:r>
        <w:rPr>
          <w:rFonts w:hint="eastAsia" w:ascii="仿宋" w:hAnsi="仿宋" w:eastAsia="仿宋_GB2312" w:cs="仿宋"/>
          <w:kern w:val="0"/>
          <w:sz w:val="32"/>
          <w:szCs w:val="32"/>
          <w:shd w:val="clear" w:color="auto" w:fill="FFFFFF"/>
          <w:lang w:eastAsia="zh-CN"/>
        </w:rPr>
        <w:t>万元，</w:t>
      </w:r>
      <w:r>
        <w:rPr>
          <w:rFonts w:hint="eastAsia" w:ascii="仿宋" w:hAnsi="仿宋" w:eastAsia="仿宋_GB2312" w:cs="仿宋"/>
          <w:kern w:val="0"/>
          <w:sz w:val="32"/>
          <w:szCs w:val="32"/>
          <w:shd w:val="clear" w:color="auto" w:fill="FFFFFF"/>
          <w:lang w:val="en-US" w:eastAsia="zh-CN"/>
        </w:rPr>
        <w:t>实际支付2万元</w:t>
      </w:r>
      <w:r>
        <w:rPr>
          <w:rFonts w:hint="eastAsia" w:ascii="仿宋" w:hAnsi="仿宋" w:eastAsia="仿宋_GB2312" w:cs="仿宋"/>
          <w:kern w:val="0"/>
          <w:sz w:val="32"/>
          <w:szCs w:val="32"/>
          <w:shd w:val="clear" w:color="auto" w:fill="FFFFFF"/>
          <w:lang w:eastAsia="zh-CN"/>
        </w:rPr>
        <w:t>。此项目预算资金按照文件要求于2024年12月完成乡镇交管办工作经费</w:t>
      </w:r>
      <w:r>
        <w:rPr>
          <w:rFonts w:hint="eastAsia" w:ascii="仿宋" w:hAnsi="仿宋" w:eastAsia="仿宋_GB2312" w:cs="仿宋"/>
          <w:kern w:val="0"/>
          <w:sz w:val="32"/>
          <w:szCs w:val="32"/>
          <w:shd w:val="clear" w:color="auto" w:fill="FFFFFF"/>
          <w:lang w:val="en-US" w:eastAsia="zh-CN"/>
        </w:rPr>
        <w:t>的</w:t>
      </w:r>
      <w:r>
        <w:rPr>
          <w:rFonts w:hint="eastAsia" w:ascii="仿宋" w:hAnsi="仿宋" w:eastAsia="仿宋_GB2312" w:cs="仿宋"/>
          <w:kern w:val="0"/>
          <w:sz w:val="32"/>
          <w:szCs w:val="32"/>
          <w:shd w:val="clear" w:color="auto" w:fill="FFFFFF"/>
          <w:lang w:eastAsia="zh-CN"/>
        </w:rPr>
        <w:t>支付，主要用于乡交管办安全广告标识标牌制作、道路隐患处置等，保障了全乡</w:t>
      </w:r>
      <w:r>
        <w:rPr>
          <w:rFonts w:hint="eastAsia" w:ascii="仿宋" w:hAnsi="仿宋" w:eastAsia="仿宋_GB2312" w:cs="仿宋"/>
          <w:kern w:val="0"/>
          <w:sz w:val="32"/>
          <w:szCs w:val="32"/>
          <w:shd w:val="clear" w:color="auto" w:fill="FFFFFF"/>
          <w:lang w:val="en-US" w:eastAsia="zh-CN"/>
        </w:rPr>
        <w:t>5</w:t>
      </w:r>
      <w:r>
        <w:rPr>
          <w:rFonts w:hint="eastAsia" w:ascii="仿宋" w:hAnsi="仿宋" w:eastAsia="仿宋_GB2312" w:cs="仿宋"/>
          <w:kern w:val="0"/>
          <w:sz w:val="32"/>
          <w:szCs w:val="32"/>
          <w:shd w:val="clear" w:color="auto" w:fill="FFFFFF"/>
          <w:lang w:eastAsia="zh-CN"/>
        </w:rPr>
        <w:t>个村道路交通及安全生产等。</w:t>
      </w:r>
    </w:p>
    <w:p w14:paraId="1C46F360">
      <w:pPr>
        <w:keepNext w:val="0"/>
        <w:keepLines w:val="0"/>
        <w:pageBreakBefore w:val="0"/>
        <w:kinsoku/>
        <w:wordWrap/>
        <w:overflowPunct/>
        <w:topLinePunct w:val="0"/>
        <w:bidi w:val="0"/>
        <w:adjustRightInd w:val="0"/>
        <w:snapToGrid w:val="0"/>
        <w:spacing w:line="600" w:lineRule="exact"/>
        <w:ind w:left="0" w:right="0" w:firstLine="720"/>
        <w:rPr>
          <w:rFonts w:hint="eastAsia" w:ascii="仿宋" w:hAnsi="仿宋" w:eastAsia="仿宋_GB2312" w:cs="仿宋"/>
          <w:color w:val="auto"/>
          <w:sz w:val="32"/>
          <w:szCs w:val="32"/>
          <w:lang w:val="en-US" w:eastAsia="zh-CN"/>
        </w:rPr>
      </w:pPr>
      <w:r>
        <w:rPr>
          <w:rFonts w:hint="eastAsia" w:ascii="仿宋" w:hAnsi="仿宋" w:eastAsia="仿宋_GB2312" w:cs="仿宋"/>
          <w:kern w:val="0"/>
          <w:sz w:val="32"/>
          <w:szCs w:val="32"/>
          <w:shd w:val="clear" w:color="auto" w:fill="FFFFFF"/>
          <w:lang w:eastAsia="zh-CN"/>
        </w:rPr>
        <w:t>（</w:t>
      </w:r>
      <w:r>
        <w:rPr>
          <w:rFonts w:hint="eastAsia" w:ascii="仿宋" w:hAnsi="仿宋" w:eastAsia="仿宋_GB2312" w:cs="仿宋"/>
          <w:kern w:val="0"/>
          <w:sz w:val="32"/>
          <w:szCs w:val="32"/>
          <w:shd w:val="clear" w:color="auto" w:fill="FFFFFF"/>
          <w:lang w:val="en-US" w:eastAsia="zh-CN"/>
        </w:rPr>
        <w:t>3</w:t>
      </w:r>
      <w:r>
        <w:rPr>
          <w:rFonts w:hint="eastAsia" w:ascii="仿宋" w:hAnsi="仿宋" w:eastAsia="仿宋_GB2312" w:cs="仿宋"/>
          <w:kern w:val="0"/>
          <w:sz w:val="32"/>
          <w:szCs w:val="32"/>
          <w:shd w:val="clear" w:color="auto" w:fill="FFFFFF"/>
          <w:lang w:eastAsia="zh-CN"/>
        </w:rPr>
        <w:t>）</w:t>
      </w:r>
      <w:r>
        <w:rPr>
          <w:rFonts w:hint="eastAsia" w:ascii="仿宋" w:hAnsi="仿宋" w:eastAsia="仿宋_GB2312" w:cs="仿宋"/>
          <w:color w:val="auto"/>
          <w:sz w:val="32"/>
          <w:szCs w:val="32"/>
          <w:lang w:val="zh-CN" w:eastAsia="zh-CN"/>
        </w:rPr>
        <w:t>西大门综合服务区运行管理维护费</w:t>
      </w:r>
      <w:r>
        <w:rPr>
          <w:rFonts w:hint="eastAsia" w:ascii="仿宋" w:hAnsi="仿宋" w:eastAsia="仿宋_GB2312" w:cs="仿宋"/>
          <w:color w:val="auto"/>
          <w:sz w:val="32"/>
          <w:szCs w:val="32"/>
          <w:lang w:val="en-US" w:eastAsia="zh-CN"/>
        </w:rPr>
        <w:t>8万元：</w:t>
      </w:r>
      <w:r>
        <w:rPr>
          <w:rFonts w:hint="eastAsia" w:ascii="仿宋" w:hAnsi="仿宋" w:eastAsia="仿宋_GB2312" w:cs="仿宋"/>
          <w:b w:val="0"/>
          <w:bCs w:val="0"/>
          <w:sz w:val="32"/>
          <w:lang w:val="en-US" w:eastAsia="zh-CN"/>
        </w:rPr>
        <w:t>2024年县财政局下达8万元。</w:t>
      </w:r>
      <w:r>
        <w:rPr>
          <w:rFonts w:hint="eastAsia" w:ascii="仿宋" w:hAnsi="仿宋" w:eastAsia="仿宋_GB2312" w:cs="仿宋"/>
          <w:b w:val="0"/>
          <w:bCs w:val="0"/>
          <w:sz w:val="32"/>
          <w:lang w:val="zh-CN" w:eastAsia="zh-CN"/>
        </w:rPr>
        <w:t>此项目预算资金</w:t>
      </w:r>
      <w:r>
        <w:rPr>
          <w:rFonts w:hint="eastAsia" w:ascii="仿宋" w:hAnsi="仿宋" w:eastAsia="仿宋_GB2312" w:cs="仿宋"/>
          <w:b w:val="0"/>
          <w:bCs w:val="0"/>
          <w:sz w:val="32"/>
          <w:lang w:val="en-US" w:eastAsia="zh-CN"/>
        </w:rPr>
        <w:t>8万</w:t>
      </w:r>
      <w:r>
        <w:rPr>
          <w:rFonts w:hint="eastAsia" w:ascii="仿宋" w:hAnsi="仿宋" w:eastAsia="仿宋_GB2312" w:cs="仿宋"/>
          <w:b w:val="0"/>
          <w:bCs w:val="0"/>
          <w:sz w:val="32"/>
          <w:lang w:val="zh-CN" w:eastAsia="zh-CN"/>
        </w:rPr>
        <w:t>元按照</w:t>
      </w:r>
      <w:r>
        <w:rPr>
          <w:rFonts w:hint="eastAsia" w:ascii="仿宋" w:hAnsi="仿宋" w:eastAsia="仿宋_GB2312" w:cs="仿宋"/>
          <w:b w:val="0"/>
          <w:bCs w:val="0"/>
          <w:sz w:val="32"/>
          <w:lang w:val="en-US" w:eastAsia="zh-CN"/>
        </w:rPr>
        <w:t>文件要求</w:t>
      </w:r>
      <w:r>
        <w:rPr>
          <w:rFonts w:hint="eastAsia" w:ascii="仿宋" w:hAnsi="仿宋" w:eastAsia="仿宋_GB2312" w:cs="仿宋"/>
          <w:b w:val="0"/>
          <w:bCs w:val="0"/>
          <w:sz w:val="32"/>
          <w:lang w:val="zh-CN" w:eastAsia="zh-CN"/>
        </w:rPr>
        <w:t>于</w:t>
      </w:r>
      <w:r>
        <w:rPr>
          <w:rFonts w:hint="eastAsia" w:ascii="仿宋" w:hAnsi="仿宋" w:eastAsia="仿宋_GB2312" w:cs="仿宋"/>
          <w:b w:val="0"/>
          <w:bCs w:val="0"/>
          <w:sz w:val="32"/>
          <w:lang w:val="en-US" w:eastAsia="zh-CN"/>
        </w:rPr>
        <w:t>2024年12月完成</w:t>
      </w:r>
      <w:r>
        <w:rPr>
          <w:rFonts w:hint="eastAsia" w:ascii="仿宋" w:hAnsi="仿宋" w:eastAsia="仿宋_GB2312" w:cs="仿宋"/>
          <w:b w:val="0"/>
          <w:bCs w:val="0"/>
          <w:color w:val="auto"/>
          <w:kern w:val="2"/>
          <w:sz w:val="32"/>
          <w:szCs w:val="32"/>
          <w:lang w:val="zh-CN" w:eastAsia="zh-CN" w:bidi="ar-SA"/>
        </w:rPr>
        <w:t>西大门综合服务区运行管理维护</w:t>
      </w:r>
      <w:r>
        <w:rPr>
          <w:rFonts w:hint="eastAsia" w:ascii="仿宋" w:hAnsi="仿宋" w:eastAsia="仿宋_GB2312" w:cs="仿宋"/>
          <w:b w:val="0"/>
          <w:bCs w:val="0"/>
          <w:sz w:val="32"/>
          <w:lang w:val="zh-CN" w:eastAsia="zh-CN"/>
        </w:rPr>
        <w:t>费</w:t>
      </w:r>
      <w:r>
        <w:rPr>
          <w:rFonts w:hint="eastAsia" w:ascii="仿宋" w:hAnsi="仿宋" w:eastAsia="仿宋_GB2312" w:cs="仿宋"/>
          <w:b w:val="0"/>
          <w:bCs w:val="0"/>
          <w:sz w:val="32"/>
          <w:lang w:val="en-US" w:eastAsia="zh-CN"/>
        </w:rPr>
        <w:t>支付，主要用于</w:t>
      </w:r>
      <w:r>
        <w:rPr>
          <w:rFonts w:hint="eastAsia" w:ascii="仿宋" w:hAnsi="仿宋" w:eastAsia="仿宋_GB2312" w:cs="仿宋"/>
          <w:b w:val="0"/>
          <w:bCs w:val="0"/>
          <w:color w:val="auto"/>
          <w:kern w:val="2"/>
          <w:sz w:val="32"/>
          <w:szCs w:val="32"/>
          <w:lang w:val="zh-CN" w:eastAsia="zh-CN" w:bidi="ar-SA"/>
        </w:rPr>
        <w:t>西大门综合服务区运行管理维护</w:t>
      </w:r>
      <w:r>
        <w:rPr>
          <w:rFonts w:hint="eastAsia" w:ascii="仿宋" w:hAnsi="仿宋" w:eastAsia="仿宋_GB2312" w:cs="仿宋"/>
          <w:b w:val="0"/>
          <w:bCs w:val="0"/>
          <w:sz w:val="32"/>
          <w:lang w:val="en-US" w:eastAsia="zh-CN"/>
        </w:rPr>
        <w:t>等，支付依据合规合法，资金支付与预算相符。</w:t>
      </w:r>
    </w:p>
    <w:p w14:paraId="0E83D5C8">
      <w:pPr>
        <w:keepNext w:val="0"/>
        <w:keepLines w:val="0"/>
        <w:pageBreakBefore w:val="0"/>
        <w:kinsoku/>
        <w:wordWrap/>
        <w:overflowPunct/>
        <w:topLinePunct w:val="0"/>
        <w:bidi w:val="0"/>
        <w:adjustRightInd w:val="0"/>
        <w:snapToGrid w:val="0"/>
        <w:spacing w:line="600" w:lineRule="exact"/>
        <w:ind w:left="0" w:right="0" w:firstLine="720"/>
        <w:rPr>
          <w:rFonts w:hint="eastAsia"/>
          <w:lang w:eastAsia="zh-CN"/>
        </w:rPr>
      </w:pPr>
      <w:r>
        <w:rPr>
          <w:rFonts w:hint="eastAsia" w:ascii="仿宋" w:hAnsi="仿宋" w:eastAsia="仿宋_GB2312" w:cs="仿宋"/>
          <w:kern w:val="0"/>
          <w:sz w:val="32"/>
          <w:szCs w:val="32"/>
          <w:shd w:val="clear" w:color="auto" w:fill="FFFFFF"/>
          <w:lang w:eastAsia="zh-CN"/>
        </w:rPr>
        <w:t>（</w:t>
      </w:r>
      <w:r>
        <w:rPr>
          <w:rFonts w:hint="eastAsia" w:ascii="仿宋" w:hAnsi="仿宋" w:eastAsia="仿宋_GB2312" w:cs="仿宋"/>
          <w:kern w:val="0"/>
          <w:sz w:val="32"/>
          <w:szCs w:val="32"/>
          <w:shd w:val="clear" w:color="auto" w:fill="FFFFFF"/>
          <w:lang w:val="en-US" w:eastAsia="zh-CN"/>
        </w:rPr>
        <w:t>4</w:t>
      </w:r>
      <w:r>
        <w:rPr>
          <w:rFonts w:hint="eastAsia" w:ascii="仿宋" w:hAnsi="仿宋" w:eastAsia="仿宋_GB2312" w:cs="仿宋"/>
          <w:kern w:val="0"/>
          <w:sz w:val="32"/>
          <w:szCs w:val="32"/>
          <w:shd w:val="clear" w:color="auto" w:fill="FFFFFF"/>
          <w:lang w:eastAsia="zh-CN"/>
        </w:rPr>
        <w:t>）</w:t>
      </w:r>
      <w:r>
        <w:rPr>
          <w:rFonts w:hint="eastAsia" w:ascii="仿宋" w:hAnsi="仿宋" w:eastAsia="仿宋_GB2312" w:cs="仿宋"/>
          <w:kern w:val="0"/>
          <w:sz w:val="32"/>
          <w:szCs w:val="32"/>
          <w:shd w:val="clear" w:color="auto" w:fill="FFFFFF"/>
        </w:rPr>
        <w:t>拖欠企业账款清偿项目</w:t>
      </w:r>
      <w:r>
        <w:rPr>
          <w:rFonts w:hint="eastAsia" w:ascii="仿宋" w:hAnsi="仿宋" w:eastAsia="仿宋_GB2312" w:cs="仿宋"/>
          <w:kern w:val="0"/>
          <w:sz w:val="32"/>
          <w:szCs w:val="32"/>
          <w:shd w:val="clear" w:color="auto" w:fill="FFFFFF"/>
          <w:lang w:val="en-US" w:eastAsia="zh-CN"/>
        </w:rPr>
        <w:t>31.82</w:t>
      </w:r>
      <w:r>
        <w:rPr>
          <w:rFonts w:hint="eastAsia" w:ascii="仿宋" w:hAnsi="仿宋" w:eastAsia="仿宋_GB2312" w:cs="仿宋"/>
          <w:kern w:val="0"/>
          <w:sz w:val="32"/>
          <w:szCs w:val="32"/>
          <w:shd w:val="clear" w:color="auto" w:fill="FFFFFF"/>
        </w:rPr>
        <w:t>万元</w:t>
      </w:r>
      <w:r>
        <w:rPr>
          <w:rFonts w:hint="eastAsia" w:ascii="仿宋" w:hAnsi="仿宋" w:eastAsia="仿宋_GB2312" w:cs="仿宋"/>
          <w:kern w:val="0"/>
          <w:sz w:val="32"/>
          <w:szCs w:val="32"/>
          <w:shd w:val="clear" w:color="auto" w:fill="FFFFFF"/>
          <w:lang w:eastAsia="zh-CN"/>
        </w:rPr>
        <w:t>：</w:t>
      </w:r>
      <w:r>
        <w:rPr>
          <w:rFonts w:hint="eastAsia" w:ascii="仿宋" w:hAnsi="仿宋" w:eastAsia="仿宋_GB2312" w:cs="仿宋"/>
          <w:kern w:val="0"/>
          <w:sz w:val="32"/>
          <w:szCs w:val="32"/>
          <w:shd w:val="clear" w:color="auto" w:fill="FFFFFF"/>
          <w:lang w:val="en-US" w:eastAsia="zh-CN"/>
        </w:rPr>
        <w:t>已于2024年12月全部完成了对拖欠企业账款的清偿，确保工程项目进度及后期质量能够得到应有保障</w:t>
      </w:r>
      <w:r>
        <w:rPr>
          <w:rFonts w:hint="eastAsia" w:ascii="仿宋" w:hAnsi="仿宋" w:eastAsia="仿宋_GB2312" w:cs="仿宋"/>
          <w:b w:val="0"/>
          <w:bCs w:val="0"/>
          <w:sz w:val="32"/>
          <w:lang w:val="en-US" w:eastAsia="zh-CN"/>
        </w:rPr>
        <w:t>，支付依据合规合法，资金支付与预算相符。</w:t>
      </w:r>
    </w:p>
    <w:p w14:paraId="7B59D3DD">
      <w:pPr>
        <w:keepNext w:val="0"/>
        <w:keepLines w:val="0"/>
        <w:pageBreakBefore w:val="0"/>
        <w:kinsoku/>
        <w:wordWrap/>
        <w:overflowPunct/>
        <w:topLinePunct w:val="0"/>
        <w:bidi w:val="0"/>
        <w:adjustRightInd w:val="0"/>
        <w:snapToGrid w:val="0"/>
        <w:spacing w:line="600" w:lineRule="exact"/>
        <w:ind w:left="0" w:right="0" w:firstLine="720"/>
        <w:rPr>
          <w:rFonts w:hint="eastAsia" w:ascii="仿宋" w:hAnsi="仿宋" w:eastAsia="仿宋_GB2312" w:cs="仿宋"/>
          <w:kern w:val="0"/>
          <w:sz w:val="32"/>
          <w:szCs w:val="32"/>
          <w:shd w:val="clear" w:color="auto" w:fill="FFFFFF"/>
          <w:lang w:val="zh-CN" w:eastAsia="zh-CN"/>
        </w:rPr>
      </w:pPr>
      <w:r>
        <w:rPr>
          <w:rFonts w:hint="eastAsia" w:ascii="仿宋" w:hAnsi="仿宋" w:eastAsia="仿宋_GB2312" w:cs="仿宋"/>
          <w:kern w:val="0"/>
          <w:sz w:val="32"/>
          <w:szCs w:val="32"/>
          <w:shd w:val="clear" w:color="auto" w:fill="FFFFFF"/>
          <w:lang w:eastAsia="zh-CN"/>
        </w:rPr>
        <w:t>（</w:t>
      </w:r>
      <w:r>
        <w:rPr>
          <w:rFonts w:hint="eastAsia" w:ascii="仿宋" w:hAnsi="仿宋" w:eastAsia="仿宋_GB2312" w:cs="仿宋"/>
          <w:kern w:val="0"/>
          <w:sz w:val="32"/>
          <w:szCs w:val="32"/>
          <w:shd w:val="clear" w:color="auto" w:fill="FFFFFF"/>
          <w:lang w:val="en-US" w:eastAsia="zh-CN"/>
        </w:rPr>
        <w:t>5</w:t>
      </w:r>
      <w:r>
        <w:rPr>
          <w:rFonts w:hint="eastAsia" w:ascii="仿宋" w:hAnsi="仿宋" w:eastAsia="仿宋_GB2312" w:cs="仿宋"/>
          <w:kern w:val="0"/>
          <w:sz w:val="32"/>
          <w:szCs w:val="32"/>
          <w:shd w:val="clear" w:color="auto" w:fill="FFFFFF"/>
          <w:lang w:eastAsia="zh-CN"/>
        </w:rPr>
        <w:t>）</w:t>
      </w:r>
      <w:r>
        <w:rPr>
          <w:rFonts w:hint="eastAsia" w:ascii="仿宋" w:hAnsi="仿宋" w:eastAsia="仿宋_GB2312" w:cs="仿宋"/>
          <w:kern w:val="0"/>
          <w:sz w:val="32"/>
          <w:szCs w:val="32"/>
          <w:shd w:val="clear" w:color="auto" w:fill="FFFFFF"/>
        </w:rPr>
        <w:t>2024年基层组织和农村公共运行经费</w:t>
      </w:r>
      <w:r>
        <w:rPr>
          <w:rFonts w:hint="eastAsia" w:ascii="仿宋" w:hAnsi="仿宋" w:eastAsia="仿宋_GB2312" w:cs="仿宋"/>
          <w:kern w:val="0"/>
          <w:sz w:val="32"/>
          <w:szCs w:val="32"/>
          <w:shd w:val="clear" w:color="auto" w:fill="FFFFFF"/>
          <w:lang w:val="en-US" w:eastAsia="zh-CN"/>
        </w:rPr>
        <w:t>79.2</w:t>
      </w:r>
      <w:r>
        <w:rPr>
          <w:rFonts w:hint="eastAsia" w:ascii="仿宋" w:hAnsi="仿宋" w:eastAsia="仿宋_GB2312" w:cs="仿宋"/>
          <w:kern w:val="0"/>
          <w:sz w:val="32"/>
          <w:szCs w:val="32"/>
          <w:shd w:val="clear" w:color="auto" w:fill="FFFFFF"/>
        </w:rPr>
        <w:t>万元</w:t>
      </w:r>
      <w:r>
        <w:rPr>
          <w:rFonts w:hint="eastAsia" w:ascii="仿宋" w:hAnsi="仿宋" w:eastAsia="仿宋_GB2312" w:cs="仿宋"/>
          <w:kern w:val="0"/>
          <w:sz w:val="32"/>
          <w:szCs w:val="32"/>
          <w:shd w:val="clear" w:color="auto" w:fill="FFFFFF"/>
          <w:lang w:eastAsia="zh-CN"/>
        </w:rPr>
        <w:t>：</w:t>
      </w:r>
      <w:r>
        <w:rPr>
          <w:rFonts w:hint="eastAsia" w:ascii="仿宋" w:hAnsi="仿宋" w:eastAsia="仿宋_GB2312" w:cs="仿宋"/>
          <w:kern w:val="0"/>
          <w:sz w:val="32"/>
          <w:szCs w:val="32"/>
          <w:shd w:val="clear" w:color="auto" w:fill="FFFFFF"/>
          <w:lang w:val="en-US" w:eastAsia="zh-CN"/>
        </w:rPr>
        <w:t>省级补助资金52.8万元，县级补助资金26.4万元。该项目资金主要用于全乡5村</w:t>
      </w:r>
      <w:r>
        <w:rPr>
          <w:rFonts w:hint="eastAsia" w:ascii="仿宋" w:hAnsi="仿宋" w:eastAsia="仿宋_GB2312" w:cs="仿宋"/>
          <w:kern w:val="0"/>
          <w:sz w:val="32"/>
          <w:szCs w:val="32"/>
          <w:shd w:val="clear" w:color="auto" w:fill="FFFFFF"/>
          <w:lang w:val="zh-CN" w:eastAsia="zh-CN"/>
        </w:rPr>
        <w:t>日常办公经费支出、农村道路维护维修、堰渠维护维修、饮水管道维护维修、人居环境卫生整治等方面。保障了村民的基本生活，农村公共服务设施运行维护项目的长效实施改善了群众的生产生活条件，提高了群众生活质量，完善了农村基础设施功能，该项目取得了较好的社会效益。</w:t>
      </w:r>
    </w:p>
    <w:p w14:paraId="0F500B5A">
      <w:pPr>
        <w:pStyle w:val="19"/>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right="0" w:firstLine="640" w:firstLineChars="200"/>
        <w:textAlignment w:val="auto"/>
        <w:rPr>
          <w:rFonts w:hint="default" w:ascii="Times New Roman" w:hAnsi="Times New Roman" w:eastAsia="仿宋_GB2312" w:cs="仿宋_GB2312"/>
          <w:color w:val="auto"/>
          <w:kern w:val="2"/>
          <w:sz w:val="32"/>
          <w:szCs w:val="32"/>
          <w:highlight w:val="none"/>
          <w:lang w:val="zh-CN" w:eastAsia="zh-CN" w:bidi="ar-SA"/>
        </w:rPr>
      </w:pPr>
      <w:r>
        <w:rPr>
          <w:rFonts w:hint="eastAsia" w:ascii="仿宋" w:hAnsi="仿宋" w:eastAsia="仿宋_GB2312" w:cs="仿宋"/>
          <w:color w:val="auto"/>
          <w:kern w:val="0"/>
          <w:sz w:val="32"/>
          <w:szCs w:val="32"/>
          <w:shd w:val="clear" w:color="auto" w:fill="FFFFFF"/>
          <w:lang w:val="en-US" w:eastAsia="zh-CN" w:bidi="ar-SA"/>
        </w:rPr>
        <w:t>（6）</w:t>
      </w:r>
      <w:r>
        <w:rPr>
          <w:rFonts w:hint="eastAsia" w:ascii="仿宋" w:hAnsi="仿宋" w:eastAsia="仿宋_GB2312" w:cs="仿宋"/>
          <w:color w:val="auto"/>
          <w:sz w:val="32"/>
          <w:szCs w:val="32"/>
          <w:lang w:val="en-US" w:eastAsia="zh-CN"/>
        </w:rPr>
        <w:t>城乡融合重大项目前期工作经费（宜坪乡）90万元</w:t>
      </w:r>
      <w:r>
        <w:rPr>
          <w:rFonts w:hint="eastAsia" w:hAnsi="仿宋" w:eastAsia="仿宋_GB2312" w:cs="仿宋"/>
          <w:color w:val="auto"/>
          <w:sz w:val="32"/>
          <w:szCs w:val="32"/>
          <w:lang w:val="en-US" w:eastAsia="zh-CN"/>
        </w:rPr>
        <w:t>：</w:t>
      </w:r>
      <w:r>
        <w:rPr>
          <w:rFonts w:hint="eastAsia" w:ascii="仿宋" w:hAnsi="仿宋" w:eastAsia="仿宋_GB2312" w:cs="仿宋"/>
          <w:color w:val="auto"/>
          <w:kern w:val="0"/>
          <w:sz w:val="32"/>
          <w:szCs w:val="32"/>
          <w:shd w:val="clear" w:color="auto" w:fill="FFFFFF"/>
          <w:lang w:val="en-US" w:eastAsia="zh-CN" w:bidi="ar-SA"/>
        </w:rPr>
        <w:t>该项目于2024年12月完成支付。该项目投入使用后确保</w:t>
      </w:r>
      <w:r>
        <w:rPr>
          <w:rFonts w:hint="eastAsia" w:ascii="仿宋" w:hAnsi="仿宋" w:eastAsia="仿宋_GB2312" w:cs="仿宋"/>
          <w:color w:val="auto"/>
          <w:sz w:val="32"/>
          <w:szCs w:val="32"/>
          <w:lang w:val="en-US" w:eastAsia="zh-CN"/>
        </w:rPr>
        <w:t>城乡融合重大项目顺利推进，</w:t>
      </w:r>
      <w:r>
        <w:rPr>
          <w:rFonts w:hint="eastAsia" w:ascii="仿宋" w:hAnsi="仿宋" w:eastAsia="仿宋_GB2312" w:cs="仿宋"/>
          <w:color w:val="auto"/>
          <w:kern w:val="0"/>
          <w:sz w:val="32"/>
          <w:szCs w:val="32"/>
          <w:shd w:val="clear" w:color="auto" w:fill="FFFFFF"/>
          <w:lang w:val="en-US" w:eastAsia="zh-CN" w:bidi="ar-SA"/>
        </w:rPr>
        <w:t>欠款支付到位，提</w:t>
      </w:r>
      <w:r>
        <w:rPr>
          <w:rFonts w:hint="eastAsia" w:hAnsi="仿宋" w:eastAsia="仿宋_GB2312" w:cs="仿宋"/>
          <w:color w:val="auto"/>
          <w:kern w:val="0"/>
          <w:sz w:val="32"/>
          <w:szCs w:val="32"/>
          <w:shd w:val="clear" w:color="auto" w:fill="FFFFFF"/>
          <w:lang w:val="en-US" w:eastAsia="zh-CN" w:bidi="ar-SA"/>
        </w:rPr>
        <w:t>升了</w:t>
      </w:r>
      <w:r>
        <w:rPr>
          <w:rFonts w:hint="eastAsia" w:ascii="仿宋" w:hAnsi="仿宋" w:eastAsia="仿宋_GB2312" w:cs="仿宋"/>
          <w:color w:val="auto"/>
          <w:kern w:val="0"/>
          <w:sz w:val="32"/>
          <w:szCs w:val="32"/>
          <w:shd w:val="clear" w:color="auto" w:fill="FFFFFF"/>
          <w:lang w:val="en-US" w:eastAsia="zh-CN" w:bidi="ar-SA"/>
        </w:rPr>
        <w:t>企业的积极性，提升了群众生活质量，完善了基础设施功能，改善人居环境，实现乡村振兴，促进乡风文明，减少社会矛盾，并取得了较好的社会效益。</w:t>
      </w:r>
    </w:p>
    <w:p w14:paraId="2EA4D023">
      <w:pPr>
        <w:pageBreakBefore w:val="0"/>
        <w:kinsoku/>
        <w:wordWrap/>
        <w:overflowPunct/>
        <w:topLinePunct w:val="0"/>
        <w:bidi w:val="0"/>
        <w:spacing w:line="600" w:lineRule="exact"/>
        <w:ind w:left="0" w:leftChars="0" w:right="0" w:firstLine="624" w:firstLineChars="200"/>
        <w:rPr>
          <w:rFonts w:hint="default" w:ascii="楷体_GB2312" w:hAnsi="楷体_GB2312" w:eastAsia="楷体_GB2312" w:cs="楷体_GB2312"/>
          <w:snapToGrid w:val="0"/>
          <w:color w:val="000000"/>
          <w:spacing w:val="-4"/>
          <w:kern w:val="0"/>
          <w:sz w:val="32"/>
          <w:szCs w:val="32"/>
          <w:lang w:val="zh-CN" w:eastAsia="zh-CN"/>
        </w:rPr>
      </w:pPr>
      <w:r>
        <w:rPr>
          <w:rFonts w:hint="default" w:ascii="楷体_GB2312" w:hAnsi="楷体_GB2312" w:eastAsia="楷体_GB2312" w:cs="楷体_GB2312"/>
          <w:snapToGrid w:val="0"/>
          <w:color w:val="000000"/>
          <w:spacing w:val="-4"/>
          <w:kern w:val="0"/>
          <w:sz w:val="32"/>
          <w:szCs w:val="32"/>
          <w:lang w:val="zh-CN" w:eastAsia="zh-CN"/>
        </w:rPr>
        <w:t>（二）部门预算项目绩效分析</w:t>
      </w:r>
    </w:p>
    <w:p w14:paraId="18557984">
      <w:pPr>
        <w:keepNext w:val="0"/>
        <w:keepLines w:val="0"/>
        <w:pageBreakBefore w:val="0"/>
        <w:widowControl w:val="0"/>
        <w:kinsoku/>
        <w:wordWrap/>
        <w:overflowPunct/>
        <w:topLinePunct w:val="0"/>
        <w:autoSpaceDE/>
        <w:autoSpaceDN/>
        <w:bidi w:val="0"/>
        <w:snapToGrid w:val="0"/>
        <w:spacing w:line="600" w:lineRule="exact"/>
        <w:ind w:left="0" w:right="0"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仿宋" w:hAnsi="仿宋" w:eastAsia="仿宋_GB2312" w:cs="仿宋"/>
          <w:color w:val="auto"/>
          <w:sz w:val="32"/>
          <w:szCs w:val="32"/>
          <w:lang w:val="zh-CN" w:eastAsia="zh-CN"/>
        </w:rPr>
        <w:t>我乡202</w:t>
      </w:r>
      <w:r>
        <w:rPr>
          <w:rFonts w:hint="eastAsia" w:ascii="仿宋" w:hAnsi="仿宋" w:eastAsia="仿宋_GB2312" w:cs="仿宋"/>
          <w:color w:val="auto"/>
          <w:sz w:val="32"/>
          <w:szCs w:val="32"/>
          <w:lang w:val="en-US" w:eastAsia="zh-CN"/>
        </w:rPr>
        <w:t>4</w:t>
      </w:r>
      <w:r>
        <w:rPr>
          <w:rFonts w:hint="eastAsia" w:ascii="仿宋" w:hAnsi="仿宋" w:eastAsia="仿宋_GB2312" w:cs="仿宋"/>
          <w:color w:val="auto"/>
          <w:sz w:val="32"/>
          <w:szCs w:val="32"/>
          <w:lang w:val="zh-CN" w:eastAsia="zh-CN"/>
        </w:rPr>
        <w:t>年完成项目如下：乡镇交管办劝导员补贴</w:t>
      </w:r>
      <w:r>
        <w:rPr>
          <w:rFonts w:hint="eastAsia" w:ascii="仿宋" w:hAnsi="仿宋" w:eastAsia="仿宋_GB2312" w:cs="仿宋"/>
          <w:color w:val="auto"/>
          <w:sz w:val="32"/>
          <w:szCs w:val="32"/>
          <w:lang w:val="en-US" w:eastAsia="zh-CN"/>
        </w:rPr>
        <w:t>2.52万元</w:t>
      </w:r>
      <w:r>
        <w:rPr>
          <w:rFonts w:hint="eastAsia" w:ascii="仿宋" w:hAnsi="仿宋" w:eastAsia="仿宋_GB2312" w:cs="仿宋"/>
          <w:color w:val="auto"/>
          <w:sz w:val="32"/>
          <w:szCs w:val="32"/>
          <w:lang w:val="zh-CN" w:eastAsia="zh-CN"/>
        </w:rPr>
        <w:t>、交通安全工作经费</w:t>
      </w:r>
      <w:r>
        <w:rPr>
          <w:rFonts w:hint="eastAsia" w:ascii="仿宋" w:hAnsi="仿宋" w:eastAsia="仿宋_GB2312" w:cs="仿宋"/>
          <w:color w:val="auto"/>
          <w:sz w:val="32"/>
          <w:szCs w:val="32"/>
          <w:lang w:val="en-US" w:eastAsia="zh-CN"/>
        </w:rPr>
        <w:t>2</w:t>
      </w:r>
      <w:r>
        <w:rPr>
          <w:rFonts w:hint="eastAsia" w:ascii="仿宋" w:hAnsi="仿宋" w:eastAsia="仿宋_GB2312" w:cs="仿宋"/>
          <w:color w:val="auto"/>
          <w:sz w:val="32"/>
          <w:szCs w:val="32"/>
          <w:lang w:val="zh-CN" w:eastAsia="zh-CN"/>
        </w:rPr>
        <w:t>万元、西大门综合服务区运行管理维护费</w:t>
      </w:r>
      <w:r>
        <w:rPr>
          <w:rFonts w:hint="eastAsia" w:ascii="仿宋" w:hAnsi="仿宋" w:eastAsia="仿宋_GB2312" w:cs="仿宋"/>
          <w:color w:val="auto"/>
          <w:sz w:val="32"/>
          <w:szCs w:val="32"/>
          <w:lang w:val="en-US" w:eastAsia="zh-CN"/>
        </w:rPr>
        <w:t>8万元、拖欠企业账款清偿项目31.82万元、2024年基层组织和农村公共服务运行维护费（上级）52.8万元、2024年基层组织和农村公共服务运行维护费（县级）26.4万元、城乡融合重大项目前期工作经费（宜坪乡）90万元</w:t>
      </w:r>
      <w:r>
        <w:rPr>
          <w:rFonts w:hint="eastAsia" w:ascii="仿宋" w:hAnsi="仿宋" w:eastAsia="仿宋_GB2312" w:cs="仿宋"/>
          <w:color w:val="auto"/>
          <w:sz w:val="32"/>
          <w:szCs w:val="32"/>
          <w:lang w:val="zh-CN" w:eastAsia="zh-CN"/>
        </w:rPr>
        <w:t>，已按实际拨付完毕。</w:t>
      </w:r>
    </w:p>
    <w:p w14:paraId="68F187F8">
      <w:pPr>
        <w:pageBreakBefore w:val="0"/>
        <w:kinsoku/>
        <w:wordWrap/>
        <w:overflowPunct/>
        <w:topLinePunct w:val="0"/>
        <w:bidi w:val="0"/>
        <w:spacing w:line="600" w:lineRule="exact"/>
        <w:ind w:left="0" w:leftChars="0" w:right="0" w:firstLine="624" w:firstLineChars="200"/>
        <w:rPr>
          <w:rFonts w:hint="eastAsia" w:ascii="楷体_GB2312" w:hAnsi="楷体_GB2312" w:eastAsia="楷体_GB2312" w:cs="楷体_GB2312"/>
          <w:snapToGrid w:val="0"/>
          <w:color w:val="000000"/>
          <w:spacing w:val="-4"/>
          <w:kern w:val="0"/>
          <w:sz w:val="32"/>
          <w:szCs w:val="32"/>
          <w:lang w:val="zh-CN" w:eastAsia="zh-CN"/>
        </w:rPr>
      </w:pPr>
      <w:r>
        <w:rPr>
          <w:rFonts w:hint="default" w:ascii="楷体_GB2312" w:hAnsi="楷体_GB2312" w:eastAsia="楷体_GB2312" w:cs="楷体_GB2312"/>
          <w:snapToGrid w:val="0"/>
          <w:color w:val="000000"/>
          <w:spacing w:val="-4"/>
          <w:kern w:val="0"/>
          <w:sz w:val="32"/>
          <w:szCs w:val="32"/>
          <w:lang w:val="zh-CN" w:eastAsia="zh-CN"/>
        </w:rPr>
        <w:t>（</w:t>
      </w:r>
      <w:r>
        <w:rPr>
          <w:rFonts w:hint="eastAsia" w:ascii="楷体_GB2312" w:hAnsi="楷体_GB2312" w:eastAsia="楷体_GB2312" w:cs="楷体_GB2312"/>
          <w:snapToGrid w:val="0"/>
          <w:color w:val="000000"/>
          <w:spacing w:val="-4"/>
          <w:kern w:val="0"/>
          <w:sz w:val="32"/>
          <w:szCs w:val="32"/>
          <w:lang w:val="en-US" w:eastAsia="zh-CN"/>
        </w:rPr>
        <w:t>三</w:t>
      </w:r>
      <w:r>
        <w:rPr>
          <w:rFonts w:hint="default" w:ascii="楷体_GB2312" w:hAnsi="楷体_GB2312" w:eastAsia="楷体_GB2312" w:cs="楷体_GB2312"/>
          <w:snapToGrid w:val="0"/>
          <w:color w:val="000000"/>
          <w:spacing w:val="-4"/>
          <w:kern w:val="0"/>
          <w:sz w:val="32"/>
          <w:szCs w:val="32"/>
          <w:lang w:val="zh-CN" w:eastAsia="zh-CN"/>
        </w:rPr>
        <w:t>）绩效结果应用情况</w:t>
      </w:r>
    </w:p>
    <w:p w14:paraId="56E5C7EE">
      <w:pPr>
        <w:keepNext w:val="0"/>
        <w:keepLines w:val="0"/>
        <w:pageBreakBefore w:val="0"/>
        <w:widowControl/>
        <w:numPr>
          <w:ilvl w:val="0"/>
          <w:numId w:val="0"/>
        </w:numPr>
        <w:kinsoku/>
        <w:wordWrap/>
        <w:overflowPunct/>
        <w:topLinePunct w:val="0"/>
        <w:bidi w:val="0"/>
        <w:adjustRightInd w:val="0"/>
        <w:snapToGrid w:val="0"/>
        <w:spacing w:line="600" w:lineRule="exact"/>
        <w:ind w:left="0" w:right="0" w:firstLine="640" w:firstLineChars="200"/>
        <w:contextualSpacing/>
        <w:jc w:val="left"/>
        <w:rPr>
          <w:rFonts w:hint="default" w:ascii="Times New Roman" w:hAnsi="Times New Roman" w:eastAsia="仿宋_GB2312" w:cs="Times New Roman"/>
          <w:sz w:val="32"/>
          <w:szCs w:val="32"/>
          <w:highlight w:val="none"/>
          <w:u w:val="none"/>
          <w:lang w:bidi="ar"/>
        </w:rPr>
      </w:pPr>
      <w:r>
        <w:rPr>
          <w:rFonts w:hint="eastAsia" w:ascii="仿宋" w:hAnsi="仿宋" w:eastAsia="仿宋_GB2312" w:cs="仿宋"/>
          <w:color w:val="000000"/>
          <w:kern w:val="0"/>
          <w:sz w:val="32"/>
          <w:szCs w:val="32"/>
          <w:shd w:val="clear" w:color="auto" w:fill="FFFFFF"/>
          <w:lang w:val="zh-CN"/>
        </w:rPr>
        <w:t>本单位按照财政局下达的预算指标，严格执行预算内开支，保障了单位正常运转。本部门的预决算编制均按照县财政局下达的相关文件指标进行了编制，按时完成编制工作。绩效目标也按照有关文件如实进行了填报。</w:t>
      </w:r>
    </w:p>
    <w:p w14:paraId="296320E9">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right="0"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70B669C1">
      <w:pPr>
        <w:pageBreakBefore w:val="0"/>
        <w:kinsoku/>
        <w:wordWrap/>
        <w:overflowPunct/>
        <w:topLinePunct w:val="0"/>
        <w:bidi w:val="0"/>
        <w:spacing w:line="600" w:lineRule="exact"/>
        <w:ind w:left="0" w:leftChars="0" w:right="0" w:firstLine="624" w:firstLineChars="200"/>
        <w:rPr>
          <w:rFonts w:hint="default" w:ascii="楷体_GB2312" w:hAnsi="楷体_GB2312" w:eastAsia="楷体_GB2312" w:cs="楷体_GB2312"/>
          <w:snapToGrid w:val="0"/>
          <w:color w:val="000000"/>
          <w:spacing w:val="-4"/>
          <w:kern w:val="0"/>
          <w:sz w:val="32"/>
          <w:szCs w:val="32"/>
          <w:lang w:val="zh-CN" w:eastAsia="zh-CN"/>
        </w:rPr>
      </w:pPr>
      <w:r>
        <w:rPr>
          <w:rFonts w:hint="default" w:ascii="楷体_GB2312" w:hAnsi="楷体_GB2312" w:eastAsia="楷体_GB2312" w:cs="楷体_GB2312"/>
          <w:snapToGrid w:val="0"/>
          <w:color w:val="000000"/>
          <w:spacing w:val="-4"/>
          <w:kern w:val="0"/>
          <w:sz w:val="32"/>
          <w:szCs w:val="32"/>
          <w:lang w:val="zh-CN" w:eastAsia="zh-CN"/>
        </w:rPr>
        <w:t>（一）评价结论</w:t>
      </w:r>
    </w:p>
    <w:p w14:paraId="13B217FB">
      <w:pPr>
        <w:keepNext w:val="0"/>
        <w:keepLines w:val="0"/>
        <w:pageBreakBefore w:val="0"/>
        <w:widowControl/>
        <w:kinsoku/>
        <w:wordWrap/>
        <w:overflowPunct/>
        <w:topLinePunct w:val="0"/>
        <w:bidi w:val="0"/>
        <w:adjustRightInd w:val="0"/>
        <w:snapToGrid w:val="0"/>
        <w:spacing w:line="600" w:lineRule="exact"/>
        <w:ind w:left="0" w:right="0" w:firstLine="640" w:firstLineChars="200"/>
        <w:contextualSpacing/>
        <w:jc w:val="left"/>
        <w:rPr>
          <w:color w:val="auto"/>
          <w:lang w:val="zh-CN"/>
        </w:rPr>
      </w:pPr>
      <w:r>
        <w:rPr>
          <w:rFonts w:hint="eastAsia" w:ascii="仿宋" w:hAnsi="仿宋" w:eastAsia="仿宋_GB2312" w:cs="仿宋"/>
          <w:kern w:val="0"/>
          <w:sz w:val="32"/>
          <w:szCs w:val="32"/>
          <w:shd w:val="clear" w:color="auto" w:fill="FFFFFF"/>
          <w:lang w:val="zh-CN"/>
        </w:rPr>
        <w:t>根据《峨边彝族自治县财政局关于开展2024年度县级部门预算绩效自评工作的通知》文件精神</w:t>
      </w:r>
      <w:r>
        <w:rPr>
          <w:rFonts w:hint="eastAsia" w:ascii="仿宋" w:hAnsi="仿宋" w:eastAsia="仿宋_GB2312" w:cs="仿宋"/>
          <w:color w:val="auto"/>
          <w:kern w:val="0"/>
          <w:sz w:val="32"/>
          <w:szCs w:val="32"/>
          <w:shd w:val="clear" w:color="auto" w:fill="FFFFFF"/>
          <w:lang w:val="zh-CN"/>
        </w:rPr>
        <w:t>，宜坪乡人民政府认真组织开展了部门整体支出绩效评价工作，绩效评价得分：9</w:t>
      </w:r>
      <w:r>
        <w:rPr>
          <w:rFonts w:hint="eastAsia" w:ascii="仿宋" w:hAnsi="仿宋" w:eastAsia="仿宋_GB2312" w:cs="仿宋"/>
          <w:color w:val="auto"/>
          <w:kern w:val="0"/>
          <w:sz w:val="32"/>
          <w:szCs w:val="32"/>
          <w:shd w:val="clear" w:color="auto" w:fill="FFFFFF"/>
          <w:lang w:val="en-US" w:eastAsia="zh-CN"/>
        </w:rPr>
        <w:t>7</w:t>
      </w:r>
      <w:r>
        <w:rPr>
          <w:rFonts w:hint="eastAsia" w:ascii="仿宋" w:hAnsi="仿宋" w:eastAsia="仿宋_GB2312" w:cs="仿宋"/>
          <w:color w:val="auto"/>
          <w:kern w:val="0"/>
          <w:sz w:val="32"/>
          <w:szCs w:val="32"/>
          <w:shd w:val="clear" w:color="auto" w:fill="FFFFFF"/>
          <w:lang w:val="zh-CN"/>
        </w:rPr>
        <w:t>分。</w:t>
      </w:r>
    </w:p>
    <w:p w14:paraId="4F6DC886">
      <w:pPr>
        <w:pageBreakBefore w:val="0"/>
        <w:kinsoku/>
        <w:wordWrap/>
        <w:overflowPunct/>
        <w:topLinePunct w:val="0"/>
        <w:bidi w:val="0"/>
        <w:spacing w:line="600" w:lineRule="exact"/>
        <w:ind w:left="0" w:leftChars="0" w:right="0" w:firstLine="624" w:firstLineChars="200"/>
        <w:rPr>
          <w:rFonts w:hint="default" w:ascii="楷体_GB2312" w:hAnsi="楷体_GB2312" w:eastAsia="楷体_GB2312" w:cs="楷体_GB2312"/>
          <w:snapToGrid w:val="0"/>
          <w:color w:val="000000"/>
          <w:spacing w:val="-4"/>
          <w:kern w:val="0"/>
          <w:sz w:val="32"/>
          <w:szCs w:val="32"/>
          <w:lang w:val="zh-CN" w:eastAsia="zh-CN"/>
        </w:rPr>
      </w:pPr>
      <w:r>
        <w:rPr>
          <w:rFonts w:hint="default" w:ascii="楷体_GB2312" w:hAnsi="楷体_GB2312" w:eastAsia="楷体_GB2312" w:cs="楷体_GB2312"/>
          <w:snapToGrid w:val="0"/>
          <w:color w:val="000000"/>
          <w:spacing w:val="-4"/>
          <w:kern w:val="0"/>
          <w:sz w:val="32"/>
          <w:szCs w:val="32"/>
          <w:lang w:val="zh-CN" w:eastAsia="zh-CN"/>
        </w:rPr>
        <w:t>（二）存在问题</w:t>
      </w:r>
    </w:p>
    <w:p w14:paraId="7168CD41">
      <w:pPr>
        <w:keepNext w:val="0"/>
        <w:keepLines w:val="0"/>
        <w:pageBreakBefore w:val="0"/>
        <w:widowControl/>
        <w:numPr>
          <w:ilvl w:val="0"/>
          <w:numId w:val="0"/>
        </w:numPr>
        <w:kinsoku/>
        <w:wordWrap/>
        <w:overflowPunct/>
        <w:topLinePunct w:val="0"/>
        <w:bidi w:val="0"/>
        <w:adjustRightInd w:val="0"/>
        <w:snapToGrid w:val="0"/>
        <w:spacing w:line="600" w:lineRule="exact"/>
        <w:ind w:left="0" w:right="0" w:firstLine="640" w:firstLineChars="200"/>
        <w:contextualSpacing/>
        <w:jc w:val="left"/>
        <w:rPr>
          <w:rFonts w:hint="eastAsia" w:ascii="仿宋" w:hAnsi="仿宋" w:eastAsia="仿宋_GB2312" w:cs="仿宋"/>
          <w:color w:val="000000"/>
          <w:kern w:val="0"/>
          <w:sz w:val="32"/>
          <w:szCs w:val="32"/>
          <w:highlight w:val="none"/>
          <w:shd w:val="clear" w:color="auto" w:fill="FFFFFF"/>
          <w:lang w:val="zh-CN"/>
        </w:rPr>
      </w:pPr>
      <w:r>
        <w:rPr>
          <w:rStyle w:val="15"/>
          <w:rFonts w:hint="eastAsia" w:ascii="仿宋" w:hAnsi="仿宋" w:eastAsia="仿宋_GB2312" w:cs="仿宋"/>
          <w:b w:val="0"/>
          <w:bCs w:val="0"/>
          <w:i w:val="0"/>
          <w:iCs w:val="0"/>
          <w:caps w:val="0"/>
          <w:color w:val="000000"/>
          <w:spacing w:val="0"/>
          <w:sz w:val="32"/>
          <w:szCs w:val="32"/>
          <w:highlight w:val="none"/>
          <w:shd w:val="clear" w:fill="FFFFFF"/>
        </w:rPr>
        <w:t>在资金管理过程中，财务管理制度</w:t>
      </w:r>
      <w:r>
        <w:rPr>
          <w:rStyle w:val="15"/>
          <w:rFonts w:hint="eastAsia" w:ascii="仿宋" w:hAnsi="仿宋" w:eastAsia="仿宋_GB2312" w:cs="仿宋"/>
          <w:b w:val="0"/>
          <w:bCs w:val="0"/>
          <w:i w:val="0"/>
          <w:iCs w:val="0"/>
          <w:caps w:val="0"/>
          <w:color w:val="000000"/>
          <w:spacing w:val="0"/>
          <w:sz w:val="32"/>
          <w:szCs w:val="32"/>
          <w:highlight w:val="none"/>
          <w:shd w:val="clear" w:fill="FFFFFF"/>
          <w:lang w:eastAsia="zh-CN"/>
        </w:rPr>
        <w:t>需完善。</w:t>
      </w:r>
    </w:p>
    <w:p w14:paraId="22FAB331">
      <w:pPr>
        <w:pageBreakBefore w:val="0"/>
        <w:kinsoku/>
        <w:wordWrap/>
        <w:overflowPunct/>
        <w:topLinePunct w:val="0"/>
        <w:bidi w:val="0"/>
        <w:spacing w:line="600" w:lineRule="exact"/>
        <w:ind w:left="0" w:leftChars="0" w:right="0" w:firstLine="624" w:firstLineChars="200"/>
        <w:rPr>
          <w:rFonts w:hint="default" w:ascii="楷体_GB2312" w:hAnsi="楷体_GB2312" w:eastAsia="楷体_GB2312" w:cs="楷体_GB2312"/>
          <w:snapToGrid w:val="0"/>
          <w:color w:val="000000"/>
          <w:spacing w:val="-4"/>
          <w:kern w:val="0"/>
          <w:sz w:val="32"/>
          <w:szCs w:val="32"/>
          <w:lang w:val="zh-CN" w:eastAsia="zh-CN"/>
        </w:rPr>
      </w:pPr>
      <w:r>
        <w:rPr>
          <w:rFonts w:hint="default" w:ascii="楷体_GB2312" w:hAnsi="楷体_GB2312" w:eastAsia="楷体_GB2312" w:cs="楷体_GB2312"/>
          <w:snapToGrid w:val="0"/>
          <w:color w:val="000000"/>
          <w:spacing w:val="-4"/>
          <w:kern w:val="0"/>
          <w:sz w:val="32"/>
          <w:szCs w:val="32"/>
          <w:lang w:val="zh-CN" w:eastAsia="zh-CN"/>
        </w:rPr>
        <w:t>（三）改进建议</w:t>
      </w:r>
      <w:bookmarkStart w:id="49" w:name="_Hlk110546638"/>
    </w:p>
    <w:p w14:paraId="5A980E23">
      <w:pPr>
        <w:keepNext w:val="0"/>
        <w:keepLines w:val="0"/>
        <w:pageBreakBefore w:val="0"/>
        <w:widowControl/>
        <w:kinsoku/>
        <w:wordWrap/>
        <w:overflowPunct/>
        <w:topLinePunct w:val="0"/>
        <w:bidi w:val="0"/>
        <w:adjustRightInd w:val="0"/>
        <w:snapToGrid w:val="0"/>
        <w:spacing w:line="600" w:lineRule="exact"/>
        <w:ind w:left="0" w:right="0" w:firstLine="640" w:firstLineChars="200"/>
        <w:contextualSpacing/>
        <w:jc w:val="left"/>
        <w:rPr>
          <w:rFonts w:hint="eastAsia" w:ascii="仿宋" w:hAnsi="仿宋" w:eastAsia="仿宋_GB2312" w:cs="仿宋"/>
          <w:color w:val="000000"/>
          <w:kern w:val="0"/>
          <w:sz w:val="32"/>
          <w:szCs w:val="32"/>
          <w:highlight w:val="yellow"/>
          <w:shd w:val="clear" w:color="auto" w:fill="FFFFFF"/>
          <w:lang w:val="zh-CN"/>
        </w:rPr>
      </w:pPr>
      <w:r>
        <w:rPr>
          <w:rFonts w:hint="eastAsia" w:ascii="仿宋" w:hAnsi="仿宋" w:eastAsia="仿宋_GB2312" w:cs="仿宋"/>
          <w:color w:val="auto"/>
          <w:kern w:val="0"/>
          <w:sz w:val="32"/>
          <w:szCs w:val="32"/>
          <w:highlight w:val="none"/>
          <w:shd w:val="clear" w:color="auto" w:fill="FFFFFF"/>
          <w:lang w:val="zh-CN"/>
        </w:rPr>
        <w:t>1</w:t>
      </w:r>
      <w:r>
        <w:rPr>
          <w:rFonts w:hint="eastAsia" w:ascii="仿宋" w:hAnsi="仿宋" w:eastAsia="仿宋_GB2312" w:cs="仿宋"/>
          <w:color w:val="auto"/>
          <w:kern w:val="0"/>
          <w:sz w:val="32"/>
          <w:szCs w:val="32"/>
          <w:highlight w:val="none"/>
          <w:shd w:val="clear" w:color="auto" w:fill="FFFFFF"/>
          <w:lang w:val="en-US" w:eastAsia="zh-CN"/>
        </w:rPr>
        <w:t>.</w:t>
      </w:r>
      <w:r>
        <w:rPr>
          <w:rFonts w:hint="eastAsia" w:ascii="仿宋" w:hAnsi="仿宋" w:eastAsia="仿宋_GB2312" w:cs="仿宋"/>
          <w:color w:val="auto"/>
          <w:kern w:val="0"/>
          <w:sz w:val="32"/>
          <w:szCs w:val="32"/>
          <w:highlight w:val="none"/>
          <w:shd w:val="clear" w:color="auto" w:fill="FFFFFF"/>
          <w:lang w:val="zh-CN"/>
        </w:rPr>
        <w:t>细化预算编制工作，</w:t>
      </w:r>
      <w:r>
        <w:rPr>
          <w:rFonts w:hint="eastAsia" w:ascii="仿宋" w:hAnsi="仿宋" w:eastAsia="仿宋_GB2312" w:cs="仿宋"/>
          <w:color w:val="auto"/>
          <w:kern w:val="0"/>
          <w:sz w:val="32"/>
          <w:szCs w:val="32"/>
          <w:shd w:val="clear" w:color="auto" w:fill="FFFFFF"/>
          <w:lang w:val="zh-CN"/>
        </w:rPr>
        <w:t>严格按照预算编制的相关制度和要求进行预算编制，进一步提高预算编制的科学性、严谨性和可控性，</w:t>
      </w:r>
      <w:r>
        <w:rPr>
          <w:rFonts w:hint="eastAsia" w:ascii="仿宋" w:hAnsi="仿宋" w:eastAsia="仿宋_GB2312" w:cs="仿宋"/>
          <w:color w:val="000000"/>
          <w:kern w:val="0"/>
          <w:sz w:val="32"/>
          <w:szCs w:val="32"/>
          <w:highlight w:val="none"/>
          <w:shd w:val="clear" w:color="auto" w:fill="FFFFFF"/>
          <w:lang w:val="zh-CN"/>
        </w:rPr>
        <w:t>按照预算编制的相关制度和要求</w:t>
      </w:r>
      <w:r>
        <w:rPr>
          <w:rFonts w:hint="eastAsia" w:ascii="仿宋" w:hAnsi="仿宋" w:eastAsia="仿宋_GB2312" w:cs="仿宋"/>
          <w:color w:val="000000"/>
          <w:kern w:val="0"/>
          <w:sz w:val="32"/>
          <w:szCs w:val="32"/>
          <w:highlight w:val="none"/>
          <w:shd w:val="clear" w:color="auto" w:fill="FFFFFF"/>
          <w:lang w:val="en-US" w:eastAsia="zh-CN"/>
        </w:rPr>
        <w:t>进行支付</w:t>
      </w:r>
      <w:r>
        <w:rPr>
          <w:rFonts w:hint="eastAsia" w:ascii="仿宋" w:hAnsi="仿宋" w:eastAsia="仿宋_GB2312" w:cs="仿宋"/>
          <w:color w:val="000000"/>
          <w:kern w:val="0"/>
          <w:sz w:val="32"/>
          <w:szCs w:val="32"/>
          <w:highlight w:val="none"/>
          <w:shd w:val="clear" w:color="auto" w:fill="FFFFFF"/>
          <w:lang w:val="zh-CN"/>
        </w:rPr>
        <w:t>。</w:t>
      </w:r>
    </w:p>
    <w:p w14:paraId="57F06111">
      <w:pPr>
        <w:pStyle w:val="7"/>
        <w:keepNext w:val="0"/>
        <w:keepLines w:val="0"/>
        <w:pageBreakBefore w:val="0"/>
        <w:numPr>
          <w:ilvl w:val="0"/>
          <w:numId w:val="0"/>
        </w:numPr>
        <w:kinsoku/>
        <w:wordWrap/>
        <w:overflowPunct/>
        <w:topLinePunct w:val="0"/>
        <w:autoSpaceDE/>
        <w:autoSpaceDN/>
        <w:bidi w:val="0"/>
        <w:spacing w:after="0" w:line="600" w:lineRule="exact"/>
        <w:ind w:left="0" w:right="0" w:firstLine="640" w:firstLineChars="200"/>
        <w:textAlignment w:val="auto"/>
        <w:rPr>
          <w:rFonts w:hint="eastAsia" w:ascii="仿宋" w:hAnsi="仿宋" w:eastAsia="仿宋_GB2312" w:cs="仿宋"/>
          <w:color w:val="000000"/>
          <w:kern w:val="0"/>
          <w:sz w:val="32"/>
          <w:szCs w:val="32"/>
          <w:highlight w:val="none"/>
          <w:shd w:val="clear" w:color="auto" w:fill="FFFFFF"/>
          <w:lang w:val="zh-CN"/>
        </w:rPr>
      </w:pPr>
      <w:r>
        <w:rPr>
          <w:rFonts w:hint="eastAsia" w:ascii="仿宋" w:hAnsi="仿宋" w:eastAsia="仿宋_GB2312" w:cs="仿宋"/>
          <w:color w:val="000000"/>
          <w:kern w:val="0"/>
          <w:sz w:val="32"/>
          <w:szCs w:val="32"/>
          <w:highlight w:val="none"/>
          <w:shd w:val="clear" w:color="auto" w:fill="FFFFFF"/>
          <w:lang w:val="zh-CN"/>
        </w:rPr>
        <w:t>2</w:t>
      </w:r>
      <w:r>
        <w:rPr>
          <w:rFonts w:hint="eastAsia" w:ascii="仿宋" w:hAnsi="仿宋" w:eastAsia="仿宋_GB2312" w:cs="仿宋"/>
          <w:color w:val="000000"/>
          <w:kern w:val="0"/>
          <w:sz w:val="32"/>
          <w:szCs w:val="32"/>
          <w:highlight w:val="none"/>
          <w:shd w:val="clear" w:color="auto" w:fill="FFFFFF"/>
          <w:lang w:val="en-US" w:eastAsia="zh-CN"/>
        </w:rPr>
        <w:t>.</w:t>
      </w:r>
      <w:r>
        <w:rPr>
          <w:rFonts w:hint="eastAsia" w:ascii="仿宋" w:hAnsi="仿宋" w:eastAsia="仿宋_GB2312" w:cs="仿宋"/>
          <w:color w:val="000000"/>
          <w:kern w:val="0"/>
          <w:sz w:val="32"/>
          <w:szCs w:val="32"/>
          <w:highlight w:val="none"/>
          <w:shd w:val="clear" w:color="auto" w:fill="FFFFFF"/>
          <w:lang w:val="zh-CN"/>
        </w:rPr>
        <w:t>加强财务管理，健全管理制度体系。按照预算规定的费用项目和用途进行资金使用，杜绝超支现象的发生。</w:t>
      </w:r>
    </w:p>
    <w:p w14:paraId="0293DD8E">
      <w:pPr>
        <w:pStyle w:val="7"/>
        <w:keepNext w:val="0"/>
        <w:keepLines w:val="0"/>
        <w:pageBreakBefore w:val="0"/>
        <w:numPr>
          <w:ilvl w:val="0"/>
          <w:numId w:val="0"/>
        </w:numPr>
        <w:kinsoku/>
        <w:wordWrap/>
        <w:overflowPunct/>
        <w:topLinePunct w:val="0"/>
        <w:autoSpaceDE/>
        <w:autoSpaceDN/>
        <w:bidi w:val="0"/>
        <w:spacing w:after="0" w:line="600" w:lineRule="exact"/>
        <w:ind w:left="0" w:right="0"/>
        <w:textAlignment w:val="auto"/>
        <w:rPr>
          <w:rFonts w:hint="eastAsia" w:ascii="仿宋" w:hAnsi="仿宋" w:eastAsia="仿宋_GB2312" w:cs="仿宋"/>
          <w:color w:val="000000"/>
          <w:kern w:val="0"/>
          <w:sz w:val="32"/>
          <w:szCs w:val="32"/>
          <w:highlight w:val="none"/>
          <w:shd w:val="clear" w:color="auto" w:fill="FFFFFF"/>
          <w:lang w:val="zh-CN"/>
        </w:rPr>
      </w:pPr>
    </w:p>
    <w:p w14:paraId="571E83DD">
      <w:pPr>
        <w:pStyle w:val="7"/>
        <w:keepNext w:val="0"/>
        <w:keepLines w:val="0"/>
        <w:pageBreakBefore w:val="0"/>
        <w:numPr>
          <w:ilvl w:val="0"/>
          <w:numId w:val="0"/>
        </w:numPr>
        <w:kinsoku/>
        <w:wordWrap/>
        <w:overflowPunct/>
        <w:topLinePunct w:val="0"/>
        <w:autoSpaceDE/>
        <w:autoSpaceDN/>
        <w:bidi w:val="0"/>
        <w:spacing w:after="0" w:line="600" w:lineRule="exact"/>
        <w:ind w:left="0" w:right="0"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0D4720A3">
      <w:pPr>
        <w:keepNext w:val="0"/>
        <w:keepLines w:val="0"/>
        <w:pageBreakBefore w:val="0"/>
        <w:widowControl/>
        <w:kinsoku/>
        <w:wordWrap/>
        <w:overflowPunct/>
        <w:topLinePunct w:val="0"/>
        <w:bidi w:val="0"/>
        <w:adjustRightInd w:val="0"/>
        <w:snapToGrid w:val="0"/>
        <w:spacing w:line="600" w:lineRule="exact"/>
        <w:ind w:left="0" w:right="0" w:firstLine="420" w:firstLineChars="200"/>
        <w:contextualSpacing/>
        <w:jc w:val="left"/>
        <w:sectPr>
          <w:footerReference r:id="rId6" w:type="default"/>
          <w:pgSz w:w="11900" w:h="16840"/>
          <w:pgMar w:top="1431" w:right="1474" w:bottom="1089" w:left="1587" w:header="0" w:footer="781" w:gutter="0"/>
          <w:pgNumType w:start="1"/>
          <w:cols w:space="720" w:num="1"/>
        </w:sectPr>
      </w:pPr>
    </w:p>
    <w:tbl>
      <w:tblPr>
        <w:tblStyle w:val="13"/>
        <w:tblW w:w="90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818"/>
        <w:gridCol w:w="886"/>
        <w:gridCol w:w="776"/>
        <w:gridCol w:w="705"/>
        <w:gridCol w:w="444"/>
        <w:gridCol w:w="480"/>
        <w:gridCol w:w="442"/>
        <w:gridCol w:w="1005"/>
        <w:gridCol w:w="445"/>
        <w:gridCol w:w="447"/>
        <w:gridCol w:w="2570"/>
      </w:tblGrid>
      <w:tr w14:paraId="37669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90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C65FC2">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4B1A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D66F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C9E60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51113222T000000290931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乡镇交管办劝导员补贴</w:t>
            </w:r>
          </w:p>
        </w:tc>
      </w:tr>
      <w:tr w14:paraId="55EA6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3866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33695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峨边彝族自治县宜坪乡人民政府本级</w:t>
            </w:r>
          </w:p>
        </w:tc>
        <w:tc>
          <w:tcPr>
            <w:tcW w:w="1005" w:type="dxa"/>
            <w:tcBorders>
              <w:top w:val="nil"/>
              <w:left w:val="nil"/>
              <w:bottom w:val="nil"/>
              <w:right w:val="nil"/>
            </w:tcBorders>
            <w:shd w:val="clear" w:color="auto" w:fill="auto"/>
            <w:vAlign w:val="center"/>
          </w:tcPr>
          <w:p w14:paraId="2B79F34C">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6DA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峨边彝族自治县宜坪乡人民政府</w:t>
            </w:r>
          </w:p>
        </w:tc>
      </w:tr>
      <w:tr w14:paraId="527C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3439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D5B3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A095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8F11C2">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9478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60CA1">
            <w:pPr>
              <w:snapToGrid w:val="0"/>
              <w:rPr>
                <w:rFonts w:hint="eastAsia" w:ascii="宋体" w:hAnsi="宋体" w:eastAsia="宋体" w:cs="宋体"/>
                <w:i w:val="0"/>
                <w:iCs w:val="0"/>
                <w:color w:val="000000"/>
                <w:sz w:val="18"/>
                <w:szCs w:val="18"/>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0AFFD">
            <w:pPr>
              <w:snapToGrid w:val="0"/>
              <w:rPr>
                <w:rFonts w:hint="eastAsia" w:ascii="宋体" w:hAnsi="宋体" w:eastAsia="宋体" w:cs="宋体"/>
                <w:i w:val="0"/>
                <w:iCs w:val="0"/>
                <w:color w:val="000000"/>
                <w:sz w:val="18"/>
                <w:szCs w:val="18"/>
                <w:u w:val="none"/>
              </w:rPr>
            </w:pPr>
          </w:p>
        </w:tc>
        <w:tc>
          <w:tcPr>
            <w:tcW w:w="2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C50B5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保障乡镇交管办劝导员工作顺利开展，提高劝导员的工作积极性</w:t>
            </w:r>
          </w:p>
        </w:tc>
        <w:tc>
          <w:tcPr>
            <w:tcW w:w="4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6833D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交管办劝导员工作顺利开展，保障了乡交管安全工作的正常运行、道路交通安全。</w:t>
            </w:r>
          </w:p>
        </w:tc>
      </w:tr>
      <w:tr w14:paraId="20022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03FEA">
            <w:pPr>
              <w:snapToGrid w:val="0"/>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276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D3BD3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发放5个村7名劝导员乡补贴、劝导员每月常态化开展交通劝导工作。</w:t>
            </w:r>
          </w:p>
        </w:tc>
      </w:tr>
      <w:tr w14:paraId="306A5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C1F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32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01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AE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15F2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D0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4C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75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E6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5BD3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0F7A3">
            <w:pPr>
              <w:snapToGrid w:val="0"/>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2A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6C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BA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w:t>
            </w:r>
          </w:p>
        </w:tc>
        <w:tc>
          <w:tcPr>
            <w:tcW w:w="1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5C8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7E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1A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C7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43D79">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1.预算执行率=预算执行数/调整后预算数，预算执行率100%;2.年中未发生预算调整的（追加或调减）；3.无其他资金</w:t>
            </w:r>
          </w:p>
        </w:tc>
      </w:tr>
      <w:tr w14:paraId="28D9B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57E17">
            <w:pPr>
              <w:snapToGrid w:val="0"/>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31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DB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4A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w:t>
            </w:r>
          </w:p>
        </w:tc>
        <w:tc>
          <w:tcPr>
            <w:tcW w:w="1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6936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3D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28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90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DAEC8">
            <w:pPr>
              <w:snapToGrid w:val="0"/>
              <w:rPr>
                <w:rFonts w:hint="eastAsia" w:ascii="黑体" w:hAnsi="黑体" w:eastAsia="黑体" w:cs="黑体"/>
                <w:i w:val="0"/>
                <w:iCs w:val="0"/>
                <w:color w:val="000000"/>
                <w:sz w:val="18"/>
                <w:szCs w:val="18"/>
                <w:u w:val="none"/>
              </w:rPr>
            </w:pPr>
          </w:p>
        </w:tc>
      </w:tr>
      <w:tr w14:paraId="01314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908EE">
            <w:pPr>
              <w:snapToGrid w:val="0"/>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7A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A6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C9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C33C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C4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8E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4E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A193C">
            <w:pPr>
              <w:snapToGrid w:val="0"/>
              <w:rPr>
                <w:rFonts w:hint="eastAsia" w:ascii="黑体" w:hAnsi="黑体" w:eastAsia="黑体" w:cs="黑体"/>
                <w:i w:val="0"/>
                <w:iCs w:val="0"/>
                <w:color w:val="000000"/>
                <w:sz w:val="18"/>
                <w:szCs w:val="18"/>
                <w:u w:val="none"/>
              </w:rPr>
            </w:pPr>
          </w:p>
        </w:tc>
      </w:tr>
      <w:tr w14:paraId="354C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FF0D6">
            <w:pPr>
              <w:snapToGrid w:val="0"/>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CB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1A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FB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C61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D1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39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A4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F899C">
            <w:pPr>
              <w:snapToGrid w:val="0"/>
              <w:rPr>
                <w:rFonts w:hint="eastAsia" w:ascii="黑体" w:hAnsi="黑体" w:eastAsia="黑体" w:cs="黑体"/>
                <w:i w:val="0"/>
                <w:iCs w:val="0"/>
                <w:color w:val="000000"/>
                <w:sz w:val="18"/>
                <w:szCs w:val="18"/>
                <w:u w:val="none"/>
              </w:rPr>
            </w:pPr>
          </w:p>
        </w:tc>
      </w:tr>
      <w:tr w14:paraId="355AD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3AF08">
            <w:pPr>
              <w:snapToGrid w:val="0"/>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59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2279">
            <w:pPr>
              <w:snapToGrid w:val="0"/>
              <w:jc w:val="center"/>
              <w:rPr>
                <w:rFonts w:hint="eastAsia" w:ascii="微软雅黑" w:hAnsi="微软雅黑" w:eastAsia="微软雅黑" w:cs="微软雅黑"/>
                <w:i/>
                <w:iCs/>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DF69">
            <w:pPr>
              <w:snapToGrid w:val="0"/>
              <w:jc w:val="center"/>
              <w:rPr>
                <w:rFonts w:hint="eastAsia" w:ascii="微软雅黑" w:hAnsi="微软雅黑" w:eastAsia="微软雅黑" w:cs="微软雅黑"/>
                <w:i/>
                <w:iCs/>
                <w:color w:val="000000"/>
                <w:sz w:val="16"/>
                <w:szCs w:val="16"/>
                <w:u w:val="none"/>
              </w:rPr>
            </w:pPr>
          </w:p>
        </w:tc>
        <w:tc>
          <w:tcPr>
            <w:tcW w:w="1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E441D">
            <w:pPr>
              <w:snapToGrid w:val="0"/>
              <w:jc w:val="center"/>
              <w:rPr>
                <w:rFonts w:hint="eastAsia" w:ascii="微软雅黑" w:hAnsi="微软雅黑" w:eastAsia="微软雅黑" w:cs="微软雅黑"/>
                <w:i/>
                <w:iCs/>
                <w:color w:val="000000"/>
                <w:sz w:val="16"/>
                <w:szCs w:val="16"/>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FA1E">
            <w:pPr>
              <w:snapToGrid w:val="0"/>
              <w:jc w:val="center"/>
              <w:rPr>
                <w:rFonts w:hint="eastAsia" w:ascii="微软雅黑" w:hAnsi="微软雅黑" w:eastAsia="微软雅黑" w:cs="微软雅黑"/>
                <w:i/>
                <w:iCs/>
                <w:color w:val="000000"/>
                <w:sz w:val="16"/>
                <w:szCs w:val="16"/>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33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59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3F7FC">
            <w:pPr>
              <w:snapToGrid w:val="0"/>
              <w:rPr>
                <w:rFonts w:hint="eastAsia" w:ascii="黑体" w:hAnsi="黑体" w:eastAsia="黑体" w:cs="黑体"/>
                <w:i w:val="0"/>
                <w:iCs w:val="0"/>
                <w:color w:val="000000"/>
                <w:sz w:val="18"/>
                <w:szCs w:val="18"/>
                <w:u w:val="none"/>
              </w:rPr>
            </w:pPr>
          </w:p>
        </w:tc>
      </w:tr>
      <w:tr w14:paraId="234A7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94B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1D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FF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AF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F3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55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69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99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41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04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6A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500E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AB1E6">
            <w:pPr>
              <w:snapToGrid w:val="0"/>
              <w:jc w:val="center"/>
              <w:rPr>
                <w:rFonts w:hint="eastAsia" w:ascii="宋体" w:hAnsi="宋体" w:eastAsia="宋体" w:cs="宋体"/>
                <w:i w:val="0"/>
                <w:iCs w:val="0"/>
                <w:color w:val="000000"/>
                <w:sz w:val="18"/>
                <w:szCs w:val="18"/>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72C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C3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1D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保障劝导工作</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A1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4E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82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A3C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1D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03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EE6E">
            <w:pPr>
              <w:snapToGrid w:val="0"/>
              <w:jc w:val="center"/>
              <w:rPr>
                <w:rFonts w:hint="eastAsia" w:ascii="微软雅黑" w:hAnsi="微软雅黑" w:eastAsia="微软雅黑" w:cs="微软雅黑"/>
                <w:i/>
                <w:iCs/>
                <w:color w:val="000000"/>
                <w:sz w:val="16"/>
                <w:szCs w:val="16"/>
                <w:u w:val="none"/>
              </w:rPr>
            </w:pPr>
          </w:p>
        </w:tc>
      </w:tr>
      <w:tr w14:paraId="3F602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07FF8">
            <w:pPr>
              <w:snapToGrid w:val="0"/>
              <w:jc w:val="center"/>
              <w:rPr>
                <w:rFonts w:hint="eastAsia" w:ascii="宋体" w:hAnsi="宋体" w:eastAsia="宋体" w:cs="宋体"/>
                <w:i w:val="0"/>
                <w:iCs w:val="0"/>
                <w:color w:val="000000"/>
                <w:sz w:val="18"/>
                <w:szCs w:val="18"/>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CE2F5">
            <w:pPr>
              <w:snapToGrid w:val="0"/>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7B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B2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22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94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F9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1DF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B3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0C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FC80">
            <w:pPr>
              <w:snapToGrid w:val="0"/>
              <w:jc w:val="center"/>
              <w:rPr>
                <w:rFonts w:hint="eastAsia" w:ascii="微软雅黑" w:hAnsi="微软雅黑" w:eastAsia="微软雅黑" w:cs="微软雅黑"/>
                <w:i/>
                <w:iCs/>
                <w:color w:val="000000"/>
                <w:sz w:val="16"/>
                <w:szCs w:val="16"/>
                <w:u w:val="none"/>
              </w:rPr>
            </w:pPr>
          </w:p>
        </w:tc>
      </w:tr>
      <w:tr w14:paraId="507AA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ADDDB">
            <w:pPr>
              <w:snapToGrid w:val="0"/>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66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7C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E7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全乡交通安全</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3A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38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5E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C75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52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9C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2086">
            <w:pPr>
              <w:snapToGrid w:val="0"/>
              <w:jc w:val="center"/>
              <w:rPr>
                <w:rFonts w:hint="eastAsia" w:ascii="微软雅黑" w:hAnsi="微软雅黑" w:eastAsia="微软雅黑" w:cs="微软雅黑"/>
                <w:i/>
                <w:iCs/>
                <w:color w:val="000000"/>
                <w:sz w:val="16"/>
                <w:szCs w:val="16"/>
                <w:u w:val="none"/>
              </w:rPr>
            </w:pPr>
          </w:p>
        </w:tc>
      </w:tr>
      <w:tr w14:paraId="60D5D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7744F">
            <w:pPr>
              <w:snapToGrid w:val="0"/>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D0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0D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EA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提升群众满意度</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F3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8C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A1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6BC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64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88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ECF0">
            <w:pPr>
              <w:snapToGrid w:val="0"/>
              <w:jc w:val="center"/>
              <w:rPr>
                <w:rFonts w:hint="eastAsia" w:ascii="微软雅黑" w:hAnsi="微软雅黑" w:eastAsia="微软雅黑" w:cs="微软雅黑"/>
                <w:i/>
                <w:iCs/>
                <w:color w:val="000000"/>
                <w:sz w:val="16"/>
                <w:szCs w:val="16"/>
                <w:u w:val="none"/>
              </w:rPr>
            </w:pPr>
          </w:p>
        </w:tc>
      </w:tr>
      <w:tr w14:paraId="7FD2D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5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4152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8D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91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9228">
            <w:pPr>
              <w:snapToGrid w:val="0"/>
              <w:rPr>
                <w:rFonts w:hint="eastAsia" w:ascii="宋体" w:hAnsi="宋体" w:eastAsia="宋体" w:cs="宋体"/>
                <w:i w:val="0"/>
                <w:iCs w:val="0"/>
                <w:color w:val="000000"/>
                <w:sz w:val="18"/>
                <w:szCs w:val="18"/>
                <w:u w:val="none"/>
              </w:rPr>
            </w:pPr>
          </w:p>
        </w:tc>
      </w:tr>
      <w:tr w14:paraId="61F88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95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2E2FA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该项目自评得分100分，于2024年12月支付完成。通过项目的实施，全乡道路交通安全等各方面得到了改善，有效地保障了群众及各驻镇企事业单位的生命财产安全。</w:t>
            </w:r>
          </w:p>
        </w:tc>
      </w:tr>
      <w:tr w14:paraId="5FD8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EB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2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1AFAB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14:paraId="16DDC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8D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2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A231D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bl>
    <w:p w14:paraId="2B329CE4">
      <w:pPr>
        <w:keepNext w:val="0"/>
        <w:keepLines w:val="0"/>
        <w:pageBreakBefore w:val="0"/>
        <w:widowControl/>
        <w:kinsoku/>
        <w:wordWrap/>
        <w:overflowPunct/>
        <w:topLinePunct w:val="0"/>
        <w:autoSpaceDE/>
        <w:autoSpaceDN/>
        <w:bidi w:val="0"/>
        <w:adjustRightInd w:val="0"/>
        <w:snapToGrid w:val="0"/>
        <w:spacing w:line="578" w:lineRule="exact"/>
        <w:contextualSpacing/>
        <w:jc w:val="left"/>
        <w:textAlignment w:val="auto"/>
        <w:outlineLvl w:val="9"/>
        <w:rPr>
          <w:rFonts w:hint="eastAsia" w:ascii="Times New Roman" w:hAnsi="Times New Roman" w:eastAsia="仿宋_GB2312" w:cs="Times New Roman"/>
          <w:sz w:val="32"/>
          <w:szCs w:val="32"/>
          <w:u w:val="none"/>
          <w:lang w:val="en" w:eastAsia="zh-CN" w:bidi="ar"/>
        </w:rPr>
      </w:pPr>
    </w:p>
    <w:p w14:paraId="29CFD57D">
      <w:pPr>
        <w:keepNext w:val="0"/>
        <w:keepLines w:val="0"/>
        <w:pageBreakBefore w:val="0"/>
        <w:widowControl/>
        <w:kinsoku/>
        <w:wordWrap/>
        <w:overflowPunct/>
        <w:topLinePunct w:val="0"/>
        <w:autoSpaceDE/>
        <w:autoSpaceDN/>
        <w:bidi w:val="0"/>
        <w:adjustRightInd w:val="0"/>
        <w:snapToGrid w:val="0"/>
        <w:spacing w:line="578" w:lineRule="exact"/>
        <w:contextualSpacing/>
        <w:jc w:val="left"/>
        <w:textAlignment w:val="auto"/>
        <w:outlineLvl w:val="9"/>
        <w:rPr>
          <w:rFonts w:hint="eastAsia" w:ascii="Times New Roman" w:hAnsi="Times New Roman" w:eastAsia="仿宋_GB2312" w:cs="Times New Roman"/>
          <w:sz w:val="32"/>
          <w:szCs w:val="32"/>
          <w:u w:val="none"/>
          <w:lang w:val="en" w:eastAsia="zh-CN" w:bidi="ar"/>
        </w:rPr>
      </w:pPr>
    </w:p>
    <w:p w14:paraId="72A995C6">
      <w:pPr>
        <w:keepNext w:val="0"/>
        <w:keepLines w:val="0"/>
        <w:pageBreakBefore w:val="0"/>
        <w:widowControl/>
        <w:kinsoku/>
        <w:wordWrap/>
        <w:overflowPunct/>
        <w:topLinePunct w:val="0"/>
        <w:autoSpaceDE/>
        <w:autoSpaceDN/>
        <w:bidi w:val="0"/>
        <w:adjustRightInd w:val="0"/>
        <w:snapToGrid w:val="0"/>
        <w:spacing w:line="578" w:lineRule="exact"/>
        <w:contextualSpacing/>
        <w:jc w:val="left"/>
        <w:textAlignment w:val="auto"/>
        <w:outlineLvl w:val="9"/>
        <w:rPr>
          <w:rFonts w:hint="eastAsia" w:ascii="Times New Roman" w:hAnsi="Times New Roman" w:eastAsia="仿宋_GB2312" w:cs="Times New Roman"/>
          <w:sz w:val="32"/>
          <w:szCs w:val="32"/>
          <w:u w:val="none"/>
          <w:lang w:val="en" w:eastAsia="zh-CN" w:bidi="ar"/>
        </w:rPr>
      </w:pPr>
    </w:p>
    <w:p w14:paraId="1B583675">
      <w:pPr>
        <w:keepNext w:val="0"/>
        <w:keepLines w:val="0"/>
        <w:pageBreakBefore w:val="0"/>
        <w:widowControl/>
        <w:kinsoku/>
        <w:wordWrap/>
        <w:overflowPunct/>
        <w:topLinePunct w:val="0"/>
        <w:autoSpaceDE/>
        <w:autoSpaceDN/>
        <w:bidi w:val="0"/>
        <w:adjustRightInd w:val="0"/>
        <w:snapToGrid w:val="0"/>
        <w:spacing w:line="578" w:lineRule="exact"/>
        <w:contextualSpacing/>
        <w:jc w:val="left"/>
        <w:textAlignment w:val="auto"/>
        <w:outlineLvl w:val="9"/>
        <w:rPr>
          <w:rFonts w:hint="eastAsia" w:ascii="Times New Roman" w:hAnsi="Times New Roman" w:eastAsia="仿宋_GB2312" w:cs="Times New Roman"/>
          <w:sz w:val="32"/>
          <w:szCs w:val="32"/>
          <w:u w:val="none"/>
          <w:lang w:val="en" w:eastAsia="zh-CN" w:bidi="ar"/>
        </w:rPr>
      </w:pPr>
    </w:p>
    <w:p w14:paraId="04FD4A3B">
      <w:pPr>
        <w:keepNext w:val="0"/>
        <w:keepLines w:val="0"/>
        <w:pageBreakBefore w:val="0"/>
        <w:widowControl/>
        <w:kinsoku/>
        <w:wordWrap/>
        <w:overflowPunct/>
        <w:topLinePunct w:val="0"/>
        <w:autoSpaceDE/>
        <w:autoSpaceDN/>
        <w:bidi w:val="0"/>
        <w:adjustRightInd w:val="0"/>
        <w:snapToGrid w:val="0"/>
        <w:spacing w:line="578" w:lineRule="exact"/>
        <w:contextualSpacing/>
        <w:jc w:val="left"/>
        <w:textAlignment w:val="auto"/>
        <w:outlineLvl w:val="9"/>
        <w:rPr>
          <w:rFonts w:hint="eastAsia" w:ascii="Times New Roman" w:hAnsi="Times New Roman" w:eastAsia="仿宋_GB2312" w:cs="Times New Roman"/>
          <w:sz w:val="32"/>
          <w:szCs w:val="32"/>
          <w:u w:val="none"/>
          <w:lang w:val="en" w:eastAsia="zh-CN" w:bidi="ar"/>
        </w:rPr>
      </w:pPr>
    </w:p>
    <w:bookmarkEnd w:id="49"/>
    <w:tbl>
      <w:tblPr>
        <w:tblStyle w:val="13"/>
        <w:tblW w:w="90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30"/>
        <w:gridCol w:w="896"/>
        <w:gridCol w:w="675"/>
        <w:gridCol w:w="711"/>
        <w:gridCol w:w="445"/>
        <w:gridCol w:w="485"/>
        <w:gridCol w:w="445"/>
        <w:gridCol w:w="1006"/>
        <w:gridCol w:w="445"/>
        <w:gridCol w:w="446"/>
        <w:gridCol w:w="2634"/>
      </w:tblGrid>
      <w:tr w14:paraId="248AD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91C69C">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9224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B630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9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6B0C2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51113224T000011426129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交通安全工作经费</w:t>
            </w:r>
          </w:p>
        </w:tc>
      </w:tr>
      <w:tr w14:paraId="5151F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4D05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49641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峨边彝族自治县宜坪乡人民政府本级</w:t>
            </w:r>
          </w:p>
        </w:tc>
        <w:tc>
          <w:tcPr>
            <w:tcW w:w="1006" w:type="dxa"/>
            <w:tcBorders>
              <w:top w:val="nil"/>
              <w:left w:val="nil"/>
              <w:bottom w:val="nil"/>
              <w:right w:val="nil"/>
            </w:tcBorders>
            <w:shd w:val="clear" w:color="auto" w:fill="auto"/>
            <w:vAlign w:val="center"/>
          </w:tcPr>
          <w:p w14:paraId="2D5DD7D1">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6795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峨边彝族自治县宜坪乡人民政府</w:t>
            </w:r>
          </w:p>
        </w:tc>
      </w:tr>
      <w:tr w14:paraId="5EA4D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3897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32BC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730C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4A963A">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5DA4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FC899">
            <w:pPr>
              <w:snapToGrid w:val="0"/>
              <w:rPr>
                <w:rFonts w:hint="eastAsia" w:ascii="宋体" w:hAnsi="宋体" w:eastAsia="宋体" w:cs="宋体"/>
                <w:i w:val="0"/>
                <w:iCs w:val="0"/>
                <w:color w:val="000000"/>
                <w:sz w:val="18"/>
                <w:szCs w:val="18"/>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4EAC4">
            <w:pPr>
              <w:snapToGrid w:val="0"/>
              <w:rPr>
                <w:rFonts w:hint="eastAsia" w:ascii="宋体" w:hAnsi="宋体" w:eastAsia="宋体" w:cs="宋体"/>
                <w:i w:val="0"/>
                <w:iCs w:val="0"/>
                <w:color w:val="000000"/>
                <w:sz w:val="18"/>
                <w:szCs w:val="18"/>
                <w:u w:val="none"/>
              </w:rPr>
            </w:pPr>
          </w:p>
        </w:tc>
        <w:tc>
          <w:tcPr>
            <w:tcW w:w="2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AB230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保障交通安全工作正常开展。</w:t>
            </w:r>
          </w:p>
        </w:tc>
        <w:tc>
          <w:tcPr>
            <w:tcW w:w="4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2BB1A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保障了交通安全工作正常开展、道路交通安全。</w:t>
            </w:r>
          </w:p>
        </w:tc>
      </w:tr>
      <w:tr w14:paraId="1B933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01A89">
            <w:pPr>
              <w:snapToGrid w:val="0"/>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605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9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6CA5B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各村交通安全标识牌制作</w:t>
            </w:r>
          </w:p>
        </w:tc>
      </w:tr>
      <w:tr w14:paraId="60155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075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DD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BD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BC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2B2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0B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2B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07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BF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1649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E1477">
            <w:pPr>
              <w:snapToGrid w:val="0"/>
              <w:jc w:val="center"/>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8A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26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57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B43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9F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77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B5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63A9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1.预算执行率=预算执行数/调整后预算数，预算执行率100%;2.年中未发生预算调整的（追加或调减）；3.无其他资金</w:t>
            </w:r>
          </w:p>
        </w:tc>
      </w:tr>
      <w:tr w14:paraId="44577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899BE">
            <w:pPr>
              <w:snapToGrid w:val="0"/>
              <w:jc w:val="center"/>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D4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AD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D4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089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7F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35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10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4F959">
            <w:pPr>
              <w:snapToGrid w:val="0"/>
              <w:rPr>
                <w:rFonts w:hint="eastAsia" w:ascii="黑体" w:hAnsi="黑体" w:eastAsia="黑体" w:cs="黑体"/>
                <w:i w:val="0"/>
                <w:iCs w:val="0"/>
                <w:color w:val="000000"/>
                <w:sz w:val="18"/>
                <w:szCs w:val="18"/>
                <w:u w:val="none"/>
              </w:rPr>
            </w:pPr>
          </w:p>
        </w:tc>
      </w:tr>
      <w:tr w14:paraId="5F93D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F6C2B">
            <w:pPr>
              <w:snapToGrid w:val="0"/>
              <w:jc w:val="center"/>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03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F8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06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01F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B8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E3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BE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E420C">
            <w:pPr>
              <w:snapToGrid w:val="0"/>
              <w:rPr>
                <w:rFonts w:hint="eastAsia" w:ascii="黑体" w:hAnsi="黑体" w:eastAsia="黑体" w:cs="黑体"/>
                <w:i w:val="0"/>
                <w:iCs w:val="0"/>
                <w:color w:val="000000"/>
                <w:sz w:val="18"/>
                <w:szCs w:val="18"/>
                <w:u w:val="none"/>
              </w:rPr>
            </w:pPr>
          </w:p>
        </w:tc>
      </w:tr>
      <w:tr w14:paraId="37D72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C6BDA">
            <w:pPr>
              <w:snapToGrid w:val="0"/>
              <w:jc w:val="center"/>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6B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6E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67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3722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AA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F0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A1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2DBE6">
            <w:pPr>
              <w:snapToGrid w:val="0"/>
              <w:rPr>
                <w:rFonts w:hint="eastAsia" w:ascii="黑体" w:hAnsi="黑体" w:eastAsia="黑体" w:cs="黑体"/>
                <w:i w:val="0"/>
                <w:iCs w:val="0"/>
                <w:color w:val="000000"/>
                <w:sz w:val="18"/>
                <w:szCs w:val="18"/>
                <w:u w:val="none"/>
              </w:rPr>
            </w:pPr>
          </w:p>
        </w:tc>
      </w:tr>
      <w:tr w14:paraId="6D8B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CB9A5">
            <w:pPr>
              <w:snapToGrid w:val="0"/>
              <w:jc w:val="center"/>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19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8762">
            <w:pPr>
              <w:snapToGrid w:val="0"/>
              <w:jc w:val="center"/>
              <w:rPr>
                <w:rFonts w:hint="eastAsia" w:ascii="微软雅黑" w:hAnsi="微软雅黑" w:eastAsia="微软雅黑" w:cs="微软雅黑"/>
                <w:i/>
                <w:iCs/>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77B4">
            <w:pPr>
              <w:snapToGrid w:val="0"/>
              <w:jc w:val="center"/>
              <w:rPr>
                <w:rFonts w:hint="eastAsia" w:ascii="微软雅黑" w:hAnsi="微软雅黑" w:eastAsia="微软雅黑" w:cs="微软雅黑"/>
                <w:i/>
                <w:iCs/>
                <w:color w:val="000000"/>
                <w:sz w:val="16"/>
                <w:szCs w:val="16"/>
                <w:u w:val="none"/>
              </w:rPr>
            </w:pP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127C0F">
            <w:pPr>
              <w:snapToGrid w:val="0"/>
              <w:jc w:val="center"/>
              <w:rPr>
                <w:rFonts w:hint="eastAsia" w:ascii="微软雅黑" w:hAnsi="微软雅黑" w:eastAsia="微软雅黑" w:cs="微软雅黑"/>
                <w:i/>
                <w:iCs/>
                <w:color w:val="000000"/>
                <w:sz w:val="16"/>
                <w:szCs w:val="16"/>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CCA7">
            <w:pPr>
              <w:snapToGrid w:val="0"/>
              <w:jc w:val="center"/>
              <w:rPr>
                <w:rFonts w:hint="eastAsia" w:ascii="微软雅黑" w:hAnsi="微软雅黑" w:eastAsia="微软雅黑" w:cs="微软雅黑"/>
                <w:i/>
                <w:iCs/>
                <w:color w:val="000000"/>
                <w:sz w:val="16"/>
                <w:szCs w:val="16"/>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1D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E6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AAEED">
            <w:pPr>
              <w:snapToGrid w:val="0"/>
              <w:rPr>
                <w:rFonts w:hint="eastAsia" w:ascii="黑体" w:hAnsi="黑体" w:eastAsia="黑体" w:cs="黑体"/>
                <w:i w:val="0"/>
                <w:iCs w:val="0"/>
                <w:color w:val="000000"/>
                <w:sz w:val="18"/>
                <w:szCs w:val="18"/>
                <w:u w:val="none"/>
              </w:rPr>
            </w:pPr>
          </w:p>
        </w:tc>
      </w:tr>
      <w:tr w14:paraId="2F1E9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0B8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92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56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B8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70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94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14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BE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67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97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FA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00D7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7F8CE">
            <w:pPr>
              <w:snapToGrid w:val="0"/>
              <w:jc w:val="center"/>
              <w:rPr>
                <w:rFonts w:hint="eastAsia" w:ascii="宋体" w:hAnsi="宋体" w:eastAsia="宋体" w:cs="宋体"/>
                <w:i w:val="0"/>
                <w:iCs w:val="0"/>
                <w:color w:val="000000"/>
                <w:sz w:val="18"/>
                <w:szCs w:val="18"/>
                <w:u w:val="none"/>
              </w:rPr>
            </w:pP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782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E8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C7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保障村个数</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26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C4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E7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A21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FA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23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2F39">
            <w:pPr>
              <w:snapToGrid w:val="0"/>
              <w:jc w:val="center"/>
              <w:rPr>
                <w:rFonts w:hint="eastAsia" w:ascii="微软雅黑" w:hAnsi="微软雅黑" w:eastAsia="微软雅黑" w:cs="微软雅黑"/>
                <w:i/>
                <w:iCs/>
                <w:color w:val="000000"/>
                <w:sz w:val="16"/>
                <w:szCs w:val="16"/>
                <w:u w:val="none"/>
              </w:rPr>
            </w:pPr>
          </w:p>
        </w:tc>
      </w:tr>
      <w:tr w14:paraId="1F005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C948C">
            <w:pPr>
              <w:snapToGrid w:val="0"/>
              <w:jc w:val="center"/>
              <w:rPr>
                <w:rFonts w:hint="eastAsia" w:ascii="宋体" w:hAnsi="宋体" w:eastAsia="宋体" w:cs="宋体"/>
                <w:i w:val="0"/>
                <w:iCs w:val="0"/>
                <w:color w:val="000000"/>
                <w:sz w:val="18"/>
                <w:szCs w:val="18"/>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A59C2">
            <w:pPr>
              <w:snapToGrid w:val="0"/>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BE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33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项目完成保障率</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6D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80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16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6B7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78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1B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375C">
            <w:pPr>
              <w:snapToGrid w:val="0"/>
              <w:jc w:val="center"/>
              <w:rPr>
                <w:rFonts w:hint="eastAsia" w:ascii="微软雅黑" w:hAnsi="微软雅黑" w:eastAsia="微软雅黑" w:cs="微软雅黑"/>
                <w:i/>
                <w:iCs/>
                <w:color w:val="000000"/>
                <w:sz w:val="16"/>
                <w:szCs w:val="16"/>
                <w:u w:val="none"/>
              </w:rPr>
            </w:pPr>
          </w:p>
        </w:tc>
      </w:tr>
      <w:tr w14:paraId="3BC78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E7C1E">
            <w:pPr>
              <w:snapToGrid w:val="0"/>
              <w:jc w:val="center"/>
              <w:rPr>
                <w:rFonts w:hint="eastAsia" w:ascii="宋体" w:hAnsi="宋体" w:eastAsia="宋体" w:cs="宋体"/>
                <w:i w:val="0"/>
                <w:iCs w:val="0"/>
                <w:color w:val="000000"/>
                <w:sz w:val="18"/>
                <w:szCs w:val="18"/>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E2A82">
            <w:pPr>
              <w:snapToGrid w:val="0"/>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72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FE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40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57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38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0CB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7B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B4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C414">
            <w:pPr>
              <w:snapToGrid w:val="0"/>
              <w:jc w:val="center"/>
              <w:rPr>
                <w:rFonts w:hint="eastAsia" w:ascii="微软雅黑" w:hAnsi="微软雅黑" w:eastAsia="微软雅黑" w:cs="微软雅黑"/>
                <w:i/>
                <w:iCs/>
                <w:color w:val="000000"/>
                <w:sz w:val="16"/>
                <w:szCs w:val="16"/>
                <w:u w:val="none"/>
              </w:rPr>
            </w:pPr>
          </w:p>
        </w:tc>
      </w:tr>
      <w:tr w14:paraId="67ABD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B08E3">
            <w:pPr>
              <w:snapToGrid w:val="0"/>
              <w:jc w:val="center"/>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B1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A4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53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保障交通安全</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5C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16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46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D5B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A2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FF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91F2">
            <w:pPr>
              <w:snapToGrid w:val="0"/>
              <w:jc w:val="center"/>
              <w:rPr>
                <w:rFonts w:hint="eastAsia" w:ascii="微软雅黑" w:hAnsi="微软雅黑" w:eastAsia="微软雅黑" w:cs="微软雅黑"/>
                <w:i/>
                <w:iCs/>
                <w:color w:val="000000"/>
                <w:sz w:val="16"/>
                <w:szCs w:val="16"/>
                <w:u w:val="none"/>
              </w:rPr>
            </w:pPr>
          </w:p>
        </w:tc>
      </w:tr>
      <w:tr w14:paraId="737CD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1ACED">
            <w:pPr>
              <w:snapToGrid w:val="0"/>
              <w:jc w:val="center"/>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BD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F3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33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E6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87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1B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000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06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4A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629A">
            <w:pPr>
              <w:snapToGrid w:val="0"/>
              <w:jc w:val="center"/>
              <w:rPr>
                <w:rFonts w:hint="eastAsia" w:ascii="微软雅黑" w:hAnsi="微软雅黑" w:eastAsia="微软雅黑" w:cs="微软雅黑"/>
                <w:i/>
                <w:iCs/>
                <w:color w:val="000000"/>
                <w:sz w:val="16"/>
                <w:szCs w:val="16"/>
                <w:u w:val="none"/>
              </w:rPr>
            </w:pPr>
          </w:p>
        </w:tc>
      </w:tr>
      <w:tr w14:paraId="312A1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5830B">
            <w:pPr>
              <w:snapToGrid w:val="0"/>
              <w:jc w:val="center"/>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DA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41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7C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项目经费投入</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71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3C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3F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B6E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E3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B7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4F7C">
            <w:pPr>
              <w:snapToGrid w:val="0"/>
              <w:jc w:val="center"/>
              <w:rPr>
                <w:rFonts w:hint="eastAsia" w:ascii="微软雅黑" w:hAnsi="微软雅黑" w:eastAsia="微软雅黑" w:cs="微软雅黑"/>
                <w:i/>
                <w:iCs/>
                <w:color w:val="000000"/>
                <w:sz w:val="16"/>
                <w:szCs w:val="16"/>
                <w:u w:val="none"/>
              </w:rPr>
            </w:pPr>
          </w:p>
        </w:tc>
      </w:tr>
      <w:tr w14:paraId="37270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49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C869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D6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0D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DC67">
            <w:pPr>
              <w:snapToGrid w:val="0"/>
              <w:rPr>
                <w:rFonts w:hint="eastAsia" w:ascii="宋体" w:hAnsi="宋体" w:eastAsia="宋体" w:cs="宋体"/>
                <w:i w:val="0"/>
                <w:iCs w:val="0"/>
                <w:color w:val="000000"/>
                <w:sz w:val="18"/>
                <w:szCs w:val="18"/>
                <w:u w:val="none"/>
              </w:rPr>
            </w:pPr>
          </w:p>
        </w:tc>
      </w:tr>
      <w:tr w14:paraId="43EFD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81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1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F4F35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该项目自评得分100分，于2024年12月支付完成。通过项目的实施，全乡道路交通安全各方面得到了改善，有效地保障了群众及各驻乡企事业单位的生命财产安全。</w:t>
            </w:r>
          </w:p>
        </w:tc>
      </w:tr>
      <w:tr w14:paraId="1C89E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3D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1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2C867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14:paraId="076F6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A4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1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62D9A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bl>
    <w:p w14:paraId="1337E81E">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zh-CN" w:eastAsia="zh-CN" w:bidi="ar"/>
        </w:rPr>
      </w:pPr>
    </w:p>
    <w:p w14:paraId="06A7DF8C">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414B9014">
      <w:pPr>
        <w:pStyle w:val="5"/>
        <w:rPr>
          <w:rFonts w:hint="eastAsia" w:ascii="Times New Roman" w:hAnsi="Times New Roman" w:cs="宋体"/>
          <w:color w:val="FF0000"/>
          <w:kern w:val="0"/>
          <w:sz w:val="32"/>
          <w:szCs w:val="32"/>
          <w:highlight w:val="yellow"/>
          <w:shd w:val="clear" w:color="auto" w:fill="FFFFFF"/>
          <w:lang w:val="zh-CN"/>
        </w:rPr>
      </w:pPr>
    </w:p>
    <w:p w14:paraId="4E774752">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7663BBE2">
      <w:pPr>
        <w:bidi w:val="0"/>
        <w:jc w:val="left"/>
        <w:rPr>
          <w:rFonts w:hint="eastAsia" w:ascii="Times New Roman" w:hAnsi="Times New Roman" w:eastAsia="宋体" w:cs="Times New Roman"/>
          <w:kern w:val="2"/>
          <w:sz w:val="21"/>
          <w:szCs w:val="24"/>
          <w:lang w:val="zh-CN" w:eastAsia="zh-CN" w:bidi="ar-SA"/>
        </w:rPr>
      </w:pPr>
    </w:p>
    <w:tbl>
      <w:tblPr>
        <w:tblStyle w:val="13"/>
        <w:tblW w:w="90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06"/>
        <w:gridCol w:w="1064"/>
        <w:gridCol w:w="1250"/>
        <w:gridCol w:w="2547"/>
        <w:gridCol w:w="323"/>
        <w:gridCol w:w="415"/>
        <w:gridCol w:w="507"/>
        <w:gridCol w:w="788"/>
        <w:gridCol w:w="415"/>
        <w:gridCol w:w="415"/>
        <w:gridCol w:w="788"/>
      </w:tblGrid>
      <w:tr w14:paraId="73FFC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D06591">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C3E4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5E7E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68F19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51113224T000011426159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西大门综合服务区运行管理维护费</w:t>
            </w:r>
          </w:p>
        </w:tc>
      </w:tr>
      <w:tr w14:paraId="304A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B1A1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136DB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峨边彝族自治县宜坪乡人民政府本级</w:t>
            </w:r>
          </w:p>
        </w:tc>
        <w:tc>
          <w:tcPr>
            <w:tcW w:w="788" w:type="dxa"/>
            <w:tcBorders>
              <w:top w:val="nil"/>
              <w:left w:val="nil"/>
              <w:bottom w:val="nil"/>
              <w:right w:val="nil"/>
            </w:tcBorders>
            <w:shd w:val="clear" w:color="auto" w:fill="auto"/>
            <w:vAlign w:val="center"/>
          </w:tcPr>
          <w:p w14:paraId="2336EF2B">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F5DE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峨边彝族自治县宜坪乡人民政府</w:t>
            </w:r>
          </w:p>
        </w:tc>
      </w:tr>
      <w:tr w14:paraId="77C8E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4CCD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0BF8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C3F0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4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B7C01E">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C649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C6B3A">
            <w:pPr>
              <w:snapToGrid w:val="0"/>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E646C">
            <w:pPr>
              <w:snapToGrid w:val="0"/>
              <w:rPr>
                <w:rFonts w:hint="eastAsia" w:ascii="宋体" w:hAnsi="宋体" w:eastAsia="宋体" w:cs="宋体"/>
                <w:i w:val="0"/>
                <w:iCs w:val="0"/>
                <w:color w:val="000000"/>
                <w:sz w:val="18"/>
                <w:szCs w:val="18"/>
                <w:u w:val="none"/>
              </w:rPr>
            </w:pPr>
          </w:p>
        </w:tc>
        <w:tc>
          <w:tcPr>
            <w:tcW w:w="5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FFCF0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保障西大门综合服务区正常运行，日常管理维护等。</w:t>
            </w:r>
          </w:p>
        </w:tc>
        <w:tc>
          <w:tcPr>
            <w:tcW w:w="24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4F958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全面保障了西大门服务区的正常运转，提升了群众满意度。</w:t>
            </w:r>
          </w:p>
        </w:tc>
      </w:tr>
      <w:tr w14:paraId="7DE08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414F4">
            <w:pPr>
              <w:snapToGrid w:val="0"/>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11E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900EF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对西大门综合服务区进行了日常管理维护。</w:t>
            </w:r>
          </w:p>
        </w:tc>
      </w:tr>
      <w:tr w14:paraId="20257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A2A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61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69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2B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AD9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B0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4E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D3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CB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0152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B835E">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5B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05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F9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FBF3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F7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A0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7D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BD78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1.预算执行率=预算执行数/调整后预算数，预算执行率100%;2.年中未发生预算调整的（追加或调减）；3.无其他资金</w:t>
            </w:r>
          </w:p>
        </w:tc>
      </w:tr>
      <w:tr w14:paraId="5B2A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80B96">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0B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27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D7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79BA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B0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94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C0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60826">
            <w:pPr>
              <w:snapToGrid w:val="0"/>
              <w:rPr>
                <w:rFonts w:hint="eastAsia" w:ascii="黑体" w:hAnsi="黑体" w:eastAsia="黑体" w:cs="黑体"/>
                <w:i w:val="0"/>
                <w:iCs w:val="0"/>
                <w:color w:val="000000"/>
                <w:sz w:val="18"/>
                <w:szCs w:val="18"/>
                <w:u w:val="none"/>
              </w:rPr>
            </w:pPr>
          </w:p>
        </w:tc>
      </w:tr>
      <w:tr w14:paraId="71CC0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33541">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56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7B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C6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5AE0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1B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4D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4D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65EB7">
            <w:pPr>
              <w:snapToGrid w:val="0"/>
              <w:rPr>
                <w:rFonts w:hint="eastAsia" w:ascii="黑体" w:hAnsi="黑体" w:eastAsia="黑体" w:cs="黑体"/>
                <w:i w:val="0"/>
                <w:iCs w:val="0"/>
                <w:color w:val="000000"/>
                <w:sz w:val="18"/>
                <w:szCs w:val="18"/>
                <w:u w:val="none"/>
              </w:rPr>
            </w:pPr>
          </w:p>
        </w:tc>
      </w:tr>
      <w:tr w14:paraId="5991F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621CD">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13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36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C2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7FAC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0E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02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C0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86098">
            <w:pPr>
              <w:snapToGrid w:val="0"/>
              <w:rPr>
                <w:rFonts w:hint="eastAsia" w:ascii="黑体" w:hAnsi="黑体" w:eastAsia="黑体" w:cs="黑体"/>
                <w:i w:val="0"/>
                <w:iCs w:val="0"/>
                <w:color w:val="000000"/>
                <w:sz w:val="18"/>
                <w:szCs w:val="18"/>
                <w:u w:val="none"/>
              </w:rPr>
            </w:pPr>
          </w:p>
        </w:tc>
      </w:tr>
      <w:tr w14:paraId="106B6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0DC8D">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1B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BBE3">
            <w:pPr>
              <w:snapToGrid w:val="0"/>
              <w:jc w:val="center"/>
              <w:rPr>
                <w:rFonts w:hint="eastAsia" w:ascii="微软雅黑" w:hAnsi="微软雅黑" w:eastAsia="微软雅黑" w:cs="微软雅黑"/>
                <w:i/>
                <w:iCs/>
                <w:color w:val="000000"/>
                <w:sz w:val="16"/>
                <w:szCs w:val="16"/>
                <w:u w:val="none"/>
              </w:rPr>
            </w:pP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756E">
            <w:pPr>
              <w:snapToGrid w:val="0"/>
              <w:jc w:val="center"/>
              <w:rPr>
                <w:rFonts w:hint="eastAsia" w:ascii="微软雅黑" w:hAnsi="微软雅黑" w:eastAsia="微软雅黑" w:cs="微软雅黑"/>
                <w:i/>
                <w:iCs/>
                <w:color w:val="000000"/>
                <w:sz w:val="16"/>
                <w:szCs w:val="16"/>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87B427">
            <w:pPr>
              <w:snapToGrid w:val="0"/>
              <w:jc w:val="center"/>
              <w:rPr>
                <w:rFonts w:hint="eastAsia" w:ascii="微软雅黑" w:hAnsi="微软雅黑" w:eastAsia="微软雅黑" w:cs="微软雅黑"/>
                <w:i/>
                <w:iCs/>
                <w:color w:val="000000"/>
                <w:sz w:val="16"/>
                <w:szCs w:val="16"/>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767D">
            <w:pPr>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2D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F2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DF2DA">
            <w:pPr>
              <w:snapToGrid w:val="0"/>
              <w:rPr>
                <w:rFonts w:hint="eastAsia" w:ascii="黑体" w:hAnsi="黑体" w:eastAsia="黑体" w:cs="黑体"/>
                <w:i w:val="0"/>
                <w:iCs w:val="0"/>
                <w:color w:val="000000"/>
                <w:sz w:val="18"/>
                <w:szCs w:val="18"/>
                <w:u w:val="none"/>
              </w:rPr>
            </w:pPr>
          </w:p>
        </w:tc>
      </w:tr>
      <w:tr w14:paraId="30C22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8A6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41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45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C3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C6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3D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26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88" w:type="dxa"/>
            <w:tcBorders>
              <w:top w:val="single" w:color="000000" w:sz="4" w:space="0"/>
              <w:left w:val="single" w:color="000000" w:sz="4" w:space="0"/>
              <w:bottom w:val="nil"/>
              <w:right w:val="single" w:color="000000" w:sz="4" w:space="0"/>
            </w:tcBorders>
            <w:shd w:val="clear" w:color="auto" w:fill="auto"/>
            <w:vAlign w:val="center"/>
          </w:tcPr>
          <w:p w14:paraId="0609CB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8B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F1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B7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F688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63AAA">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7C6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76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F4A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保障综合服务区运行管理个数</w:t>
            </w:r>
          </w:p>
        </w:tc>
        <w:tc>
          <w:tcPr>
            <w:tcW w:w="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78A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2CA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388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944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CF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0E6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5C4A">
            <w:pPr>
              <w:snapToGrid w:val="0"/>
              <w:jc w:val="center"/>
              <w:rPr>
                <w:rFonts w:hint="eastAsia" w:ascii="宋体" w:hAnsi="宋体" w:eastAsia="宋体" w:cs="宋体"/>
                <w:i w:val="0"/>
                <w:iCs w:val="0"/>
                <w:color w:val="000000"/>
                <w:sz w:val="18"/>
                <w:szCs w:val="18"/>
                <w:u w:val="none"/>
              </w:rPr>
            </w:pPr>
          </w:p>
        </w:tc>
      </w:tr>
      <w:tr w14:paraId="0627E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BBC39">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47A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68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F67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项目完成时间</w:t>
            </w:r>
          </w:p>
        </w:tc>
        <w:tc>
          <w:tcPr>
            <w:tcW w:w="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566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110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A80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A6C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969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F65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D033">
            <w:pPr>
              <w:snapToGrid w:val="0"/>
              <w:jc w:val="center"/>
              <w:rPr>
                <w:rFonts w:hint="eastAsia" w:ascii="宋体" w:hAnsi="宋体" w:eastAsia="宋体" w:cs="宋体"/>
                <w:i w:val="0"/>
                <w:iCs w:val="0"/>
                <w:color w:val="000000"/>
                <w:sz w:val="18"/>
                <w:szCs w:val="18"/>
                <w:u w:val="none"/>
              </w:rPr>
            </w:pPr>
          </w:p>
        </w:tc>
      </w:tr>
      <w:tr w14:paraId="23B9D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C4057">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957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A1D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1A2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高质量保障综合服务区运行</w:t>
            </w:r>
          </w:p>
        </w:tc>
        <w:tc>
          <w:tcPr>
            <w:tcW w:w="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BF8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FEB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8A9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98B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F0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2EC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30EE">
            <w:pPr>
              <w:snapToGrid w:val="0"/>
              <w:jc w:val="center"/>
              <w:rPr>
                <w:rFonts w:hint="eastAsia" w:ascii="宋体" w:hAnsi="宋体" w:eastAsia="宋体" w:cs="宋体"/>
                <w:i w:val="0"/>
                <w:iCs w:val="0"/>
                <w:color w:val="000000"/>
                <w:sz w:val="18"/>
                <w:szCs w:val="18"/>
                <w:u w:val="none"/>
              </w:rPr>
            </w:pPr>
          </w:p>
        </w:tc>
      </w:tr>
      <w:tr w14:paraId="7F072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AC39C">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A0A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31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91F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提供良好的服务环境</w:t>
            </w:r>
          </w:p>
        </w:tc>
        <w:tc>
          <w:tcPr>
            <w:tcW w:w="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6BC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A06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F36F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4C4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E7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A9B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ACBA">
            <w:pPr>
              <w:snapToGrid w:val="0"/>
              <w:jc w:val="center"/>
              <w:rPr>
                <w:rFonts w:hint="eastAsia" w:ascii="宋体" w:hAnsi="宋体" w:eastAsia="宋体" w:cs="宋体"/>
                <w:i w:val="0"/>
                <w:iCs w:val="0"/>
                <w:color w:val="000000"/>
                <w:sz w:val="18"/>
                <w:szCs w:val="18"/>
                <w:u w:val="none"/>
              </w:rPr>
            </w:pPr>
          </w:p>
        </w:tc>
      </w:tr>
      <w:tr w14:paraId="55828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5AD2A">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994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8F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2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76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提升群众满意度</w:t>
            </w:r>
          </w:p>
        </w:tc>
        <w:tc>
          <w:tcPr>
            <w:tcW w:w="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ADD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E12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5AD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CFA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663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F7C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A6EB">
            <w:pPr>
              <w:snapToGrid w:val="0"/>
              <w:jc w:val="center"/>
              <w:rPr>
                <w:rFonts w:hint="eastAsia" w:ascii="宋体" w:hAnsi="宋体" w:eastAsia="宋体" w:cs="宋体"/>
                <w:i w:val="0"/>
                <w:iCs w:val="0"/>
                <w:color w:val="000000"/>
                <w:sz w:val="18"/>
                <w:szCs w:val="18"/>
                <w:u w:val="none"/>
              </w:rPr>
            </w:pPr>
          </w:p>
        </w:tc>
      </w:tr>
      <w:tr w14:paraId="1B849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28BE1">
            <w:pPr>
              <w:snapToGrid w:val="0"/>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C4D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0CA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0C2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项目经费投入</w:t>
            </w:r>
          </w:p>
        </w:tc>
        <w:tc>
          <w:tcPr>
            <w:tcW w:w="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F83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7B6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E65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B08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35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16D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C0EC">
            <w:pPr>
              <w:snapToGrid w:val="0"/>
              <w:jc w:val="center"/>
              <w:rPr>
                <w:rFonts w:hint="eastAsia" w:ascii="微软雅黑" w:hAnsi="微软雅黑" w:eastAsia="微软雅黑" w:cs="微软雅黑"/>
                <w:i/>
                <w:iCs/>
                <w:color w:val="000000"/>
                <w:sz w:val="16"/>
                <w:szCs w:val="16"/>
                <w:u w:val="none"/>
              </w:rPr>
            </w:pPr>
          </w:p>
        </w:tc>
      </w:tr>
      <w:tr w14:paraId="40BCF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0ACC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05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EF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F52B">
            <w:pPr>
              <w:snapToGrid w:val="0"/>
              <w:rPr>
                <w:rFonts w:hint="eastAsia" w:ascii="宋体" w:hAnsi="宋体" w:eastAsia="宋体" w:cs="宋体"/>
                <w:i w:val="0"/>
                <w:iCs w:val="0"/>
                <w:color w:val="000000"/>
                <w:sz w:val="18"/>
                <w:szCs w:val="18"/>
                <w:u w:val="none"/>
              </w:rPr>
            </w:pPr>
          </w:p>
        </w:tc>
      </w:tr>
      <w:tr w14:paraId="59B5F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04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5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F5BFDA">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该项目自评得分100分，于2024年12月支付完成。全面保障西大门服务区的正常运转。</w:t>
            </w:r>
          </w:p>
        </w:tc>
      </w:tr>
      <w:tr w14:paraId="5E496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4D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5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9478F2">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4F6D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07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5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194E60">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bl>
    <w:p w14:paraId="794CF734">
      <w:pPr>
        <w:pStyle w:val="12"/>
        <w:jc w:val="both"/>
        <w:rPr>
          <w:rFonts w:hint="eastAsia" w:ascii="Times New Roman" w:hAnsi="Times New Roman" w:eastAsia="宋体" w:cs="Times New Roman"/>
          <w:kern w:val="2"/>
          <w:sz w:val="21"/>
          <w:szCs w:val="24"/>
          <w:lang w:val="zh-CN" w:eastAsia="zh-CN" w:bidi="ar-SA"/>
        </w:rPr>
      </w:pPr>
    </w:p>
    <w:tbl>
      <w:tblPr>
        <w:tblStyle w:val="13"/>
        <w:tblW w:w="8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08"/>
        <w:gridCol w:w="219"/>
        <w:gridCol w:w="671"/>
        <w:gridCol w:w="107"/>
        <w:gridCol w:w="604"/>
        <w:gridCol w:w="127"/>
        <w:gridCol w:w="728"/>
        <w:gridCol w:w="335"/>
        <w:gridCol w:w="65"/>
        <w:gridCol w:w="155"/>
        <w:gridCol w:w="434"/>
        <w:gridCol w:w="77"/>
        <w:gridCol w:w="318"/>
        <w:gridCol w:w="82"/>
        <w:gridCol w:w="829"/>
        <w:gridCol w:w="73"/>
        <w:gridCol w:w="336"/>
        <w:gridCol w:w="197"/>
        <w:gridCol w:w="212"/>
        <w:gridCol w:w="402"/>
        <w:gridCol w:w="1142"/>
        <w:gridCol w:w="679"/>
      </w:tblGrid>
      <w:tr w14:paraId="46115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300"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3DE6CC79">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7C6D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988E6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9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84F1CA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51113224T000011676683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拖欠企业账款清偿项目</w:t>
            </w:r>
          </w:p>
        </w:tc>
      </w:tr>
      <w:tr w14:paraId="68AB6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6D6F2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8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99662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峨边彝族自治县宜坪乡人民政府本级</w:t>
            </w:r>
          </w:p>
        </w:tc>
        <w:tc>
          <w:tcPr>
            <w:tcW w:w="911" w:type="dxa"/>
            <w:gridSpan w:val="2"/>
            <w:tcBorders>
              <w:top w:val="nil"/>
              <w:left w:val="nil"/>
              <w:bottom w:val="nil"/>
              <w:right w:val="nil"/>
            </w:tcBorders>
            <w:shd w:val="clear" w:color="auto" w:fill="auto"/>
            <w:vAlign w:val="center"/>
          </w:tcPr>
          <w:p w14:paraId="5C1FA6A1">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7AF1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峨边彝族自治县宜坪乡人民政府</w:t>
            </w:r>
          </w:p>
        </w:tc>
      </w:tr>
      <w:tr w14:paraId="6C90D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CBD4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6885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8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73E4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AA765B">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D55B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24E09">
            <w:pPr>
              <w:snapToGrid w:val="0"/>
              <w:rPr>
                <w:rFonts w:hint="eastAsia" w:ascii="宋体" w:hAnsi="宋体" w:eastAsia="宋体" w:cs="宋体"/>
                <w:i w:val="0"/>
                <w:iCs w:val="0"/>
                <w:color w:val="000000"/>
                <w:sz w:val="18"/>
                <w:szCs w:val="18"/>
                <w:u w:val="none"/>
              </w:rPr>
            </w:pPr>
          </w:p>
        </w:tc>
        <w:tc>
          <w:tcPr>
            <w:tcW w:w="7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E0905">
            <w:pPr>
              <w:snapToGrid w:val="0"/>
              <w:rPr>
                <w:rFonts w:hint="eastAsia" w:ascii="宋体" w:hAnsi="宋体" w:eastAsia="宋体" w:cs="宋体"/>
                <w:i w:val="0"/>
                <w:iCs w:val="0"/>
                <w:color w:val="000000"/>
                <w:sz w:val="18"/>
                <w:szCs w:val="18"/>
                <w:u w:val="none"/>
              </w:rPr>
            </w:pPr>
          </w:p>
        </w:tc>
        <w:tc>
          <w:tcPr>
            <w:tcW w:w="28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47D2C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拖欠企业账款清偿</w:t>
            </w:r>
          </w:p>
        </w:tc>
        <w:tc>
          <w:tcPr>
            <w:tcW w:w="39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57555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完成拖欠企业的账款进行清偿。</w:t>
            </w:r>
          </w:p>
        </w:tc>
      </w:tr>
      <w:tr w14:paraId="26511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CC51C">
            <w:pPr>
              <w:snapToGrid w:val="0"/>
              <w:rPr>
                <w:rFonts w:hint="eastAsia" w:ascii="宋体" w:hAnsi="宋体" w:eastAsia="宋体" w:cs="宋体"/>
                <w:i w:val="0"/>
                <w:iCs w:val="0"/>
                <w:color w:val="000000"/>
                <w:sz w:val="18"/>
                <w:szCs w:val="18"/>
                <w:u w:val="none"/>
              </w:rPr>
            </w:pP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EA32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9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72EC69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对拨付的拖欠企业的账款进行支付。</w:t>
            </w:r>
          </w:p>
        </w:tc>
      </w:tr>
      <w:tr w14:paraId="7A766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C4A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5E7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EE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20C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49DA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681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80F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9F0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EBD1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3278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5E151">
            <w:pPr>
              <w:snapToGrid w:val="0"/>
              <w:jc w:val="center"/>
              <w:rPr>
                <w:rFonts w:hint="eastAsia" w:ascii="宋体" w:hAnsi="宋体" w:eastAsia="宋体" w:cs="宋体"/>
                <w:i w:val="0"/>
                <w:iCs w:val="0"/>
                <w:color w:val="000000"/>
                <w:sz w:val="18"/>
                <w:szCs w:val="18"/>
                <w:u w:val="none"/>
              </w:rPr>
            </w:pP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55B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43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083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31.82</w:t>
            </w:r>
          </w:p>
        </w:tc>
        <w:tc>
          <w:tcPr>
            <w:tcW w:w="13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031F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31.82</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151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7F1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B59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9EDC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1.预算执行率=预算执行数/调整后预算数，预算执行率100%;2.年中未发生预算调整的（追加或调减）；3.无其他资金</w:t>
            </w:r>
          </w:p>
        </w:tc>
      </w:tr>
      <w:tr w14:paraId="3995C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89DF4">
            <w:pPr>
              <w:snapToGrid w:val="0"/>
              <w:jc w:val="center"/>
              <w:rPr>
                <w:rFonts w:hint="eastAsia" w:ascii="宋体" w:hAnsi="宋体" w:eastAsia="宋体" w:cs="宋体"/>
                <w:i w:val="0"/>
                <w:iCs w:val="0"/>
                <w:color w:val="000000"/>
                <w:sz w:val="18"/>
                <w:szCs w:val="18"/>
                <w:u w:val="none"/>
              </w:rPr>
            </w:pP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AE5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DE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E95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31.82</w:t>
            </w:r>
          </w:p>
        </w:tc>
        <w:tc>
          <w:tcPr>
            <w:tcW w:w="13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3744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31.82</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096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7CF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4F8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F8679">
            <w:pPr>
              <w:snapToGrid w:val="0"/>
              <w:rPr>
                <w:rFonts w:hint="eastAsia" w:ascii="黑体" w:hAnsi="黑体" w:eastAsia="黑体" w:cs="黑体"/>
                <w:i w:val="0"/>
                <w:iCs w:val="0"/>
                <w:color w:val="000000"/>
                <w:sz w:val="18"/>
                <w:szCs w:val="18"/>
                <w:u w:val="none"/>
              </w:rPr>
            </w:pPr>
          </w:p>
        </w:tc>
      </w:tr>
      <w:tr w14:paraId="091B5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B28D5">
            <w:pPr>
              <w:snapToGrid w:val="0"/>
              <w:jc w:val="center"/>
              <w:rPr>
                <w:rFonts w:hint="eastAsia" w:ascii="宋体" w:hAnsi="宋体" w:eastAsia="宋体" w:cs="宋体"/>
                <w:i w:val="0"/>
                <w:iCs w:val="0"/>
                <w:color w:val="000000"/>
                <w:sz w:val="18"/>
                <w:szCs w:val="18"/>
                <w:u w:val="none"/>
              </w:rPr>
            </w:pP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B51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27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7C1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1805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7A3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038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4BC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8268F">
            <w:pPr>
              <w:snapToGrid w:val="0"/>
              <w:rPr>
                <w:rFonts w:hint="eastAsia" w:ascii="黑体" w:hAnsi="黑体" w:eastAsia="黑体" w:cs="黑体"/>
                <w:i w:val="0"/>
                <w:iCs w:val="0"/>
                <w:color w:val="000000"/>
                <w:sz w:val="18"/>
                <w:szCs w:val="18"/>
                <w:u w:val="none"/>
              </w:rPr>
            </w:pPr>
          </w:p>
        </w:tc>
      </w:tr>
      <w:tr w14:paraId="43C9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97F77">
            <w:pPr>
              <w:snapToGrid w:val="0"/>
              <w:jc w:val="center"/>
              <w:rPr>
                <w:rFonts w:hint="eastAsia" w:ascii="宋体" w:hAnsi="宋体" w:eastAsia="宋体" w:cs="宋体"/>
                <w:i w:val="0"/>
                <w:iCs w:val="0"/>
                <w:color w:val="000000"/>
                <w:sz w:val="18"/>
                <w:szCs w:val="18"/>
                <w:u w:val="none"/>
              </w:rPr>
            </w:pP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FBA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4C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E99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239F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3DA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F8E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33C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8EF66">
            <w:pPr>
              <w:snapToGrid w:val="0"/>
              <w:rPr>
                <w:rFonts w:hint="eastAsia" w:ascii="黑体" w:hAnsi="黑体" w:eastAsia="黑体" w:cs="黑体"/>
                <w:i w:val="0"/>
                <w:iCs w:val="0"/>
                <w:color w:val="000000"/>
                <w:sz w:val="18"/>
                <w:szCs w:val="18"/>
                <w:u w:val="none"/>
              </w:rPr>
            </w:pPr>
          </w:p>
        </w:tc>
      </w:tr>
      <w:tr w14:paraId="411E6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31BCE">
            <w:pPr>
              <w:snapToGrid w:val="0"/>
              <w:jc w:val="center"/>
              <w:rPr>
                <w:rFonts w:hint="eastAsia" w:ascii="宋体" w:hAnsi="宋体" w:eastAsia="宋体" w:cs="宋体"/>
                <w:i w:val="0"/>
                <w:iCs w:val="0"/>
                <w:color w:val="000000"/>
                <w:sz w:val="18"/>
                <w:szCs w:val="18"/>
                <w:u w:val="none"/>
              </w:rPr>
            </w:pP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B8E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7991">
            <w:pPr>
              <w:snapToGrid w:val="0"/>
              <w:jc w:val="center"/>
              <w:rPr>
                <w:rFonts w:hint="eastAsia" w:ascii="微软雅黑" w:hAnsi="微软雅黑" w:eastAsia="微软雅黑" w:cs="微软雅黑"/>
                <w:i/>
                <w:iCs/>
                <w:color w:val="000000"/>
                <w:sz w:val="16"/>
                <w:szCs w:val="16"/>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2F365">
            <w:pPr>
              <w:snapToGrid w:val="0"/>
              <w:jc w:val="center"/>
              <w:rPr>
                <w:rFonts w:hint="eastAsia" w:ascii="微软雅黑" w:hAnsi="微软雅黑" w:eastAsia="微软雅黑" w:cs="微软雅黑"/>
                <w:i/>
                <w:iCs/>
                <w:color w:val="000000"/>
                <w:sz w:val="16"/>
                <w:szCs w:val="16"/>
                <w:u w:val="none"/>
              </w:rPr>
            </w:pPr>
          </w:p>
        </w:tc>
        <w:tc>
          <w:tcPr>
            <w:tcW w:w="13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D37C45">
            <w:pPr>
              <w:snapToGrid w:val="0"/>
              <w:jc w:val="center"/>
              <w:rPr>
                <w:rFonts w:hint="eastAsia" w:ascii="微软雅黑" w:hAnsi="微软雅黑" w:eastAsia="微软雅黑" w:cs="微软雅黑"/>
                <w:i/>
                <w:iCs/>
                <w:color w:val="000000"/>
                <w:sz w:val="16"/>
                <w:szCs w:val="16"/>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BA58C">
            <w:pPr>
              <w:snapToGrid w:val="0"/>
              <w:jc w:val="center"/>
              <w:rPr>
                <w:rFonts w:hint="eastAsia" w:ascii="微软雅黑" w:hAnsi="微软雅黑" w:eastAsia="微软雅黑" w:cs="微软雅黑"/>
                <w:i/>
                <w:iCs/>
                <w:color w:val="000000"/>
                <w:sz w:val="16"/>
                <w:szCs w:val="16"/>
                <w:u w:val="none"/>
              </w:rPr>
            </w:pPr>
          </w:p>
        </w:tc>
        <w:tc>
          <w:tcPr>
            <w:tcW w:w="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35A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8DE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180F3">
            <w:pPr>
              <w:snapToGrid w:val="0"/>
              <w:rPr>
                <w:rFonts w:hint="eastAsia" w:ascii="黑体" w:hAnsi="黑体" w:eastAsia="黑体" w:cs="黑体"/>
                <w:i w:val="0"/>
                <w:iCs w:val="0"/>
                <w:color w:val="000000"/>
                <w:sz w:val="18"/>
                <w:szCs w:val="18"/>
                <w:u w:val="none"/>
              </w:rPr>
            </w:pPr>
          </w:p>
        </w:tc>
      </w:tr>
      <w:tr w14:paraId="51E6E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C3B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AC7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BE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1E6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994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77B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F54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704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FB5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DC5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A532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EFF9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7605C">
            <w:pPr>
              <w:snapToGrid w:val="0"/>
              <w:jc w:val="center"/>
              <w:rPr>
                <w:rFonts w:hint="eastAsia" w:ascii="宋体" w:hAnsi="宋体" w:eastAsia="宋体" w:cs="宋体"/>
                <w:i w:val="0"/>
                <w:iCs w:val="0"/>
                <w:color w:val="000000"/>
                <w:sz w:val="18"/>
                <w:szCs w:val="18"/>
                <w:u w:val="none"/>
              </w:rPr>
            </w:pPr>
          </w:p>
        </w:tc>
        <w:tc>
          <w:tcPr>
            <w:tcW w:w="7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5BA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40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BDD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拖欠账款企业数量</w:t>
            </w: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EC3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65F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CBA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028A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86C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06F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227FDB">
            <w:pPr>
              <w:snapToGrid w:val="0"/>
              <w:jc w:val="center"/>
              <w:rPr>
                <w:rFonts w:hint="eastAsia" w:ascii="微软雅黑" w:hAnsi="微软雅黑" w:eastAsia="微软雅黑" w:cs="微软雅黑"/>
                <w:i/>
                <w:iCs/>
                <w:color w:val="000000"/>
                <w:sz w:val="16"/>
                <w:szCs w:val="16"/>
                <w:u w:val="none"/>
              </w:rPr>
            </w:pPr>
          </w:p>
        </w:tc>
      </w:tr>
      <w:tr w14:paraId="0D550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38D14">
            <w:pPr>
              <w:snapToGrid w:val="0"/>
              <w:jc w:val="center"/>
              <w:rPr>
                <w:rFonts w:hint="eastAsia" w:ascii="宋体" w:hAnsi="宋体" w:eastAsia="宋体" w:cs="宋体"/>
                <w:i w:val="0"/>
                <w:iCs w:val="0"/>
                <w:color w:val="000000"/>
                <w:sz w:val="18"/>
                <w:szCs w:val="18"/>
                <w:u w:val="none"/>
              </w:rPr>
            </w:pPr>
          </w:p>
        </w:tc>
        <w:tc>
          <w:tcPr>
            <w:tcW w:w="7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7C46F">
            <w:pPr>
              <w:snapToGrid w:val="0"/>
              <w:jc w:val="center"/>
              <w:rPr>
                <w:rFonts w:hint="eastAsia" w:ascii="宋体" w:hAnsi="宋体" w:eastAsia="宋体" w:cs="宋体"/>
                <w:i w:val="0"/>
                <w:iCs w:val="0"/>
                <w:color w:val="000000"/>
                <w:sz w:val="18"/>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48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382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保障拖欠企业账款及时支付</w:t>
            </w: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C1E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1AB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34FDD">
            <w:pPr>
              <w:snapToGrid w:val="0"/>
              <w:jc w:val="center"/>
              <w:rPr>
                <w:rFonts w:hint="eastAsia" w:ascii="宋体" w:hAnsi="宋体" w:eastAsia="宋体" w:cs="宋体"/>
                <w:i w:val="0"/>
                <w:iCs w:val="0"/>
                <w:color w:val="000000"/>
                <w:sz w:val="18"/>
                <w:szCs w:val="18"/>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ED25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F72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6F7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CBEFE">
            <w:pPr>
              <w:snapToGrid w:val="0"/>
              <w:jc w:val="center"/>
              <w:rPr>
                <w:rFonts w:hint="eastAsia" w:ascii="微软雅黑" w:hAnsi="微软雅黑" w:eastAsia="微软雅黑" w:cs="微软雅黑"/>
                <w:i/>
                <w:iCs/>
                <w:color w:val="000000"/>
                <w:sz w:val="16"/>
                <w:szCs w:val="16"/>
                <w:u w:val="none"/>
              </w:rPr>
            </w:pPr>
          </w:p>
        </w:tc>
      </w:tr>
      <w:tr w14:paraId="35587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2F931">
            <w:pPr>
              <w:snapToGrid w:val="0"/>
              <w:jc w:val="center"/>
              <w:rPr>
                <w:rFonts w:hint="eastAsia" w:ascii="宋体" w:hAnsi="宋体" w:eastAsia="宋体" w:cs="宋体"/>
                <w:i w:val="0"/>
                <w:iCs w:val="0"/>
                <w:color w:val="000000"/>
                <w:sz w:val="18"/>
                <w:szCs w:val="18"/>
                <w:u w:val="none"/>
              </w:rPr>
            </w:pPr>
          </w:p>
        </w:tc>
        <w:tc>
          <w:tcPr>
            <w:tcW w:w="7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46EA3">
            <w:pPr>
              <w:snapToGrid w:val="0"/>
              <w:jc w:val="center"/>
              <w:rPr>
                <w:rFonts w:hint="eastAsia" w:ascii="宋体" w:hAnsi="宋体" w:eastAsia="宋体" w:cs="宋体"/>
                <w:i w:val="0"/>
                <w:iCs w:val="0"/>
                <w:color w:val="000000"/>
                <w:sz w:val="18"/>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40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798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076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E7E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3FB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1DAD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AB6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6DC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F7856">
            <w:pPr>
              <w:snapToGrid w:val="0"/>
              <w:jc w:val="center"/>
              <w:rPr>
                <w:rFonts w:hint="eastAsia" w:ascii="微软雅黑" w:hAnsi="微软雅黑" w:eastAsia="微软雅黑" w:cs="微软雅黑"/>
                <w:i/>
                <w:iCs/>
                <w:color w:val="000000"/>
                <w:sz w:val="16"/>
                <w:szCs w:val="16"/>
                <w:u w:val="none"/>
              </w:rPr>
            </w:pPr>
          </w:p>
        </w:tc>
      </w:tr>
      <w:tr w14:paraId="370CB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173E1">
            <w:pPr>
              <w:snapToGrid w:val="0"/>
              <w:jc w:val="center"/>
              <w:rPr>
                <w:rFonts w:hint="eastAsia" w:ascii="宋体" w:hAnsi="宋体" w:eastAsia="宋体" w:cs="宋体"/>
                <w:i w:val="0"/>
                <w:iCs w:val="0"/>
                <w:color w:val="000000"/>
                <w:sz w:val="18"/>
                <w:szCs w:val="18"/>
                <w:u w:val="none"/>
              </w:rPr>
            </w:pP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629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FE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3D4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稳定社会经济发展</w:t>
            </w: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7E3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77C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9660D">
            <w:pPr>
              <w:snapToGrid w:val="0"/>
              <w:jc w:val="center"/>
              <w:rPr>
                <w:rFonts w:hint="eastAsia" w:ascii="宋体" w:hAnsi="宋体" w:eastAsia="宋体" w:cs="宋体"/>
                <w:i w:val="0"/>
                <w:iCs w:val="0"/>
                <w:color w:val="000000"/>
                <w:sz w:val="18"/>
                <w:szCs w:val="18"/>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CC2C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9F8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2E2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711288">
            <w:pPr>
              <w:snapToGrid w:val="0"/>
              <w:jc w:val="center"/>
              <w:rPr>
                <w:rFonts w:hint="eastAsia" w:ascii="微软雅黑" w:hAnsi="微软雅黑" w:eastAsia="微软雅黑" w:cs="微软雅黑"/>
                <w:i/>
                <w:iCs/>
                <w:color w:val="000000"/>
                <w:sz w:val="16"/>
                <w:szCs w:val="16"/>
                <w:u w:val="none"/>
              </w:rPr>
            </w:pPr>
          </w:p>
        </w:tc>
      </w:tr>
      <w:tr w14:paraId="34385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F2AC3">
            <w:pPr>
              <w:snapToGrid w:val="0"/>
              <w:jc w:val="center"/>
              <w:rPr>
                <w:rFonts w:hint="eastAsia" w:ascii="宋体" w:hAnsi="宋体" w:eastAsia="宋体" w:cs="宋体"/>
                <w:i w:val="0"/>
                <w:iCs w:val="0"/>
                <w:color w:val="000000"/>
                <w:sz w:val="18"/>
                <w:szCs w:val="18"/>
                <w:u w:val="none"/>
              </w:rPr>
            </w:pP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6DD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2C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A99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提升群众满意度</w:t>
            </w: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4DA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BF4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D23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B1A3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D8E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468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A3B4B">
            <w:pPr>
              <w:snapToGrid w:val="0"/>
              <w:jc w:val="center"/>
              <w:rPr>
                <w:rFonts w:hint="eastAsia" w:ascii="微软雅黑" w:hAnsi="微软雅黑" w:eastAsia="微软雅黑" w:cs="微软雅黑"/>
                <w:i/>
                <w:iCs/>
                <w:color w:val="000000"/>
                <w:sz w:val="16"/>
                <w:szCs w:val="16"/>
                <w:u w:val="none"/>
              </w:rPr>
            </w:pPr>
          </w:p>
        </w:tc>
      </w:tr>
      <w:tr w14:paraId="3CC99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BD4E1">
            <w:pPr>
              <w:snapToGrid w:val="0"/>
              <w:jc w:val="center"/>
              <w:rPr>
                <w:rFonts w:hint="eastAsia" w:ascii="宋体" w:hAnsi="宋体" w:eastAsia="宋体" w:cs="宋体"/>
                <w:i w:val="0"/>
                <w:iCs w:val="0"/>
                <w:color w:val="000000"/>
                <w:sz w:val="18"/>
                <w:szCs w:val="18"/>
                <w:u w:val="none"/>
              </w:rPr>
            </w:pP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461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B2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9BD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拖欠账款成本</w:t>
            </w: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EF4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547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31.82</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0D4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92CC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F25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1A0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0995A1">
            <w:pPr>
              <w:snapToGrid w:val="0"/>
              <w:jc w:val="center"/>
              <w:rPr>
                <w:rFonts w:hint="eastAsia" w:ascii="微软雅黑" w:hAnsi="微软雅黑" w:eastAsia="微软雅黑" w:cs="微软雅黑"/>
                <w:i/>
                <w:iCs/>
                <w:color w:val="000000"/>
                <w:sz w:val="16"/>
                <w:szCs w:val="16"/>
                <w:u w:val="none"/>
              </w:rPr>
            </w:pPr>
          </w:p>
        </w:tc>
      </w:tr>
      <w:tr w14:paraId="55FB8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5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970A8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B2E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8CD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05392">
            <w:pPr>
              <w:snapToGrid w:val="0"/>
              <w:rPr>
                <w:rFonts w:hint="eastAsia" w:ascii="宋体" w:hAnsi="宋体" w:eastAsia="宋体" w:cs="宋体"/>
                <w:i w:val="0"/>
                <w:iCs w:val="0"/>
                <w:color w:val="000000"/>
                <w:sz w:val="18"/>
                <w:szCs w:val="18"/>
                <w:u w:val="none"/>
              </w:rPr>
            </w:pPr>
          </w:p>
        </w:tc>
      </w:tr>
      <w:tr w14:paraId="07C86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F64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73"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1B3E169">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该项目自评得分100分，于2024年12月支付完成。对拖欠企业的账款进行清偿，信访稳定。</w:t>
            </w:r>
          </w:p>
        </w:tc>
      </w:tr>
      <w:tr w14:paraId="76B45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0A9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73"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DDD3F34">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AC46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96C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73"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ACD3A9E">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AA64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679" w:type="dxa"/>
          <w:trHeight w:val="0" w:hRule="atLeast"/>
          <w:jc w:val="center"/>
        </w:trPr>
        <w:tc>
          <w:tcPr>
            <w:tcW w:w="762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7E25E07">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1067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679" w:type="dxa"/>
          <w:trHeight w:val="0" w:hRule="atLeast"/>
          <w:jc w:val="center"/>
        </w:trPr>
        <w:tc>
          <w:tcPr>
            <w:tcW w:w="13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5658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223"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A3EDDC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51113224T000011919231-2024年基层组织和农村公共服务运行维护费（上级）</w:t>
            </w:r>
          </w:p>
        </w:tc>
      </w:tr>
      <w:tr w14:paraId="449F8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679" w:type="dxa"/>
          <w:trHeight w:val="0" w:hRule="atLeast"/>
          <w:jc w:val="center"/>
        </w:trPr>
        <w:tc>
          <w:tcPr>
            <w:tcW w:w="13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B057B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03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22928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峨边彝族自治县宜坪乡人民政府本级</w:t>
            </w:r>
          </w:p>
        </w:tc>
        <w:tc>
          <w:tcPr>
            <w:tcW w:w="902" w:type="dxa"/>
            <w:gridSpan w:val="2"/>
            <w:tcBorders>
              <w:top w:val="nil"/>
              <w:left w:val="nil"/>
              <w:bottom w:val="nil"/>
              <w:right w:val="nil"/>
            </w:tcBorders>
            <w:shd w:val="clear" w:color="auto" w:fill="auto"/>
            <w:vAlign w:val="center"/>
          </w:tcPr>
          <w:p w14:paraId="5A5E608A">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7D8E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峨边彝族自治县宜坪乡人民政府</w:t>
            </w:r>
          </w:p>
        </w:tc>
      </w:tr>
      <w:tr w14:paraId="02AE3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679" w:type="dxa"/>
          <w:trHeight w:val="0" w:hRule="atLeast"/>
          <w:jc w:val="center"/>
        </w:trPr>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18EE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E0A0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03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388A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9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590EDF">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1F25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679" w:type="dxa"/>
          <w:trHeight w:val="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DD0AD">
            <w:pPr>
              <w:snapToGrid w:val="0"/>
              <w:rPr>
                <w:rFonts w:hint="eastAsia" w:ascii="宋体" w:hAnsi="宋体" w:eastAsia="宋体" w:cs="宋体"/>
                <w:i w:val="0"/>
                <w:iCs w:val="0"/>
                <w:color w:val="000000"/>
                <w:sz w:val="18"/>
                <w:szCs w:val="18"/>
                <w:u w:val="none"/>
              </w:rPr>
            </w:pPr>
          </w:p>
        </w:tc>
        <w:tc>
          <w:tcPr>
            <w:tcW w:w="8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C0211">
            <w:pPr>
              <w:snapToGrid w:val="0"/>
              <w:rPr>
                <w:rFonts w:hint="eastAsia" w:ascii="宋体" w:hAnsi="宋体" w:eastAsia="宋体" w:cs="宋体"/>
                <w:i w:val="0"/>
                <w:iCs w:val="0"/>
                <w:color w:val="000000"/>
                <w:sz w:val="18"/>
                <w:szCs w:val="18"/>
                <w:u w:val="none"/>
              </w:rPr>
            </w:pPr>
          </w:p>
        </w:tc>
        <w:tc>
          <w:tcPr>
            <w:tcW w:w="303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25A94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保障村级办公正常运转，对农村基础设施进行维护。</w:t>
            </w:r>
          </w:p>
        </w:tc>
        <w:tc>
          <w:tcPr>
            <w:tcW w:w="319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250F0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保障了村级办公正常运转，常态化开展农村基础设施维护，改善了群众生活条件。</w:t>
            </w:r>
          </w:p>
        </w:tc>
      </w:tr>
      <w:tr w14:paraId="521F7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679" w:type="dxa"/>
          <w:trHeight w:val="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56179">
            <w:pPr>
              <w:snapToGrid w:val="0"/>
              <w:rPr>
                <w:rFonts w:hint="eastAsia" w:ascii="宋体" w:hAnsi="宋体" w:eastAsia="宋体" w:cs="宋体"/>
                <w:i w:val="0"/>
                <w:iCs w:val="0"/>
                <w:color w:val="000000"/>
                <w:sz w:val="18"/>
                <w:szCs w:val="18"/>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66AF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223"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47BBE1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保障村级办公正常运转，对农村基础设施进行维护，改善人居环境及生活条件。</w:t>
            </w:r>
          </w:p>
        </w:tc>
      </w:tr>
      <w:tr w14:paraId="454C5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679" w:type="dxa"/>
          <w:trHeight w:val="0" w:hRule="atLeast"/>
          <w:jc w:val="center"/>
        </w:trPr>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24C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E12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22EC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140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EA02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B23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2A5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098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87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0300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679" w:type="dxa"/>
          <w:trHeight w:val="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FC1A9">
            <w:pPr>
              <w:snapToGrid w:val="0"/>
              <w:jc w:val="center"/>
              <w:rPr>
                <w:rFonts w:hint="eastAsia" w:ascii="宋体" w:hAnsi="宋体" w:eastAsia="宋体" w:cs="宋体"/>
                <w:i w:val="0"/>
                <w:iCs w:val="0"/>
                <w:color w:val="000000"/>
                <w:sz w:val="18"/>
                <w:szCs w:val="18"/>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917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E1B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8F5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52.80</w:t>
            </w:r>
          </w:p>
        </w:tc>
        <w:tc>
          <w:tcPr>
            <w:tcW w:w="11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3849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52.80</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7E5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85A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7DB60">
            <w:pPr>
              <w:snapToGrid w:val="0"/>
              <w:jc w:val="center"/>
              <w:rPr>
                <w:rFonts w:hint="eastAsia" w:ascii="宋体" w:hAnsi="宋体" w:eastAsia="宋体" w:cs="宋体"/>
                <w:i w:val="0"/>
                <w:iCs w:val="0"/>
                <w:color w:val="000000"/>
                <w:sz w:val="18"/>
                <w:szCs w:val="1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F42EF">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1.预算执行率=预算执行数/调整后预算数，预算执行率100%;2.年中未发生预算调整的（追加或调减）；3.无其他资金</w:t>
            </w:r>
          </w:p>
        </w:tc>
      </w:tr>
      <w:tr w14:paraId="43674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679" w:type="dxa"/>
          <w:trHeight w:val="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FDB65">
            <w:pPr>
              <w:snapToGrid w:val="0"/>
              <w:jc w:val="center"/>
              <w:rPr>
                <w:rFonts w:hint="eastAsia" w:ascii="宋体" w:hAnsi="宋体" w:eastAsia="宋体" w:cs="宋体"/>
                <w:i w:val="0"/>
                <w:iCs w:val="0"/>
                <w:color w:val="000000"/>
                <w:sz w:val="18"/>
                <w:szCs w:val="18"/>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5D9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6AAC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3F2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52.80</w:t>
            </w:r>
          </w:p>
        </w:tc>
        <w:tc>
          <w:tcPr>
            <w:tcW w:w="11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8E0D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52.80</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26E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487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932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E4C8A">
            <w:pPr>
              <w:snapToGrid w:val="0"/>
              <w:rPr>
                <w:rFonts w:hint="eastAsia" w:ascii="黑体" w:hAnsi="黑体" w:eastAsia="黑体" w:cs="黑体"/>
                <w:i w:val="0"/>
                <w:iCs w:val="0"/>
                <w:color w:val="000000"/>
                <w:sz w:val="18"/>
                <w:szCs w:val="18"/>
                <w:u w:val="none"/>
              </w:rPr>
            </w:pPr>
          </w:p>
        </w:tc>
      </w:tr>
      <w:tr w14:paraId="08852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679" w:type="dxa"/>
          <w:trHeight w:val="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93C85">
            <w:pPr>
              <w:snapToGrid w:val="0"/>
              <w:jc w:val="center"/>
              <w:rPr>
                <w:rFonts w:hint="eastAsia" w:ascii="宋体" w:hAnsi="宋体" w:eastAsia="宋体" w:cs="宋体"/>
                <w:i w:val="0"/>
                <w:iCs w:val="0"/>
                <w:color w:val="000000"/>
                <w:sz w:val="18"/>
                <w:szCs w:val="18"/>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5E8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DDC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076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3C74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76C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9F0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DCA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16C22">
            <w:pPr>
              <w:snapToGrid w:val="0"/>
              <w:rPr>
                <w:rFonts w:hint="eastAsia" w:ascii="黑体" w:hAnsi="黑体" w:eastAsia="黑体" w:cs="黑体"/>
                <w:i w:val="0"/>
                <w:iCs w:val="0"/>
                <w:color w:val="000000"/>
                <w:sz w:val="18"/>
                <w:szCs w:val="18"/>
                <w:u w:val="none"/>
              </w:rPr>
            </w:pPr>
          </w:p>
        </w:tc>
      </w:tr>
      <w:tr w14:paraId="3DF82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679" w:type="dxa"/>
          <w:trHeight w:val="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0A1D8">
            <w:pPr>
              <w:snapToGrid w:val="0"/>
              <w:jc w:val="center"/>
              <w:rPr>
                <w:rFonts w:hint="eastAsia" w:ascii="宋体" w:hAnsi="宋体" w:eastAsia="宋体" w:cs="宋体"/>
                <w:i w:val="0"/>
                <w:iCs w:val="0"/>
                <w:color w:val="000000"/>
                <w:sz w:val="18"/>
                <w:szCs w:val="18"/>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E81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533E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F96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1BB5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D49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9BC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1B7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3496D">
            <w:pPr>
              <w:snapToGrid w:val="0"/>
              <w:rPr>
                <w:rFonts w:hint="eastAsia" w:ascii="黑体" w:hAnsi="黑体" w:eastAsia="黑体" w:cs="黑体"/>
                <w:i w:val="0"/>
                <w:iCs w:val="0"/>
                <w:color w:val="000000"/>
                <w:sz w:val="18"/>
                <w:szCs w:val="18"/>
                <w:u w:val="none"/>
              </w:rPr>
            </w:pPr>
          </w:p>
        </w:tc>
      </w:tr>
      <w:tr w14:paraId="5D29D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679" w:type="dxa"/>
          <w:trHeight w:val="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78B86">
            <w:pPr>
              <w:snapToGrid w:val="0"/>
              <w:jc w:val="center"/>
              <w:rPr>
                <w:rFonts w:hint="eastAsia" w:ascii="宋体" w:hAnsi="宋体" w:eastAsia="宋体" w:cs="宋体"/>
                <w:i w:val="0"/>
                <w:iCs w:val="0"/>
                <w:color w:val="000000"/>
                <w:sz w:val="18"/>
                <w:szCs w:val="18"/>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F97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BB0026">
            <w:pPr>
              <w:snapToGrid w:val="0"/>
              <w:jc w:val="center"/>
              <w:rPr>
                <w:rFonts w:hint="eastAsia" w:ascii="微软雅黑" w:hAnsi="微软雅黑" w:eastAsia="微软雅黑" w:cs="微软雅黑"/>
                <w:i/>
                <w:iCs/>
                <w:color w:val="000000"/>
                <w:sz w:val="16"/>
                <w:szCs w:val="16"/>
                <w:u w:val="none"/>
              </w:rPr>
            </w:pP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4C8E5">
            <w:pPr>
              <w:snapToGrid w:val="0"/>
              <w:jc w:val="center"/>
              <w:rPr>
                <w:rFonts w:hint="eastAsia" w:ascii="微软雅黑" w:hAnsi="微软雅黑" w:eastAsia="微软雅黑" w:cs="微软雅黑"/>
                <w:i/>
                <w:iCs/>
                <w:color w:val="000000"/>
                <w:sz w:val="16"/>
                <w:szCs w:val="16"/>
                <w:u w:val="none"/>
              </w:rPr>
            </w:pPr>
          </w:p>
        </w:tc>
        <w:tc>
          <w:tcPr>
            <w:tcW w:w="11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D1D181">
            <w:pPr>
              <w:snapToGrid w:val="0"/>
              <w:jc w:val="center"/>
              <w:rPr>
                <w:rFonts w:hint="eastAsia" w:ascii="微软雅黑" w:hAnsi="微软雅黑" w:eastAsia="微软雅黑" w:cs="微软雅黑"/>
                <w:i/>
                <w:iCs/>
                <w:color w:val="000000"/>
                <w:sz w:val="16"/>
                <w:szCs w:val="16"/>
                <w:u w:val="none"/>
              </w:rPr>
            </w:pP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73FEB">
            <w:pPr>
              <w:snapToGrid w:val="0"/>
              <w:jc w:val="center"/>
              <w:rPr>
                <w:rFonts w:hint="eastAsia" w:ascii="微软雅黑" w:hAnsi="微软雅黑" w:eastAsia="微软雅黑" w:cs="微软雅黑"/>
                <w:i/>
                <w:iCs/>
                <w:color w:val="000000"/>
                <w:sz w:val="16"/>
                <w:szCs w:val="16"/>
                <w:u w:val="none"/>
              </w:rPr>
            </w:pP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397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357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9C7FD">
            <w:pPr>
              <w:snapToGrid w:val="0"/>
              <w:rPr>
                <w:rFonts w:hint="eastAsia" w:ascii="黑体" w:hAnsi="黑体" w:eastAsia="黑体" w:cs="黑体"/>
                <w:i w:val="0"/>
                <w:iCs w:val="0"/>
                <w:color w:val="000000"/>
                <w:sz w:val="18"/>
                <w:szCs w:val="18"/>
                <w:u w:val="none"/>
              </w:rPr>
            </w:pPr>
          </w:p>
        </w:tc>
      </w:tr>
      <w:tr w14:paraId="5A091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679" w:type="dxa"/>
          <w:trHeight w:val="0" w:hRule="atLeast"/>
          <w:jc w:val="center"/>
        </w:trPr>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576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BEB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EB89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FE8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DE4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417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4F4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974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DA5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3E1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6B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E980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679" w:type="dxa"/>
          <w:trHeight w:val="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AF9AD">
            <w:pPr>
              <w:snapToGrid w:val="0"/>
              <w:jc w:val="center"/>
              <w:rPr>
                <w:rFonts w:hint="eastAsia" w:ascii="宋体" w:hAnsi="宋体" w:eastAsia="宋体" w:cs="宋体"/>
                <w:i w:val="0"/>
                <w:iCs w:val="0"/>
                <w:color w:val="000000"/>
                <w:sz w:val="18"/>
                <w:szCs w:val="18"/>
                <w:u w:val="none"/>
              </w:rPr>
            </w:pPr>
          </w:p>
        </w:tc>
        <w:tc>
          <w:tcPr>
            <w:tcW w:w="8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E26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7FC5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5AF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保障村个数</w:t>
            </w:r>
          </w:p>
        </w:tc>
        <w:tc>
          <w:tcPr>
            <w:tcW w:w="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355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FED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113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DAAD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8D9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597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DE09">
            <w:pPr>
              <w:snapToGrid w:val="0"/>
              <w:jc w:val="center"/>
              <w:rPr>
                <w:rFonts w:hint="eastAsia" w:ascii="微软雅黑" w:hAnsi="微软雅黑" w:eastAsia="微软雅黑" w:cs="微软雅黑"/>
                <w:i/>
                <w:iCs/>
                <w:color w:val="000000"/>
                <w:sz w:val="16"/>
                <w:szCs w:val="16"/>
                <w:u w:val="none"/>
              </w:rPr>
            </w:pPr>
          </w:p>
        </w:tc>
      </w:tr>
      <w:tr w14:paraId="0081D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679" w:type="dxa"/>
          <w:trHeight w:val="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140B5">
            <w:pPr>
              <w:snapToGrid w:val="0"/>
              <w:jc w:val="center"/>
              <w:rPr>
                <w:rFonts w:hint="eastAsia" w:ascii="宋体" w:hAnsi="宋体" w:eastAsia="宋体" w:cs="宋体"/>
                <w:i w:val="0"/>
                <w:iCs w:val="0"/>
                <w:color w:val="000000"/>
                <w:sz w:val="18"/>
                <w:szCs w:val="18"/>
                <w:u w:val="none"/>
              </w:rPr>
            </w:pPr>
          </w:p>
        </w:tc>
        <w:tc>
          <w:tcPr>
            <w:tcW w:w="8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FD510">
            <w:pPr>
              <w:snapToGrid w:val="0"/>
              <w:jc w:val="center"/>
              <w:rPr>
                <w:rFonts w:hint="eastAsia" w:ascii="宋体" w:hAnsi="宋体" w:eastAsia="宋体" w:cs="宋体"/>
                <w:i w:val="0"/>
                <w:iCs w:val="0"/>
                <w:color w:val="000000"/>
                <w:sz w:val="18"/>
                <w:szCs w:val="18"/>
                <w:u w:val="none"/>
              </w:rPr>
            </w:pP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D31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BD0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高质量改善农村生活环境、维护好基础设施</w:t>
            </w:r>
          </w:p>
        </w:tc>
        <w:tc>
          <w:tcPr>
            <w:tcW w:w="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A4E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11B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5D7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9E36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82D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C48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CDAD">
            <w:pPr>
              <w:snapToGrid w:val="0"/>
              <w:jc w:val="center"/>
              <w:rPr>
                <w:rFonts w:hint="eastAsia" w:ascii="微软雅黑" w:hAnsi="微软雅黑" w:eastAsia="微软雅黑" w:cs="微软雅黑"/>
                <w:i/>
                <w:iCs/>
                <w:color w:val="000000"/>
                <w:sz w:val="16"/>
                <w:szCs w:val="16"/>
                <w:u w:val="none"/>
              </w:rPr>
            </w:pPr>
          </w:p>
        </w:tc>
      </w:tr>
      <w:tr w14:paraId="1A529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679" w:type="dxa"/>
          <w:trHeight w:val="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8734B">
            <w:pPr>
              <w:snapToGrid w:val="0"/>
              <w:jc w:val="center"/>
              <w:rPr>
                <w:rFonts w:hint="eastAsia" w:ascii="宋体" w:hAnsi="宋体" w:eastAsia="宋体" w:cs="宋体"/>
                <w:i w:val="0"/>
                <w:iCs w:val="0"/>
                <w:color w:val="000000"/>
                <w:sz w:val="18"/>
                <w:szCs w:val="18"/>
                <w:u w:val="none"/>
              </w:rPr>
            </w:pPr>
          </w:p>
        </w:tc>
        <w:tc>
          <w:tcPr>
            <w:tcW w:w="8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67614">
            <w:pPr>
              <w:snapToGrid w:val="0"/>
              <w:jc w:val="center"/>
              <w:rPr>
                <w:rFonts w:hint="eastAsia" w:ascii="宋体" w:hAnsi="宋体" w:eastAsia="宋体" w:cs="宋体"/>
                <w:i w:val="0"/>
                <w:iCs w:val="0"/>
                <w:color w:val="000000"/>
                <w:sz w:val="18"/>
                <w:szCs w:val="18"/>
                <w:u w:val="none"/>
              </w:rPr>
            </w:pP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5884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F8B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2DE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A9D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36D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75AB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D42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02A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40A9">
            <w:pPr>
              <w:snapToGrid w:val="0"/>
              <w:jc w:val="center"/>
              <w:rPr>
                <w:rFonts w:hint="eastAsia" w:ascii="微软雅黑" w:hAnsi="微软雅黑" w:eastAsia="微软雅黑" w:cs="微软雅黑"/>
                <w:i/>
                <w:iCs/>
                <w:color w:val="000000"/>
                <w:sz w:val="16"/>
                <w:szCs w:val="16"/>
                <w:u w:val="none"/>
              </w:rPr>
            </w:pPr>
          </w:p>
        </w:tc>
      </w:tr>
      <w:tr w14:paraId="59319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679" w:type="dxa"/>
          <w:trHeight w:val="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11D83">
            <w:pPr>
              <w:snapToGrid w:val="0"/>
              <w:jc w:val="center"/>
              <w:rPr>
                <w:rFonts w:hint="eastAsia" w:ascii="宋体" w:hAnsi="宋体" w:eastAsia="宋体" w:cs="宋体"/>
                <w:i w:val="0"/>
                <w:iCs w:val="0"/>
                <w:color w:val="000000"/>
                <w:sz w:val="18"/>
                <w:szCs w:val="18"/>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AAE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F918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D34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维护好农村基础设施，提升群众幸福感</w:t>
            </w:r>
          </w:p>
        </w:tc>
        <w:tc>
          <w:tcPr>
            <w:tcW w:w="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D27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F94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B42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A427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657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7B8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0E8C">
            <w:pPr>
              <w:snapToGrid w:val="0"/>
              <w:jc w:val="center"/>
              <w:rPr>
                <w:rFonts w:hint="eastAsia" w:ascii="微软雅黑" w:hAnsi="微软雅黑" w:eastAsia="微软雅黑" w:cs="微软雅黑"/>
                <w:i/>
                <w:iCs/>
                <w:color w:val="000000"/>
                <w:sz w:val="16"/>
                <w:szCs w:val="16"/>
                <w:u w:val="none"/>
              </w:rPr>
            </w:pPr>
          </w:p>
        </w:tc>
      </w:tr>
      <w:tr w14:paraId="2F147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679" w:type="dxa"/>
          <w:trHeight w:val="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ECB11">
            <w:pPr>
              <w:snapToGrid w:val="0"/>
              <w:jc w:val="center"/>
              <w:rPr>
                <w:rFonts w:hint="eastAsia" w:ascii="宋体" w:hAnsi="宋体" w:eastAsia="宋体" w:cs="宋体"/>
                <w:i w:val="0"/>
                <w:iCs w:val="0"/>
                <w:color w:val="000000"/>
                <w:sz w:val="18"/>
                <w:szCs w:val="18"/>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A74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5A59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3C8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C1A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7FD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4E3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6D92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543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C8A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3C38">
            <w:pPr>
              <w:snapToGrid w:val="0"/>
              <w:jc w:val="center"/>
              <w:rPr>
                <w:rFonts w:hint="eastAsia" w:ascii="微软雅黑" w:hAnsi="微软雅黑" w:eastAsia="微软雅黑" w:cs="微软雅黑"/>
                <w:i/>
                <w:iCs/>
                <w:color w:val="000000"/>
                <w:sz w:val="16"/>
                <w:szCs w:val="16"/>
                <w:u w:val="none"/>
              </w:rPr>
            </w:pPr>
          </w:p>
        </w:tc>
      </w:tr>
      <w:tr w14:paraId="01B4E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679" w:type="dxa"/>
          <w:trHeight w:val="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47369">
            <w:pPr>
              <w:snapToGrid w:val="0"/>
              <w:jc w:val="center"/>
              <w:rPr>
                <w:rFonts w:hint="eastAsia" w:ascii="宋体" w:hAnsi="宋体" w:eastAsia="宋体" w:cs="宋体"/>
                <w:i w:val="0"/>
                <w:iCs w:val="0"/>
                <w:color w:val="000000"/>
                <w:sz w:val="18"/>
                <w:szCs w:val="18"/>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6D3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E929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5B8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项目经费投入</w:t>
            </w:r>
          </w:p>
        </w:tc>
        <w:tc>
          <w:tcPr>
            <w:tcW w:w="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0D6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167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52.8</w:t>
            </w: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929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F485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A9B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EFB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9757">
            <w:pPr>
              <w:snapToGrid w:val="0"/>
              <w:jc w:val="center"/>
              <w:rPr>
                <w:rFonts w:hint="eastAsia" w:ascii="微软雅黑" w:hAnsi="微软雅黑" w:eastAsia="微软雅黑" w:cs="微软雅黑"/>
                <w:i/>
                <w:iCs/>
                <w:color w:val="000000"/>
                <w:sz w:val="16"/>
                <w:szCs w:val="16"/>
                <w:u w:val="none"/>
              </w:rPr>
            </w:pPr>
          </w:p>
        </w:tc>
      </w:tr>
      <w:tr w14:paraId="38E37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679" w:type="dxa"/>
          <w:trHeight w:val="0" w:hRule="atLeast"/>
          <w:jc w:val="center"/>
        </w:trPr>
        <w:tc>
          <w:tcPr>
            <w:tcW w:w="533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E515D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528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16B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14DE">
            <w:pPr>
              <w:snapToGrid w:val="0"/>
              <w:rPr>
                <w:rFonts w:hint="eastAsia" w:ascii="宋体" w:hAnsi="宋体" w:eastAsia="宋体" w:cs="宋体"/>
                <w:i w:val="0"/>
                <w:iCs w:val="0"/>
                <w:color w:val="000000"/>
                <w:sz w:val="18"/>
                <w:szCs w:val="18"/>
                <w:u w:val="none"/>
              </w:rPr>
            </w:pPr>
          </w:p>
        </w:tc>
      </w:tr>
      <w:tr w14:paraId="5986C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679" w:type="dxa"/>
          <w:trHeight w:val="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67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113"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1F1514D">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农村公共服务设施运行维护项目的长效实施改善了群众的生产生活条件，提高了群众生活质量，完善了农村基础设施功能，该项目取得了较好的社会效益。</w:t>
            </w:r>
          </w:p>
        </w:tc>
      </w:tr>
      <w:tr w14:paraId="79D32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679" w:type="dxa"/>
          <w:trHeight w:val="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F0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113"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8D6E2D9">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3B21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679" w:type="dxa"/>
          <w:trHeight w:val="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0B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113"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4A2E446">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bl>
    <w:p w14:paraId="28EA1B0A">
      <w:pPr>
        <w:rPr>
          <w:rFonts w:hint="eastAsia" w:ascii="Times New Roman" w:hAnsi="Times New Roman" w:eastAsia="宋体" w:cs="Times New Roman"/>
          <w:kern w:val="2"/>
          <w:sz w:val="21"/>
          <w:szCs w:val="24"/>
          <w:lang w:val="zh-CN" w:eastAsia="zh-CN" w:bidi="ar-SA"/>
        </w:rPr>
      </w:pPr>
    </w:p>
    <w:p w14:paraId="37E64200">
      <w:pPr>
        <w:rPr>
          <w:rFonts w:hint="eastAsia" w:ascii="Times New Roman" w:hAnsi="Times New Roman" w:eastAsia="宋体" w:cs="Times New Roman"/>
          <w:kern w:val="2"/>
          <w:sz w:val="21"/>
          <w:szCs w:val="24"/>
          <w:lang w:val="zh-CN" w:eastAsia="zh-CN" w:bidi="ar-SA"/>
        </w:rPr>
      </w:pPr>
    </w:p>
    <w:p w14:paraId="7112645C">
      <w:pPr>
        <w:rPr>
          <w:rFonts w:hint="eastAsia" w:ascii="Times New Roman" w:hAnsi="Times New Roman" w:eastAsia="宋体" w:cs="Times New Roman"/>
          <w:kern w:val="2"/>
          <w:sz w:val="21"/>
          <w:szCs w:val="24"/>
          <w:lang w:val="zh-CN" w:eastAsia="zh-CN" w:bidi="ar-SA"/>
        </w:rPr>
      </w:pPr>
    </w:p>
    <w:p w14:paraId="2D557165">
      <w:pPr>
        <w:rPr>
          <w:rFonts w:hint="eastAsia" w:ascii="Times New Roman" w:hAnsi="Times New Roman" w:eastAsia="宋体" w:cs="Times New Roman"/>
          <w:kern w:val="2"/>
          <w:sz w:val="21"/>
          <w:szCs w:val="24"/>
          <w:lang w:val="zh-CN" w:eastAsia="zh-CN" w:bidi="ar-SA"/>
        </w:rPr>
      </w:pPr>
    </w:p>
    <w:tbl>
      <w:tblPr>
        <w:tblStyle w:val="13"/>
        <w:tblW w:w="90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21"/>
        <w:gridCol w:w="118"/>
        <w:gridCol w:w="979"/>
        <w:gridCol w:w="1"/>
        <w:gridCol w:w="650"/>
        <w:gridCol w:w="641"/>
        <w:gridCol w:w="493"/>
        <w:gridCol w:w="427"/>
        <w:gridCol w:w="556"/>
        <w:gridCol w:w="429"/>
        <w:gridCol w:w="541"/>
        <w:gridCol w:w="330"/>
        <w:gridCol w:w="105"/>
        <w:gridCol w:w="223"/>
        <w:gridCol w:w="221"/>
        <w:gridCol w:w="304"/>
        <w:gridCol w:w="140"/>
        <w:gridCol w:w="673"/>
        <w:gridCol w:w="424"/>
        <w:gridCol w:w="424"/>
        <w:gridCol w:w="818"/>
      </w:tblGrid>
      <w:tr w14:paraId="186BD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18"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1F32A5E">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1A3D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08DE6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0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4095C9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51113224T000011919235-2024年基层组织和农村公共服务运行维护费（县级）</w:t>
            </w:r>
          </w:p>
        </w:tc>
      </w:tr>
      <w:tr w14:paraId="62A58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B2150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1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A5361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峨边彝族自治县宜坪乡人民政府本级</w:t>
            </w:r>
          </w:p>
        </w:tc>
        <w:tc>
          <w:tcPr>
            <w:tcW w:w="976" w:type="dxa"/>
            <w:gridSpan w:val="3"/>
            <w:tcBorders>
              <w:top w:val="nil"/>
              <w:left w:val="nil"/>
              <w:bottom w:val="nil"/>
              <w:right w:val="nil"/>
            </w:tcBorders>
            <w:shd w:val="clear" w:color="auto" w:fill="auto"/>
            <w:vAlign w:val="center"/>
          </w:tcPr>
          <w:p w14:paraId="416B4A94">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2536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峨边彝族自治县宜坪乡人民政府</w:t>
            </w:r>
          </w:p>
        </w:tc>
      </w:tr>
      <w:tr w14:paraId="64046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B103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45DF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1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1190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210624">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69F3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BF164">
            <w:pPr>
              <w:snapToGrid w:val="0"/>
              <w:rPr>
                <w:rFonts w:hint="eastAsia" w:ascii="宋体" w:hAnsi="宋体" w:eastAsia="宋体" w:cs="宋体"/>
                <w:i w:val="0"/>
                <w:iCs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E567B">
            <w:pPr>
              <w:snapToGrid w:val="0"/>
              <w:rPr>
                <w:rFonts w:hint="eastAsia" w:ascii="宋体" w:hAnsi="宋体" w:eastAsia="宋体" w:cs="宋体"/>
                <w:i w:val="0"/>
                <w:iCs w:val="0"/>
                <w:color w:val="000000"/>
                <w:sz w:val="18"/>
                <w:szCs w:val="18"/>
                <w:u w:val="none"/>
              </w:rPr>
            </w:pPr>
          </w:p>
        </w:tc>
        <w:tc>
          <w:tcPr>
            <w:tcW w:w="31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F0BD4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保障村级办公正常运转，对农村基础设施进行维护。</w:t>
            </w:r>
          </w:p>
        </w:tc>
        <w:tc>
          <w:tcPr>
            <w:tcW w:w="42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91B5B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保障了村级办公正常运转，常态化开展农村基础设施维护，改善了群众生活条件。</w:t>
            </w:r>
          </w:p>
        </w:tc>
      </w:tr>
      <w:tr w14:paraId="622DD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64E63">
            <w:pPr>
              <w:snapToGrid w:val="0"/>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036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0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D90CA6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保障村级办公正常运转，对农村基础设施进行维护，改善人居环境及生活条件。</w:t>
            </w:r>
          </w:p>
        </w:tc>
      </w:tr>
      <w:tr w14:paraId="6B4B4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FA9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2B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731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37E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6001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4DC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F7A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18C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A0FE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C054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1B2E7">
            <w:pPr>
              <w:snapToGrid w:val="0"/>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24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537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356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26.40</w:t>
            </w:r>
          </w:p>
        </w:tc>
        <w:tc>
          <w:tcPr>
            <w:tcW w:w="1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204D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26.40</w:t>
            </w:r>
          </w:p>
        </w:tc>
        <w:tc>
          <w:tcPr>
            <w:tcW w:w="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F8F5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DF9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EE20A">
            <w:pPr>
              <w:snapToGrid w:val="0"/>
              <w:jc w:val="center"/>
              <w:rPr>
                <w:rFonts w:hint="eastAsia" w:ascii="宋体" w:hAnsi="宋体" w:eastAsia="宋体" w:cs="宋体"/>
                <w:i w:val="0"/>
                <w:iCs w:val="0"/>
                <w:color w:val="000000"/>
                <w:sz w:val="18"/>
                <w:szCs w:val="18"/>
                <w:u w:val="none"/>
              </w:rPr>
            </w:pPr>
          </w:p>
        </w:tc>
        <w:tc>
          <w:tcPr>
            <w:tcW w:w="233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EF59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1.预算执行率=预算执行数/调整后预算数，预算执行率100%;2.年中未发生预算调整的（追加或调减）；3.无其他资金</w:t>
            </w:r>
          </w:p>
        </w:tc>
      </w:tr>
      <w:tr w14:paraId="7C3F7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AA91D">
            <w:pPr>
              <w:snapToGrid w:val="0"/>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FA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5C8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45B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26.40</w:t>
            </w:r>
          </w:p>
        </w:tc>
        <w:tc>
          <w:tcPr>
            <w:tcW w:w="1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7617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26.40</w:t>
            </w:r>
          </w:p>
        </w:tc>
        <w:tc>
          <w:tcPr>
            <w:tcW w:w="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0C7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53E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75C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AE67A">
            <w:pPr>
              <w:snapToGrid w:val="0"/>
              <w:rPr>
                <w:rFonts w:hint="eastAsia" w:ascii="黑体" w:hAnsi="黑体" w:eastAsia="黑体" w:cs="黑体"/>
                <w:i w:val="0"/>
                <w:iCs w:val="0"/>
                <w:color w:val="000000"/>
                <w:sz w:val="18"/>
                <w:szCs w:val="18"/>
                <w:u w:val="none"/>
              </w:rPr>
            </w:pPr>
          </w:p>
        </w:tc>
      </w:tr>
      <w:tr w14:paraId="74BB2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B4594">
            <w:pPr>
              <w:snapToGrid w:val="0"/>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40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F96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C52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4433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688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AFC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699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DE320">
            <w:pPr>
              <w:snapToGrid w:val="0"/>
              <w:rPr>
                <w:rFonts w:hint="eastAsia" w:ascii="黑体" w:hAnsi="黑体" w:eastAsia="黑体" w:cs="黑体"/>
                <w:i w:val="0"/>
                <w:iCs w:val="0"/>
                <w:color w:val="000000"/>
                <w:sz w:val="18"/>
                <w:szCs w:val="18"/>
                <w:u w:val="none"/>
              </w:rPr>
            </w:pPr>
          </w:p>
        </w:tc>
      </w:tr>
      <w:tr w14:paraId="4C56B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7D76A">
            <w:pPr>
              <w:snapToGrid w:val="0"/>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63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BDB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08A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BA3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1EF6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022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96B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BB8C2">
            <w:pPr>
              <w:snapToGrid w:val="0"/>
              <w:rPr>
                <w:rFonts w:hint="eastAsia" w:ascii="黑体" w:hAnsi="黑体" w:eastAsia="黑体" w:cs="黑体"/>
                <w:i w:val="0"/>
                <w:iCs w:val="0"/>
                <w:color w:val="000000"/>
                <w:sz w:val="18"/>
                <w:szCs w:val="18"/>
                <w:u w:val="none"/>
              </w:rPr>
            </w:pPr>
          </w:p>
        </w:tc>
      </w:tr>
      <w:tr w14:paraId="37767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C7EC4">
            <w:pPr>
              <w:snapToGrid w:val="0"/>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E9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DD619">
            <w:pPr>
              <w:snapToGrid w:val="0"/>
              <w:jc w:val="center"/>
              <w:rPr>
                <w:rFonts w:hint="eastAsia" w:ascii="微软雅黑" w:hAnsi="微软雅黑" w:eastAsia="微软雅黑" w:cs="微软雅黑"/>
                <w:i/>
                <w:iCs/>
                <w:color w:val="000000"/>
                <w:sz w:val="16"/>
                <w:szCs w:val="16"/>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D78DF">
            <w:pPr>
              <w:snapToGrid w:val="0"/>
              <w:jc w:val="center"/>
              <w:rPr>
                <w:rFonts w:hint="eastAsia" w:ascii="微软雅黑" w:hAnsi="微软雅黑" w:eastAsia="微软雅黑" w:cs="微软雅黑"/>
                <w:i/>
                <w:iCs/>
                <w:color w:val="000000"/>
                <w:sz w:val="16"/>
                <w:szCs w:val="16"/>
                <w:u w:val="none"/>
              </w:rPr>
            </w:pPr>
          </w:p>
        </w:tc>
        <w:tc>
          <w:tcPr>
            <w:tcW w:w="1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314CBC">
            <w:pPr>
              <w:snapToGrid w:val="0"/>
              <w:jc w:val="center"/>
              <w:rPr>
                <w:rFonts w:hint="eastAsia" w:ascii="微软雅黑" w:hAnsi="微软雅黑" w:eastAsia="微软雅黑" w:cs="微软雅黑"/>
                <w:i/>
                <w:iCs/>
                <w:color w:val="000000"/>
                <w:sz w:val="16"/>
                <w:szCs w:val="16"/>
                <w:u w:val="none"/>
              </w:rPr>
            </w:pPr>
          </w:p>
        </w:tc>
        <w:tc>
          <w:tcPr>
            <w:tcW w:w="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310E6">
            <w:pPr>
              <w:snapToGrid w:val="0"/>
              <w:jc w:val="center"/>
              <w:rPr>
                <w:rFonts w:hint="eastAsia" w:ascii="微软雅黑" w:hAnsi="微软雅黑" w:eastAsia="微软雅黑" w:cs="微软雅黑"/>
                <w:i/>
                <w:iCs/>
                <w:color w:val="000000"/>
                <w:sz w:val="16"/>
                <w:szCs w:val="16"/>
                <w:u w:val="none"/>
              </w:rPr>
            </w:pP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A19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045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1CB18">
            <w:pPr>
              <w:snapToGrid w:val="0"/>
              <w:rPr>
                <w:rFonts w:hint="eastAsia" w:ascii="黑体" w:hAnsi="黑体" w:eastAsia="黑体" w:cs="黑体"/>
                <w:i w:val="0"/>
                <w:iCs w:val="0"/>
                <w:color w:val="000000"/>
                <w:sz w:val="18"/>
                <w:szCs w:val="18"/>
                <w:u w:val="none"/>
              </w:rPr>
            </w:pPr>
          </w:p>
        </w:tc>
      </w:tr>
      <w:tr w14:paraId="3A9E9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552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69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E42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FFA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7A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82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07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9768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028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530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0DC5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FA6B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BC5FB">
            <w:pPr>
              <w:snapToGrid w:val="0"/>
              <w:jc w:val="center"/>
              <w:rPr>
                <w:rFonts w:hint="eastAsia" w:ascii="宋体" w:hAnsi="宋体" w:eastAsia="宋体" w:cs="宋体"/>
                <w:i w:val="0"/>
                <w:iCs w:val="0"/>
                <w:color w:val="000000"/>
                <w:sz w:val="18"/>
                <w:szCs w:val="18"/>
                <w:u w:val="none"/>
              </w:rPr>
            </w:pP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AC8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486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367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保障村个数</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6D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61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92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17F87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852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47C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E62709">
            <w:pPr>
              <w:snapToGrid w:val="0"/>
              <w:jc w:val="center"/>
              <w:rPr>
                <w:rFonts w:hint="eastAsia" w:ascii="微软雅黑" w:hAnsi="微软雅黑" w:eastAsia="微软雅黑" w:cs="微软雅黑"/>
                <w:i/>
                <w:iCs/>
                <w:color w:val="000000"/>
                <w:sz w:val="16"/>
                <w:szCs w:val="16"/>
                <w:u w:val="none"/>
              </w:rPr>
            </w:pPr>
          </w:p>
        </w:tc>
      </w:tr>
      <w:tr w14:paraId="08274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0C61D">
            <w:pPr>
              <w:snapToGrid w:val="0"/>
              <w:jc w:val="center"/>
              <w:rPr>
                <w:rFonts w:hint="eastAsia" w:ascii="宋体" w:hAnsi="宋体" w:eastAsia="宋体" w:cs="宋体"/>
                <w:i w:val="0"/>
                <w:iCs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37DDB">
            <w:pPr>
              <w:snapToGrid w:val="0"/>
              <w:jc w:val="center"/>
              <w:rPr>
                <w:rFonts w:hint="eastAsia" w:ascii="宋体" w:hAnsi="宋体" w:eastAsia="宋体" w:cs="宋体"/>
                <w:i w:val="0"/>
                <w:iCs w:val="0"/>
                <w:color w:val="000000"/>
                <w:sz w:val="18"/>
                <w:szCs w:val="18"/>
                <w:u w:val="none"/>
              </w:rPr>
            </w:pPr>
          </w:p>
        </w:tc>
        <w:tc>
          <w:tcPr>
            <w:tcW w:w="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6FE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D7E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高质量改善农村生活环境、维护好基础设施</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52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E0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FB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7C09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647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936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EBCBAA">
            <w:pPr>
              <w:snapToGrid w:val="0"/>
              <w:jc w:val="center"/>
              <w:rPr>
                <w:rFonts w:hint="eastAsia" w:ascii="微软雅黑" w:hAnsi="微软雅黑" w:eastAsia="微软雅黑" w:cs="微软雅黑"/>
                <w:i/>
                <w:iCs/>
                <w:color w:val="000000"/>
                <w:sz w:val="16"/>
                <w:szCs w:val="16"/>
                <w:u w:val="none"/>
              </w:rPr>
            </w:pPr>
          </w:p>
        </w:tc>
      </w:tr>
      <w:tr w14:paraId="6336E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F84F5">
            <w:pPr>
              <w:snapToGrid w:val="0"/>
              <w:jc w:val="center"/>
              <w:rPr>
                <w:rFonts w:hint="eastAsia" w:ascii="宋体" w:hAnsi="宋体" w:eastAsia="宋体" w:cs="宋体"/>
                <w:i w:val="0"/>
                <w:iCs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C57A4">
            <w:pPr>
              <w:snapToGrid w:val="0"/>
              <w:jc w:val="center"/>
              <w:rPr>
                <w:rFonts w:hint="eastAsia" w:ascii="宋体" w:hAnsi="宋体" w:eastAsia="宋体" w:cs="宋体"/>
                <w:i w:val="0"/>
                <w:iCs w:val="0"/>
                <w:color w:val="000000"/>
                <w:sz w:val="18"/>
                <w:szCs w:val="18"/>
                <w:u w:val="none"/>
              </w:rPr>
            </w:pPr>
          </w:p>
        </w:tc>
        <w:tc>
          <w:tcPr>
            <w:tcW w:w="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F90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B14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71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2E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8B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732DC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A24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1FF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9AFFA1">
            <w:pPr>
              <w:snapToGrid w:val="0"/>
              <w:jc w:val="center"/>
              <w:rPr>
                <w:rFonts w:hint="eastAsia" w:ascii="微软雅黑" w:hAnsi="微软雅黑" w:eastAsia="微软雅黑" w:cs="微软雅黑"/>
                <w:i/>
                <w:iCs/>
                <w:color w:val="000000"/>
                <w:sz w:val="16"/>
                <w:szCs w:val="16"/>
                <w:u w:val="none"/>
              </w:rPr>
            </w:pPr>
          </w:p>
        </w:tc>
      </w:tr>
      <w:tr w14:paraId="10938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E914D">
            <w:pPr>
              <w:snapToGrid w:val="0"/>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E0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3D7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CD9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维护好农村基础设施，提升群众幸福感</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14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86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17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9505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07D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B74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0690E2">
            <w:pPr>
              <w:snapToGrid w:val="0"/>
              <w:jc w:val="center"/>
              <w:rPr>
                <w:rFonts w:hint="eastAsia" w:ascii="微软雅黑" w:hAnsi="微软雅黑" w:eastAsia="微软雅黑" w:cs="微软雅黑"/>
                <w:i/>
                <w:iCs/>
                <w:color w:val="000000"/>
                <w:sz w:val="16"/>
                <w:szCs w:val="16"/>
                <w:u w:val="none"/>
              </w:rPr>
            </w:pPr>
          </w:p>
        </w:tc>
      </w:tr>
      <w:tr w14:paraId="7D70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A0816">
            <w:pPr>
              <w:snapToGrid w:val="0"/>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07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6D7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473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F4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83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7E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5D29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785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5B1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BF5121">
            <w:pPr>
              <w:snapToGrid w:val="0"/>
              <w:jc w:val="center"/>
              <w:rPr>
                <w:rFonts w:hint="eastAsia" w:ascii="微软雅黑" w:hAnsi="微软雅黑" w:eastAsia="微软雅黑" w:cs="微软雅黑"/>
                <w:i/>
                <w:iCs/>
                <w:color w:val="000000"/>
                <w:sz w:val="16"/>
                <w:szCs w:val="16"/>
                <w:u w:val="none"/>
              </w:rPr>
            </w:pPr>
          </w:p>
        </w:tc>
      </w:tr>
      <w:tr w14:paraId="4C9EE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6C920">
            <w:pPr>
              <w:snapToGrid w:val="0"/>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66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9FA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9B7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项目经费投入</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27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D3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53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CDAB8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2F7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D5B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BD3A6A">
            <w:pPr>
              <w:snapToGrid w:val="0"/>
              <w:jc w:val="center"/>
              <w:rPr>
                <w:rFonts w:hint="eastAsia" w:ascii="微软雅黑" w:hAnsi="微软雅黑" w:eastAsia="微软雅黑" w:cs="微软雅黑"/>
                <w:i/>
                <w:iCs/>
                <w:color w:val="000000"/>
                <w:sz w:val="16"/>
                <w:szCs w:val="16"/>
                <w:u w:val="none"/>
              </w:rPr>
            </w:pPr>
          </w:p>
        </w:tc>
      </w:tr>
      <w:tr w14:paraId="0E37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9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A8F3D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A68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FFE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901928">
            <w:pPr>
              <w:snapToGrid w:val="0"/>
              <w:rPr>
                <w:rFonts w:hint="eastAsia" w:ascii="宋体" w:hAnsi="宋体" w:eastAsia="宋体" w:cs="宋体"/>
                <w:i w:val="0"/>
                <w:iCs w:val="0"/>
                <w:color w:val="000000"/>
                <w:sz w:val="18"/>
                <w:szCs w:val="18"/>
                <w:u w:val="none"/>
              </w:rPr>
            </w:pPr>
          </w:p>
        </w:tc>
      </w:tr>
      <w:tr w14:paraId="52F70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808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79"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A8E7E30">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农村公共服务设施运行维护项目的长效实施改善了群众的生产生活条件，提高了群众生活质量，完善了农村基础设施功能，该项目取得了较好的社会效益</w:t>
            </w:r>
          </w:p>
        </w:tc>
      </w:tr>
      <w:tr w14:paraId="71845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D15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79"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64D9BD7">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8551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7BC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79"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6A462A3">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F977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018"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5AED1DE">
            <w:pPr>
              <w:keepNext w:val="0"/>
              <w:keepLines w:val="0"/>
              <w:widowControl/>
              <w:suppressLineNumbers w:val="0"/>
              <w:snapToGrid w:val="0"/>
              <w:jc w:val="center"/>
              <w:textAlignment w:val="center"/>
              <w:rPr>
                <w:rFonts w:hint="eastAsia" w:ascii="黑体" w:hAnsi="宋体" w:eastAsia="黑体" w:cs="黑体"/>
                <w:b/>
                <w:bCs/>
                <w:i w:val="0"/>
                <w:iCs w:val="0"/>
                <w:color w:val="000000"/>
                <w:kern w:val="0"/>
                <w:sz w:val="30"/>
                <w:szCs w:val="30"/>
                <w:u w:val="none"/>
                <w:lang w:val="en-US" w:eastAsia="zh-CN" w:bidi="ar"/>
              </w:rPr>
            </w:pPr>
          </w:p>
          <w:p w14:paraId="570DC278">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EE16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74E88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99"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CA2677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51113225T000012286350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城乡融合重大项目前期工作经费（宜坪乡）</w:t>
            </w:r>
          </w:p>
        </w:tc>
      </w:tr>
      <w:tr w14:paraId="28339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EF5D8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2E80C5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峨边彝族自治县宜坪乡人民政府本级</w:t>
            </w:r>
          </w:p>
        </w:tc>
        <w:tc>
          <w:tcPr>
            <w:tcW w:w="813" w:type="dxa"/>
            <w:gridSpan w:val="2"/>
            <w:tcBorders>
              <w:top w:val="nil"/>
              <w:left w:val="nil"/>
              <w:bottom w:val="nil"/>
              <w:right w:val="nil"/>
            </w:tcBorders>
            <w:shd w:val="clear" w:color="auto" w:fill="auto"/>
            <w:vAlign w:val="center"/>
          </w:tcPr>
          <w:p w14:paraId="7D9F5DE6">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7BFF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峨边彝族自治县宜坪乡人民政府</w:t>
            </w:r>
          </w:p>
        </w:tc>
      </w:tr>
      <w:tr w14:paraId="612E3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5B51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9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C6A1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8E09D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1026B1">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4230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D086A">
            <w:pPr>
              <w:snapToGrid w:val="0"/>
              <w:rPr>
                <w:rFonts w:hint="eastAsia" w:ascii="宋体" w:hAnsi="宋体" w:eastAsia="宋体" w:cs="宋体"/>
                <w:i w:val="0"/>
                <w:iCs w:val="0"/>
                <w:color w:val="000000"/>
                <w:sz w:val="18"/>
                <w:szCs w:val="18"/>
                <w:u w:val="none"/>
              </w:rPr>
            </w:pPr>
          </w:p>
        </w:tc>
        <w:tc>
          <w:tcPr>
            <w:tcW w:w="109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A0181">
            <w:pPr>
              <w:snapToGrid w:val="0"/>
              <w:rPr>
                <w:rFonts w:hint="eastAsia" w:ascii="宋体" w:hAnsi="宋体" w:eastAsia="宋体" w:cs="宋体"/>
                <w:i w:val="0"/>
                <w:iCs w:val="0"/>
                <w:color w:val="000000"/>
                <w:sz w:val="18"/>
                <w:szCs w:val="18"/>
                <w:u w:val="none"/>
              </w:rPr>
            </w:pPr>
          </w:p>
        </w:tc>
        <w:tc>
          <w:tcPr>
            <w:tcW w:w="49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E7F403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推进城乡融合重大项目前期工作顺利开展。</w:t>
            </w:r>
          </w:p>
        </w:tc>
        <w:tc>
          <w:tcPr>
            <w:tcW w:w="2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E2578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实现了城乡融合重大项目的顺利实施</w:t>
            </w:r>
          </w:p>
        </w:tc>
      </w:tr>
      <w:tr w14:paraId="38B33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4814B">
            <w:pPr>
              <w:snapToGrid w:val="0"/>
              <w:rPr>
                <w:rFonts w:hint="eastAsia" w:ascii="宋体" w:hAnsi="宋体" w:eastAsia="宋体" w:cs="宋体"/>
                <w:i w:val="0"/>
                <w:iCs w:val="0"/>
                <w:color w:val="000000"/>
                <w:sz w:val="18"/>
                <w:szCs w:val="18"/>
                <w:u w:val="none"/>
              </w:rPr>
            </w:pPr>
          </w:p>
        </w:tc>
        <w:tc>
          <w:tcPr>
            <w:tcW w:w="10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D691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99"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6A4F3C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支付城乡融合重大项目</w:t>
            </w:r>
            <w:r>
              <w:rPr>
                <w:rFonts w:hint="eastAsia" w:ascii="宋体" w:hAnsi="宋体" w:cs="宋体"/>
                <w:i w:val="0"/>
                <w:iCs w:val="0"/>
                <w:color w:val="000000"/>
                <w:kern w:val="0"/>
                <w:sz w:val="18"/>
                <w:szCs w:val="18"/>
                <w:u w:val="none"/>
                <w:lang w:val="en-US" w:eastAsia="zh-CN" w:bidi="ar"/>
              </w:rPr>
              <w:t>工作</w:t>
            </w:r>
            <w:r>
              <w:rPr>
                <w:rFonts w:ascii="宋体" w:hAnsi="宋体" w:eastAsia="宋体" w:cs="宋体"/>
                <w:i w:val="0"/>
                <w:iCs w:val="0"/>
                <w:color w:val="000000"/>
                <w:kern w:val="0"/>
                <w:sz w:val="18"/>
                <w:szCs w:val="18"/>
                <w:u w:val="none"/>
                <w:lang w:val="en-US" w:eastAsia="zh-CN" w:bidi="ar"/>
              </w:rPr>
              <w:t>前期产生的经费</w:t>
            </w:r>
          </w:p>
        </w:tc>
      </w:tr>
      <w:tr w14:paraId="795BB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52F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A4B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A04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C226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D25B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126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BD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28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3F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CF9E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3418E">
            <w:pPr>
              <w:snapToGrid w:val="0"/>
              <w:jc w:val="center"/>
              <w:rPr>
                <w:rFonts w:hint="eastAsia" w:ascii="宋体" w:hAnsi="宋体" w:eastAsia="宋体" w:cs="宋体"/>
                <w:i w:val="0"/>
                <w:iCs w:val="0"/>
                <w:color w:val="000000"/>
                <w:sz w:val="18"/>
                <w:szCs w:val="18"/>
                <w:u w:val="none"/>
              </w:rPr>
            </w:pPr>
          </w:p>
        </w:tc>
        <w:tc>
          <w:tcPr>
            <w:tcW w:w="10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AF78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A55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F44C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F1C2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CA0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B1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BC05">
            <w:pPr>
              <w:snapToGrid w:val="0"/>
              <w:jc w:val="center"/>
              <w:rPr>
                <w:rFonts w:hint="eastAsia" w:ascii="宋体" w:hAnsi="宋体" w:eastAsia="宋体" w:cs="宋体"/>
                <w:i w:val="0"/>
                <w:iCs w:val="0"/>
                <w:color w:val="000000"/>
                <w:sz w:val="18"/>
                <w:szCs w:val="18"/>
                <w:u w:val="none"/>
              </w:rPr>
            </w:pP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0F7C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1.预算执行率=预算执行数/调整后预算数，预算执行率100%;2.年中未发生预算调整的（追加或调减）；3.无其他资金</w:t>
            </w:r>
          </w:p>
        </w:tc>
      </w:tr>
      <w:tr w14:paraId="14FC7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257AA">
            <w:pPr>
              <w:snapToGrid w:val="0"/>
              <w:jc w:val="center"/>
              <w:rPr>
                <w:rFonts w:hint="eastAsia" w:ascii="宋体" w:hAnsi="宋体" w:eastAsia="宋体" w:cs="宋体"/>
                <w:i w:val="0"/>
                <w:iCs w:val="0"/>
                <w:color w:val="000000"/>
                <w:sz w:val="18"/>
                <w:szCs w:val="18"/>
                <w:u w:val="none"/>
              </w:rPr>
            </w:pPr>
          </w:p>
        </w:tc>
        <w:tc>
          <w:tcPr>
            <w:tcW w:w="10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7E23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4ED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84F9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D160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CA1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0D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87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0D388">
            <w:pPr>
              <w:snapToGrid w:val="0"/>
              <w:rPr>
                <w:rFonts w:hint="eastAsia" w:ascii="黑体" w:hAnsi="黑体" w:eastAsia="黑体" w:cs="黑体"/>
                <w:i w:val="0"/>
                <w:iCs w:val="0"/>
                <w:color w:val="000000"/>
                <w:sz w:val="18"/>
                <w:szCs w:val="18"/>
                <w:u w:val="none"/>
              </w:rPr>
            </w:pPr>
          </w:p>
        </w:tc>
      </w:tr>
      <w:tr w14:paraId="30C3E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D19DD">
            <w:pPr>
              <w:snapToGrid w:val="0"/>
              <w:jc w:val="center"/>
              <w:rPr>
                <w:rFonts w:hint="eastAsia" w:ascii="宋体" w:hAnsi="宋体" w:eastAsia="宋体" w:cs="宋体"/>
                <w:i w:val="0"/>
                <w:iCs w:val="0"/>
                <w:color w:val="000000"/>
                <w:sz w:val="18"/>
                <w:szCs w:val="18"/>
                <w:u w:val="none"/>
              </w:rPr>
            </w:pPr>
          </w:p>
        </w:tc>
        <w:tc>
          <w:tcPr>
            <w:tcW w:w="10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08D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08B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B463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43A1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013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54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9F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982B5">
            <w:pPr>
              <w:snapToGrid w:val="0"/>
              <w:rPr>
                <w:rFonts w:hint="eastAsia" w:ascii="黑体" w:hAnsi="黑体" w:eastAsia="黑体" w:cs="黑体"/>
                <w:i w:val="0"/>
                <w:iCs w:val="0"/>
                <w:color w:val="000000"/>
                <w:sz w:val="18"/>
                <w:szCs w:val="18"/>
                <w:u w:val="none"/>
              </w:rPr>
            </w:pPr>
          </w:p>
        </w:tc>
      </w:tr>
      <w:tr w14:paraId="5534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71EDF">
            <w:pPr>
              <w:snapToGrid w:val="0"/>
              <w:jc w:val="center"/>
              <w:rPr>
                <w:rFonts w:hint="eastAsia" w:ascii="宋体" w:hAnsi="宋体" w:eastAsia="宋体" w:cs="宋体"/>
                <w:i w:val="0"/>
                <w:iCs w:val="0"/>
                <w:color w:val="000000"/>
                <w:sz w:val="18"/>
                <w:szCs w:val="18"/>
                <w:u w:val="none"/>
              </w:rPr>
            </w:pPr>
          </w:p>
        </w:tc>
        <w:tc>
          <w:tcPr>
            <w:tcW w:w="10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37B2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279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AA29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C3C0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AC9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64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82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A5540">
            <w:pPr>
              <w:snapToGrid w:val="0"/>
              <w:rPr>
                <w:rFonts w:hint="eastAsia" w:ascii="黑体" w:hAnsi="黑体" w:eastAsia="黑体" w:cs="黑体"/>
                <w:i w:val="0"/>
                <w:iCs w:val="0"/>
                <w:color w:val="000000"/>
                <w:sz w:val="18"/>
                <w:szCs w:val="18"/>
                <w:u w:val="none"/>
              </w:rPr>
            </w:pPr>
          </w:p>
        </w:tc>
      </w:tr>
      <w:tr w14:paraId="2BB62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E062B">
            <w:pPr>
              <w:snapToGrid w:val="0"/>
              <w:jc w:val="center"/>
              <w:rPr>
                <w:rFonts w:hint="eastAsia" w:ascii="宋体" w:hAnsi="宋体" w:eastAsia="宋体" w:cs="宋体"/>
                <w:i w:val="0"/>
                <w:iCs w:val="0"/>
                <w:color w:val="000000"/>
                <w:sz w:val="18"/>
                <w:szCs w:val="18"/>
                <w:u w:val="none"/>
              </w:rPr>
            </w:pPr>
          </w:p>
        </w:tc>
        <w:tc>
          <w:tcPr>
            <w:tcW w:w="10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6BC8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CBEB9">
            <w:pPr>
              <w:snapToGrid w:val="0"/>
              <w:jc w:val="center"/>
              <w:rPr>
                <w:rFonts w:hint="eastAsia" w:ascii="微软雅黑" w:hAnsi="微软雅黑" w:eastAsia="微软雅黑" w:cs="微软雅黑"/>
                <w:i/>
                <w:iCs/>
                <w:color w:val="000000"/>
                <w:sz w:val="16"/>
                <w:szCs w:val="16"/>
                <w:u w:val="none"/>
              </w:rPr>
            </w:pPr>
          </w:p>
        </w:tc>
        <w:tc>
          <w:tcPr>
            <w:tcW w:w="24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551A68">
            <w:pPr>
              <w:snapToGrid w:val="0"/>
              <w:jc w:val="center"/>
              <w:rPr>
                <w:rFonts w:hint="eastAsia" w:ascii="微软雅黑" w:hAnsi="微软雅黑" w:eastAsia="微软雅黑" w:cs="微软雅黑"/>
                <w:i/>
                <w:iCs/>
                <w:color w:val="000000"/>
                <w:sz w:val="16"/>
                <w:szCs w:val="16"/>
                <w:u w:val="none"/>
              </w:rPr>
            </w:pP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5EAC36">
            <w:pPr>
              <w:snapToGrid w:val="0"/>
              <w:jc w:val="center"/>
              <w:rPr>
                <w:rFonts w:hint="eastAsia" w:ascii="微软雅黑" w:hAnsi="微软雅黑" w:eastAsia="微软雅黑" w:cs="微软雅黑"/>
                <w:i/>
                <w:iCs/>
                <w:color w:val="000000"/>
                <w:sz w:val="16"/>
                <w:szCs w:val="16"/>
                <w:u w:val="none"/>
              </w:rPr>
            </w:pPr>
          </w:p>
        </w:tc>
        <w:tc>
          <w:tcPr>
            <w:tcW w:w="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9805D">
            <w:pPr>
              <w:snapToGrid w:val="0"/>
              <w:jc w:val="center"/>
              <w:rPr>
                <w:rFonts w:hint="eastAsia" w:ascii="微软雅黑" w:hAnsi="微软雅黑" w:eastAsia="微软雅黑" w:cs="微软雅黑"/>
                <w:i/>
                <w:iCs/>
                <w:color w:val="000000"/>
                <w:sz w:val="16"/>
                <w:szCs w:val="16"/>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47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69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F9A0B">
            <w:pPr>
              <w:snapToGrid w:val="0"/>
              <w:rPr>
                <w:rFonts w:hint="eastAsia" w:ascii="黑体" w:hAnsi="黑体" w:eastAsia="黑体" w:cs="黑体"/>
                <w:i w:val="0"/>
                <w:iCs w:val="0"/>
                <w:color w:val="000000"/>
                <w:sz w:val="18"/>
                <w:szCs w:val="18"/>
                <w:u w:val="none"/>
              </w:rPr>
            </w:pPr>
          </w:p>
        </w:tc>
      </w:tr>
      <w:tr w14:paraId="4ECDF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ADE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D01B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504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D40F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49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8F9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1B6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3" w:type="dxa"/>
            <w:gridSpan w:val="2"/>
            <w:tcBorders>
              <w:top w:val="single" w:color="000000" w:sz="4" w:space="0"/>
              <w:left w:val="single" w:color="000000" w:sz="4" w:space="0"/>
              <w:bottom w:val="nil"/>
              <w:right w:val="single" w:color="000000" w:sz="4" w:space="0"/>
            </w:tcBorders>
            <w:shd w:val="clear" w:color="auto" w:fill="auto"/>
            <w:vAlign w:val="center"/>
          </w:tcPr>
          <w:p w14:paraId="562302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42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E8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9E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FCA8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725A9">
            <w:pPr>
              <w:snapToGrid w:val="0"/>
              <w:jc w:val="center"/>
              <w:rPr>
                <w:rFonts w:hint="eastAsia" w:ascii="宋体" w:hAnsi="宋体" w:eastAsia="宋体" w:cs="宋体"/>
                <w:i w:val="0"/>
                <w:iCs w:val="0"/>
                <w:color w:val="000000"/>
                <w:sz w:val="18"/>
                <w:szCs w:val="18"/>
                <w:u w:val="none"/>
              </w:rPr>
            </w:pPr>
          </w:p>
        </w:tc>
        <w:tc>
          <w:tcPr>
            <w:tcW w:w="10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C83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AF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DA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城乡融合重大项目数量</w:t>
            </w: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3AE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DCD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ADA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0CC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EB6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5E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6E69">
            <w:pPr>
              <w:snapToGrid w:val="0"/>
              <w:jc w:val="center"/>
              <w:rPr>
                <w:rFonts w:hint="eastAsia" w:ascii="宋体" w:hAnsi="宋体" w:eastAsia="宋体" w:cs="宋体"/>
                <w:i w:val="0"/>
                <w:iCs w:val="0"/>
                <w:color w:val="000000"/>
                <w:sz w:val="18"/>
                <w:szCs w:val="18"/>
                <w:u w:val="none"/>
              </w:rPr>
            </w:pPr>
          </w:p>
        </w:tc>
      </w:tr>
      <w:tr w14:paraId="77810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5160B">
            <w:pPr>
              <w:snapToGrid w:val="0"/>
              <w:jc w:val="center"/>
              <w:rPr>
                <w:rFonts w:hint="eastAsia" w:ascii="宋体" w:hAnsi="宋体" w:eastAsia="宋体" w:cs="宋体"/>
                <w:i w:val="0"/>
                <w:iCs w:val="0"/>
                <w:color w:val="000000"/>
                <w:sz w:val="18"/>
                <w:szCs w:val="18"/>
                <w:u w:val="none"/>
              </w:rPr>
            </w:pPr>
          </w:p>
        </w:tc>
        <w:tc>
          <w:tcPr>
            <w:tcW w:w="10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0FB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CE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8C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项目完成时间</w:t>
            </w: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032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07E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5BC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131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1A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AE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B971">
            <w:pPr>
              <w:snapToGrid w:val="0"/>
              <w:jc w:val="center"/>
              <w:rPr>
                <w:rFonts w:hint="eastAsia" w:ascii="宋体" w:hAnsi="宋体" w:eastAsia="宋体" w:cs="宋体"/>
                <w:i w:val="0"/>
                <w:iCs w:val="0"/>
                <w:color w:val="000000"/>
                <w:sz w:val="18"/>
                <w:szCs w:val="18"/>
                <w:u w:val="none"/>
              </w:rPr>
            </w:pPr>
          </w:p>
        </w:tc>
      </w:tr>
      <w:tr w14:paraId="178AD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2B3FF">
            <w:pPr>
              <w:snapToGrid w:val="0"/>
              <w:jc w:val="center"/>
              <w:rPr>
                <w:rFonts w:hint="eastAsia" w:ascii="宋体" w:hAnsi="宋体" w:eastAsia="宋体" w:cs="宋体"/>
                <w:i w:val="0"/>
                <w:iCs w:val="0"/>
                <w:color w:val="000000"/>
                <w:sz w:val="18"/>
                <w:szCs w:val="18"/>
                <w:u w:val="none"/>
              </w:rPr>
            </w:pPr>
          </w:p>
        </w:tc>
        <w:tc>
          <w:tcPr>
            <w:tcW w:w="10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F0B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A08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8F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高质量推进项目建设</w:t>
            </w: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43D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6BA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16C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6AD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D5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CE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459A">
            <w:pPr>
              <w:snapToGrid w:val="0"/>
              <w:jc w:val="center"/>
              <w:rPr>
                <w:rFonts w:hint="eastAsia" w:ascii="宋体" w:hAnsi="宋体" w:eastAsia="宋体" w:cs="宋体"/>
                <w:i w:val="0"/>
                <w:iCs w:val="0"/>
                <w:color w:val="000000"/>
                <w:sz w:val="18"/>
                <w:szCs w:val="18"/>
                <w:u w:val="none"/>
              </w:rPr>
            </w:pPr>
          </w:p>
        </w:tc>
      </w:tr>
      <w:tr w14:paraId="7677C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5BE05">
            <w:pPr>
              <w:snapToGrid w:val="0"/>
              <w:jc w:val="center"/>
              <w:rPr>
                <w:rFonts w:hint="eastAsia" w:ascii="宋体" w:hAnsi="宋体" w:eastAsia="宋体" w:cs="宋体"/>
                <w:i w:val="0"/>
                <w:iCs w:val="0"/>
                <w:color w:val="000000"/>
                <w:sz w:val="18"/>
                <w:szCs w:val="18"/>
                <w:u w:val="none"/>
              </w:rPr>
            </w:pPr>
          </w:p>
        </w:tc>
        <w:tc>
          <w:tcPr>
            <w:tcW w:w="10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F6C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D070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62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合理规划充分发挥经济效益</w:t>
            </w: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EFF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F77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831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8FE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CC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ED8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7A94">
            <w:pPr>
              <w:snapToGrid w:val="0"/>
              <w:jc w:val="center"/>
              <w:rPr>
                <w:rFonts w:hint="eastAsia" w:ascii="宋体" w:hAnsi="宋体" w:eastAsia="宋体" w:cs="宋体"/>
                <w:i w:val="0"/>
                <w:iCs w:val="0"/>
                <w:color w:val="000000"/>
                <w:sz w:val="18"/>
                <w:szCs w:val="18"/>
                <w:u w:val="none"/>
              </w:rPr>
            </w:pPr>
          </w:p>
        </w:tc>
      </w:tr>
      <w:tr w14:paraId="5C6B3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30377">
            <w:pPr>
              <w:snapToGrid w:val="0"/>
              <w:jc w:val="center"/>
              <w:rPr>
                <w:rFonts w:hint="eastAsia" w:ascii="宋体" w:hAnsi="宋体" w:eastAsia="宋体" w:cs="宋体"/>
                <w:i w:val="0"/>
                <w:iCs w:val="0"/>
                <w:color w:val="000000"/>
                <w:sz w:val="18"/>
                <w:szCs w:val="18"/>
                <w:u w:val="none"/>
              </w:rPr>
            </w:pPr>
          </w:p>
        </w:tc>
        <w:tc>
          <w:tcPr>
            <w:tcW w:w="10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800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00F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2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0F6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提升群众满意度</w:t>
            </w: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B08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959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55E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4C5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43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3F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2DF3">
            <w:pPr>
              <w:snapToGrid w:val="0"/>
              <w:jc w:val="center"/>
              <w:rPr>
                <w:rFonts w:hint="eastAsia" w:ascii="宋体" w:hAnsi="宋体" w:eastAsia="宋体" w:cs="宋体"/>
                <w:i w:val="0"/>
                <w:iCs w:val="0"/>
                <w:color w:val="000000"/>
                <w:sz w:val="18"/>
                <w:szCs w:val="18"/>
                <w:u w:val="none"/>
              </w:rPr>
            </w:pPr>
          </w:p>
        </w:tc>
      </w:tr>
      <w:tr w14:paraId="6DDCB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6A8ED">
            <w:pPr>
              <w:snapToGrid w:val="0"/>
              <w:jc w:val="center"/>
              <w:rPr>
                <w:rFonts w:hint="eastAsia" w:ascii="宋体" w:hAnsi="宋体" w:eastAsia="宋体" w:cs="宋体"/>
                <w:i w:val="0"/>
                <w:iCs w:val="0"/>
                <w:color w:val="000000"/>
                <w:sz w:val="18"/>
                <w:szCs w:val="18"/>
                <w:u w:val="none"/>
              </w:rPr>
            </w:pPr>
          </w:p>
        </w:tc>
        <w:tc>
          <w:tcPr>
            <w:tcW w:w="10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1A0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40B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6B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项目投入经费</w:t>
            </w: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938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90A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4D2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8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5111">
            <w:pPr>
              <w:snapToGrid w:val="0"/>
              <w:rPr>
                <w:rFonts w:hint="eastAsia" w:ascii="宋体" w:hAnsi="宋体" w:eastAsia="宋体" w:cs="宋体"/>
                <w:i w:val="0"/>
                <w:iCs w:val="0"/>
                <w:color w:val="000000"/>
                <w:sz w:val="22"/>
                <w:szCs w:val="22"/>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4A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08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11B7">
            <w:pPr>
              <w:snapToGrid w:val="0"/>
              <w:jc w:val="center"/>
              <w:rPr>
                <w:rFonts w:hint="eastAsia" w:ascii="微软雅黑" w:hAnsi="微软雅黑" w:eastAsia="微软雅黑" w:cs="微软雅黑"/>
                <w:i/>
                <w:iCs/>
                <w:color w:val="000000"/>
                <w:sz w:val="16"/>
                <w:szCs w:val="16"/>
                <w:u w:val="none"/>
              </w:rPr>
            </w:pPr>
          </w:p>
        </w:tc>
      </w:tr>
      <w:tr w14:paraId="045F4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2"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F5C9C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4A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5E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B258">
            <w:pPr>
              <w:snapToGrid w:val="0"/>
              <w:rPr>
                <w:rFonts w:hint="eastAsia" w:ascii="宋体" w:hAnsi="宋体" w:eastAsia="宋体" w:cs="宋体"/>
                <w:i w:val="0"/>
                <w:iCs w:val="0"/>
                <w:color w:val="000000"/>
                <w:sz w:val="18"/>
                <w:szCs w:val="18"/>
                <w:u w:val="none"/>
              </w:rPr>
            </w:pPr>
          </w:p>
        </w:tc>
      </w:tr>
      <w:tr w14:paraId="4A199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5B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9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82805FA">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该项目自评得分100分，于2024年12月支付完成。城乡融合重大项目的顺利实施，推进了宜坪的发展。</w:t>
            </w:r>
          </w:p>
        </w:tc>
      </w:tr>
      <w:tr w14:paraId="7B45C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46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9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61B55DC">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FA5E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42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9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CE32A18">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bl>
    <w:p w14:paraId="2A320298">
      <w:pPr>
        <w:rPr>
          <w:rFonts w:hint="eastAsia"/>
          <w:lang w:val="zh-CN" w:eastAsia="zh-CN"/>
        </w:rPr>
      </w:pPr>
    </w:p>
    <w:p w14:paraId="3FB4B13F">
      <w:pPr>
        <w:rPr>
          <w:rFonts w:hint="eastAsia"/>
          <w:lang w:val="zh-CN" w:eastAsia="zh-CN"/>
        </w:rPr>
      </w:pPr>
    </w:p>
    <w:p w14:paraId="54D4FBCD">
      <w:pPr>
        <w:pStyle w:val="12"/>
        <w:rPr>
          <w:rFonts w:hint="eastAsia"/>
          <w:lang w:val="zh-CN" w:eastAsia="zh-CN"/>
        </w:rPr>
      </w:pPr>
    </w:p>
    <w:p w14:paraId="69704816">
      <w:pPr>
        <w:pStyle w:val="5"/>
        <w:rPr>
          <w:rFonts w:hint="eastAsia" w:ascii="Times New Roman" w:hAnsi="Times New Roman" w:eastAsia="黑体" w:cs="黑体"/>
          <w:color w:val="auto"/>
          <w:kern w:val="0"/>
          <w:sz w:val="32"/>
          <w:szCs w:val="32"/>
          <w:highlight w:val="none"/>
          <w:shd w:val="clear" w:color="auto" w:fill="FFFFFF"/>
          <w:lang w:val="zh-CN"/>
        </w:rPr>
      </w:pPr>
    </w:p>
    <w:p w14:paraId="48634CC1">
      <w:pPr>
        <w:pStyle w:val="5"/>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498CE8D5">
      <w:pPr>
        <w:pStyle w:val="20"/>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16AF3059">
      <w:pPr>
        <w:pStyle w:val="20"/>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14:paraId="01BE8DC3">
      <w:pPr>
        <w:pStyle w:val="20"/>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14:paraId="586E7F95">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75D48F1F">
      <w:pPr>
        <w:keepNext w:val="0"/>
        <w:keepLines w:val="0"/>
        <w:pageBreakBefore w:val="0"/>
        <w:kinsoku/>
        <w:wordWrap/>
        <w:overflowPunct/>
        <w:topLinePunct w:val="0"/>
        <w:bidi w:val="0"/>
        <w:spacing w:line="600" w:lineRule="exact"/>
        <w:ind w:left="0" w:leftChars="0" w:right="0" w:firstLine="624" w:firstLineChars="200"/>
        <w:rPr>
          <w:rFonts w:hint="eastAsia" w:ascii="Times New Roman" w:hAnsi="Times New Roman" w:eastAsia="楷体_GB2312"/>
          <w:b/>
          <w:color w:val="auto"/>
          <w:sz w:val="32"/>
          <w:szCs w:val="32"/>
          <w:highlight w:val="none"/>
          <w:u w:val="none"/>
          <w:lang w:val="zh-CN"/>
        </w:rPr>
      </w:pPr>
      <w:r>
        <w:rPr>
          <w:rFonts w:hint="eastAsia" w:ascii="楷体_GB2312" w:hAnsi="楷体_GB2312" w:eastAsia="楷体_GB2312" w:cs="楷体_GB2312"/>
          <w:snapToGrid w:val="0"/>
          <w:color w:val="000000"/>
          <w:spacing w:val="-4"/>
          <w:kern w:val="0"/>
          <w:sz w:val="32"/>
          <w:szCs w:val="32"/>
          <w:lang w:val="zh-CN" w:eastAsia="zh-CN"/>
        </w:rPr>
        <w:t>（一）设立背景及基本情况</w:t>
      </w:r>
    </w:p>
    <w:p w14:paraId="677D3710">
      <w:pPr>
        <w:keepNext w:val="0"/>
        <w:keepLines w:val="0"/>
        <w:pageBreakBefore w:val="0"/>
        <w:widowControl/>
        <w:kinsoku/>
        <w:wordWrap/>
        <w:overflowPunct/>
        <w:topLinePunct w:val="0"/>
        <w:autoSpaceDE w:val="0"/>
        <w:autoSpaceDN w:val="0"/>
        <w:bidi w:val="0"/>
        <w:adjustRightInd w:val="0"/>
        <w:snapToGrid w:val="0"/>
        <w:spacing w:line="600" w:lineRule="exact"/>
        <w:ind w:right="0" w:firstLine="652" w:firstLineChars="200"/>
        <w:jc w:val="left"/>
        <w:textAlignment w:val="baseline"/>
        <w:rPr>
          <w:rFonts w:ascii="仿宋" w:hAnsi="仿宋" w:eastAsia="仿宋_GB2312" w:cs="仿宋"/>
          <w:snapToGrid w:val="0"/>
          <w:color w:val="000000"/>
          <w:kern w:val="0"/>
          <w:sz w:val="32"/>
          <w:szCs w:val="32"/>
          <w:lang w:eastAsia="en-US"/>
        </w:rPr>
      </w:pPr>
      <w:r>
        <w:rPr>
          <w:rFonts w:hint="eastAsia" w:ascii="楷体" w:hAnsi="楷体" w:eastAsia="楷体" w:cs="楷体"/>
          <w:snapToGrid w:val="0"/>
          <w:color w:val="000000"/>
          <w:spacing w:val="3"/>
          <w:kern w:val="0"/>
          <w:sz w:val="32"/>
          <w:szCs w:val="32"/>
          <w:lang w:val="en-US" w:eastAsia="zh-CN"/>
        </w:rPr>
        <w:t>1.</w:t>
      </w:r>
      <w:r>
        <w:rPr>
          <w:rFonts w:ascii="楷体" w:hAnsi="楷体" w:eastAsia="楷体" w:cs="楷体"/>
          <w:snapToGrid w:val="0"/>
          <w:color w:val="000000"/>
          <w:spacing w:val="3"/>
          <w:kern w:val="0"/>
          <w:sz w:val="32"/>
          <w:szCs w:val="32"/>
          <w:lang w:eastAsia="en-US"/>
        </w:rPr>
        <w:t>党政办公室。</w:t>
      </w:r>
      <w:r>
        <w:rPr>
          <w:rFonts w:ascii="仿宋" w:hAnsi="仿宋" w:eastAsia="仿宋_GB2312" w:cs="仿宋"/>
          <w:snapToGrid w:val="0"/>
          <w:color w:val="000000"/>
          <w:spacing w:val="3"/>
          <w:kern w:val="0"/>
          <w:sz w:val="32"/>
          <w:szCs w:val="32"/>
          <w:lang w:eastAsia="en-US"/>
        </w:rPr>
        <w:t>负责乡党委、政府综合协调、政策调</w:t>
      </w:r>
      <w:r>
        <w:rPr>
          <w:rFonts w:ascii="仿宋" w:hAnsi="仿宋" w:eastAsia="仿宋_GB2312" w:cs="仿宋"/>
          <w:snapToGrid w:val="0"/>
          <w:color w:val="000000"/>
          <w:spacing w:val="2"/>
          <w:kern w:val="0"/>
          <w:sz w:val="32"/>
          <w:szCs w:val="32"/>
          <w:lang w:eastAsia="en-US"/>
        </w:rPr>
        <w:t>研、</w:t>
      </w:r>
      <w:r>
        <w:rPr>
          <w:rFonts w:ascii="仿宋" w:hAnsi="仿宋" w:eastAsia="仿宋_GB2312" w:cs="仿宋"/>
          <w:snapToGrid w:val="0"/>
          <w:color w:val="000000"/>
          <w:spacing w:val="4"/>
          <w:kern w:val="0"/>
          <w:sz w:val="32"/>
          <w:szCs w:val="32"/>
          <w:lang w:eastAsia="en-US"/>
        </w:rPr>
        <w:t>政务公开、督促检查、绩效管理等工作；负责文电会务、保密机要、印章管理、档案管理及后勤保障服务等工作；负责财政</w:t>
      </w:r>
      <w:r>
        <w:rPr>
          <w:rFonts w:ascii="仿宋" w:hAnsi="仿宋" w:eastAsia="仿宋_GB2312" w:cs="仿宋"/>
          <w:snapToGrid w:val="0"/>
          <w:color w:val="000000"/>
          <w:spacing w:val="3"/>
          <w:kern w:val="0"/>
          <w:sz w:val="32"/>
          <w:szCs w:val="32"/>
          <w:lang w:eastAsia="en-US"/>
        </w:rPr>
        <w:t>领域</w:t>
      </w:r>
      <w:r>
        <w:rPr>
          <w:rFonts w:ascii="仿宋" w:hAnsi="仿宋" w:eastAsia="仿宋_GB2312" w:cs="仿宋"/>
          <w:snapToGrid w:val="0"/>
          <w:color w:val="000000"/>
          <w:spacing w:val="4"/>
          <w:kern w:val="0"/>
          <w:sz w:val="32"/>
          <w:szCs w:val="32"/>
          <w:lang w:eastAsia="en-US"/>
        </w:rPr>
        <w:t>各项方针政策、法律法规规章的贯彻落实；负责编制和执行本级预算、决算草案和预算绩效管理工作；负责本级财政资金收支管理及行政事业单位会计核算工作；负责资金监管工作；负责政府</w:t>
      </w:r>
      <w:r>
        <w:rPr>
          <w:rFonts w:ascii="仿宋" w:hAnsi="仿宋" w:eastAsia="仿宋_GB2312" w:cs="仿宋"/>
          <w:snapToGrid w:val="0"/>
          <w:color w:val="000000"/>
          <w:spacing w:val="15"/>
          <w:kern w:val="0"/>
          <w:sz w:val="32"/>
          <w:szCs w:val="32"/>
          <w:lang w:eastAsia="en-US"/>
        </w:rPr>
        <w:t>采购工作；负责乡财务管理，代管村</w:t>
      </w:r>
      <w:r>
        <w:rPr>
          <w:rFonts w:hint="eastAsia" w:ascii="仿宋" w:hAnsi="仿宋" w:eastAsia="仿宋_GB2312" w:cs="仿宋"/>
          <w:snapToGrid w:val="0"/>
          <w:color w:val="000000"/>
          <w:spacing w:val="15"/>
          <w:kern w:val="0"/>
          <w:sz w:val="32"/>
          <w:szCs w:val="32"/>
          <w:lang w:eastAsia="zh-CN"/>
        </w:rPr>
        <w:t>（</w:t>
      </w:r>
      <w:r>
        <w:rPr>
          <w:rFonts w:ascii="仿宋" w:hAnsi="仿宋" w:eastAsia="仿宋_GB2312" w:cs="仿宋"/>
          <w:snapToGrid w:val="0"/>
          <w:color w:val="000000"/>
          <w:spacing w:val="15"/>
          <w:kern w:val="0"/>
          <w:sz w:val="32"/>
          <w:szCs w:val="32"/>
          <w:lang w:eastAsia="en-US"/>
        </w:rPr>
        <w:t>社区</w:t>
      </w:r>
      <w:r>
        <w:rPr>
          <w:rFonts w:hint="eastAsia" w:ascii="仿宋" w:hAnsi="仿宋" w:eastAsia="仿宋_GB2312" w:cs="仿宋"/>
          <w:snapToGrid w:val="0"/>
          <w:color w:val="000000"/>
          <w:spacing w:val="15"/>
          <w:kern w:val="0"/>
          <w:sz w:val="32"/>
          <w:szCs w:val="32"/>
          <w:lang w:eastAsia="zh-CN"/>
        </w:rPr>
        <w:t>）</w:t>
      </w:r>
      <w:r>
        <w:rPr>
          <w:rFonts w:ascii="仿宋" w:hAnsi="仿宋" w:eastAsia="仿宋_GB2312" w:cs="仿宋"/>
          <w:snapToGrid w:val="0"/>
          <w:color w:val="000000"/>
          <w:spacing w:val="15"/>
          <w:kern w:val="0"/>
          <w:sz w:val="32"/>
          <w:szCs w:val="32"/>
          <w:lang w:eastAsia="en-US"/>
        </w:rPr>
        <w:t>财务；指导农村集</w:t>
      </w:r>
      <w:r>
        <w:rPr>
          <w:rFonts w:ascii="仿宋" w:hAnsi="仿宋" w:eastAsia="仿宋_GB2312" w:cs="仿宋"/>
          <w:snapToGrid w:val="0"/>
          <w:color w:val="000000"/>
          <w:spacing w:val="5"/>
          <w:kern w:val="0"/>
          <w:sz w:val="32"/>
          <w:szCs w:val="32"/>
          <w:lang w:eastAsia="en-US"/>
        </w:rPr>
        <w:t>体“三资”管理等工作；负责国有资产管理</w:t>
      </w:r>
      <w:r>
        <w:rPr>
          <w:rFonts w:ascii="仿宋" w:hAnsi="仿宋" w:eastAsia="仿宋_GB2312" w:cs="仿宋"/>
          <w:snapToGrid w:val="0"/>
          <w:color w:val="000000"/>
          <w:spacing w:val="4"/>
          <w:kern w:val="0"/>
          <w:sz w:val="32"/>
          <w:szCs w:val="32"/>
          <w:lang w:eastAsia="en-US"/>
        </w:rPr>
        <w:t>工作；负责落实兑现</w:t>
      </w:r>
      <w:r>
        <w:rPr>
          <w:rFonts w:ascii="仿宋" w:hAnsi="仿宋" w:eastAsia="仿宋_GB2312" w:cs="仿宋"/>
          <w:snapToGrid w:val="0"/>
          <w:color w:val="000000"/>
          <w:spacing w:val="-10"/>
          <w:kern w:val="0"/>
          <w:sz w:val="32"/>
          <w:szCs w:val="32"/>
          <w:lang w:eastAsia="en-US"/>
        </w:rPr>
        <w:t>各级财政惠农惠民补贴资金；负责财务管理的培训、指导、监督；负责做好财务档案管理工作；完成乡党委、政府交办的其他工作。</w:t>
      </w:r>
    </w:p>
    <w:p w14:paraId="51C19BCC">
      <w:pPr>
        <w:keepNext w:val="0"/>
        <w:keepLines w:val="0"/>
        <w:pageBreakBefore w:val="0"/>
        <w:widowControl/>
        <w:kinsoku/>
        <w:wordWrap/>
        <w:overflowPunct/>
        <w:topLinePunct w:val="0"/>
        <w:autoSpaceDE w:val="0"/>
        <w:autoSpaceDN w:val="0"/>
        <w:bidi w:val="0"/>
        <w:adjustRightInd w:val="0"/>
        <w:snapToGrid w:val="0"/>
        <w:spacing w:line="600" w:lineRule="exact"/>
        <w:ind w:right="0" w:firstLine="811"/>
        <w:jc w:val="left"/>
        <w:textAlignment w:val="baseline"/>
        <w:rPr>
          <w:rFonts w:ascii="仿宋" w:hAnsi="仿宋" w:eastAsia="仿宋_GB2312" w:cs="仿宋"/>
          <w:snapToGrid w:val="0"/>
          <w:color w:val="000000"/>
          <w:kern w:val="0"/>
          <w:sz w:val="32"/>
          <w:szCs w:val="32"/>
          <w:lang w:eastAsia="en-US"/>
        </w:rPr>
      </w:pPr>
      <w:r>
        <w:rPr>
          <w:rFonts w:hint="eastAsia" w:ascii="楷体" w:hAnsi="楷体" w:eastAsia="楷体" w:cs="楷体"/>
          <w:snapToGrid w:val="0"/>
          <w:color w:val="000000"/>
          <w:spacing w:val="3"/>
          <w:kern w:val="0"/>
          <w:sz w:val="32"/>
          <w:szCs w:val="32"/>
          <w:lang w:val="en-US" w:eastAsia="zh-CN"/>
        </w:rPr>
        <w:t>2.</w:t>
      </w:r>
      <w:r>
        <w:rPr>
          <w:rFonts w:ascii="楷体" w:hAnsi="楷体" w:eastAsia="楷体" w:cs="楷体"/>
          <w:snapToGrid w:val="0"/>
          <w:color w:val="000000"/>
          <w:spacing w:val="3"/>
          <w:kern w:val="0"/>
          <w:sz w:val="32"/>
          <w:szCs w:val="32"/>
          <w:lang w:eastAsia="en-US"/>
        </w:rPr>
        <w:t>党建工作办公室</w:t>
      </w:r>
      <w:r>
        <w:rPr>
          <w:rFonts w:ascii="仿宋" w:hAnsi="仿宋" w:eastAsia="仿宋_GB2312" w:cs="仿宋"/>
          <w:snapToGrid w:val="0"/>
          <w:color w:val="000000"/>
          <w:spacing w:val="3"/>
          <w:kern w:val="0"/>
          <w:sz w:val="32"/>
          <w:szCs w:val="32"/>
          <w:lang w:eastAsia="en-US"/>
        </w:rPr>
        <w:t>。负责基层党的建设，制定并实施基</w:t>
      </w:r>
      <w:r>
        <w:rPr>
          <w:rFonts w:ascii="仿宋" w:hAnsi="仿宋" w:eastAsia="仿宋_GB2312" w:cs="仿宋"/>
          <w:snapToGrid w:val="0"/>
          <w:color w:val="000000"/>
          <w:spacing w:val="-4"/>
          <w:kern w:val="0"/>
          <w:sz w:val="32"/>
          <w:szCs w:val="32"/>
          <w:lang w:eastAsia="en-US"/>
        </w:rPr>
        <w:t>层党组织建设规划，指导基层党组织党建工作；负责组织开展党的思想建设、组织建设、作风建设、制度建设等各项活动，统筹</w:t>
      </w:r>
      <w:r>
        <w:rPr>
          <w:rFonts w:ascii="仿宋" w:hAnsi="仿宋" w:eastAsia="仿宋_GB2312" w:cs="仿宋"/>
          <w:snapToGrid w:val="0"/>
          <w:color w:val="000000"/>
          <w:spacing w:val="8"/>
          <w:kern w:val="0"/>
          <w:sz w:val="32"/>
          <w:szCs w:val="32"/>
          <w:lang w:eastAsia="en-US"/>
        </w:rPr>
        <w:t>村</w:t>
      </w:r>
      <w:r>
        <w:rPr>
          <w:rFonts w:hint="eastAsia" w:ascii="仿宋" w:hAnsi="仿宋" w:eastAsia="仿宋_GB2312" w:cs="仿宋"/>
          <w:snapToGrid w:val="0"/>
          <w:color w:val="000000"/>
          <w:spacing w:val="8"/>
          <w:kern w:val="0"/>
          <w:sz w:val="32"/>
          <w:szCs w:val="32"/>
          <w:lang w:eastAsia="zh-CN"/>
        </w:rPr>
        <w:t>（</w:t>
      </w:r>
      <w:r>
        <w:rPr>
          <w:rFonts w:ascii="仿宋" w:hAnsi="仿宋" w:eastAsia="仿宋_GB2312" w:cs="仿宋"/>
          <w:snapToGrid w:val="0"/>
          <w:color w:val="000000"/>
          <w:spacing w:val="8"/>
          <w:kern w:val="0"/>
          <w:sz w:val="32"/>
          <w:szCs w:val="32"/>
          <w:lang w:eastAsia="en-US"/>
        </w:rPr>
        <w:t>社区</w:t>
      </w:r>
      <w:r>
        <w:rPr>
          <w:rFonts w:hint="eastAsia" w:ascii="仿宋" w:hAnsi="仿宋" w:eastAsia="仿宋_GB2312" w:cs="仿宋"/>
          <w:snapToGrid w:val="0"/>
          <w:color w:val="000000"/>
          <w:spacing w:val="8"/>
          <w:kern w:val="0"/>
          <w:sz w:val="32"/>
          <w:szCs w:val="32"/>
          <w:lang w:eastAsia="zh-CN"/>
        </w:rPr>
        <w:t>）</w:t>
      </w:r>
      <w:r>
        <w:rPr>
          <w:rFonts w:ascii="仿宋" w:hAnsi="仿宋" w:eastAsia="仿宋_GB2312" w:cs="仿宋"/>
          <w:snapToGrid w:val="0"/>
          <w:color w:val="000000"/>
          <w:spacing w:val="8"/>
          <w:kern w:val="0"/>
          <w:sz w:val="32"/>
          <w:szCs w:val="32"/>
          <w:lang w:eastAsia="en-US"/>
        </w:rPr>
        <w:t>党建、单位党建、行业党建工作；负责区域内村级班</w:t>
      </w:r>
      <w:r>
        <w:rPr>
          <w:rFonts w:ascii="仿宋" w:hAnsi="仿宋" w:eastAsia="仿宋_GB2312" w:cs="仿宋"/>
          <w:snapToGrid w:val="0"/>
          <w:color w:val="000000"/>
          <w:spacing w:val="-3"/>
          <w:kern w:val="0"/>
          <w:sz w:val="32"/>
          <w:szCs w:val="32"/>
          <w:lang w:eastAsia="en-US"/>
        </w:rPr>
        <w:t>子建设；负责机关及直属事业单位干部人事、机构</w:t>
      </w:r>
      <w:r>
        <w:rPr>
          <w:rFonts w:ascii="仿宋" w:hAnsi="仿宋" w:eastAsia="仿宋_GB2312" w:cs="仿宋"/>
          <w:snapToGrid w:val="0"/>
          <w:color w:val="000000"/>
          <w:spacing w:val="-4"/>
          <w:kern w:val="0"/>
          <w:sz w:val="32"/>
          <w:szCs w:val="32"/>
          <w:lang w:eastAsia="en-US"/>
        </w:rPr>
        <w:t>编制、职称评</w:t>
      </w:r>
      <w:r>
        <w:rPr>
          <w:rFonts w:ascii="仿宋" w:hAnsi="仿宋" w:eastAsia="仿宋_GB2312" w:cs="仿宋"/>
          <w:snapToGrid w:val="0"/>
          <w:color w:val="000000"/>
          <w:spacing w:val="-3"/>
          <w:kern w:val="0"/>
          <w:sz w:val="32"/>
          <w:szCs w:val="32"/>
          <w:lang w:eastAsia="en-US"/>
        </w:rPr>
        <w:t>聘、教育培训及退休人员管理服务等人事工作；负责人才开发引</w:t>
      </w:r>
      <w:r>
        <w:rPr>
          <w:rFonts w:ascii="仿宋" w:hAnsi="仿宋" w:eastAsia="仿宋_GB2312" w:cs="仿宋"/>
          <w:snapToGrid w:val="0"/>
          <w:color w:val="000000"/>
          <w:spacing w:val="-2"/>
          <w:kern w:val="0"/>
          <w:sz w:val="32"/>
          <w:szCs w:val="32"/>
          <w:lang w:eastAsia="en-US"/>
        </w:rPr>
        <w:t>进、农民工回引等工作；配合做好驻村帮扶相关工</w:t>
      </w:r>
      <w:r>
        <w:rPr>
          <w:rFonts w:ascii="仿宋" w:hAnsi="仿宋" w:eastAsia="仿宋_GB2312" w:cs="仿宋"/>
          <w:snapToGrid w:val="0"/>
          <w:color w:val="000000"/>
          <w:spacing w:val="-3"/>
          <w:kern w:val="0"/>
          <w:sz w:val="32"/>
          <w:szCs w:val="32"/>
          <w:lang w:eastAsia="en-US"/>
        </w:rPr>
        <w:t>作；承担乡人</w:t>
      </w:r>
      <w:r>
        <w:rPr>
          <w:rFonts w:ascii="仿宋" w:hAnsi="仿宋" w:eastAsia="仿宋_GB2312" w:cs="仿宋"/>
          <w:snapToGrid w:val="0"/>
          <w:color w:val="000000"/>
          <w:spacing w:val="-1"/>
          <w:kern w:val="0"/>
          <w:sz w:val="32"/>
          <w:szCs w:val="32"/>
          <w:lang w:eastAsia="en-US"/>
        </w:rPr>
        <w:t>大主席团日常事务；承担纪检监察、政法、宣传、统战、民族宗</w:t>
      </w:r>
      <w:r>
        <w:rPr>
          <w:rFonts w:ascii="仿宋" w:hAnsi="仿宋" w:eastAsia="仿宋_GB2312" w:cs="仿宋"/>
          <w:snapToGrid w:val="0"/>
          <w:color w:val="000000"/>
          <w:spacing w:val="-3"/>
          <w:kern w:val="0"/>
          <w:sz w:val="32"/>
          <w:szCs w:val="32"/>
          <w:lang w:eastAsia="en-US"/>
        </w:rPr>
        <w:t>教、老干部、精神文明等工作；承担工会、共青团、妇联、残联</w:t>
      </w:r>
      <w:r>
        <w:rPr>
          <w:rFonts w:ascii="仿宋" w:hAnsi="仿宋" w:eastAsia="仿宋_GB2312" w:cs="仿宋"/>
          <w:snapToGrid w:val="0"/>
          <w:color w:val="000000"/>
          <w:spacing w:val="-7"/>
          <w:kern w:val="0"/>
          <w:sz w:val="32"/>
          <w:szCs w:val="32"/>
          <w:lang w:eastAsia="en-US"/>
        </w:rPr>
        <w:t>等群团工作；完成乡党委、政府交办的其他工作。</w:t>
      </w:r>
    </w:p>
    <w:p w14:paraId="24979926">
      <w:pPr>
        <w:keepNext w:val="0"/>
        <w:keepLines w:val="0"/>
        <w:pageBreakBefore w:val="0"/>
        <w:widowControl/>
        <w:kinsoku/>
        <w:wordWrap/>
        <w:overflowPunct/>
        <w:topLinePunct w:val="0"/>
        <w:autoSpaceDE w:val="0"/>
        <w:autoSpaceDN w:val="0"/>
        <w:bidi w:val="0"/>
        <w:adjustRightInd w:val="0"/>
        <w:snapToGrid w:val="0"/>
        <w:spacing w:line="600" w:lineRule="exact"/>
        <w:ind w:right="0" w:firstLine="652" w:firstLineChars="200"/>
        <w:jc w:val="left"/>
        <w:textAlignment w:val="baseline"/>
        <w:rPr>
          <w:rFonts w:hint="eastAsia" w:ascii="仿宋" w:hAnsi="仿宋" w:eastAsia="仿宋_GB2312" w:cs="仿宋"/>
          <w:snapToGrid w:val="0"/>
          <w:color w:val="000000"/>
          <w:spacing w:val="3"/>
          <w:kern w:val="0"/>
          <w:sz w:val="32"/>
          <w:szCs w:val="32"/>
          <w:lang w:val="en-US" w:eastAsia="zh-CN"/>
        </w:rPr>
      </w:pPr>
      <w:r>
        <w:rPr>
          <w:rFonts w:hint="eastAsia" w:ascii="楷体" w:hAnsi="楷体" w:eastAsia="楷体" w:cs="楷体"/>
          <w:snapToGrid w:val="0"/>
          <w:color w:val="000000"/>
          <w:spacing w:val="3"/>
          <w:kern w:val="0"/>
          <w:sz w:val="32"/>
          <w:szCs w:val="32"/>
          <w:lang w:val="en-US" w:eastAsia="zh-CN"/>
        </w:rPr>
        <w:t>3.</w:t>
      </w:r>
      <w:r>
        <w:rPr>
          <w:rFonts w:ascii="楷体" w:hAnsi="楷体" w:eastAsia="楷体" w:cs="楷体"/>
          <w:snapToGrid w:val="0"/>
          <w:color w:val="000000"/>
          <w:spacing w:val="3"/>
          <w:kern w:val="0"/>
          <w:sz w:val="32"/>
          <w:szCs w:val="32"/>
          <w:lang w:eastAsia="en-US"/>
        </w:rPr>
        <w:t>社会事务和社会治理办公室</w:t>
      </w:r>
      <w:r>
        <w:rPr>
          <w:rFonts w:ascii="仿宋" w:hAnsi="仿宋" w:eastAsia="仿宋_GB2312" w:cs="仿宋"/>
          <w:snapToGrid w:val="0"/>
          <w:color w:val="000000"/>
          <w:spacing w:val="3"/>
          <w:kern w:val="0"/>
          <w:sz w:val="32"/>
          <w:szCs w:val="32"/>
          <w:lang w:eastAsia="en-US"/>
        </w:rPr>
        <w:t>。主要承担指导推进公共</w:t>
      </w:r>
      <w:r>
        <w:rPr>
          <w:rFonts w:hint="eastAsia" w:ascii="仿宋" w:hAnsi="仿宋" w:eastAsia="仿宋_GB2312" w:cs="仿宋"/>
          <w:snapToGrid w:val="0"/>
          <w:color w:val="000000"/>
          <w:spacing w:val="3"/>
          <w:kern w:val="0"/>
          <w:sz w:val="32"/>
          <w:szCs w:val="32"/>
          <w:lang w:val="en-US" w:eastAsia="zh-CN"/>
        </w:rPr>
        <w:t>外</w:t>
      </w:r>
    </w:p>
    <w:p w14:paraId="737D6853">
      <w:pPr>
        <w:keepNext w:val="0"/>
        <w:keepLines w:val="0"/>
        <w:pageBreakBefore w:val="0"/>
        <w:widowControl/>
        <w:kinsoku/>
        <w:wordWrap/>
        <w:overflowPunct/>
        <w:topLinePunct w:val="0"/>
        <w:autoSpaceDE w:val="0"/>
        <w:autoSpaceDN w:val="0"/>
        <w:bidi w:val="0"/>
        <w:adjustRightInd w:val="0"/>
        <w:snapToGrid w:val="0"/>
        <w:spacing w:line="600" w:lineRule="exact"/>
        <w:ind w:right="0"/>
        <w:jc w:val="left"/>
        <w:textAlignment w:val="baseline"/>
        <w:rPr>
          <w:rFonts w:ascii="仿宋" w:hAnsi="仿宋" w:eastAsia="仿宋_GB2312" w:cs="仿宋"/>
          <w:snapToGrid w:val="0"/>
          <w:color w:val="000000"/>
          <w:spacing w:val="3"/>
          <w:kern w:val="0"/>
          <w:sz w:val="32"/>
          <w:szCs w:val="32"/>
          <w:lang w:eastAsia="en-US"/>
        </w:rPr>
      </w:pPr>
      <w:r>
        <w:rPr>
          <w:rFonts w:ascii="仿宋" w:hAnsi="仿宋" w:eastAsia="仿宋_GB2312" w:cs="仿宋"/>
          <w:snapToGrid w:val="0"/>
          <w:color w:val="000000"/>
          <w:spacing w:val="3"/>
          <w:kern w:val="0"/>
          <w:sz w:val="32"/>
          <w:szCs w:val="32"/>
          <w:lang w:eastAsia="en-US"/>
        </w:rPr>
        <w:t>事务和综合管理等职责；负责编制并组织实施社会发展规划和年度计划；负责组织实施各项公共服务工作；负责教育、民政、劳动就业、社会保障、农村道路、卫生健康、人居环境、乡村风貌、残疾人事业等工作；承担公益事业和社会服务事业相关工作；会同便民服务中心根据法定职能或受委托承担辖区内行政审批、证照办理、政策咨询、劳动就业、社会保障、劳动关系调整、科技信息服务等事项。负责基层治理相关工作；指导村</w:t>
      </w:r>
      <w:r>
        <w:rPr>
          <w:rFonts w:hint="eastAsia" w:ascii="仿宋" w:hAnsi="仿宋" w:eastAsia="仿宋_GB2312" w:cs="仿宋"/>
          <w:snapToGrid w:val="0"/>
          <w:color w:val="000000"/>
          <w:spacing w:val="3"/>
          <w:kern w:val="0"/>
          <w:sz w:val="32"/>
          <w:szCs w:val="32"/>
          <w:lang w:eastAsia="zh-CN"/>
        </w:rPr>
        <w:t>（</w:t>
      </w:r>
      <w:r>
        <w:rPr>
          <w:rFonts w:ascii="仿宋" w:hAnsi="仿宋" w:eastAsia="仿宋_GB2312" w:cs="仿宋"/>
          <w:snapToGrid w:val="0"/>
          <w:color w:val="000000"/>
          <w:spacing w:val="3"/>
          <w:kern w:val="0"/>
          <w:sz w:val="32"/>
          <w:szCs w:val="32"/>
          <w:lang w:eastAsia="en-US"/>
        </w:rPr>
        <w:t>居</w:t>
      </w:r>
      <w:r>
        <w:rPr>
          <w:rFonts w:hint="eastAsia" w:ascii="仿宋" w:hAnsi="仿宋" w:eastAsia="仿宋_GB2312" w:cs="仿宋"/>
          <w:snapToGrid w:val="0"/>
          <w:color w:val="000000"/>
          <w:spacing w:val="3"/>
          <w:kern w:val="0"/>
          <w:sz w:val="32"/>
          <w:szCs w:val="32"/>
          <w:lang w:eastAsia="zh-CN"/>
        </w:rPr>
        <w:t>）</w:t>
      </w:r>
      <w:r>
        <w:rPr>
          <w:rFonts w:ascii="仿宋" w:hAnsi="仿宋" w:eastAsia="仿宋_GB2312" w:cs="仿宋"/>
          <w:snapToGrid w:val="0"/>
          <w:color w:val="000000"/>
          <w:spacing w:val="3"/>
          <w:kern w:val="0"/>
          <w:sz w:val="32"/>
          <w:szCs w:val="32"/>
          <w:lang w:eastAsia="en-US"/>
        </w:rPr>
        <w:t>民委员会工作，健全完善自治、法治、德治相结合的基层治理体系；负责基层治理信息收集、分析研判、调度指挥、反馈督办、绩效评估等工作；牵头负责辖区内网格化管理体系建设；负责社会治安综合治理、平安建设、信访稳定、法治宣传教育、多元化解、司法调解、法律援助、外来人口管理以及综治工作平台建设和日常管理协调工作；承担基层社会治安综合防控体系建设工作和社会治理综合信息平台运行的管理保障；完成乡党委、政府交办的其他工作。</w:t>
      </w:r>
    </w:p>
    <w:p w14:paraId="37EBD87A">
      <w:pPr>
        <w:keepNext w:val="0"/>
        <w:keepLines w:val="0"/>
        <w:pageBreakBefore w:val="0"/>
        <w:widowControl/>
        <w:kinsoku/>
        <w:wordWrap/>
        <w:overflowPunct/>
        <w:topLinePunct w:val="0"/>
        <w:autoSpaceDE w:val="0"/>
        <w:autoSpaceDN w:val="0"/>
        <w:bidi w:val="0"/>
        <w:adjustRightInd w:val="0"/>
        <w:snapToGrid w:val="0"/>
        <w:spacing w:line="600" w:lineRule="exact"/>
        <w:ind w:right="0" w:firstLine="668" w:firstLineChars="200"/>
        <w:jc w:val="left"/>
        <w:textAlignment w:val="baseline"/>
        <w:rPr>
          <w:rFonts w:ascii="仿宋" w:hAnsi="仿宋" w:eastAsia="仿宋_GB2312" w:cs="仿宋"/>
          <w:snapToGrid w:val="0"/>
          <w:color w:val="000000"/>
          <w:kern w:val="0"/>
          <w:sz w:val="32"/>
          <w:szCs w:val="32"/>
          <w:lang w:eastAsia="en-US"/>
        </w:rPr>
      </w:pPr>
      <w:r>
        <w:rPr>
          <w:rFonts w:hint="eastAsia" w:ascii="楷体" w:hAnsi="楷体" w:eastAsia="楷体" w:cs="楷体"/>
          <w:snapToGrid w:val="0"/>
          <w:color w:val="000000"/>
          <w:spacing w:val="7"/>
          <w:kern w:val="0"/>
          <w:sz w:val="32"/>
          <w:szCs w:val="32"/>
          <w:lang w:val="en-US" w:eastAsia="zh-CN"/>
        </w:rPr>
        <w:t>4.</w:t>
      </w:r>
      <w:r>
        <w:rPr>
          <w:rFonts w:ascii="楷体" w:hAnsi="楷体" w:eastAsia="楷体" w:cs="楷体"/>
          <w:snapToGrid w:val="0"/>
          <w:color w:val="000000"/>
          <w:spacing w:val="7"/>
          <w:kern w:val="0"/>
          <w:sz w:val="32"/>
          <w:szCs w:val="32"/>
          <w:lang w:eastAsia="en-US"/>
        </w:rPr>
        <w:t>经济发展和规划建设办公室</w:t>
      </w:r>
      <w:r>
        <w:rPr>
          <w:rFonts w:ascii="仿宋" w:hAnsi="仿宋" w:eastAsia="仿宋_GB2312" w:cs="仿宋"/>
          <w:snapToGrid w:val="0"/>
          <w:color w:val="000000"/>
          <w:spacing w:val="7"/>
          <w:kern w:val="0"/>
          <w:sz w:val="32"/>
          <w:szCs w:val="32"/>
          <w:lang w:eastAsia="en-US"/>
        </w:rPr>
        <w:t>。负责项目推进、科技创</w:t>
      </w:r>
      <w:r>
        <w:rPr>
          <w:rFonts w:ascii="仿宋" w:hAnsi="仿宋" w:eastAsia="仿宋_GB2312" w:cs="仿宋"/>
          <w:snapToGrid w:val="0"/>
          <w:color w:val="000000"/>
          <w:spacing w:val="3"/>
          <w:kern w:val="0"/>
          <w:sz w:val="32"/>
          <w:szCs w:val="32"/>
          <w:lang w:eastAsia="en-US"/>
        </w:rPr>
        <w:t>新、数据开发共享、价格、节能、能源、粮食流通、工业、信息化、招商引资、商务经济合作、统计调查分析、国民经济核算等工作；负责拟定农业、工业、三产服务业等经济发展规划和政策</w:t>
      </w:r>
      <w:r>
        <w:rPr>
          <w:rFonts w:ascii="仿宋" w:hAnsi="仿宋" w:eastAsia="仿宋_GB2312" w:cs="仿宋"/>
          <w:snapToGrid w:val="0"/>
          <w:color w:val="000000"/>
          <w:spacing w:val="4"/>
          <w:kern w:val="0"/>
          <w:sz w:val="32"/>
          <w:szCs w:val="32"/>
          <w:lang w:eastAsia="en-US"/>
        </w:rPr>
        <w:t>措施，负责协调第</w:t>
      </w:r>
      <w:r>
        <w:rPr>
          <w:rFonts w:hint="eastAsia" w:ascii="仿宋" w:hAnsi="仿宋" w:eastAsia="仿宋_GB2312" w:cs="仿宋"/>
          <w:snapToGrid w:val="0"/>
          <w:color w:val="000000"/>
          <w:spacing w:val="4"/>
          <w:kern w:val="0"/>
          <w:sz w:val="32"/>
          <w:szCs w:val="32"/>
          <w:lang w:eastAsia="zh-CN"/>
        </w:rPr>
        <w:t>一二三产业</w:t>
      </w:r>
      <w:r>
        <w:rPr>
          <w:rFonts w:ascii="仿宋" w:hAnsi="仿宋" w:eastAsia="仿宋_GB2312" w:cs="仿宋"/>
          <w:snapToGrid w:val="0"/>
          <w:color w:val="000000"/>
          <w:spacing w:val="4"/>
          <w:kern w:val="0"/>
          <w:sz w:val="32"/>
          <w:szCs w:val="32"/>
          <w:lang w:eastAsia="en-US"/>
        </w:rPr>
        <w:t>发展的重大问题；负责</w:t>
      </w:r>
      <w:r>
        <w:rPr>
          <w:rFonts w:ascii="仿宋" w:hAnsi="仿宋" w:eastAsia="仿宋_GB2312" w:cs="仿宋"/>
          <w:snapToGrid w:val="0"/>
          <w:color w:val="000000"/>
          <w:spacing w:val="3"/>
          <w:kern w:val="0"/>
          <w:sz w:val="32"/>
          <w:szCs w:val="32"/>
          <w:lang w:eastAsia="en-US"/>
        </w:rPr>
        <w:t>做好工</w:t>
      </w:r>
      <w:r>
        <w:rPr>
          <w:rFonts w:ascii="仿宋" w:hAnsi="仿宋" w:eastAsia="仿宋_GB2312" w:cs="仿宋"/>
          <w:snapToGrid w:val="0"/>
          <w:color w:val="000000"/>
          <w:spacing w:val="4"/>
          <w:kern w:val="0"/>
          <w:sz w:val="32"/>
          <w:szCs w:val="32"/>
          <w:lang w:eastAsia="en-US"/>
        </w:rPr>
        <w:t>业、农业、投资、商贸服务业、基本单位名录库记忆住户收支调</w:t>
      </w:r>
      <w:r>
        <w:rPr>
          <w:rFonts w:ascii="仿宋" w:hAnsi="仿宋" w:eastAsia="仿宋_GB2312" w:cs="仿宋"/>
          <w:snapToGrid w:val="0"/>
          <w:color w:val="000000"/>
          <w:spacing w:val="-4"/>
          <w:kern w:val="0"/>
          <w:sz w:val="32"/>
          <w:szCs w:val="32"/>
          <w:lang w:eastAsia="en-US"/>
        </w:rPr>
        <w:t>查等统计工作；负责自然资源和生态环境保护领域各项方针政策、法律法规规章的贯彻落实；负责项目建设的规划和组织实施工作；</w:t>
      </w:r>
      <w:r>
        <w:rPr>
          <w:rFonts w:ascii="仿宋" w:hAnsi="仿宋" w:eastAsia="仿宋_GB2312" w:cs="仿宋"/>
          <w:snapToGrid w:val="0"/>
          <w:color w:val="000000"/>
          <w:spacing w:val="4"/>
          <w:kern w:val="0"/>
          <w:sz w:val="32"/>
          <w:szCs w:val="32"/>
          <w:lang w:eastAsia="en-US"/>
        </w:rPr>
        <w:t>负责辖区内水库移民后期扶持工作；负责城乡建设、空</w:t>
      </w:r>
      <w:r>
        <w:rPr>
          <w:rFonts w:ascii="仿宋" w:hAnsi="仿宋" w:eastAsia="仿宋_GB2312" w:cs="仿宋"/>
          <w:snapToGrid w:val="0"/>
          <w:color w:val="000000"/>
          <w:spacing w:val="3"/>
          <w:kern w:val="0"/>
          <w:sz w:val="32"/>
          <w:szCs w:val="32"/>
          <w:lang w:eastAsia="en-US"/>
        </w:rPr>
        <w:t>间规划等</w:t>
      </w:r>
      <w:r>
        <w:rPr>
          <w:rFonts w:ascii="仿宋" w:hAnsi="仿宋" w:eastAsia="仿宋_GB2312" w:cs="仿宋"/>
          <w:snapToGrid w:val="0"/>
          <w:color w:val="000000"/>
          <w:spacing w:val="5"/>
          <w:kern w:val="0"/>
          <w:sz w:val="32"/>
          <w:szCs w:val="32"/>
          <w:lang w:eastAsia="en-US"/>
        </w:rPr>
        <w:t>领域各项方针政策、法律法规规章的贯彻落实；负责协助重点项目的征地、拆迁、安置等工作；负责宅基地管理、农业设施用地管理等工作；协助做好国土空间、交通、旅游等规划的编</w:t>
      </w:r>
      <w:r>
        <w:rPr>
          <w:rFonts w:ascii="仿宋" w:hAnsi="仿宋" w:eastAsia="仿宋_GB2312" w:cs="仿宋"/>
          <w:snapToGrid w:val="0"/>
          <w:color w:val="000000"/>
          <w:spacing w:val="4"/>
          <w:kern w:val="0"/>
          <w:sz w:val="32"/>
          <w:szCs w:val="32"/>
          <w:lang w:eastAsia="en-US"/>
        </w:rPr>
        <w:t>制和实</w:t>
      </w:r>
      <w:r>
        <w:rPr>
          <w:rFonts w:ascii="仿宋" w:hAnsi="仿宋" w:eastAsia="仿宋_GB2312" w:cs="仿宋"/>
          <w:snapToGrid w:val="0"/>
          <w:color w:val="000000"/>
          <w:spacing w:val="5"/>
          <w:kern w:val="0"/>
          <w:sz w:val="32"/>
          <w:szCs w:val="32"/>
          <w:lang w:eastAsia="en-US"/>
        </w:rPr>
        <w:t>施，并负责监督、管理。协调交通运输、电</w:t>
      </w:r>
      <w:r>
        <w:rPr>
          <w:rFonts w:ascii="仿宋" w:hAnsi="仿宋" w:eastAsia="仿宋_GB2312" w:cs="仿宋"/>
          <w:snapToGrid w:val="0"/>
          <w:color w:val="000000"/>
          <w:spacing w:val="4"/>
          <w:kern w:val="0"/>
          <w:sz w:val="32"/>
          <w:szCs w:val="32"/>
          <w:lang w:eastAsia="en-US"/>
        </w:rPr>
        <w:t>力、通讯、水利等基</w:t>
      </w:r>
      <w:r>
        <w:rPr>
          <w:rFonts w:ascii="仿宋" w:hAnsi="仿宋" w:eastAsia="仿宋_GB2312" w:cs="仿宋"/>
          <w:snapToGrid w:val="0"/>
          <w:color w:val="000000"/>
          <w:spacing w:val="1"/>
          <w:kern w:val="0"/>
          <w:sz w:val="32"/>
          <w:szCs w:val="32"/>
          <w:lang w:eastAsia="en-US"/>
        </w:rPr>
        <w:t>础建设工作；完成乡党委、政府交办的其他工作。</w:t>
      </w:r>
    </w:p>
    <w:p w14:paraId="1522F145">
      <w:pPr>
        <w:keepNext w:val="0"/>
        <w:keepLines w:val="0"/>
        <w:pageBreakBefore w:val="0"/>
        <w:widowControl/>
        <w:kinsoku/>
        <w:wordWrap/>
        <w:overflowPunct/>
        <w:topLinePunct w:val="0"/>
        <w:autoSpaceDE w:val="0"/>
        <w:autoSpaceDN w:val="0"/>
        <w:bidi w:val="0"/>
        <w:adjustRightInd w:val="0"/>
        <w:snapToGrid w:val="0"/>
        <w:spacing w:line="600" w:lineRule="exact"/>
        <w:ind w:right="0" w:firstLine="664" w:firstLineChars="200"/>
        <w:jc w:val="both"/>
        <w:textAlignment w:val="baseline"/>
        <w:rPr>
          <w:rFonts w:ascii="仿宋" w:hAnsi="仿宋" w:eastAsia="仿宋_GB2312" w:cs="仿宋"/>
          <w:snapToGrid w:val="0"/>
          <w:color w:val="000000"/>
          <w:kern w:val="0"/>
          <w:sz w:val="32"/>
          <w:szCs w:val="32"/>
          <w:lang w:eastAsia="en-US"/>
        </w:rPr>
      </w:pPr>
      <w:r>
        <w:rPr>
          <w:rFonts w:hint="eastAsia" w:ascii="楷体" w:hAnsi="楷体" w:eastAsia="楷体" w:cs="楷体"/>
          <w:snapToGrid w:val="0"/>
          <w:color w:val="000000"/>
          <w:spacing w:val="6"/>
          <w:kern w:val="0"/>
          <w:sz w:val="32"/>
          <w:szCs w:val="32"/>
          <w:lang w:val="en-US" w:eastAsia="zh-CN"/>
        </w:rPr>
        <w:t>5.</w:t>
      </w:r>
      <w:r>
        <w:rPr>
          <w:rFonts w:ascii="楷体" w:hAnsi="楷体" w:eastAsia="楷体" w:cs="楷体"/>
          <w:snapToGrid w:val="0"/>
          <w:color w:val="000000"/>
          <w:spacing w:val="6"/>
          <w:kern w:val="0"/>
          <w:sz w:val="32"/>
          <w:szCs w:val="32"/>
          <w:lang w:eastAsia="en-US"/>
        </w:rPr>
        <w:t>综合执法和应急管理办公室。</w:t>
      </w:r>
      <w:r>
        <w:rPr>
          <w:rFonts w:ascii="仿宋" w:hAnsi="仿宋" w:eastAsia="仿宋_GB2312" w:cs="仿宋"/>
          <w:snapToGrid w:val="0"/>
          <w:color w:val="000000"/>
          <w:spacing w:val="6"/>
          <w:kern w:val="0"/>
          <w:sz w:val="32"/>
          <w:szCs w:val="32"/>
          <w:lang w:eastAsia="en-US"/>
        </w:rPr>
        <w:t>根据有关法律法规和赋</w:t>
      </w:r>
      <w:r>
        <w:rPr>
          <w:rFonts w:ascii="仿宋" w:hAnsi="仿宋" w:eastAsia="仿宋_GB2312" w:cs="仿宋"/>
          <w:snapToGrid w:val="0"/>
          <w:color w:val="000000"/>
          <w:spacing w:val="5"/>
          <w:kern w:val="0"/>
          <w:sz w:val="32"/>
          <w:szCs w:val="32"/>
          <w:lang w:eastAsia="en-US"/>
        </w:rPr>
        <w:t>权等，承担本行政区域内的综合行政执法工作；负责开展日常巡</w:t>
      </w:r>
      <w:r>
        <w:rPr>
          <w:rFonts w:ascii="仿宋" w:hAnsi="仿宋" w:eastAsia="仿宋_GB2312" w:cs="仿宋"/>
          <w:snapToGrid w:val="0"/>
          <w:color w:val="000000"/>
          <w:spacing w:val="3"/>
          <w:kern w:val="0"/>
          <w:sz w:val="32"/>
          <w:szCs w:val="32"/>
          <w:lang w:eastAsia="en-US"/>
        </w:rPr>
        <w:t>查和有关执法检查；负责统一指挥协调县级部门派驻乡的行政执</w:t>
      </w:r>
      <w:r>
        <w:rPr>
          <w:rFonts w:ascii="仿宋" w:hAnsi="仿宋" w:eastAsia="仿宋_GB2312" w:cs="仿宋"/>
          <w:snapToGrid w:val="0"/>
          <w:color w:val="000000"/>
          <w:spacing w:val="2"/>
          <w:kern w:val="0"/>
          <w:sz w:val="32"/>
          <w:szCs w:val="32"/>
          <w:lang w:eastAsia="en-US"/>
        </w:rPr>
        <w:t>法力量；负责支持、配合县级相关部门的执法工作；负责生态环</w:t>
      </w:r>
      <w:r>
        <w:rPr>
          <w:rFonts w:ascii="仿宋" w:hAnsi="仿宋" w:eastAsia="仿宋_GB2312" w:cs="仿宋"/>
          <w:snapToGrid w:val="0"/>
          <w:color w:val="000000"/>
          <w:spacing w:val="3"/>
          <w:kern w:val="0"/>
          <w:sz w:val="32"/>
          <w:szCs w:val="32"/>
          <w:lang w:eastAsia="en-US"/>
        </w:rPr>
        <w:t>境保护和城乡环境综合治理等工作；完成乡党委、政府交</w:t>
      </w:r>
      <w:r>
        <w:rPr>
          <w:rFonts w:ascii="仿宋" w:hAnsi="仿宋" w:eastAsia="仿宋_GB2312" w:cs="仿宋"/>
          <w:snapToGrid w:val="0"/>
          <w:color w:val="000000"/>
          <w:spacing w:val="2"/>
          <w:kern w:val="0"/>
          <w:sz w:val="32"/>
          <w:szCs w:val="32"/>
          <w:lang w:eastAsia="en-US"/>
        </w:rPr>
        <w:t>办的其</w:t>
      </w:r>
      <w:r>
        <w:rPr>
          <w:rFonts w:ascii="仿宋" w:hAnsi="仿宋" w:eastAsia="仿宋_GB2312" w:cs="仿宋"/>
          <w:snapToGrid w:val="0"/>
          <w:color w:val="000000"/>
          <w:spacing w:val="3"/>
          <w:kern w:val="0"/>
          <w:sz w:val="32"/>
          <w:szCs w:val="32"/>
          <w:lang w:eastAsia="en-US"/>
        </w:rPr>
        <w:t>他工作；负责应急管理、安全生产等领域各项方针政策</w:t>
      </w:r>
      <w:r>
        <w:rPr>
          <w:rFonts w:ascii="仿宋" w:hAnsi="仿宋" w:eastAsia="仿宋_GB2312" w:cs="仿宋"/>
          <w:snapToGrid w:val="0"/>
          <w:color w:val="000000"/>
          <w:spacing w:val="2"/>
          <w:kern w:val="0"/>
          <w:sz w:val="32"/>
          <w:szCs w:val="32"/>
          <w:lang w:eastAsia="en-US"/>
        </w:rPr>
        <w:t>、法律法</w:t>
      </w:r>
      <w:r>
        <w:rPr>
          <w:rFonts w:ascii="仿宋" w:hAnsi="仿宋" w:eastAsia="仿宋_GB2312" w:cs="仿宋"/>
          <w:snapToGrid w:val="0"/>
          <w:color w:val="000000"/>
          <w:spacing w:val="-4"/>
          <w:kern w:val="0"/>
          <w:sz w:val="32"/>
          <w:szCs w:val="32"/>
          <w:lang w:eastAsia="en-US"/>
        </w:rPr>
        <w:t>规规章的贯彻落实；负责辖区内安全生产、抗震救灾、防汛抗旱、</w:t>
      </w:r>
      <w:r>
        <w:rPr>
          <w:rFonts w:ascii="仿宋" w:hAnsi="仿宋" w:eastAsia="仿宋_GB2312" w:cs="仿宋"/>
          <w:snapToGrid w:val="0"/>
          <w:color w:val="000000"/>
          <w:spacing w:val="2"/>
          <w:kern w:val="0"/>
          <w:sz w:val="32"/>
          <w:szCs w:val="32"/>
          <w:lang w:eastAsia="en-US"/>
        </w:rPr>
        <w:t>地质灾害、消防安全、森林防灭火、道路交通安全、生态环境事</w:t>
      </w:r>
      <w:r>
        <w:rPr>
          <w:rFonts w:ascii="仿宋" w:hAnsi="仿宋" w:eastAsia="仿宋_GB2312" w:cs="仿宋"/>
          <w:snapToGrid w:val="0"/>
          <w:color w:val="000000"/>
          <w:spacing w:val="14"/>
          <w:kern w:val="0"/>
          <w:sz w:val="32"/>
          <w:szCs w:val="32"/>
          <w:lang w:eastAsia="en-US"/>
        </w:rPr>
        <w:t>件、公共卫生事件、食品药品安全事件、动</w:t>
      </w:r>
      <w:r>
        <w:rPr>
          <w:rFonts w:hint="eastAsia" w:ascii="仿宋" w:hAnsi="仿宋" w:eastAsia="仿宋_GB2312" w:cs="仿宋"/>
          <w:snapToGrid w:val="0"/>
          <w:color w:val="000000"/>
          <w:spacing w:val="14"/>
          <w:kern w:val="0"/>
          <w:sz w:val="32"/>
          <w:szCs w:val="32"/>
          <w:lang w:eastAsia="zh-CN"/>
        </w:rPr>
        <w:t>（</w:t>
      </w:r>
      <w:r>
        <w:rPr>
          <w:rFonts w:ascii="仿宋" w:hAnsi="仿宋" w:eastAsia="仿宋_GB2312" w:cs="仿宋"/>
          <w:snapToGrid w:val="0"/>
          <w:color w:val="000000"/>
          <w:spacing w:val="14"/>
          <w:kern w:val="0"/>
          <w:sz w:val="32"/>
          <w:szCs w:val="32"/>
          <w:lang w:eastAsia="en-US"/>
        </w:rPr>
        <w:t>植</w:t>
      </w:r>
      <w:r>
        <w:rPr>
          <w:rFonts w:hint="eastAsia" w:ascii="仿宋" w:hAnsi="仿宋" w:eastAsia="仿宋_GB2312" w:cs="仿宋"/>
          <w:snapToGrid w:val="0"/>
          <w:color w:val="000000"/>
          <w:spacing w:val="14"/>
          <w:kern w:val="0"/>
          <w:sz w:val="32"/>
          <w:szCs w:val="32"/>
          <w:lang w:eastAsia="zh-CN"/>
        </w:rPr>
        <w:t>）</w:t>
      </w:r>
      <w:r>
        <w:rPr>
          <w:rFonts w:ascii="仿宋" w:hAnsi="仿宋" w:eastAsia="仿宋_GB2312" w:cs="仿宋"/>
          <w:snapToGrid w:val="0"/>
          <w:color w:val="000000"/>
          <w:spacing w:val="14"/>
          <w:kern w:val="0"/>
          <w:sz w:val="32"/>
          <w:szCs w:val="32"/>
          <w:lang w:eastAsia="en-US"/>
        </w:rPr>
        <w:t>物疫情事件及</w:t>
      </w:r>
      <w:r>
        <w:rPr>
          <w:rFonts w:ascii="仿宋" w:hAnsi="仿宋" w:eastAsia="仿宋_GB2312" w:cs="仿宋"/>
          <w:snapToGrid w:val="0"/>
          <w:color w:val="000000"/>
          <w:spacing w:val="-4"/>
          <w:kern w:val="0"/>
          <w:sz w:val="32"/>
          <w:szCs w:val="32"/>
          <w:lang w:eastAsia="en-US"/>
        </w:rPr>
        <w:t>各类突发事件应急处置工作。完成乡党委、政府交办的其他工作。</w:t>
      </w:r>
    </w:p>
    <w:p w14:paraId="0994F9FB">
      <w:pPr>
        <w:keepNext w:val="0"/>
        <w:keepLines w:val="0"/>
        <w:pageBreakBefore w:val="0"/>
        <w:widowControl/>
        <w:kinsoku/>
        <w:wordWrap/>
        <w:overflowPunct/>
        <w:topLinePunct w:val="0"/>
        <w:autoSpaceDE w:val="0"/>
        <w:autoSpaceDN w:val="0"/>
        <w:bidi w:val="0"/>
        <w:adjustRightInd w:val="0"/>
        <w:snapToGrid w:val="0"/>
        <w:spacing w:line="600" w:lineRule="exact"/>
        <w:ind w:right="0" w:firstLine="664"/>
        <w:jc w:val="left"/>
        <w:textAlignment w:val="baseline"/>
        <w:rPr>
          <w:rFonts w:hint="eastAsia" w:ascii="Times New Roman" w:hAnsi="Times New Roman" w:eastAsia="仿宋_GB2312" w:cs="仿宋_GB2312"/>
          <w:color w:val="auto"/>
          <w:kern w:val="0"/>
          <w:sz w:val="32"/>
          <w:szCs w:val="32"/>
          <w:highlight w:val="none"/>
          <w:u w:val="none"/>
          <w:shd w:val="clear" w:color="auto" w:fill="FFFFFF"/>
          <w:lang w:val="zh-CN"/>
        </w:rPr>
      </w:pPr>
      <w:r>
        <w:rPr>
          <w:rFonts w:ascii="仿宋" w:hAnsi="仿宋" w:eastAsia="仿宋_GB2312" w:cs="仿宋"/>
          <w:snapToGrid w:val="0"/>
          <w:color w:val="000000"/>
          <w:spacing w:val="2"/>
          <w:kern w:val="0"/>
          <w:sz w:val="32"/>
          <w:szCs w:val="32"/>
          <w:lang w:eastAsia="en-US"/>
        </w:rPr>
        <w:t>宜坪乡纪检监察、人大、人民武装等机构和群团组</w:t>
      </w:r>
      <w:r>
        <w:rPr>
          <w:rFonts w:ascii="仿宋" w:hAnsi="仿宋" w:eastAsia="仿宋_GB2312" w:cs="仿宋"/>
          <w:snapToGrid w:val="0"/>
          <w:color w:val="000000"/>
          <w:spacing w:val="-4"/>
          <w:kern w:val="0"/>
          <w:sz w:val="32"/>
          <w:szCs w:val="32"/>
          <w:lang w:eastAsia="en-US"/>
        </w:rPr>
        <w:t>织按有关规定或章程设置。</w:t>
      </w:r>
    </w:p>
    <w:p w14:paraId="59B2C313">
      <w:pPr>
        <w:keepNext w:val="0"/>
        <w:keepLines w:val="0"/>
        <w:pageBreakBefore w:val="0"/>
        <w:kinsoku/>
        <w:wordWrap/>
        <w:overflowPunct/>
        <w:topLinePunct w:val="0"/>
        <w:bidi w:val="0"/>
        <w:spacing w:line="600" w:lineRule="exact"/>
        <w:ind w:left="0" w:leftChars="0" w:right="0" w:firstLine="624" w:firstLineChars="200"/>
        <w:rPr>
          <w:rFonts w:hint="eastAsia" w:ascii="楷体_GB2312" w:hAnsi="楷体_GB2312" w:eastAsia="楷体_GB2312" w:cs="楷体_GB2312"/>
          <w:snapToGrid w:val="0"/>
          <w:color w:val="000000"/>
          <w:spacing w:val="-4"/>
          <w:kern w:val="0"/>
          <w:sz w:val="32"/>
          <w:szCs w:val="32"/>
          <w:lang w:val="en-US" w:eastAsia="zh-CN"/>
        </w:rPr>
      </w:pPr>
      <w:r>
        <w:rPr>
          <w:rFonts w:hint="eastAsia" w:ascii="楷体_GB2312" w:hAnsi="楷体_GB2312" w:eastAsia="楷体_GB2312" w:cs="楷体_GB2312"/>
          <w:snapToGrid w:val="0"/>
          <w:color w:val="000000"/>
          <w:spacing w:val="-4"/>
          <w:kern w:val="0"/>
          <w:sz w:val="32"/>
          <w:szCs w:val="32"/>
          <w:lang w:val="zh-CN" w:eastAsia="zh-CN"/>
        </w:rPr>
        <w:t>（二）</w:t>
      </w:r>
      <w:r>
        <w:rPr>
          <w:rFonts w:hint="default" w:ascii="楷体_GB2312" w:hAnsi="楷体_GB2312" w:eastAsia="楷体_GB2312" w:cs="楷体_GB2312"/>
          <w:snapToGrid w:val="0"/>
          <w:color w:val="000000"/>
          <w:spacing w:val="-4"/>
          <w:kern w:val="0"/>
          <w:sz w:val="32"/>
          <w:szCs w:val="32"/>
          <w:lang w:val="en-US" w:eastAsia="zh-CN"/>
        </w:rPr>
        <w:t>实施目的及支持方向</w:t>
      </w:r>
    </w:p>
    <w:p w14:paraId="175F29F8">
      <w:pPr>
        <w:pStyle w:val="5"/>
        <w:keepNext w:val="0"/>
        <w:keepLines w:val="0"/>
        <w:pageBreakBefore w:val="0"/>
        <w:widowControl w:val="0"/>
        <w:kinsoku/>
        <w:wordWrap/>
        <w:overflowPunct/>
        <w:topLinePunct w:val="0"/>
        <w:autoSpaceDE w:val="0"/>
        <w:autoSpaceDN w:val="0"/>
        <w:bidi w:val="0"/>
        <w:adjustRightInd w:val="0"/>
        <w:snapToGrid w:val="0"/>
        <w:spacing w:beforeLines="0" w:line="600" w:lineRule="exact"/>
        <w:ind w:right="0" w:firstLine="640" w:firstLineChars="200"/>
        <w:jc w:val="both"/>
        <w:textAlignment w:val="baseline"/>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snapToGrid/>
          <w:spacing w:val="0"/>
          <w:kern w:val="2"/>
          <w:sz w:val="32"/>
          <w:szCs w:val="32"/>
          <w:lang w:val="en-US" w:eastAsia="zh-CN"/>
        </w:rPr>
        <w:t>一是产业发展有质效。推广“薯玉蔬蔬”山区粮经复合种植模式，主导产业面积达到17000亩，本土合作社、企业申报的“峨边马铃薯”“黑竹沟藤椒”入选首批中国农产品品牌索引名录，建成全省“百县千片”马铃薯高产示范片、省级优势特色产业强镇。二是乡村建设有收获。宜坪村代表峨边参加乐山市乡村振兴发展暨宜居宜业和美乡村建设工作推进会</w:t>
      </w:r>
      <w:r>
        <w:rPr>
          <w:rFonts w:hint="eastAsia" w:hAnsi="仿宋_GB2312" w:cs="仿宋_GB2312"/>
          <w:snapToGrid/>
          <w:spacing w:val="0"/>
          <w:kern w:val="2"/>
          <w:sz w:val="32"/>
          <w:szCs w:val="32"/>
          <w:lang w:val="en-US" w:eastAsia="zh-CN"/>
        </w:rPr>
        <w:t>（</w:t>
      </w:r>
      <w:r>
        <w:rPr>
          <w:rFonts w:hint="eastAsia" w:ascii="仿宋_GB2312" w:hAnsi="仿宋_GB2312" w:eastAsia="仿宋_GB2312" w:cs="仿宋_GB2312"/>
          <w:snapToGrid/>
          <w:spacing w:val="0"/>
          <w:kern w:val="2"/>
          <w:sz w:val="32"/>
          <w:szCs w:val="32"/>
          <w:lang w:val="en-US" w:eastAsia="zh-CN"/>
        </w:rPr>
        <w:t>现场调研阶段</w:t>
      </w:r>
      <w:r>
        <w:rPr>
          <w:rFonts w:hint="eastAsia" w:hAnsi="仿宋_GB2312" w:cs="仿宋_GB2312"/>
          <w:snapToGrid/>
          <w:spacing w:val="0"/>
          <w:kern w:val="2"/>
          <w:sz w:val="32"/>
          <w:szCs w:val="32"/>
          <w:lang w:val="en-US" w:eastAsia="zh-CN"/>
        </w:rPr>
        <w:t>），</w:t>
      </w:r>
      <w:r>
        <w:rPr>
          <w:rFonts w:hint="eastAsia" w:ascii="仿宋_GB2312" w:hAnsi="仿宋_GB2312" w:eastAsia="仿宋_GB2312" w:cs="仿宋_GB2312"/>
          <w:snapToGrid/>
          <w:spacing w:val="0"/>
          <w:kern w:val="2"/>
          <w:sz w:val="32"/>
          <w:szCs w:val="32"/>
          <w:lang w:val="en-US" w:eastAsia="zh-CN"/>
        </w:rPr>
        <w:t>提炼、推广“三个千万”产业模式，产业发展成果获市县领导高度赞扬，建成全县唯一的市级宜居宜业和美乡村精品村。三是创先争优有成果。2024年，宜坪村分别获评四川省乡村振兴示范村、乐山市乡村振兴示范村；桐花村被命名为四川省“六无”平安村，宜坪乡便民服务中心获评第三批省级“示范便民服务中心”。四是园区建设有提升。新建宜坪山居小院、饮水提升等项目16个、总投资3897余万元，建成农事服务中心和水肥一体化、智慧农业体系等产业园区配套设施，带动流转土地1200余亩，群众就近务工1000余人</w:t>
      </w:r>
      <w:r>
        <w:rPr>
          <w:rFonts w:hint="eastAsia" w:hAnsi="仿宋_GB2312" w:cs="仿宋_GB2312"/>
          <w:snapToGrid/>
          <w:spacing w:val="0"/>
          <w:kern w:val="2"/>
          <w:sz w:val="32"/>
          <w:szCs w:val="32"/>
          <w:lang w:val="en-US" w:eastAsia="zh-CN"/>
        </w:rPr>
        <w:t>（</w:t>
      </w:r>
      <w:r>
        <w:rPr>
          <w:rFonts w:hint="eastAsia" w:ascii="仿宋_GB2312" w:hAnsi="仿宋_GB2312" w:eastAsia="仿宋_GB2312" w:cs="仿宋_GB2312"/>
          <w:snapToGrid/>
          <w:spacing w:val="0"/>
          <w:kern w:val="2"/>
          <w:sz w:val="32"/>
          <w:szCs w:val="32"/>
          <w:lang w:val="en-US" w:eastAsia="zh-CN"/>
        </w:rPr>
        <w:t>次</w:t>
      </w:r>
      <w:r>
        <w:rPr>
          <w:rFonts w:hint="eastAsia" w:hAnsi="仿宋_GB2312" w:cs="仿宋_GB2312"/>
          <w:snapToGrid/>
          <w:spacing w:val="0"/>
          <w:kern w:val="2"/>
          <w:sz w:val="32"/>
          <w:szCs w:val="32"/>
          <w:lang w:val="en-US" w:eastAsia="zh-CN"/>
        </w:rPr>
        <w:t>）</w:t>
      </w:r>
      <w:r>
        <w:rPr>
          <w:rFonts w:hint="eastAsia" w:ascii="仿宋_GB2312" w:hAnsi="仿宋_GB2312" w:eastAsia="仿宋_GB2312" w:cs="仿宋_GB2312"/>
          <w:snapToGrid/>
          <w:spacing w:val="0"/>
          <w:kern w:val="2"/>
          <w:sz w:val="32"/>
          <w:szCs w:val="32"/>
          <w:lang w:val="en-US" w:eastAsia="zh-CN"/>
        </w:rPr>
        <w:t>。五是市场主</w:t>
      </w:r>
      <w:r>
        <w:rPr>
          <w:rFonts w:hint="eastAsia" w:hAnsi="仿宋_GB2312" w:cs="仿宋_GB2312"/>
          <w:snapToGrid/>
          <w:spacing w:val="0"/>
          <w:kern w:val="2"/>
          <w:sz w:val="32"/>
          <w:szCs w:val="32"/>
          <w:lang w:val="en-US" w:eastAsia="zh-CN"/>
        </w:rPr>
        <w:t>体</w:t>
      </w:r>
      <w:r>
        <w:rPr>
          <w:rFonts w:hint="eastAsia" w:ascii="仿宋_GB2312" w:hAnsi="仿宋_GB2312" w:eastAsia="仿宋_GB2312" w:cs="仿宋_GB2312"/>
          <w:snapToGrid/>
          <w:spacing w:val="0"/>
          <w:kern w:val="2"/>
          <w:sz w:val="32"/>
          <w:szCs w:val="32"/>
          <w:lang w:val="en-US" w:eastAsia="zh-CN"/>
        </w:rPr>
        <w:t>有壮大。引进的佳水裕山农业发展有限公司、四川半亩农田农业开发有限公司，全年投入200余万元，流转土地1200余亩，种植枇杷500余亩、蔬菜570余亩、中药材400余亩。六是业态培育有突破。举办宜坪乡第六届枇杷丰收节，启动高山枇杷种植技术规程编制、发布宜坪四季菜单，主动改良枇杷产业种植技术，拓宽宜坪枇杷销售渠道。七是乡村治理有创新。创新开展“家门口农情站”</w:t>
      </w:r>
      <w:r>
        <w:rPr>
          <w:rFonts w:hint="eastAsia" w:hAnsi="仿宋_GB2312" w:cs="仿宋_GB2312"/>
          <w:snapToGrid/>
          <w:spacing w:val="0"/>
          <w:kern w:val="2"/>
          <w:sz w:val="32"/>
          <w:szCs w:val="32"/>
          <w:lang w:val="en-US" w:eastAsia="zh-CN"/>
        </w:rPr>
        <w:t>，</w:t>
      </w:r>
      <w:r>
        <w:rPr>
          <w:rFonts w:hint="eastAsia" w:ascii="仿宋_GB2312" w:hAnsi="仿宋_GB2312" w:eastAsia="仿宋_GB2312" w:cs="仿宋_GB2312"/>
          <w:snapToGrid/>
          <w:spacing w:val="0"/>
          <w:kern w:val="2"/>
          <w:sz w:val="32"/>
          <w:szCs w:val="32"/>
          <w:lang w:val="en-US" w:eastAsia="zh-CN"/>
        </w:rPr>
        <w:t>推动群众聚集的“摆点”</w:t>
      </w:r>
      <w:r>
        <w:rPr>
          <w:rFonts w:hint="eastAsia" w:hAnsi="仿宋_GB2312" w:cs="仿宋_GB2312"/>
          <w:snapToGrid/>
          <w:spacing w:val="0"/>
          <w:kern w:val="2"/>
          <w:sz w:val="32"/>
          <w:szCs w:val="32"/>
          <w:lang w:val="en-US" w:eastAsia="zh-CN"/>
        </w:rPr>
        <w:t>，</w:t>
      </w:r>
      <w:r>
        <w:rPr>
          <w:rFonts w:hint="eastAsia" w:ascii="仿宋_GB2312" w:hAnsi="仿宋_GB2312" w:eastAsia="仿宋_GB2312" w:cs="仿宋_GB2312"/>
          <w:snapToGrid/>
          <w:spacing w:val="0"/>
          <w:kern w:val="2"/>
          <w:sz w:val="32"/>
          <w:szCs w:val="32"/>
          <w:lang w:val="en-US" w:eastAsia="zh-CN"/>
        </w:rPr>
        <w:t>转变为讨论发展、宣传政策、了解困难的“热点”</w:t>
      </w:r>
      <w:r>
        <w:rPr>
          <w:rFonts w:hint="eastAsia" w:hAnsi="仿宋_GB2312" w:cs="仿宋_GB2312"/>
          <w:snapToGrid/>
          <w:spacing w:val="0"/>
          <w:kern w:val="2"/>
          <w:sz w:val="32"/>
          <w:szCs w:val="32"/>
          <w:lang w:val="en-US" w:eastAsia="zh-CN"/>
        </w:rPr>
        <w:t>，</w:t>
      </w:r>
      <w:r>
        <w:rPr>
          <w:rFonts w:hint="eastAsia" w:ascii="仿宋_GB2312" w:hAnsi="仿宋_GB2312" w:eastAsia="仿宋_GB2312" w:cs="仿宋_GB2312"/>
          <w:snapToGrid/>
          <w:spacing w:val="0"/>
          <w:kern w:val="2"/>
          <w:sz w:val="32"/>
          <w:szCs w:val="32"/>
          <w:lang w:val="en-US" w:eastAsia="zh-CN"/>
        </w:rPr>
        <w:t>解决困难20余个。八是干部队伍有成长。提拔1名正科级干部，2名副科级干部进一步使用，1名班子成员荣获市委、市政府颁发的2024年郭沫若文学艺术奖新人新作奖，1名班子成员被省军区评为2024年四川省新任职基层人民武装部部长业务培训先进个人，1名班子成员获全市党委信息优秀个人，1名班子成员在县庆40周年工作中获得先进个人称号。九是民生实事有进步。顺利完成宜坪乡高山马铃薯种植示范项目、饮水提升项目，打造宜坪村养老互助点，举办宜坪乡专场就业招聘会，为脱贫人口申请“五小到户”产业奖补256.23万元、务工交通补贴21.79万元，群众满意有效提升。十是底线红线守得牢。全年新增耕地恢复188亩，实现耕地净流入；强化防止返贫监测帮扶，排查农户4059户，新增监测对象9户35人，无一人返贫致贫；全年乡内安全生产事故0发生、全乡重要节点0上访、重大舆情事件0发生。</w:t>
      </w:r>
    </w:p>
    <w:p w14:paraId="073450CA">
      <w:pPr>
        <w:keepNext w:val="0"/>
        <w:keepLines w:val="0"/>
        <w:pageBreakBefore w:val="0"/>
        <w:kinsoku/>
        <w:wordWrap/>
        <w:overflowPunct/>
        <w:topLinePunct w:val="0"/>
        <w:bidi w:val="0"/>
        <w:spacing w:line="600" w:lineRule="exact"/>
        <w:ind w:left="0" w:leftChars="0" w:right="0" w:firstLine="624" w:firstLineChars="200"/>
        <w:rPr>
          <w:rFonts w:hint="eastAsia" w:ascii="楷体_GB2312" w:hAnsi="楷体_GB2312" w:eastAsia="楷体_GB2312" w:cs="楷体_GB2312"/>
          <w:snapToGrid w:val="0"/>
          <w:color w:val="000000"/>
          <w:spacing w:val="-4"/>
          <w:kern w:val="0"/>
          <w:sz w:val="32"/>
          <w:szCs w:val="32"/>
          <w:lang w:val="zh-CN" w:eastAsia="zh-CN"/>
        </w:rPr>
      </w:pPr>
      <w:r>
        <w:rPr>
          <w:rFonts w:hint="eastAsia" w:ascii="楷体_GB2312" w:hAnsi="楷体_GB2312" w:eastAsia="楷体_GB2312" w:cs="楷体_GB2312"/>
          <w:snapToGrid w:val="0"/>
          <w:color w:val="000000"/>
          <w:spacing w:val="-4"/>
          <w:kern w:val="0"/>
          <w:sz w:val="32"/>
          <w:szCs w:val="32"/>
          <w:lang w:val="zh-CN" w:eastAsia="zh-CN"/>
        </w:rPr>
        <w:t>（三）</w:t>
      </w:r>
      <w:r>
        <w:rPr>
          <w:rFonts w:hint="default" w:ascii="楷体_GB2312" w:hAnsi="楷体_GB2312" w:eastAsia="楷体_GB2312" w:cs="楷体_GB2312"/>
          <w:snapToGrid w:val="0"/>
          <w:color w:val="000000"/>
          <w:spacing w:val="-4"/>
          <w:kern w:val="0"/>
          <w:sz w:val="32"/>
          <w:szCs w:val="32"/>
          <w:lang w:val="en-US" w:eastAsia="zh-CN"/>
        </w:rPr>
        <w:t>预算安排及分配管理</w:t>
      </w:r>
    </w:p>
    <w:p w14:paraId="6EAF60C0">
      <w:pPr>
        <w:keepNext w:val="0"/>
        <w:keepLines w:val="0"/>
        <w:pageBreakBefore w:val="0"/>
        <w:widowControl/>
        <w:numPr>
          <w:ilvl w:val="0"/>
          <w:numId w:val="0"/>
        </w:numPr>
        <w:kinsoku/>
        <w:wordWrap/>
        <w:overflowPunct/>
        <w:topLinePunct w:val="0"/>
        <w:bidi w:val="0"/>
        <w:adjustRightInd w:val="0"/>
        <w:snapToGrid w:val="0"/>
        <w:spacing w:line="600" w:lineRule="exact"/>
        <w:ind w:right="0" w:firstLine="640" w:firstLineChars="200"/>
        <w:contextualSpacing/>
        <w:jc w:val="left"/>
        <w:rPr>
          <w:rFonts w:hint="eastAsia"/>
          <w:lang w:val="en-US" w:eastAsia="zh-CN"/>
        </w:rPr>
      </w:pPr>
      <w:r>
        <w:rPr>
          <w:rFonts w:hint="eastAsia" w:ascii="仿宋" w:hAnsi="仿宋" w:eastAsia="仿宋_GB2312" w:cs="仿宋"/>
          <w:color w:val="auto"/>
          <w:kern w:val="0"/>
          <w:sz w:val="32"/>
          <w:szCs w:val="32"/>
          <w:shd w:val="clear" w:color="auto" w:fill="FFFFFF"/>
          <w:lang w:val="en-US" w:eastAsia="zh-CN" w:bidi="ar-SA"/>
        </w:rPr>
        <w:t>（1）乡镇交管办劝导员补贴2.52万元：该项目资金为发放全乡5个村7名交通劝导员补贴，已于2024年12月全部完成支付。劝导员上路开展交通劝导工作，保障全乡各村的交通有序进行，减少交通安全事故的发生。提高了群众安全感，使群众满意度达到98%。</w:t>
      </w:r>
    </w:p>
    <w:p w14:paraId="1A0F720F">
      <w:pPr>
        <w:keepNext w:val="0"/>
        <w:keepLines w:val="0"/>
        <w:pageBreakBefore w:val="0"/>
        <w:widowControl/>
        <w:numPr>
          <w:ilvl w:val="0"/>
          <w:numId w:val="0"/>
        </w:numPr>
        <w:kinsoku/>
        <w:wordWrap/>
        <w:overflowPunct/>
        <w:topLinePunct w:val="0"/>
        <w:bidi w:val="0"/>
        <w:adjustRightInd w:val="0"/>
        <w:snapToGrid w:val="0"/>
        <w:spacing w:line="600" w:lineRule="exact"/>
        <w:ind w:right="0" w:firstLine="640" w:firstLineChars="200"/>
        <w:contextualSpacing/>
        <w:jc w:val="left"/>
        <w:rPr>
          <w:rFonts w:hint="eastAsia" w:ascii="仿宋" w:hAnsi="仿宋" w:eastAsia="仿宋_GB2312" w:cs="仿宋"/>
          <w:kern w:val="0"/>
          <w:sz w:val="32"/>
          <w:szCs w:val="32"/>
          <w:shd w:val="clear" w:color="auto" w:fill="FFFFFF"/>
          <w:lang w:eastAsia="zh-CN"/>
        </w:rPr>
      </w:pPr>
      <w:r>
        <w:rPr>
          <w:rFonts w:hint="eastAsia" w:ascii="仿宋" w:hAnsi="仿宋" w:eastAsia="仿宋_GB2312" w:cs="仿宋"/>
          <w:kern w:val="0"/>
          <w:sz w:val="32"/>
          <w:szCs w:val="32"/>
          <w:shd w:val="clear" w:color="auto" w:fill="FFFFFF"/>
          <w:lang w:eastAsia="zh-CN"/>
        </w:rPr>
        <w:t>（</w:t>
      </w:r>
      <w:r>
        <w:rPr>
          <w:rFonts w:hint="eastAsia" w:ascii="仿宋" w:hAnsi="仿宋" w:eastAsia="仿宋_GB2312" w:cs="仿宋"/>
          <w:kern w:val="0"/>
          <w:sz w:val="32"/>
          <w:szCs w:val="32"/>
          <w:shd w:val="clear" w:color="auto" w:fill="FFFFFF"/>
          <w:lang w:val="en-US" w:eastAsia="zh-CN"/>
        </w:rPr>
        <w:t>2</w:t>
      </w:r>
      <w:r>
        <w:rPr>
          <w:rFonts w:hint="eastAsia" w:ascii="仿宋" w:hAnsi="仿宋" w:eastAsia="仿宋_GB2312" w:cs="仿宋"/>
          <w:kern w:val="0"/>
          <w:sz w:val="32"/>
          <w:szCs w:val="32"/>
          <w:shd w:val="clear" w:color="auto" w:fill="FFFFFF"/>
          <w:lang w:eastAsia="zh-CN"/>
        </w:rPr>
        <w:t>）</w:t>
      </w:r>
      <w:r>
        <w:rPr>
          <w:rFonts w:hint="eastAsia" w:ascii="仿宋" w:hAnsi="仿宋" w:eastAsia="仿宋_GB2312" w:cs="仿宋"/>
          <w:kern w:val="0"/>
          <w:sz w:val="32"/>
          <w:szCs w:val="32"/>
          <w:shd w:val="clear" w:color="auto" w:fill="FFFFFF"/>
        </w:rPr>
        <w:t>交通安全工作经费</w:t>
      </w:r>
      <w:r>
        <w:rPr>
          <w:rFonts w:hint="eastAsia" w:ascii="仿宋" w:hAnsi="仿宋" w:eastAsia="仿宋_GB2312" w:cs="仿宋"/>
          <w:kern w:val="0"/>
          <w:sz w:val="32"/>
          <w:szCs w:val="32"/>
          <w:shd w:val="clear" w:color="auto" w:fill="FFFFFF"/>
          <w:lang w:val="en-US" w:eastAsia="zh-CN"/>
        </w:rPr>
        <w:t>2</w:t>
      </w:r>
      <w:r>
        <w:rPr>
          <w:rFonts w:hint="eastAsia" w:ascii="仿宋" w:hAnsi="仿宋" w:eastAsia="仿宋_GB2312" w:cs="仿宋"/>
          <w:kern w:val="0"/>
          <w:sz w:val="32"/>
          <w:szCs w:val="32"/>
          <w:shd w:val="clear" w:color="auto" w:fill="FFFFFF"/>
        </w:rPr>
        <w:t>万元</w:t>
      </w:r>
      <w:r>
        <w:rPr>
          <w:rFonts w:hint="eastAsia" w:ascii="仿宋" w:hAnsi="仿宋" w:eastAsia="仿宋_GB2312" w:cs="仿宋"/>
          <w:kern w:val="0"/>
          <w:sz w:val="32"/>
          <w:szCs w:val="32"/>
          <w:shd w:val="clear" w:color="auto" w:fill="FFFFFF"/>
          <w:lang w:eastAsia="zh-CN"/>
        </w:rPr>
        <w:t>：2024年县财政局下达</w:t>
      </w:r>
      <w:r>
        <w:rPr>
          <w:rFonts w:hint="eastAsia" w:ascii="仿宋" w:hAnsi="仿宋" w:eastAsia="仿宋_GB2312" w:cs="仿宋"/>
          <w:kern w:val="0"/>
          <w:sz w:val="32"/>
          <w:szCs w:val="32"/>
          <w:shd w:val="clear" w:color="auto" w:fill="FFFFFF"/>
          <w:lang w:val="en-US" w:eastAsia="zh-CN"/>
        </w:rPr>
        <w:t>2</w:t>
      </w:r>
      <w:r>
        <w:rPr>
          <w:rFonts w:hint="eastAsia" w:ascii="仿宋" w:hAnsi="仿宋" w:eastAsia="仿宋_GB2312" w:cs="仿宋"/>
          <w:kern w:val="0"/>
          <w:sz w:val="32"/>
          <w:szCs w:val="32"/>
          <w:shd w:val="clear" w:color="auto" w:fill="FFFFFF"/>
          <w:lang w:eastAsia="zh-CN"/>
        </w:rPr>
        <w:t>万元，</w:t>
      </w:r>
      <w:r>
        <w:rPr>
          <w:rFonts w:hint="eastAsia" w:ascii="仿宋" w:hAnsi="仿宋" w:eastAsia="仿宋_GB2312" w:cs="仿宋"/>
          <w:kern w:val="0"/>
          <w:sz w:val="32"/>
          <w:szCs w:val="32"/>
          <w:shd w:val="clear" w:color="auto" w:fill="FFFFFF"/>
          <w:lang w:val="en-US" w:eastAsia="zh-CN"/>
        </w:rPr>
        <w:t>实际支付2万元</w:t>
      </w:r>
      <w:r>
        <w:rPr>
          <w:rFonts w:hint="eastAsia" w:ascii="仿宋" w:hAnsi="仿宋" w:eastAsia="仿宋_GB2312" w:cs="仿宋"/>
          <w:kern w:val="0"/>
          <w:sz w:val="32"/>
          <w:szCs w:val="32"/>
          <w:shd w:val="clear" w:color="auto" w:fill="FFFFFF"/>
          <w:lang w:eastAsia="zh-CN"/>
        </w:rPr>
        <w:t>。此项目预算资金按照文件要求于2024年12月完成乡镇交管办工作经费</w:t>
      </w:r>
      <w:r>
        <w:rPr>
          <w:rFonts w:hint="eastAsia" w:ascii="仿宋" w:hAnsi="仿宋" w:eastAsia="仿宋_GB2312" w:cs="仿宋"/>
          <w:kern w:val="0"/>
          <w:sz w:val="32"/>
          <w:szCs w:val="32"/>
          <w:shd w:val="clear" w:color="auto" w:fill="FFFFFF"/>
          <w:lang w:val="en-US" w:eastAsia="zh-CN"/>
        </w:rPr>
        <w:t>的</w:t>
      </w:r>
      <w:r>
        <w:rPr>
          <w:rFonts w:hint="eastAsia" w:ascii="仿宋" w:hAnsi="仿宋" w:eastAsia="仿宋_GB2312" w:cs="仿宋"/>
          <w:kern w:val="0"/>
          <w:sz w:val="32"/>
          <w:szCs w:val="32"/>
          <w:shd w:val="clear" w:color="auto" w:fill="FFFFFF"/>
          <w:lang w:eastAsia="zh-CN"/>
        </w:rPr>
        <w:t>支付，主要用于乡交管办安全广告标识标牌制作、道路隐患处置等，保障了全乡</w:t>
      </w:r>
      <w:r>
        <w:rPr>
          <w:rFonts w:hint="eastAsia" w:ascii="仿宋" w:hAnsi="仿宋" w:eastAsia="仿宋_GB2312" w:cs="仿宋"/>
          <w:kern w:val="0"/>
          <w:sz w:val="32"/>
          <w:szCs w:val="32"/>
          <w:shd w:val="clear" w:color="auto" w:fill="FFFFFF"/>
          <w:lang w:val="en-US" w:eastAsia="zh-CN"/>
        </w:rPr>
        <w:t>5</w:t>
      </w:r>
      <w:r>
        <w:rPr>
          <w:rFonts w:hint="eastAsia" w:ascii="仿宋" w:hAnsi="仿宋" w:eastAsia="仿宋_GB2312" w:cs="仿宋"/>
          <w:kern w:val="0"/>
          <w:sz w:val="32"/>
          <w:szCs w:val="32"/>
          <w:shd w:val="clear" w:color="auto" w:fill="FFFFFF"/>
          <w:lang w:eastAsia="zh-CN"/>
        </w:rPr>
        <w:t>个村道路交通及安全生产等。</w:t>
      </w:r>
    </w:p>
    <w:p w14:paraId="5FC918F7">
      <w:pPr>
        <w:keepNext w:val="0"/>
        <w:keepLines w:val="0"/>
        <w:pageBreakBefore w:val="0"/>
        <w:kinsoku/>
        <w:wordWrap/>
        <w:overflowPunct/>
        <w:topLinePunct w:val="0"/>
        <w:bidi w:val="0"/>
        <w:adjustRightInd w:val="0"/>
        <w:snapToGrid w:val="0"/>
        <w:spacing w:line="600" w:lineRule="exact"/>
        <w:ind w:right="0" w:firstLine="720"/>
        <w:rPr>
          <w:rFonts w:hint="eastAsia" w:ascii="仿宋" w:hAnsi="仿宋" w:eastAsia="仿宋_GB2312" w:cs="仿宋"/>
          <w:color w:val="auto"/>
          <w:sz w:val="32"/>
          <w:szCs w:val="32"/>
          <w:lang w:val="en-US" w:eastAsia="zh-CN"/>
        </w:rPr>
      </w:pPr>
      <w:r>
        <w:rPr>
          <w:rFonts w:hint="eastAsia" w:ascii="仿宋" w:hAnsi="仿宋" w:eastAsia="仿宋_GB2312" w:cs="仿宋"/>
          <w:kern w:val="0"/>
          <w:sz w:val="32"/>
          <w:szCs w:val="32"/>
          <w:shd w:val="clear" w:color="auto" w:fill="FFFFFF"/>
          <w:lang w:eastAsia="zh-CN"/>
        </w:rPr>
        <w:t>（</w:t>
      </w:r>
      <w:r>
        <w:rPr>
          <w:rFonts w:hint="eastAsia" w:ascii="仿宋" w:hAnsi="仿宋" w:eastAsia="仿宋_GB2312" w:cs="仿宋"/>
          <w:kern w:val="0"/>
          <w:sz w:val="32"/>
          <w:szCs w:val="32"/>
          <w:shd w:val="clear" w:color="auto" w:fill="FFFFFF"/>
          <w:lang w:val="en-US" w:eastAsia="zh-CN"/>
        </w:rPr>
        <w:t>3</w:t>
      </w:r>
      <w:r>
        <w:rPr>
          <w:rFonts w:hint="eastAsia" w:ascii="仿宋" w:hAnsi="仿宋" w:eastAsia="仿宋_GB2312" w:cs="仿宋"/>
          <w:kern w:val="0"/>
          <w:sz w:val="32"/>
          <w:szCs w:val="32"/>
          <w:shd w:val="clear" w:color="auto" w:fill="FFFFFF"/>
          <w:lang w:eastAsia="zh-CN"/>
        </w:rPr>
        <w:t>）</w:t>
      </w:r>
      <w:r>
        <w:rPr>
          <w:rFonts w:hint="eastAsia" w:ascii="仿宋" w:hAnsi="仿宋" w:eastAsia="仿宋_GB2312" w:cs="仿宋"/>
          <w:color w:val="auto"/>
          <w:sz w:val="32"/>
          <w:szCs w:val="32"/>
          <w:lang w:val="zh-CN" w:eastAsia="zh-CN"/>
        </w:rPr>
        <w:t>西大门综合服务区运行管理维护费</w:t>
      </w:r>
      <w:r>
        <w:rPr>
          <w:rFonts w:hint="eastAsia" w:ascii="仿宋" w:hAnsi="仿宋" w:eastAsia="仿宋_GB2312" w:cs="仿宋"/>
          <w:color w:val="auto"/>
          <w:sz w:val="32"/>
          <w:szCs w:val="32"/>
          <w:lang w:val="en-US" w:eastAsia="zh-CN"/>
        </w:rPr>
        <w:t>8万元：</w:t>
      </w:r>
      <w:r>
        <w:rPr>
          <w:rFonts w:hint="eastAsia" w:ascii="仿宋" w:hAnsi="仿宋" w:eastAsia="仿宋_GB2312" w:cs="仿宋"/>
          <w:b w:val="0"/>
          <w:bCs w:val="0"/>
          <w:sz w:val="32"/>
          <w:lang w:val="en-US" w:eastAsia="zh-CN"/>
        </w:rPr>
        <w:t>2024年县财政局下达8万元。</w:t>
      </w:r>
      <w:r>
        <w:rPr>
          <w:rFonts w:hint="eastAsia" w:ascii="仿宋" w:hAnsi="仿宋" w:eastAsia="仿宋_GB2312" w:cs="仿宋"/>
          <w:b w:val="0"/>
          <w:bCs w:val="0"/>
          <w:sz w:val="32"/>
          <w:lang w:val="zh-CN" w:eastAsia="zh-CN"/>
        </w:rPr>
        <w:t>此项目预算资金</w:t>
      </w:r>
      <w:r>
        <w:rPr>
          <w:rFonts w:hint="eastAsia" w:ascii="仿宋" w:hAnsi="仿宋" w:eastAsia="仿宋_GB2312" w:cs="仿宋"/>
          <w:b w:val="0"/>
          <w:bCs w:val="0"/>
          <w:sz w:val="32"/>
          <w:lang w:val="en-US" w:eastAsia="zh-CN"/>
        </w:rPr>
        <w:t>8万</w:t>
      </w:r>
      <w:r>
        <w:rPr>
          <w:rFonts w:hint="eastAsia" w:ascii="仿宋" w:hAnsi="仿宋" w:eastAsia="仿宋_GB2312" w:cs="仿宋"/>
          <w:b w:val="0"/>
          <w:bCs w:val="0"/>
          <w:sz w:val="32"/>
          <w:lang w:val="zh-CN" w:eastAsia="zh-CN"/>
        </w:rPr>
        <w:t>元按照</w:t>
      </w:r>
      <w:r>
        <w:rPr>
          <w:rFonts w:hint="eastAsia" w:ascii="仿宋" w:hAnsi="仿宋" w:eastAsia="仿宋_GB2312" w:cs="仿宋"/>
          <w:b w:val="0"/>
          <w:bCs w:val="0"/>
          <w:sz w:val="32"/>
          <w:lang w:val="en-US" w:eastAsia="zh-CN"/>
        </w:rPr>
        <w:t>文件要求</w:t>
      </w:r>
      <w:r>
        <w:rPr>
          <w:rFonts w:hint="eastAsia" w:ascii="仿宋" w:hAnsi="仿宋" w:eastAsia="仿宋_GB2312" w:cs="仿宋"/>
          <w:b w:val="0"/>
          <w:bCs w:val="0"/>
          <w:sz w:val="32"/>
          <w:lang w:val="zh-CN" w:eastAsia="zh-CN"/>
        </w:rPr>
        <w:t>于</w:t>
      </w:r>
      <w:r>
        <w:rPr>
          <w:rFonts w:hint="eastAsia" w:ascii="仿宋" w:hAnsi="仿宋" w:eastAsia="仿宋_GB2312" w:cs="仿宋"/>
          <w:b w:val="0"/>
          <w:bCs w:val="0"/>
          <w:sz w:val="32"/>
          <w:lang w:val="en-US" w:eastAsia="zh-CN"/>
        </w:rPr>
        <w:t>2024年12月完成</w:t>
      </w:r>
      <w:r>
        <w:rPr>
          <w:rFonts w:hint="eastAsia" w:ascii="仿宋" w:hAnsi="仿宋" w:eastAsia="仿宋_GB2312" w:cs="仿宋"/>
          <w:b w:val="0"/>
          <w:bCs w:val="0"/>
          <w:color w:val="auto"/>
          <w:kern w:val="2"/>
          <w:sz w:val="32"/>
          <w:szCs w:val="32"/>
          <w:lang w:val="zh-CN" w:eastAsia="zh-CN" w:bidi="ar-SA"/>
        </w:rPr>
        <w:t>西大门综合服务区运行管理维护</w:t>
      </w:r>
      <w:r>
        <w:rPr>
          <w:rFonts w:hint="eastAsia" w:ascii="仿宋" w:hAnsi="仿宋" w:eastAsia="仿宋_GB2312" w:cs="仿宋"/>
          <w:b w:val="0"/>
          <w:bCs w:val="0"/>
          <w:sz w:val="32"/>
          <w:lang w:val="zh-CN" w:eastAsia="zh-CN"/>
        </w:rPr>
        <w:t>费</w:t>
      </w:r>
      <w:r>
        <w:rPr>
          <w:rFonts w:hint="eastAsia" w:ascii="仿宋" w:hAnsi="仿宋" w:eastAsia="仿宋_GB2312" w:cs="仿宋"/>
          <w:b w:val="0"/>
          <w:bCs w:val="0"/>
          <w:sz w:val="32"/>
          <w:lang w:val="en-US" w:eastAsia="zh-CN"/>
        </w:rPr>
        <w:t>支付，主要用于</w:t>
      </w:r>
      <w:r>
        <w:rPr>
          <w:rFonts w:hint="eastAsia" w:ascii="仿宋" w:hAnsi="仿宋" w:eastAsia="仿宋_GB2312" w:cs="仿宋"/>
          <w:b w:val="0"/>
          <w:bCs w:val="0"/>
          <w:color w:val="auto"/>
          <w:kern w:val="2"/>
          <w:sz w:val="32"/>
          <w:szCs w:val="32"/>
          <w:lang w:val="zh-CN" w:eastAsia="zh-CN" w:bidi="ar-SA"/>
        </w:rPr>
        <w:t>西大门综合服务区运行管理维护</w:t>
      </w:r>
      <w:r>
        <w:rPr>
          <w:rFonts w:hint="eastAsia" w:ascii="仿宋" w:hAnsi="仿宋" w:eastAsia="仿宋_GB2312" w:cs="仿宋"/>
          <w:b w:val="0"/>
          <w:bCs w:val="0"/>
          <w:sz w:val="32"/>
          <w:lang w:val="en-US" w:eastAsia="zh-CN"/>
        </w:rPr>
        <w:t>等，支付依据合规合法，资金支付与预算相符。</w:t>
      </w:r>
    </w:p>
    <w:p w14:paraId="0453272E">
      <w:pPr>
        <w:keepNext w:val="0"/>
        <w:keepLines w:val="0"/>
        <w:pageBreakBefore w:val="0"/>
        <w:kinsoku/>
        <w:wordWrap/>
        <w:overflowPunct/>
        <w:topLinePunct w:val="0"/>
        <w:bidi w:val="0"/>
        <w:adjustRightInd w:val="0"/>
        <w:snapToGrid w:val="0"/>
        <w:spacing w:line="600" w:lineRule="exact"/>
        <w:ind w:right="0" w:firstLine="720"/>
        <w:rPr>
          <w:rFonts w:hint="eastAsia"/>
          <w:lang w:eastAsia="zh-CN"/>
        </w:rPr>
      </w:pPr>
      <w:r>
        <w:rPr>
          <w:rFonts w:hint="eastAsia" w:ascii="仿宋" w:hAnsi="仿宋" w:eastAsia="仿宋_GB2312" w:cs="仿宋"/>
          <w:kern w:val="0"/>
          <w:sz w:val="32"/>
          <w:szCs w:val="32"/>
          <w:shd w:val="clear" w:color="auto" w:fill="FFFFFF"/>
          <w:lang w:eastAsia="zh-CN"/>
        </w:rPr>
        <w:t>（</w:t>
      </w:r>
      <w:r>
        <w:rPr>
          <w:rFonts w:hint="eastAsia" w:ascii="仿宋" w:hAnsi="仿宋" w:eastAsia="仿宋_GB2312" w:cs="仿宋"/>
          <w:kern w:val="0"/>
          <w:sz w:val="32"/>
          <w:szCs w:val="32"/>
          <w:shd w:val="clear" w:color="auto" w:fill="FFFFFF"/>
          <w:lang w:val="en-US" w:eastAsia="zh-CN"/>
        </w:rPr>
        <w:t>4</w:t>
      </w:r>
      <w:r>
        <w:rPr>
          <w:rFonts w:hint="eastAsia" w:ascii="仿宋" w:hAnsi="仿宋" w:eastAsia="仿宋_GB2312" w:cs="仿宋"/>
          <w:kern w:val="0"/>
          <w:sz w:val="32"/>
          <w:szCs w:val="32"/>
          <w:shd w:val="clear" w:color="auto" w:fill="FFFFFF"/>
          <w:lang w:eastAsia="zh-CN"/>
        </w:rPr>
        <w:t>）</w:t>
      </w:r>
      <w:r>
        <w:rPr>
          <w:rFonts w:hint="eastAsia" w:ascii="仿宋" w:hAnsi="仿宋" w:eastAsia="仿宋_GB2312" w:cs="仿宋"/>
          <w:kern w:val="0"/>
          <w:sz w:val="32"/>
          <w:szCs w:val="32"/>
          <w:shd w:val="clear" w:color="auto" w:fill="FFFFFF"/>
        </w:rPr>
        <w:t>拖欠企业账款清偿项目</w:t>
      </w:r>
      <w:r>
        <w:rPr>
          <w:rFonts w:hint="eastAsia" w:ascii="仿宋" w:hAnsi="仿宋" w:eastAsia="仿宋_GB2312" w:cs="仿宋"/>
          <w:kern w:val="0"/>
          <w:sz w:val="32"/>
          <w:szCs w:val="32"/>
          <w:shd w:val="clear" w:color="auto" w:fill="FFFFFF"/>
          <w:lang w:val="en-US" w:eastAsia="zh-CN"/>
        </w:rPr>
        <w:t>31.82</w:t>
      </w:r>
      <w:r>
        <w:rPr>
          <w:rFonts w:hint="eastAsia" w:ascii="仿宋" w:hAnsi="仿宋" w:eastAsia="仿宋_GB2312" w:cs="仿宋"/>
          <w:kern w:val="0"/>
          <w:sz w:val="32"/>
          <w:szCs w:val="32"/>
          <w:shd w:val="clear" w:color="auto" w:fill="FFFFFF"/>
        </w:rPr>
        <w:t>万元</w:t>
      </w:r>
      <w:r>
        <w:rPr>
          <w:rFonts w:hint="eastAsia" w:ascii="仿宋" w:hAnsi="仿宋" w:eastAsia="仿宋_GB2312" w:cs="仿宋"/>
          <w:kern w:val="0"/>
          <w:sz w:val="32"/>
          <w:szCs w:val="32"/>
          <w:shd w:val="clear" w:color="auto" w:fill="FFFFFF"/>
          <w:lang w:eastAsia="zh-CN"/>
        </w:rPr>
        <w:t>：</w:t>
      </w:r>
      <w:r>
        <w:rPr>
          <w:rFonts w:hint="eastAsia" w:ascii="仿宋" w:hAnsi="仿宋" w:eastAsia="仿宋_GB2312" w:cs="仿宋"/>
          <w:kern w:val="0"/>
          <w:sz w:val="32"/>
          <w:szCs w:val="32"/>
          <w:shd w:val="clear" w:color="auto" w:fill="FFFFFF"/>
          <w:lang w:val="en-US" w:eastAsia="zh-CN"/>
        </w:rPr>
        <w:t>已于2024年12月全部完成了对拖欠企业账款的清偿，确保工程项目进度及后期质量能够得到应有保障</w:t>
      </w:r>
      <w:r>
        <w:rPr>
          <w:rFonts w:hint="eastAsia" w:ascii="仿宋" w:hAnsi="仿宋" w:eastAsia="仿宋_GB2312" w:cs="仿宋"/>
          <w:b w:val="0"/>
          <w:bCs w:val="0"/>
          <w:sz w:val="32"/>
          <w:lang w:val="en-US" w:eastAsia="zh-CN"/>
        </w:rPr>
        <w:t>，支付依据合规合法，资金支付与预算相符。</w:t>
      </w:r>
    </w:p>
    <w:p w14:paraId="3E6AC6ED">
      <w:pPr>
        <w:keepNext w:val="0"/>
        <w:keepLines w:val="0"/>
        <w:pageBreakBefore w:val="0"/>
        <w:kinsoku/>
        <w:wordWrap/>
        <w:overflowPunct/>
        <w:topLinePunct w:val="0"/>
        <w:bidi w:val="0"/>
        <w:adjustRightInd w:val="0"/>
        <w:snapToGrid w:val="0"/>
        <w:spacing w:line="600" w:lineRule="exact"/>
        <w:ind w:right="0" w:firstLine="720"/>
        <w:rPr>
          <w:rFonts w:hint="eastAsia" w:ascii="仿宋" w:hAnsi="仿宋" w:eastAsia="仿宋_GB2312" w:cs="仿宋"/>
          <w:kern w:val="0"/>
          <w:sz w:val="32"/>
          <w:szCs w:val="32"/>
          <w:shd w:val="clear" w:color="auto" w:fill="FFFFFF"/>
          <w:lang w:val="zh-CN" w:eastAsia="zh-CN"/>
        </w:rPr>
      </w:pPr>
      <w:r>
        <w:rPr>
          <w:rFonts w:hint="eastAsia" w:ascii="仿宋" w:hAnsi="仿宋" w:eastAsia="仿宋_GB2312" w:cs="仿宋"/>
          <w:kern w:val="0"/>
          <w:sz w:val="32"/>
          <w:szCs w:val="32"/>
          <w:shd w:val="clear" w:color="auto" w:fill="FFFFFF"/>
          <w:lang w:eastAsia="zh-CN"/>
        </w:rPr>
        <w:t>（</w:t>
      </w:r>
      <w:r>
        <w:rPr>
          <w:rFonts w:hint="eastAsia" w:ascii="仿宋" w:hAnsi="仿宋" w:eastAsia="仿宋_GB2312" w:cs="仿宋"/>
          <w:kern w:val="0"/>
          <w:sz w:val="32"/>
          <w:szCs w:val="32"/>
          <w:shd w:val="clear" w:color="auto" w:fill="FFFFFF"/>
          <w:lang w:val="en-US" w:eastAsia="zh-CN"/>
        </w:rPr>
        <w:t>5</w:t>
      </w:r>
      <w:r>
        <w:rPr>
          <w:rFonts w:hint="eastAsia" w:ascii="仿宋" w:hAnsi="仿宋" w:eastAsia="仿宋_GB2312" w:cs="仿宋"/>
          <w:kern w:val="0"/>
          <w:sz w:val="32"/>
          <w:szCs w:val="32"/>
          <w:shd w:val="clear" w:color="auto" w:fill="FFFFFF"/>
          <w:lang w:eastAsia="zh-CN"/>
        </w:rPr>
        <w:t>）</w:t>
      </w:r>
      <w:r>
        <w:rPr>
          <w:rFonts w:hint="eastAsia" w:ascii="仿宋" w:hAnsi="仿宋" w:eastAsia="仿宋_GB2312" w:cs="仿宋"/>
          <w:kern w:val="0"/>
          <w:sz w:val="32"/>
          <w:szCs w:val="32"/>
          <w:shd w:val="clear" w:color="auto" w:fill="FFFFFF"/>
        </w:rPr>
        <w:t>2024年基层组织和农村公共运行经费</w:t>
      </w:r>
      <w:r>
        <w:rPr>
          <w:rFonts w:hint="eastAsia" w:ascii="仿宋" w:hAnsi="仿宋" w:eastAsia="仿宋_GB2312" w:cs="仿宋"/>
          <w:kern w:val="0"/>
          <w:sz w:val="32"/>
          <w:szCs w:val="32"/>
          <w:shd w:val="clear" w:color="auto" w:fill="FFFFFF"/>
          <w:lang w:val="en-US" w:eastAsia="zh-CN"/>
        </w:rPr>
        <w:t>79.2</w:t>
      </w:r>
      <w:r>
        <w:rPr>
          <w:rFonts w:hint="eastAsia" w:ascii="仿宋" w:hAnsi="仿宋" w:eastAsia="仿宋_GB2312" w:cs="仿宋"/>
          <w:kern w:val="0"/>
          <w:sz w:val="32"/>
          <w:szCs w:val="32"/>
          <w:shd w:val="clear" w:color="auto" w:fill="FFFFFF"/>
        </w:rPr>
        <w:t>万元</w:t>
      </w:r>
      <w:r>
        <w:rPr>
          <w:rFonts w:hint="eastAsia" w:ascii="仿宋" w:hAnsi="仿宋" w:eastAsia="仿宋_GB2312" w:cs="仿宋"/>
          <w:kern w:val="0"/>
          <w:sz w:val="32"/>
          <w:szCs w:val="32"/>
          <w:shd w:val="clear" w:color="auto" w:fill="FFFFFF"/>
          <w:lang w:eastAsia="zh-CN"/>
        </w:rPr>
        <w:t>：</w:t>
      </w:r>
      <w:r>
        <w:rPr>
          <w:rFonts w:hint="eastAsia" w:ascii="仿宋" w:hAnsi="仿宋" w:eastAsia="仿宋_GB2312" w:cs="仿宋"/>
          <w:kern w:val="0"/>
          <w:sz w:val="32"/>
          <w:szCs w:val="32"/>
          <w:shd w:val="clear" w:color="auto" w:fill="FFFFFF"/>
          <w:lang w:val="en-US" w:eastAsia="zh-CN"/>
        </w:rPr>
        <w:t>省级补助资金52.8万元，县级补助资金26.4万元。该项目资金主要用于全乡5村</w:t>
      </w:r>
      <w:r>
        <w:rPr>
          <w:rFonts w:hint="eastAsia" w:ascii="仿宋" w:hAnsi="仿宋" w:eastAsia="仿宋_GB2312" w:cs="仿宋"/>
          <w:kern w:val="0"/>
          <w:sz w:val="32"/>
          <w:szCs w:val="32"/>
          <w:shd w:val="clear" w:color="auto" w:fill="FFFFFF"/>
          <w:lang w:val="zh-CN" w:eastAsia="zh-CN"/>
        </w:rPr>
        <w:t>日常办公经费支出、农村道路维护维修、堰渠维护维修、饮水管道维护维修、人居环境卫生整治等方面。保障了村民的基本生活，农村公共服务设施运行维护项目的长效实施改善了群众的生产生活条件，提高了群众生活质量，完善了农村基础设施功能，该项目取得了较好的社会效益。</w:t>
      </w:r>
    </w:p>
    <w:p w14:paraId="40CD0B69">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right="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 w:hAnsi="仿宋" w:eastAsia="仿宋_GB2312" w:cs="仿宋"/>
          <w:color w:val="auto"/>
          <w:kern w:val="0"/>
          <w:sz w:val="32"/>
          <w:szCs w:val="32"/>
          <w:shd w:val="clear" w:color="auto" w:fill="FFFFFF"/>
          <w:lang w:val="en-US" w:eastAsia="zh-CN" w:bidi="ar-SA"/>
        </w:rPr>
        <w:t>（6）</w:t>
      </w:r>
      <w:r>
        <w:rPr>
          <w:rFonts w:hint="eastAsia" w:ascii="仿宋" w:hAnsi="仿宋" w:eastAsia="仿宋_GB2312" w:cs="仿宋"/>
          <w:color w:val="auto"/>
          <w:sz w:val="32"/>
          <w:szCs w:val="32"/>
          <w:lang w:val="en-US" w:eastAsia="zh-CN"/>
        </w:rPr>
        <w:t>城乡融合重大项目前期工作经费（宜坪乡）90万元：</w:t>
      </w:r>
      <w:r>
        <w:rPr>
          <w:rFonts w:hint="eastAsia" w:ascii="仿宋" w:hAnsi="仿宋" w:eastAsia="仿宋_GB2312" w:cs="仿宋"/>
          <w:color w:val="auto"/>
          <w:kern w:val="0"/>
          <w:sz w:val="32"/>
          <w:szCs w:val="32"/>
          <w:shd w:val="clear" w:color="auto" w:fill="FFFFFF"/>
          <w:lang w:val="en-US" w:eastAsia="zh-CN" w:bidi="ar-SA"/>
        </w:rPr>
        <w:t>该项目于2024年12月完成支付。该项目投入使用后确保</w:t>
      </w:r>
      <w:r>
        <w:rPr>
          <w:rFonts w:hint="eastAsia" w:ascii="仿宋" w:hAnsi="仿宋" w:eastAsia="仿宋_GB2312" w:cs="仿宋"/>
          <w:color w:val="auto"/>
          <w:sz w:val="32"/>
          <w:szCs w:val="32"/>
          <w:lang w:val="en-US" w:eastAsia="zh-CN"/>
        </w:rPr>
        <w:t>城乡融合重大项目顺利推进，</w:t>
      </w:r>
      <w:r>
        <w:rPr>
          <w:rFonts w:hint="eastAsia" w:ascii="仿宋" w:hAnsi="仿宋" w:eastAsia="仿宋_GB2312" w:cs="仿宋"/>
          <w:color w:val="auto"/>
          <w:kern w:val="0"/>
          <w:sz w:val="32"/>
          <w:szCs w:val="32"/>
          <w:shd w:val="clear" w:color="auto" w:fill="FFFFFF"/>
          <w:lang w:val="en-US" w:eastAsia="zh-CN" w:bidi="ar-SA"/>
        </w:rPr>
        <w:t>欠款支付到位，提升了企业的积极性，提升了群众生活质量，完善了基础设施功能，改善人居环境，实现乡村振兴，促进乡风文明，减少社会矛盾，并取得了较好的社会效益。</w:t>
      </w:r>
    </w:p>
    <w:p w14:paraId="33E89D70">
      <w:pPr>
        <w:keepNext w:val="0"/>
        <w:keepLines w:val="0"/>
        <w:pageBreakBefore w:val="0"/>
        <w:kinsoku/>
        <w:wordWrap/>
        <w:overflowPunct/>
        <w:topLinePunct w:val="0"/>
        <w:bidi w:val="0"/>
        <w:spacing w:line="600" w:lineRule="exact"/>
        <w:ind w:right="0" w:firstLine="640" w:firstLineChars="200"/>
        <w:rPr>
          <w:rFonts w:hint="eastAsia" w:ascii="Times New Roman" w:hAnsi="Times New Roman" w:eastAsia="楷体_GB2312" w:cs="Times New Roman"/>
          <w:b w:val="0"/>
          <w:bCs/>
          <w:color w:val="auto"/>
          <w:sz w:val="32"/>
          <w:szCs w:val="32"/>
          <w:highlight w:val="none"/>
          <w:u w:val="none"/>
          <w:lang w:val="zh-CN" w:eastAsia="zh-CN"/>
        </w:rPr>
      </w:pPr>
      <w:r>
        <w:rPr>
          <w:rFonts w:hint="eastAsia" w:ascii="Times New Roman" w:hAnsi="Times New Roman" w:eastAsia="楷体_GB2312" w:cs="Times New Roman"/>
          <w:b w:val="0"/>
          <w:bCs/>
          <w:color w:val="auto"/>
          <w:sz w:val="32"/>
          <w:szCs w:val="32"/>
          <w:highlight w:val="none"/>
          <w:u w:val="none"/>
          <w:lang w:val="zh-CN" w:eastAsia="zh-CN"/>
        </w:rPr>
        <w:t>（四）项目绩效目标设置</w:t>
      </w:r>
    </w:p>
    <w:p w14:paraId="39FEBABF">
      <w:pPr>
        <w:keepNext w:val="0"/>
        <w:keepLines w:val="0"/>
        <w:pageBreakBefore w:val="0"/>
        <w:kinsoku/>
        <w:wordWrap/>
        <w:overflowPunct/>
        <w:topLinePunct w:val="0"/>
        <w:bidi w:val="0"/>
        <w:spacing w:line="600" w:lineRule="exact"/>
        <w:ind w:right="0" w:firstLine="640" w:firstLineChars="200"/>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仿宋" w:hAnsi="仿宋" w:eastAsia="仿宋_GB2312" w:cs="仿宋"/>
          <w:color w:val="auto"/>
          <w:sz w:val="32"/>
          <w:szCs w:val="32"/>
          <w:lang w:val="zh-CN" w:eastAsia="zh-CN"/>
        </w:rPr>
        <w:t>我乡202</w:t>
      </w:r>
      <w:r>
        <w:rPr>
          <w:rFonts w:hint="eastAsia" w:ascii="仿宋" w:hAnsi="仿宋" w:eastAsia="仿宋_GB2312" w:cs="仿宋"/>
          <w:color w:val="auto"/>
          <w:sz w:val="32"/>
          <w:szCs w:val="32"/>
          <w:lang w:val="en-US" w:eastAsia="zh-CN"/>
        </w:rPr>
        <w:t>4</w:t>
      </w:r>
      <w:r>
        <w:rPr>
          <w:rFonts w:hint="eastAsia" w:ascii="仿宋" w:hAnsi="仿宋" w:eastAsia="仿宋_GB2312" w:cs="仿宋"/>
          <w:color w:val="auto"/>
          <w:sz w:val="32"/>
          <w:szCs w:val="32"/>
          <w:lang w:val="zh-CN" w:eastAsia="zh-CN"/>
        </w:rPr>
        <w:t>年完成项目如下：乡镇交管办劝导员补贴</w:t>
      </w:r>
      <w:r>
        <w:rPr>
          <w:rFonts w:hint="eastAsia" w:ascii="仿宋" w:hAnsi="仿宋" w:eastAsia="仿宋_GB2312" w:cs="仿宋"/>
          <w:color w:val="auto"/>
          <w:sz w:val="32"/>
          <w:szCs w:val="32"/>
          <w:lang w:val="en-US" w:eastAsia="zh-CN"/>
        </w:rPr>
        <w:t>2.52万元</w:t>
      </w:r>
      <w:r>
        <w:rPr>
          <w:rFonts w:hint="eastAsia" w:ascii="仿宋" w:hAnsi="仿宋" w:eastAsia="仿宋_GB2312" w:cs="仿宋"/>
          <w:color w:val="auto"/>
          <w:sz w:val="32"/>
          <w:szCs w:val="32"/>
          <w:lang w:val="zh-CN" w:eastAsia="zh-CN"/>
        </w:rPr>
        <w:t>、交通安全工作经费</w:t>
      </w:r>
      <w:r>
        <w:rPr>
          <w:rFonts w:hint="eastAsia" w:ascii="仿宋" w:hAnsi="仿宋" w:eastAsia="仿宋_GB2312" w:cs="仿宋"/>
          <w:color w:val="auto"/>
          <w:sz w:val="32"/>
          <w:szCs w:val="32"/>
          <w:lang w:val="en-US" w:eastAsia="zh-CN"/>
        </w:rPr>
        <w:t>2</w:t>
      </w:r>
      <w:r>
        <w:rPr>
          <w:rFonts w:hint="eastAsia" w:ascii="仿宋" w:hAnsi="仿宋" w:eastAsia="仿宋_GB2312" w:cs="仿宋"/>
          <w:color w:val="auto"/>
          <w:sz w:val="32"/>
          <w:szCs w:val="32"/>
          <w:lang w:val="zh-CN" w:eastAsia="zh-CN"/>
        </w:rPr>
        <w:t>万元、西大门综合服务区运行管理维护费</w:t>
      </w:r>
      <w:r>
        <w:rPr>
          <w:rFonts w:hint="eastAsia" w:ascii="仿宋" w:hAnsi="仿宋" w:eastAsia="仿宋_GB2312" w:cs="仿宋"/>
          <w:color w:val="auto"/>
          <w:sz w:val="32"/>
          <w:szCs w:val="32"/>
          <w:lang w:val="en-US" w:eastAsia="zh-CN"/>
        </w:rPr>
        <w:t>8万元、拖欠企业账款清偿项目31.82万元、2024年基层组织和农村公共服务运行维护费（上级）52.8万元、2024年基层组织和农村公共服务运行维护费（县级）26.4万元、城乡融合重大项目前期工作经费（宜坪乡）90万元</w:t>
      </w:r>
      <w:r>
        <w:rPr>
          <w:rFonts w:hint="eastAsia" w:ascii="仿宋" w:hAnsi="仿宋" w:eastAsia="仿宋_GB2312" w:cs="仿宋"/>
          <w:color w:val="auto"/>
          <w:sz w:val="32"/>
          <w:szCs w:val="32"/>
          <w:lang w:val="zh-CN" w:eastAsia="zh-CN"/>
        </w:rPr>
        <w:t>，已按实际拨付完毕。</w:t>
      </w:r>
    </w:p>
    <w:p w14:paraId="2AB7BAB0">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16A379E8">
      <w:pPr>
        <w:keepNext w:val="0"/>
        <w:keepLines w:val="0"/>
        <w:pageBreakBefore w:val="0"/>
        <w:widowControl/>
        <w:kinsoku/>
        <w:wordWrap/>
        <w:overflowPunct/>
        <w:topLinePunct w:val="0"/>
        <w:bidi w:val="0"/>
        <w:adjustRightInd w:val="0"/>
        <w:snapToGrid w:val="0"/>
        <w:spacing w:line="600" w:lineRule="exact"/>
        <w:ind w:right="0" w:firstLine="640" w:firstLineChars="200"/>
        <w:contextualSpacing/>
        <w:jc w:val="left"/>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val="0"/>
          <w:bCs/>
          <w:color w:val="auto"/>
          <w:sz w:val="32"/>
          <w:szCs w:val="32"/>
          <w:highlight w:val="none"/>
          <w:u w:val="none"/>
          <w:lang w:val="zh-CN" w:eastAsia="zh-CN"/>
        </w:rPr>
        <w:t>（一）评价目的。</w:t>
      </w:r>
      <w:r>
        <w:rPr>
          <w:rFonts w:hint="eastAsia" w:ascii="仿宋" w:hAnsi="仿宋" w:eastAsia="仿宋_GB2312" w:cs="仿宋"/>
          <w:color w:val="000000"/>
          <w:kern w:val="0"/>
          <w:sz w:val="32"/>
          <w:szCs w:val="32"/>
          <w:shd w:val="clear" w:color="auto" w:fill="FFFFFF"/>
          <w:lang w:val="zh-CN"/>
        </w:rPr>
        <w:t>预算管理方面，编制内在职人员控制率小于100%，支出总额控制在预算总额以内。制度执行总体较为有效，但仍需进一步强化资金使用管理。单位制度需进一步健全</w:t>
      </w:r>
      <w:r>
        <w:rPr>
          <w:rFonts w:hint="eastAsia" w:ascii="仿宋" w:hAnsi="仿宋" w:eastAsia="仿宋_GB2312" w:cs="仿宋"/>
          <w:color w:val="000000"/>
          <w:kern w:val="0"/>
          <w:sz w:val="32"/>
          <w:szCs w:val="32"/>
          <w:shd w:val="clear" w:color="auto" w:fill="FFFFFF"/>
          <w:lang w:val="en-US" w:eastAsia="zh-CN"/>
        </w:rPr>
        <w:t>及</w:t>
      </w:r>
      <w:r>
        <w:rPr>
          <w:rFonts w:hint="eastAsia" w:ascii="仿宋" w:hAnsi="仿宋" w:eastAsia="仿宋_GB2312" w:cs="仿宋"/>
          <w:color w:val="000000"/>
          <w:kern w:val="0"/>
          <w:sz w:val="32"/>
          <w:szCs w:val="32"/>
          <w:shd w:val="clear" w:color="auto" w:fill="FFFFFF"/>
          <w:lang w:val="zh-CN"/>
        </w:rPr>
        <w:t>规范。</w:t>
      </w:r>
    </w:p>
    <w:p w14:paraId="5019EFCD">
      <w:pPr>
        <w:keepNext w:val="0"/>
        <w:keepLines w:val="0"/>
        <w:pageBreakBefore w:val="0"/>
        <w:kinsoku/>
        <w:wordWrap/>
        <w:overflowPunct/>
        <w:topLinePunct w:val="0"/>
        <w:bidi w:val="0"/>
        <w:spacing w:line="600" w:lineRule="exact"/>
        <w:ind w:right="0" w:firstLine="640" w:firstLineChars="200"/>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cs="Times New Roman"/>
          <w:b w:val="0"/>
          <w:bCs/>
          <w:color w:val="auto"/>
          <w:sz w:val="32"/>
          <w:szCs w:val="32"/>
          <w:highlight w:val="none"/>
          <w:u w:val="none"/>
          <w:lang w:val="zh-CN" w:eastAsia="zh-CN"/>
        </w:rPr>
        <w:t>（二）预设问题及评价重点</w:t>
      </w:r>
    </w:p>
    <w:p w14:paraId="371C847E">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textAlignment w:val="auto"/>
        <w:outlineLvl w:val="9"/>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en-US" w:eastAsia="zh-CN"/>
        </w:rPr>
        <w:t>1.</w:t>
      </w:r>
      <w:r>
        <w:rPr>
          <w:rFonts w:hint="eastAsia" w:ascii="仿宋" w:hAnsi="仿宋" w:eastAsia="仿宋" w:cs="仿宋"/>
          <w:color w:val="auto"/>
          <w:kern w:val="0"/>
          <w:sz w:val="32"/>
          <w:szCs w:val="32"/>
          <w:shd w:val="clear" w:color="auto" w:fill="FFFFFF"/>
          <w:lang w:val="zh-CN"/>
        </w:rPr>
        <w:t>工作开展情况记录；</w:t>
      </w:r>
    </w:p>
    <w:p w14:paraId="09E797E8">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textAlignment w:val="auto"/>
        <w:outlineLvl w:val="9"/>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2.财务制度的整改；</w:t>
      </w:r>
    </w:p>
    <w:p w14:paraId="6DCF6558">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 w:hAnsi="仿宋" w:eastAsia="仿宋" w:cs="仿宋"/>
          <w:color w:val="auto"/>
          <w:kern w:val="0"/>
          <w:sz w:val="32"/>
          <w:szCs w:val="32"/>
          <w:shd w:val="clear" w:color="auto" w:fill="FFFFFF"/>
          <w:lang w:val="en-US" w:eastAsia="zh-CN"/>
        </w:rPr>
        <w:t>3.工作方式方法。</w:t>
      </w:r>
    </w:p>
    <w:p w14:paraId="463055B0">
      <w:pPr>
        <w:keepNext w:val="0"/>
        <w:keepLines w:val="0"/>
        <w:pageBreakBefore w:val="0"/>
        <w:kinsoku/>
        <w:wordWrap/>
        <w:overflowPunct/>
        <w:topLinePunct w:val="0"/>
        <w:bidi w:val="0"/>
        <w:spacing w:line="600" w:lineRule="exact"/>
        <w:ind w:right="0" w:firstLine="640" w:firstLineChars="200"/>
        <w:rPr>
          <w:rFonts w:hint="eastAsia" w:ascii="Times New Roman" w:hAnsi="Times New Roman" w:eastAsia="楷体_GB2312" w:cs="Times New Roman"/>
          <w:b w:val="0"/>
          <w:bCs/>
          <w:color w:val="auto"/>
          <w:sz w:val="32"/>
          <w:szCs w:val="32"/>
          <w:highlight w:val="none"/>
          <w:u w:val="none"/>
          <w:lang w:val="zh-CN" w:eastAsia="zh-CN"/>
        </w:rPr>
      </w:pPr>
      <w:r>
        <w:rPr>
          <w:rFonts w:hint="eastAsia" w:ascii="Times New Roman" w:hAnsi="Times New Roman" w:eastAsia="楷体_GB2312" w:cs="Times New Roman"/>
          <w:b w:val="0"/>
          <w:bCs/>
          <w:color w:val="auto"/>
          <w:sz w:val="32"/>
          <w:szCs w:val="32"/>
          <w:highlight w:val="none"/>
          <w:u w:val="none"/>
          <w:lang w:val="zh-CN" w:eastAsia="zh-CN"/>
        </w:rPr>
        <w:t>（三）评价选点</w:t>
      </w:r>
    </w:p>
    <w:p w14:paraId="44495E49">
      <w:pPr>
        <w:keepNext w:val="0"/>
        <w:keepLines w:val="0"/>
        <w:pageBreakBefore w:val="0"/>
        <w:widowControl w:val="0"/>
        <w:kinsoku/>
        <w:wordWrap/>
        <w:overflowPunct/>
        <w:topLinePunct w:val="0"/>
        <w:autoSpaceDE/>
        <w:autoSpaceDN/>
        <w:bidi w:val="0"/>
        <w:spacing w:line="600" w:lineRule="exact"/>
        <w:ind w:right="0" w:firstLine="640"/>
        <w:textAlignment w:val="auto"/>
        <w:outlineLvl w:val="9"/>
        <w:rPr>
          <w:rFonts w:hint="eastAsia" w:eastAsia="仿宋_GB2312" w:cs="仿宋_GB2312"/>
          <w:b w:val="0"/>
          <w:color w:val="auto"/>
          <w:kern w:val="0"/>
          <w:sz w:val="32"/>
          <w:szCs w:val="32"/>
          <w:highlight w:val="none"/>
          <w:u w:val="none"/>
          <w:lang w:val="en-US" w:eastAsia="zh-CN"/>
        </w:rPr>
      </w:pPr>
      <w:r>
        <w:rPr>
          <w:rFonts w:hint="eastAsia" w:eastAsia="仿宋_GB2312" w:cs="仿宋_GB2312"/>
          <w:b w:val="0"/>
          <w:color w:val="auto"/>
          <w:kern w:val="0"/>
          <w:sz w:val="32"/>
          <w:szCs w:val="32"/>
          <w:highlight w:val="none"/>
          <w:u w:val="none"/>
          <w:lang w:val="en-US" w:eastAsia="zh-CN"/>
        </w:rPr>
        <w:t>本单位。</w:t>
      </w:r>
    </w:p>
    <w:p w14:paraId="37BEE983">
      <w:pPr>
        <w:keepNext w:val="0"/>
        <w:keepLines w:val="0"/>
        <w:pageBreakBefore w:val="0"/>
        <w:kinsoku/>
        <w:wordWrap/>
        <w:overflowPunct/>
        <w:topLinePunct w:val="0"/>
        <w:bidi w:val="0"/>
        <w:spacing w:line="600" w:lineRule="exact"/>
        <w:ind w:right="0" w:firstLine="640" w:firstLineChars="200"/>
        <w:rPr>
          <w:rFonts w:hint="eastAsia" w:ascii="Times New Roman" w:hAnsi="Times New Roman" w:eastAsia="楷体_GB2312" w:cs="Times New Roman"/>
          <w:b w:val="0"/>
          <w:bCs/>
          <w:color w:val="auto"/>
          <w:sz w:val="32"/>
          <w:szCs w:val="32"/>
          <w:highlight w:val="none"/>
          <w:u w:val="none"/>
          <w:lang w:val="zh-CN" w:eastAsia="zh-CN"/>
        </w:rPr>
      </w:pPr>
      <w:r>
        <w:rPr>
          <w:rFonts w:hint="eastAsia" w:ascii="Times New Roman" w:hAnsi="Times New Roman" w:eastAsia="楷体_GB2312" w:cs="Times New Roman"/>
          <w:b w:val="0"/>
          <w:bCs/>
          <w:color w:val="auto"/>
          <w:sz w:val="32"/>
          <w:szCs w:val="32"/>
          <w:highlight w:val="none"/>
          <w:u w:val="none"/>
          <w:lang w:val="zh-CN" w:eastAsia="zh-CN"/>
        </w:rPr>
        <w:t>（四）评价方法</w:t>
      </w:r>
    </w:p>
    <w:p w14:paraId="34FD972F">
      <w:pPr>
        <w:keepNext w:val="0"/>
        <w:keepLines w:val="0"/>
        <w:pageBreakBefore w:val="0"/>
        <w:widowControl/>
        <w:kinsoku/>
        <w:wordWrap/>
        <w:overflowPunct/>
        <w:topLinePunct w:val="0"/>
        <w:bidi w:val="0"/>
        <w:adjustRightInd w:val="0"/>
        <w:snapToGrid w:val="0"/>
        <w:spacing w:line="600" w:lineRule="exact"/>
        <w:ind w:right="0" w:firstLine="640" w:firstLineChars="200"/>
        <w:contextualSpacing/>
        <w:jc w:val="left"/>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 w:hAnsi="仿宋" w:eastAsia="仿宋" w:cs="仿宋"/>
          <w:color w:val="auto"/>
          <w:kern w:val="0"/>
          <w:sz w:val="32"/>
          <w:szCs w:val="32"/>
          <w:shd w:val="clear" w:color="auto" w:fill="FFFFFF"/>
          <w:lang w:val="zh-CN"/>
        </w:rPr>
        <w:t>根据考核评分细则，我单位严格按照国家的相关财务管理制度规定，财务制度健全、会计核算规范，依照计划管理使用。</w:t>
      </w:r>
    </w:p>
    <w:p w14:paraId="3E8D9322">
      <w:pPr>
        <w:keepNext w:val="0"/>
        <w:keepLines w:val="0"/>
        <w:pageBreakBefore w:val="0"/>
        <w:kinsoku/>
        <w:wordWrap/>
        <w:overflowPunct/>
        <w:topLinePunct w:val="0"/>
        <w:bidi w:val="0"/>
        <w:spacing w:line="600" w:lineRule="exact"/>
        <w:ind w:right="0" w:firstLine="640" w:firstLineChars="200"/>
        <w:rPr>
          <w:rFonts w:hint="eastAsia" w:ascii="Times New Roman" w:hAnsi="Times New Roman" w:eastAsia="楷体_GB2312" w:cs="Times New Roman"/>
          <w:b w:val="0"/>
          <w:bCs/>
          <w:color w:val="auto"/>
          <w:sz w:val="32"/>
          <w:szCs w:val="32"/>
          <w:highlight w:val="none"/>
          <w:u w:val="none"/>
          <w:lang w:val="zh-CN" w:eastAsia="zh-CN"/>
        </w:rPr>
      </w:pPr>
      <w:r>
        <w:rPr>
          <w:rFonts w:hint="eastAsia" w:ascii="Times New Roman" w:hAnsi="Times New Roman" w:eastAsia="楷体_GB2312" w:cs="Times New Roman"/>
          <w:b w:val="0"/>
          <w:bCs/>
          <w:color w:val="auto"/>
          <w:sz w:val="32"/>
          <w:szCs w:val="32"/>
          <w:highlight w:val="none"/>
          <w:u w:val="none"/>
          <w:lang w:val="zh-CN" w:eastAsia="zh-CN"/>
        </w:rPr>
        <w:t>（五）评价组织</w:t>
      </w:r>
    </w:p>
    <w:p w14:paraId="7B4B9B04">
      <w:pPr>
        <w:keepNext w:val="0"/>
        <w:keepLines w:val="0"/>
        <w:pageBreakBefore w:val="0"/>
        <w:widowControl w:val="0"/>
        <w:kinsoku/>
        <w:wordWrap/>
        <w:overflowPunct/>
        <w:topLinePunct w:val="0"/>
        <w:autoSpaceDE/>
        <w:autoSpaceDN/>
        <w:bidi w:val="0"/>
        <w:spacing w:line="600" w:lineRule="exact"/>
        <w:ind w:right="0" w:firstLine="640"/>
        <w:textAlignment w:val="auto"/>
        <w:outlineLvl w:val="9"/>
        <w:rPr>
          <w:rFonts w:hint="eastAsia" w:ascii="Times New Roman" w:hAnsi="Times New Roman" w:eastAsia="仿宋_GB2312" w:cs="Times New Roman"/>
          <w:bCs/>
          <w:lang w:eastAsia="zh-CN"/>
        </w:rPr>
      </w:pPr>
      <w:r>
        <w:rPr>
          <w:rFonts w:hint="eastAsia" w:ascii="仿宋_GB2312" w:hAnsi="仿宋_GB2312" w:eastAsia="仿宋_GB2312" w:cs="仿宋_GB2312"/>
          <w:i w:val="0"/>
          <w:iCs w:val="0"/>
          <w:caps w:val="0"/>
          <w:color w:val="auto"/>
          <w:spacing w:val="0"/>
          <w:kern w:val="0"/>
          <w:sz w:val="32"/>
          <w:szCs w:val="32"/>
          <w:lang w:val="en-US" w:eastAsia="zh-CN" w:bidi="ar"/>
        </w:rPr>
        <w:t>该项目组织实施由单位分管负责人按年初工作计划组织实施。</w:t>
      </w:r>
    </w:p>
    <w:p w14:paraId="5A08504A">
      <w:pPr>
        <w:keepNext w:val="0"/>
        <w:keepLines w:val="0"/>
        <w:pageBreakBefore w:val="0"/>
        <w:kinsoku/>
        <w:wordWrap/>
        <w:overflowPunct/>
        <w:topLinePunct w:val="0"/>
        <w:autoSpaceDE/>
        <w:autoSpaceDN/>
        <w:bidi w:val="0"/>
        <w:adjustRightInd w:val="0"/>
        <w:snapToGrid w:val="0"/>
        <w:spacing w:line="600" w:lineRule="exact"/>
        <w:ind w:right="0"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14:paraId="793DCD47">
      <w:pPr>
        <w:keepNext w:val="0"/>
        <w:keepLines w:val="0"/>
        <w:pageBreakBefore w:val="0"/>
        <w:widowControl w:val="0"/>
        <w:kinsoku/>
        <w:wordWrap/>
        <w:overflowPunct/>
        <w:topLinePunct w:val="0"/>
        <w:autoSpaceDE/>
        <w:autoSpaceDN/>
        <w:bidi w:val="0"/>
        <w:spacing w:line="600" w:lineRule="exact"/>
        <w:ind w:right="0"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zh-CN" w:eastAsia="zh-CN" w:bidi="ar-SA"/>
        </w:rPr>
        <w:t>项目</w:t>
      </w:r>
      <w:r>
        <w:rPr>
          <w:rFonts w:hint="default" w:ascii="Times New Roman" w:hAnsi="Times New Roman" w:eastAsia="仿宋_GB2312" w:cs="仿宋_GB2312"/>
          <w:b w:val="0"/>
          <w:bCs w:val="0"/>
          <w:kern w:val="0"/>
          <w:position w:val="0"/>
          <w:sz w:val="32"/>
          <w:szCs w:val="32"/>
          <w:highlight w:val="none"/>
          <w:lang w:val="zh-CN" w:eastAsia="zh-CN" w:bidi="ar-SA"/>
        </w:rPr>
        <w:t>预算绩效评价指标体系</w:t>
      </w:r>
      <w:r>
        <w:rPr>
          <w:rFonts w:hint="eastAsia" w:ascii="Times New Roman" w:hAnsi="Times New Roman" w:eastAsia="仿宋_GB2312" w:cs="仿宋_GB2312"/>
          <w:b w:val="0"/>
          <w:bCs w:val="0"/>
          <w:kern w:val="0"/>
          <w:position w:val="0"/>
          <w:sz w:val="32"/>
          <w:szCs w:val="32"/>
          <w:highlight w:val="none"/>
          <w:lang w:val="zh-CN" w:eastAsia="zh-CN" w:bidi="ar-SA"/>
        </w:rPr>
        <w:t>通用指标、专用指标、个性指标</w:t>
      </w:r>
      <w:r>
        <w:rPr>
          <w:rFonts w:hint="default" w:ascii="Times New Roman" w:hAnsi="Times New Roman" w:eastAsia="仿宋_GB2312" w:cs="仿宋_GB2312"/>
          <w:b w:val="0"/>
          <w:bCs w:val="0"/>
          <w:kern w:val="0"/>
          <w:position w:val="0"/>
          <w:sz w:val="32"/>
          <w:szCs w:val="32"/>
          <w:highlight w:val="none"/>
          <w:lang w:val="zh-CN" w:eastAsia="zh-CN" w:bidi="ar-SA"/>
        </w:rPr>
        <w:t>涉及</w:t>
      </w:r>
      <w:r>
        <w:rPr>
          <w:rFonts w:hint="eastAsia" w:ascii="Times New Roman" w:hAnsi="Times New Roman" w:eastAsia="仿宋_GB2312" w:cs="仿宋_GB2312"/>
          <w:b w:val="0"/>
          <w:bCs w:val="0"/>
          <w:kern w:val="0"/>
          <w:position w:val="0"/>
          <w:sz w:val="32"/>
          <w:szCs w:val="32"/>
          <w:highlight w:val="none"/>
          <w:lang w:val="zh-CN" w:eastAsia="zh-CN" w:bidi="ar-SA"/>
        </w:rPr>
        <w:t>二、三级</w:t>
      </w:r>
      <w:r>
        <w:rPr>
          <w:rFonts w:hint="default" w:ascii="Times New Roman" w:hAnsi="Times New Roman" w:eastAsia="仿宋_GB2312" w:cs="仿宋_GB2312"/>
          <w:b w:val="0"/>
          <w:bCs w:val="0"/>
          <w:kern w:val="0"/>
          <w:position w:val="0"/>
          <w:sz w:val="32"/>
          <w:szCs w:val="32"/>
          <w:highlight w:val="none"/>
          <w:lang w:val="zh-CN" w:eastAsia="zh-CN" w:bidi="ar-SA"/>
        </w:rPr>
        <w:t>指标进行</w:t>
      </w:r>
      <w:r>
        <w:rPr>
          <w:rFonts w:hint="eastAsia" w:ascii="Times New Roman" w:hAnsi="Times New Roman" w:eastAsia="仿宋_GB2312" w:cs="仿宋_GB2312"/>
          <w:b w:val="0"/>
          <w:bCs w:val="0"/>
          <w:kern w:val="0"/>
          <w:position w:val="0"/>
          <w:sz w:val="32"/>
          <w:szCs w:val="32"/>
          <w:highlight w:val="none"/>
          <w:lang w:val="zh-CN" w:eastAsia="zh-CN" w:bidi="ar-SA"/>
        </w:rPr>
        <w:t>逐项</w:t>
      </w:r>
      <w:r>
        <w:rPr>
          <w:rFonts w:hint="default" w:ascii="Times New Roman" w:hAnsi="Times New Roman" w:eastAsia="仿宋_GB2312" w:cs="仿宋_GB2312"/>
          <w:b w:val="0"/>
          <w:bCs w:val="0"/>
          <w:kern w:val="0"/>
          <w:position w:val="0"/>
          <w:sz w:val="32"/>
          <w:szCs w:val="32"/>
          <w:highlight w:val="none"/>
          <w:lang w:val="zh-CN" w:eastAsia="zh-CN" w:bidi="ar-SA"/>
        </w:rPr>
        <w:t>绩效分析</w:t>
      </w:r>
      <w:r>
        <w:rPr>
          <w:rFonts w:hint="eastAsia" w:ascii="Times New Roman" w:hAnsi="Times New Roman" w:eastAsia="仿宋_GB2312" w:cs="仿宋_GB2312"/>
          <w:b w:val="0"/>
          <w:bCs w:val="0"/>
          <w:kern w:val="0"/>
          <w:position w:val="0"/>
          <w:sz w:val="32"/>
          <w:szCs w:val="32"/>
          <w:highlight w:val="none"/>
          <w:lang w:val="zh-CN" w:eastAsia="zh-CN" w:bidi="ar-SA"/>
        </w:rPr>
        <w:t>并评分</w:t>
      </w:r>
      <w:r>
        <w:rPr>
          <w:rFonts w:hint="eastAsia" w:ascii="Times New Roman" w:hAnsi="Times New Roman" w:eastAsia="仿宋_GB2312" w:cs="仿宋_GB2312"/>
          <w:b w:val="0"/>
          <w:bCs w:val="0"/>
          <w:kern w:val="0"/>
          <w:position w:val="0"/>
          <w:sz w:val="32"/>
          <w:szCs w:val="32"/>
          <w:highlight w:val="none"/>
          <w:lang w:val="en-US" w:eastAsia="zh-CN" w:bidi="ar-SA"/>
        </w:rPr>
        <w:t>。</w:t>
      </w:r>
    </w:p>
    <w:p w14:paraId="3B104A0C">
      <w:pPr>
        <w:keepNext w:val="0"/>
        <w:keepLines w:val="0"/>
        <w:pageBreakBefore w:val="0"/>
        <w:kinsoku/>
        <w:wordWrap/>
        <w:overflowPunct/>
        <w:topLinePunct w:val="0"/>
        <w:bidi w:val="0"/>
        <w:spacing w:line="600" w:lineRule="exact"/>
        <w:ind w:right="0" w:firstLine="640" w:firstLineChars="200"/>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val="0"/>
          <w:bCs/>
          <w:color w:val="auto"/>
          <w:sz w:val="32"/>
          <w:szCs w:val="32"/>
          <w:highlight w:val="none"/>
          <w:u w:val="none"/>
          <w:lang w:val="zh-CN" w:eastAsia="zh-CN"/>
        </w:rPr>
        <w:t>（一）</w:t>
      </w:r>
      <w:r>
        <w:rPr>
          <w:rFonts w:hint="eastAsia" w:ascii="Times New Roman" w:hAnsi="Times New Roman" w:eastAsia="楷体_GB2312" w:cs="Times New Roman"/>
          <w:b w:val="0"/>
          <w:bCs/>
          <w:color w:val="auto"/>
          <w:sz w:val="32"/>
          <w:szCs w:val="32"/>
          <w:highlight w:val="none"/>
          <w:u w:val="none"/>
          <w:lang w:val="en-US" w:eastAsia="zh-CN"/>
        </w:rPr>
        <w:t>通用指标</w:t>
      </w:r>
      <w:r>
        <w:rPr>
          <w:rFonts w:hint="default" w:ascii="Times New Roman" w:hAnsi="Times New Roman" w:eastAsia="楷体_GB2312" w:cs="Times New Roman"/>
          <w:b w:val="0"/>
          <w:bCs/>
          <w:color w:val="auto"/>
          <w:sz w:val="32"/>
          <w:szCs w:val="32"/>
          <w:highlight w:val="none"/>
          <w:u w:val="none"/>
          <w:lang w:val="zh-CN" w:eastAsia="zh-CN"/>
        </w:rPr>
        <w:t>绩效分析</w:t>
      </w:r>
    </w:p>
    <w:p w14:paraId="5BABD386">
      <w:pPr>
        <w:keepNext w:val="0"/>
        <w:keepLines w:val="0"/>
        <w:pageBreakBefore w:val="0"/>
        <w:widowControl w:val="0"/>
        <w:kinsoku/>
        <w:wordWrap/>
        <w:overflowPunct/>
        <w:topLinePunct w:val="0"/>
        <w:autoSpaceDE/>
        <w:autoSpaceDN/>
        <w:bidi w:val="0"/>
        <w:spacing w:line="600" w:lineRule="exact"/>
        <w:ind w:right="0"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项目决策。围绕决策程序、规划论证、资金投向进行绩效分析。</w:t>
      </w:r>
    </w:p>
    <w:p w14:paraId="525FAC0B">
      <w:pPr>
        <w:keepNext w:val="0"/>
        <w:keepLines w:val="0"/>
        <w:pageBreakBefore w:val="0"/>
        <w:widowControl w:val="0"/>
        <w:kinsoku/>
        <w:wordWrap/>
        <w:overflowPunct/>
        <w:topLinePunct w:val="0"/>
        <w:autoSpaceDE/>
        <w:autoSpaceDN/>
        <w:bidi w:val="0"/>
        <w:spacing w:line="600" w:lineRule="exact"/>
        <w:ind w:right="0"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项目管理。围绕制度办法、分配管理、绩效监管进行绩效分析。</w:t>
      </w:r>
    </w:p>
    <w:p w14:paraId="7B5B9093">
      <w:pPr>
        <w:keepNext w:val="0"/>
        <w:keepLines w:val="0"/>
        <w:pageBreakBefore w:val="0"/>
        <w:widowControl w:val="0"/>
        <w:kinsoku/>
        <w:wordWrap/>
        <w:overflowPunct/>
        <w:topLinePunct w:val="0"/>
        <w:autoSpaceDE/>
        <w:autoSpaceDN/>
        <w:bidi w:val="0"/>
        <w:spacing w:line="600" w:lineRule="exact"/>
        <w:ind w:right="0"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w:t>
      </w:r>
      <w:r>
        <w:rPr>
          <w:rFonts w:hint="eastAsia" w:ascii="Times New Roman" w:hAnsi="Times New Roman" w:eastAsia="仿宋_GB2312" w:cs="仿宋_GB2312"/>
          <w:b w:val="0"/>
          <w:bCs w:val="0"/>
          <w:kern w:val="0"/>
          <w:position w:val="0"/>
          <w:sz w:val="32"/>
          <w:szCs w:val="32"/>
          <w:highlight w:val="none"/>
          <w:lang w:val="zh-CN" w:eastAsia="zh-CN" w:bidi="ar-SA"/>
        </w:rPr>
        <w:t>围绕预算执行、资金使用进行绩效分析。</w:t>
      </w:r>
    </w:p>
    <w:p w14:paraId="2213B5B5">
      <w:pPr>
        <w:keepNext w:val="0"/>
        <w:keepLines w:val="0"/>
        <w:pageBreakBefore w:val="0"/>
        <w:widowControl w:val="0"/>
        <w:kinsoku/>
        <w:wordWrap/>
        <w:overflowPunct/>
        <w:topLinePunct w:val="0"/>
        <w:autoSpaceDE/>
        <w:autoSpaceDN/>
        <w:bidi w:val="0"/>
        <w:spacing w:line="600" w:lineRule="exact"/>
        <w:ind w:right="0"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4.项目结果。围绕</w:t>
      </w:r>
      <w:r>
        <w:rPr>
          <w:rFonts w:hint="eastAsia" w:ascii="Times New Roman" w:hAnsi="Times New Roman" w:eastAsia="仿宋_GB2312" w:cs="仿宋_GB2312"/>
          <w:b w:val="0"/>
          <w:bCs w:val="0"/>
          <w:kern w:val="0"/>
          <w:position w:val="0"/>
          <w:sz w:val="32"/>
          <w:szCs w:val="32"/>
          <w:highlight w:val="none"/>
          <w:lang w:val="zh-CN" w:eastAsia="zh-CN" w:bidi="ar-SA"/>
        </w:rPr>
        <w:t>目标完成、完成时效进行绩效分析。</w:t>
      </w:r>
    </w:p>
    <w:p w14:paraId="165E2BEF">
      <w:pPr>
        <w:keepNext w:val="0"/>
        <w:keepLines w:val="0"/>
        <w:pageBreakBefore w:val="0"/>
        <w:kinsoku/>
        <w:wordWrap/>
        <w:overflowPunct/>
        <w:topLinePunct w:val="0"/>
        <w:bidi w:val="0"/>
        <w:spacing w:line="600" w:lineRule="exact"/>
        <w:ind w:right="0" w:firstLine="640" w:firstLineChars="200"/>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val="0"/>
          <w:bCs/>
          <w:color w:val="auto"/>
          <w:sz w:val="32"/>
          <w:szCs w:val="32"/>
          <w:highlight w:val="none"/>
          <w:u w:val="none"/>
          <w:lang w:val="zh-CN" w:eastAsia="zh-CN"/>
        </w:rPr>
        <w:t>（二）</w:t>
      </w:r>
      <w:r>
        <w:rPr>
          <w:rFonts w:hint="eastAsia" w:ascii="Times New Roman" w:hAnsi="Times New Roman" w:eastAsia="楷体_GB2312" w:cs="Times New Roman"/>
          <w:b w:val="0"/>
          <w:bCs/>
          <w:color w:val="auto"/>
          <w:sz w:val="32"/>
          <w:szCs w:val="32"/>
          <w:highlight w:val="none"/>
          <w:u w:val="none"/>
          <w:lang w:val="en-US" w:eastAsia="zh-CN"/>
        </w:rPr>
        <w:t>专用指标</w:t>
      </w:r>
      <w:r>
        <w:rPr>
          <w:rFonts w:hint="default" w:ascii="Times New Roman" w:hAnsi="Times New Roman" w:eastAsia="楷体_GB2312" w:cs="Times New Roman"/>
          <w:b w:val="0"/>
          <w:bCs/>
          <w:color w:val="auto"/>
          <w:sz w:val="32"/>
          <w:szCs w:val="32"/>
          <w:highlight w:val="none"/>
          <w:u w:val="none"/>
          <w:lang w:val="zh-CN" w:eastAsia="zh-CN"/>
        </w:rPr>
        <w:t>绩效分析</w:t>
      </w:r>
      <w:r>
        <w:rPr>
          <w:rFonts w:hint="eastAsia" w:eastAsia="楷体_GB2312" w:cs="Times New Roman"/>
          <w:b w:val="0"/>
          <w:bCs/>
          <w:color w:val="auto"/>
          <w:sz w:val="32"/>
          <w:szCs w:val="32"/>
          <w:highlight w:val="none"/>
          <w:u w:val="none"/>
          <w:lang w:val="zh-CN" w:eastAsia="zh-CN"/>
        </w:rPr>
        <w:t>。</w:t>
      </w:r>
      <w:r>
        <w:rPr>
          <w:rFonts w:hint="eastAsia"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en-US" w:eastAsia="zh-CN" w:bidi="ar-SA"/>
        </w:rPr>
        <w:t>专项预算项目资金支持对象选择所属指标进行绩效分析。支持对象</w:t>
      </w:r>
      <w:r>
        <w:rPr>
          <w:rFonts w:hint="eastAsia" w:ascii="Times New Roman" w:hAnsi="Times New Roman" w:eastAsia="仿宋_GB2312" w:cs="仿宋_GB2312"/>
          <w:b w:val="0"/>
          <w:bCs w:val="0"/>
          <w:kern w:val="0"/>
          <w:position w:val="0"/>
          <w:sz w:val="32"/>
          <w:szCs w:val="32"/>
          <w:highlight w:val="none"/>
          <w:lang w:val="zh-CN" w:eastAsia="zh-CN" w:bidi="ar-SA"/>
        </w:rPr>
        <w:t>包括产业发展、民生保障、基础设施、行政运转等方面。</w:t>
      </w:r>
    </w:p>
    <w:p w14:paraId="20C7A955">
      <w:pPr>
        <w:keepNext w:val="0"/>
        <w:keepLines w:val="0"/>
        <w:pageBreakBefore w:val="0"/>
        <w:widowControl w:val="0"/>
        <w:kinsoku/>
        <w:wordWrap/>
        <w:overflowPunct/>
        <w:topLinePunct w:val="0"/>
        <w:autoSpaceDE/>
        <w:autoSpaceDN/>
        <w:bidi w:val="0"/>
        <w:spacing w:line="600" w:lineRule="exact"/>
        <w:ind w:right="0"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1.产业发展。围绕符合性、成长性、经济性进行绩效分析。</w:t>
      </w:r>
    </w:p>
    <w:p w14:paraId="12A0532F">
      <w:pPr>
        <w:keepNext w:val="0"/>
        <w:keepLines w:val="0"/>
        <w:pageBreakBefore w:val="0"/>
        <w:widowControl w:val="0"/>
        <w:kinsoku/>
        <w:wordWrap/>
        <w:overflowPunct/>
        <w:topLinePunct w:val="0"/>
        <w:autoSpaceDE/>
        <w:autoSpaceDN/>
        <w:bidi w:val="0"/>
        <w:spacing w:line="600" w:lineRule="exact"/>
        <w:ind w:right="0"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民生保障。</w:t>
      </w:r>
      <w:r>
        <w:rPr>
          <w:rFonts w:hint="eastAsia" w:ascii="Times New Roman" w:hAnsi="Times New Roman" w:eastAsia="仿宋_GB2312" w:cs="仿宋_GB2312"/>
          <w:b w:val="0"/>
          <w:bCs w:val="0"/>
          <w:kern w:val="0"/>
          <w:position w:val="0"/>
          <w:sz w:val="32"/>
          <w:szCs w:val="32"/>
          <w:highlight w:val="none"/>
          <w:lang w:val="en-US" w:eastAsia="zh-CN" w:bidi="ar-SA"/>
        </w:rPr>
        <w:t>围绕区域均衡性、对象精准性、标准合理性、群众满意度进行绩效分析。</w:t>
      </w:r>
    </w:p>
    <w:p w14:paraId="17B90969">
      <w:pPr>
        <w:keepNext w:val="0"/>
        <w:keepLines w:val="0"/>
        <w:pageBreakBefore w:val="0"/>
        <w:widowControl w:val="0"/>
        <w:kinsoku/>
        <w:wordWrap/>
        <w:overflowPunct/>
        <w:topLinePunct w:val="0"/>
        <w:autoSpaceDE/>
        <w:autoSpaceDN/>
        <w:bidi w:val="0"/>
        <w:spacing w:line="600" w:lineRule="exact"/>
        <w:ind w:right="0"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3.基础设施。在建项目围绕工程进度和资金拨付进行绩效分析；建成项目围绕项目验收、功能实现、后续管护进行</w:t>
      </w:r>
      <w:r>
        <w:rPr>
          <w:rFonts w:hint="eastAsia" w:ascii="Times New Roman" w:hAnsi="Times New Roman" w:eastAsia="仿宋_GB2312" w:cs="仿宋_GB2312"/>
          <w:b w:val="0"/>
          <w:bCs w:val="0"/>
          <w:kern w:val="0"/>
          <w:position w:val="0"/>
          <w:sz w:val="32"/>
          <w:szCs w:val="32"/>
          <w:highlight w:val="none"/>
          <w:lang w:val="zh-CN" w:eastAsia="zh-CN" w:bidi="ar-SA"/>
        </w:rPr>
        <w:t>绩效分析。</w:t>
      </w:r>
    </w:p>
    <w:p w14:paraId="0B330213">
      <w:pPr>
        <w:keepNext w:val="0"/>
        <w:keepLines w:val="0"/>
        <w:pageBreakBefore w:val="0"/>
        <w:widowControl w:val="0"/>
        <w:kinsoku/>
        <w:wordWrap/>
        <w:overflowPunct/>
        <w:topLinePunct w:val="0"/>
        <w:autoSpaceDE/>
        <w:autoSpaceDN/>
        <w:bidi w:val="0"/>
        <w:spacing w:line="600" w:lineRule="exact"/>
        <w:ind w:right="0"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行政运转。围绕用途合规性、程序合规性、标准合规性进行绩效分析。</w:t>
      </w:r>
    </w:p>
    <w:p w14:paraId="7213B023">
      <w:pPr>
        <w:keepNext w:val="0"/>
        <w:keepLines w:val="0"/>
        <w:pageBreakBefore w:val="0"/>
        <w:widowControl w:val="0"/>
        <w:kinsoku/>
        <w:wordWrap/>
        <w:overflowPunct/>
        <w:topLinePunct w:val="0"/>
        <w:autoSpaceDE/>
        <w:autoSpaceDN/>
        <w:bidi w:val="0"/>
        <w:adjustRightInd/>
        <w:snapToGrid/>
        <w:spacing w:line="600" w:lineRule="exact"/>
        <w:ind w:right="0"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val="0"/>
          <w:bCs/>
          <w:color w:val="auto"/>
          <w:sz w:val="32"/>
          <w:szCs w:val="32"/>
          <w:highlight w:val="none"/>
          <w:u w:val="none"/>
          <w:lang w:val="zh-CN"/>
        </w:rPr>
        <w:t>（三）</w:t>
      </w:r>
      <w:r>
        <w:rPr>
          <w:rFonts w:hint="eastAsia" w:ascii="Times New Roman" w:hAnsi="Times New Roman" w:eastAsia="楷体_GB2312" w:cs="Times New Roman"/>
          <w:b w:val="0"/>
          <w:bCs/>
          <w:color w:val="auto"/>
          <w:sz w:val="32"/>
          <w:szCs w:val="32"/>
          <w:highlight w:val="none"/>
          <w:u w:val="none"/>
          <w:lang w:val="en-US" w:eastAsia="zh-CN"/>
        </w:rPr>
        <w:t>个性指标</w:t>
      </w:r>
      <w:r>
        <w:rPr>
          <w:rFonts w:hint="default" w:ascii="Times New Roman" w:hAnsi="Times New Roman" w:eastAsia="楷体_GB2312" w:cs="Times New Roman"/>
          <w:b w:val="0"/>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根据项目个性自行设定部分指标，反映该项指标执行完成情况。</w:t>
      </w:r>
    </w:p>
    <w:p w14:paraId="61D459E7">
      <w:pPr>
        <w:keepNext w:val="0"/>
        <w:keepLines w:val="0"/>
        <w:pageBreakBefore w:val="0"/>
        <w:widowControl w:val="0"/>
        <w:kinsoku/>
        <w:wordWrap/>
        <w:overflowPunct/>
        <w:topLinePunct w:val="0"/>
        <w:autoSpaceDE/>
        <w:autoSpaceDN/>
        <w:bidi w:val="0"/>
        <w:spacing w:line="600" w:lineRule="exact"/>
        <w:ind w:right="0"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618653CF">
      <w:pPr>
        <w:keepNext w:val="0"/>
        <w:keepLines w:val="0"/>
        <w:pageBreakBefore w:val="0"/>
        <w:widowControl/>
        <w:kinsoku/>
        <w:wordWrap/>
        <w:overflowPunct/>
        <w:topLinePunct w:val="0"/>
        <w:bidi w:val="0"/>
        <w:adjustRightInd w:val="0"/>
        <w:snapToGrid w:val="0"/>
        <w:spacing w:line="600" w:lineRule="exact"/>
        <w:ind w:right="0" w:firstLine="640" w:firstLineChars="200"/>
        <w:contextualSpacing/>
        <w:jc w:val="left"/>
        <w:rPr>
          <w:color w:val="auto"/>
          <w:lang w:val="zh-CN"/>
        </w:rPr>
      </w:pPr>
      <w:r>
        <w:rPr>
          <w:rFonts w:hint="eastAsia" w:ascii="仿宋" w:hAnsi="仿宋" w:eastAsia="仿宋_GB2312" w:cs="仿宋"/>
          <w:kern w:val="0"/>
          <w:sz w:val="32"/>
          <w:szCs w:val="32"/>
          <w:shd w:val="clear" w:color="auto" w:fill="FFFFFF"/>
          <w:lang w:val="zh-CN"/>
        </w:rPr>
        <w:t>根据《峨边彝族自治县财政局关于开展2024年度县级部门预算绩效自评工作的通知》文件精神</w:t>
      </w:r>
      <w:r>
        <w:rPr>
          <w:rFonts w:hint="eastAsia" w:ascii="仿宋" w:hAnsi="仿宋" w:eastAsia="仿宋_GB2312" w:cs="仿宋"/>
          <w:color w:val="auto"/>
          <w:kern w:val="0"/>
          <w:sz w:val="32"/>
          <w:szCs w:val="32"/>
          <w:shd w:val="clear" w:color="auto" w:fill="FFFFFF"/>
          <w:lang w:val="zh-CN"/>
        </w:rPr>
        <w:t>，宜坪乡人民政府认真组织开展了部门整体支出绩效评价工作，绩效评价得分：9</w:t>
      </w:r>
      <w:r>
        <w:rPr>
          <w:rFonts w:hint="eastAsia" w:ascii="仿宋" w:hAnsi="仿宋" w:eastAsia="仿宋_GB2312" w:cs="仿宋"/>
          <w:color w:val="auto"/>
          <w:kern w:val="0"/>
          <w:sz w:val="32"/>
          <w:szCs w:val="32"/>
          <w:shd w:val="clear" w:color="auto" w:fill="FFFFFF"/>
          <w:lang w:val="en-US" w:eastAsia="zh-CN"/>
        </w:rPr>
        <w:t>7</w:t>
      </w:r>
      <w:r>
        <w:rPr>
          <w:rFonts w:hint="eastAsia" w:ascii="仿宋" w:hAnsi="仿宋" w:eastAsia="仿宋_GB2312" w:cs="仿宋"/>
          <w:color w:val="auto"/>
          <w:kern w:val="0"/>
          <w:sz w:val="32"/>
          <w:szCs w:val="32"/>
          <w:shd w:val="clear" w:color="auto" w:fill="FFFFFF"/>
          <w:lang w:val="zh-CN"/>
        </w:rPr>
        <w:t>分。</w:t>
      </w:r>
    </w:p>
    <w:p w14:paraId="73A8DEB0">
      <w:pPr>
        <w:keepNext w:val="0"/>
        <w:keepLines w:val="0"/>
        <w:pageBreakBefore w:val="0"/>
        <w:widowControl w:val="0"/>
        <w:kinsoku/>
        <w:wordWrap/>
        <w:overflowPunct/>
        <w:topLinePunct w:val="0"/>
        <w:autoSpaceDE/>
        <w:autoSpaceDN/>
        <w:bidi w:val="0"/>
        <w:spacing w:line="600" w:lineRule="exact"/>
        <w:ind w:right="0"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6C95C170">
      <w:pPr>
        <w:keepNext w:val="0"/>
        <w:keepLines w:val="0"/>
        <w:pageBreakBefore w:val="0"/>
        <w:widowControl/>
        <w:numPr>
          <w:ilvl w:val="0"/>
          <w:numId w:val="0"/>
        </w:numPr>
        <w:kinsoku/>
        <w:wordWrap/>
        <w:overflowPunct/>
        <w:topLinePunct w:val="0"/>
        <w:bidi w:val="0"/>
        <w:adjustRightInd w:val="0"/>
        <w:snapToGrid w:val="0"/>
        <w:spacing w:line="600" w:lineRule="exact"/>
        <w:ind w:right="0" w:firstLine="640" w:firstLineChars="200"/>
        <w:contextualSpacing/>
        <w:jc w:val="left"/>
        <w:rPr>
          <w:rFonts w:hint="eastAsia" w:ascii="仿宋" w:hAnsi="仿宋" w:eastAsia="仿宋_GB2312" w:cs="仿宋"/>
          <w:color w:val="000000"/>
          <w:kern w:val="0"/>
          <w:sz w:val="32"/>
          <w:szCs w:val="32"/>
          <w:highlight w:val="none"/>
          <w:shd w:val="clear" w:color="auto" w:fill="FFFFFF"/>
          <w:lang w:val="zh-CN"/>
        </w:rPr>
      </w:pPr>
      <w:r>
        <w:rPr>
          <w:rStyle w:val="15"/>
          <w:rFonts w:hint="eastAsia" w:ascii="仿宋" w:hAnsi="仿宋" w:eastAsia="仿宋_GB2312" w:cs="仿宋"/>
          <w:b w:val="0"/>
          <w:bCs w:val="0"/>
          <w:i w:val="0"/>
          <w:iCs w:val="0"/>
          <w:caps w:val="0"/>
          <w:color w:val="000000"/>
          <w:spacing w:val="0"/>
          <w:sz w:val="32"/>
          <w:szCs w:val="32"/>
          <w:highlight w:val="none"/>
          <w:shd w:val="clear" w:fill="FFFFFF"/>
        </w:rPr>
        <w:t>在资金管理过程中，财务管理制度</w:t>
      </w:r>
      <w:r>
        <w:rPr>
          <w:rStyle w:val="15"/>
          <w:rFonts w:hint="eastAsia" w:ascii="仿宋" w:hAnsi="仿宋" w:eastAsia="仿宋_GB2312" w:cs="仿宋"/>
          <w:b w:val="0"/>
          <w:bCs w:val="0"/>
          <w:i w:val="0"/>
          <w:iCs w:val="0"/>
          <w:caps w:val="0"/>
          <w:color w:val="000000"/>
          <w:spacing w:val="0"/>
          <w:sz w:val="32"/>
          <w:szCs w:val="32"/>
          <w:highlight w:val="none"/>
          <w:shd w:val="clear" w:fill="FFFFFF"/>
          <w:lang w:eastAsia="zh-CN"/>
        </w:rPr>
        <w:t>需完善。</w:t>
      </w:r>
    </w:p>
    <w:p w14:paraId="3EA614D4">
      <w:pPr>
        <w:keepNext w:val="0"/>
        <w:keepLines w:val="0"/>
        <w:pageBreakBefore w:val="0"/>
        <w:widowControl w:val="0"/>
        <w:kinsoku/>
        <w:wordWrap/>
        <w:overflowPunct/>
        <w:topLinePunct w:val="0"/>
        <w:autoSpaceDE/>
        <w:autoSpaceDN/>
        <w:bidi w:val="0"/>
        <w:spacing w:line="600" w:lineRule="exact"/>
        <w:ind w:right="0"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2152802A">
      <w:pPr>
        <w:keepNext w:val="0"/>
        <w:keepLines w:val="0"/>
        <w:pageBreakBefore w:val="0"/>
        <w:widowControl/>
        <w:kinsoku/>
        <w:wordWrap/>
        <w:overflowPunct/>
        <w:topLinePunct w:val="0"/>
        <w:bidi w:val="0"/>
        <w:adjustRightInd w:val="0"/>
        <w:snapToGrid w:val="0"/>
        <w:spacing w:line="600" w:lineRule="exact"/>
        <w:ind w:right="0" w:firstLine="640" w:firstLineChars="200"/>
        <w:contextualSpacing/>
        <w:jc w:val="left"/>
        <w:rPr>
          <w:rFonts w:hint="eastAsia" w:ascii="仿宋" w:hAnsi="仿宋" w:eastAsia="仿宋_GB2312" w:cs="仿宋"/>
          <w:color w:val="000000"/>
          <w:kern w:val="0"/>
          <w:sz w:val="32"/>
          <w:szCs w:val="32"/>
          <w:highlight w:val="yellow"/>
          <w:shd w:val="clear" w:color="auto" w:fill="FFFFFF"/>
          <w:lang w:val="zh-CN"/>
        </w:rPr>
      </w:pPr>
      <w:r>
        <w:rPr>
          <w:rFonts w:hint="eastAsia" w:ascii="仿宋" w:hAnsi="仿宋" w:eastAsia="仿宋_GB2312" w:cs="仿宋"/>
          <w:color w:val="auto"/>
          <w:kern w:val="0"/>
          <w:sz w:val="32"/>
          <w:szCs w:val="32"/>
          <w:highlight w:val="none"/>
          <w:shd w:val="clear" w:color="auto" w:fill="FFFFFF"/>
          <w:lang w:val="zh-CN"/>
        </w:rPr>
        <w:t>1</w:t>
      </w:r>
      <w:r>
        <w:rPr>
          <w:rFonts w:hint="eastAsia" w:ascii="仿宋" w:hAnsi="仿宋" w:eastAsia="仿宋_GB2312" w:cs="仿宋"/>
          <w:color w:val="auto"/>
          <w:kern w:val="0"/>
          <w:sz w:val="32"/>
          <w:szCs w:val="32"/>
          <w:highlight w:val="none"/>
          <w:shd w:val="clear" w:color="auto" w:fill="FFFFFF"/>
          <w:lang w:val="en-US" w:eastAsia="zh-CN"/>
        </w:rPr>
        <w:t>.</w:t>
      </w:r>
      <w:r>
        <w:rPr>
          <w:rFonts w:hint="eastAsia" w:ascii="仿宋" w:hAnsi="仿宋" w:eastAsia="仿宋_GB2312" w:cs="仿宋"/>
          <w:color w:val="auto"/>
          <w:kern w:val="0"/>
          <w:sz w:val="32"/>
          <w:szCs w:val="32"/>
          <w:highlight w:val="none"/>
          <w:shd w:val="clear" w:color="auto" w:fill="FFFFFF"/>
          <w:lang w:val="zh-CN"/>
        </w:rPr>
        <w:t>细化预算编制工作，</w:t>
      </w:r>
      <w:r>
        <w:rPr>
          <w:rFonts w:hint="eastAsia" w:ascii="仿宋" w:hAnsi="仿宋" w:eastAsia="仿宋_GB2312" w:cs="仿宋"/>
          <w:color w:val="auto"/>
          <w:kern w:val="0"/>
          <w:sz w:val="32"/>
          <w:szCs w:val="32"/>
          <w:shd w:val="clear" w:color="auto" w:fill="FFFFFF"/>
          <w:lang w:val="zh-CN"/>
        </w:rPr>
        <w:t>严格按照预算编制的相关制度和要求进行预算编制，进一步提高预算编制的科学性、严谨性和可控性，</w:t>
      </w:r>
      <w:r>
        <w:rPr>
          <w:rFonts w:hint="eastAsia" w:ascii="仿宋" w:hAnsi="仿宋" w:eastAsia="仿宋_GB2312" w:cs="仿宋"/>
          <w:color w:val="000000"/>
          <w:kern w:val="0"/>
          <w:sz w:val="32"/>
          <w:szCs w:val="32"/>
          <w:highlight w:val="none"/>
          <w:shd w:val="clear" w:color="auto" w:fill="FFFFFF"/>
          <w:lang w:val="zh-CN"/>
        </w:rPr>
        <w:t>按照预算编制的相关制度和要求</w:t>
      </w:r>
      <w:r>
        <w:rPr>
          <w:rFonts w:hint="eastAsia" w:ascii="仿宋" w:hAnsi="仿宋" w:eastAsia="仿宋_GB2312" w:cs="仿宋"/>
          <w:color w:val="000000"/>
          <w:kern w:val="0"/>
          <w:sz w:val="32"/>
          <w:szCs w:val="32"/>
          <w:highlight w:val="none"/>
          <w:shd w:val="clear" w:color="auto" w:fill="FFFFFF"/>
          <w:lang w:val="en-US" w:eastAsia="zh-CN"/>
        </w:rPr>
        <w:t>进行支付</w:t>
      </w:r>
      <w:r>
        <w:rPr>
          <w:rFonts w:hint="eastAsia" w:ascii="仿宋" w:hAnsi="仿宋" w:eastAsia="仿宋_GB2312" w:cs="仿宋"/>
          <w:color w:val="000000"/>
          <w:kern w:val="0"/>
          <w:sz w:val="32"/>
          <w:szCs w:val="32"/>
          <w:highlight w:val="none"/>
          <w:shd w:val="clear" w:color="auto" w:fill="FFFFFF"/>
          <w:lang w:val="zh-CN"/>
        </w:rPr>
        <w:t>。</w:t>
      </w:r>
    </w:p>
    <w:p w14:paraId="73FC689F">
      <w:pPr>
        <w:keepNext w:val="0"/>
        <w:keepLines w:val="0"/>
        <w:pageBreakBefore w:val="0"/>
        <w:widowControl/>
        <w:kinsoku/>
        <w:wordWrap/>
        <w:overflowPunct/>
        <w:topLinePunct w:val="0"/>
        <w:bidi w:val="0"/>
        <w:adjustRightInd w:val="0"/>
        <w:snapToGrid w:val="0"/>
        <w:spacing w:line="600" w:lineRule="exact"/>
        <w:ind w:right="0" w:firstLine="640" w:firstLineChars="200"/>
        <w:contextualSpacing/>
        <w:jc w:val="left"/>
        <w:sectPr>
          <w:pgSz w:w="11900" w:h="16840"/>
          <w:pgMar w:top="1431" w:right="1225" w:bottom="1315" w:left="1225" w:header="0" w:footer="781" w:gutter="0"/>
          <w:cols w:space="720" w:num="1"/>
        </w:sectPr>
      </w:pPr>
      <w:r>
        <w:rPr>
          <w:rFonts w:hint="eastAsia" w:ascii="仿宋" w:hAnsi="仿宋" w:eastAsia="仿宋_GB2312" w:cs="仿宋"/>
          <w:color w:val="000000"/>
          <w:kern w:val="0"/>
          <w:sz w:val="32"/>
          <w:szCs w:val="32"/>
          <w:highlight w:val="none"/>
          <w:shd w:val="clear" w:color="auto" w:fill="FFFFFF"/>
          <w:lang w:val="zh-CN"/>
        </w:rPr>
        <w:t>2</w:t>
      </w:r>
      <w:r>
        <w:rPr>
          <w:rFonts w:hint="eastAsia" w:ascii="仿宋" w:hAnsi="仿宋" w:eastAsia="仿宋_GB2312" w:cs="仿宋"/>
          <w:color w:val="000000"/>
          <w:kern w:val="0"/>
          <w:sz w:val="32"/>
          <w:szCs w:val="32"/>
          <w:highlight w:val="none"/>
          <w:shd w:val="clear" w:color="auto" w:fill="FFFFFF"/>
          <w:lang w:val="en-US" w:eastAsia="zh-CN"/>
        </w:rPr>
        <w:t>.</w:t>
      </w:r>
      <w:r>
        <w:rPr>
          <w:rFonts w:hint="eastAsia" w:ascii="仿宋" w:hAnsi="仿宋" w:eastAsia="仿宋_GB2312" w:cs="仿宋"/>
          <w:color w:val="000000"/>
          <w:kern w:val="0"/>
          <w:sz w:val="32"/>
          <w:szCs w:val="32"/>
          <w:highlight w:val="none"/>
          <w:shd w:val="clear" w:color="auto" w:fill="FFFFFF"/>
          <w:lang w:val="zh-CN"/>
        </w:rPr>
        <w:t>加强财务管理，健全管理制度体系。按照预算规定的费用项目和用途进行资金使用，杜绝超支现象的发生。</w:t>
      </w:r>
    </w:p>
    <w:p w14:paraId="167E37C3">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0" w:name="_Toc15396618"/>
    </w:p>
    <w:p w14:paraId="50BD141B">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16"/>
          <w:rFonts w:hint="eastAsia" w:ascii="Times New Roman" w:hAnsi="Times New Roman" w:eastAsia="黑体"/>
          <w:b w:val="0"/>
          <w:color w:val="auto"/>
          <w:highlight w:val="none"/>
        </w:rPr>
        <w:t>五部分 附表</w:t>
      </w:r>
      <w:bookmarkEnd w:id="48"/>
      <w:bookmarkEnd w:id="50"/>
      <w:bookmarkStart w:id="51" w:name="_Toc15396619"/>
    </w:p>
    <w:p w14:paraId="63275B67">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163AD46E">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1"/>
    </w:p>
    <w:p w14:paraId="4AA3B5E8">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0"/>
      <w:r>
        <w:rPr>
          <w:rFonts w:hint="eastAsia" w:ascii="Times New Roman" w:hAnsi="Times New Roman" w:eastAsia="仿宋_GB2312" w:cs="仿宋_GB2312"/>
          <w:color w:val="auto"/>
          <w:sz w:val="32"/>
          <w:szCs w:val="32"/>
          <w:highlight w:val="none"/>
        </w:rPr>
        <w:t>二、收入决算表</w:t>
      </w:r>
      <w:bookmarkEnd w:id="52"/>
    </w:p>
    <w:p w14:paraId="14FAB7FF">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1"/>
      <w:r>
        <w:rPr>
          <w:rFonts w:hint="eastAsia" w:ascii="Times New Roman" w:hAnsi="Times New Roman" w:eastAsia="仿宋_GB2312" w:cs="仿宋_GB2312"/>
          <w:color w:val="auto"/>
          <w:sz w:val="32"/>
          <w:szCs w:val="32"/>
          <w:highlight w:val="none"/>
        </w:rPr>
        <w:t>三、支出决算表</w:t>
      </w:r>
      <w:bookmarkEnd w:id="53"/>
    </w:p>
    <w:p w14:paraId="03FC8DB0">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2"/>
      <w:r>
        <w:rPr>
          <w:rFonts w:hint="eastAsia" w:ascii="Times New Roman" w:hAnsi="Times New Roman" w:eastAsia="仿宋_GB2312" w:cs="仿宋_GB2312"/>
          <w:color w:val="auto"/>
          <w:sz w:val="32"/>
          <w:szCs w:val="32"/>
          <w:highlight w:val="none"/>
        </w:rPr>
        <w:t>四、财政拨款收入支出决算总表</w:t>
      </w:r>
      <w:bookmarkEnd w:id="54"/>
    </w:p>
    <w:p w14:paraId="74DD89D3">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3"/>
      <w:r>
        <w:rPr>
          <w:rFonts w:hint="eastAsia" w:ascii="Times New Roman" w:hAnsi="Times New Roman" w:eastAsia="仿宋_GB2312" w:cs="仿宋_GB2312"/>
          <w:color w:val="auto"/>
          <w:sz w:val="32"/>
          <w:szCs w:val="32"/>
          <w:highlight w:val="none"/>
        </w:rPr>
        <w:t>五、财政拨款支出决算明细表</w:t>
      </w:r>
      <w:bookmarkEnd w:id="55"/>
      <w:bookmarkStart w:id="56" w:name="_Toc15396624"/>
    </w:p>
    <w:p w14:paraId="47B857EF">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6"/>
    </w:p>
    <w:p w14:paraId="7D211B83">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5"/>
      <w:r>
        <w:rPr>
          <w:rFonts w:hint="eastAsia" w:ascii="Times New Roman" w:hAnsi="Times New Roman" w:eastAsia="仿宋_GB2312" w:cs="仿宋_GB2312"/>
          <w:color w:val="auto"/>
          <w:sz w:val="32"/>
          <w:szCs w:val="32"/>
          <w:highlight w:val="none"/>
        </w:rPr>
        <w:t>七、一般公共预算财政拨款支出决算明细表</w:t>
      </w:r>
      <w:bookmarkEnd w:id="57"/>
    </w:p>
    <w:p w14:paraId="6E1F23A8">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6"/>
      <w:r>
        <w:rPr>
          <w:rFonts w:hint="eastAsia" w:ascii="Times New Roman" w:hAnsi="Times New Roman" w:eastAsia="仿宋_GB2312" w:cs="仿宋_GB2312"/>
          <w:color w:val="auto"/>
          <w:sz w:val="32"/>
          <w:szCs w:val="32"/>
          <w:highlight w:val="none"/>
        </w:rPr>
        <w:t>八、一般公共预算财政拨款基本支出决算表</w:t>
      </w:r>
      <w:bookmarkEnd w:id="58"/>
    </w:p>
    <w:p w14:paraId="2DC43C92">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7"/>
      <w:r>
        <w:rPr>
          <w:rFonts w:hint="eastAsia" w:ascii="Times New Roman" w:hAnsi="Times New Roman" w:eastAsia="仿宋_GB2312" w:cs="仿宋_GB2312"/>
          <w:color w:val="auto"/>
          <w:sz w:val="32"/>
          <w:szCs w:val="32"/>
          <w:highlight w:val="none"/>
        </w:rPr>
        <w:t>九、一般公共预算财政拨款项目支出决算表</w:t>
      </w:r>
      <w:bookmarkEnd w:id="59"/>
    </w:p>
    <w:p w14:paraId="756B48CC">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8"/>
      <w:r>
        <w:rPr>
          <w:rFonts w:hint="eastAsia" w:ascii="Times New Roman" w:hAnsi="Times New Roman" w:eastAsia="仿宋_GB2312" w:cs="仿宋_GB2312"/>
          <w:color w:val="auto"/>
          <w:sz w:val="32"/>
          <w:szCs w:val="32"/>
          <w:highlight w:val="none"/>
        </w:rPr>
        <w:t>十、</w:t>
      </w:r>
      <w:bookmarkEnd w:id="60"/>
      <w:r>
        <w:rPr>
          <w:rFonts w:hint="eastAsia" w:ascii="Times New Roman" w:hAnsi="Times New Roman" w:eastAsia="仿宋_GB2312" w:cs="仿宋_GB2312"/>
          <w:color w:val="auto"/>
          <w:sz w:val="32"/>
          <w:szCs w:val="32"/>
          <w:highlight w:val="none"/>
        </w:rPr>
        <w:t>政府性基金预算财政拨款收入支出决算表</w:t>
      </w:r>
    </w:p>
    <w:p w14:paraId="09E5F716">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9"/>
      <w:r>
        <w:rPr>
          <w:rFonts w:hint="eastAsia" w:ascii="Times New Roman" w:hAnsi="Times New Roman" w:eastAsia="仿宋_GB2312" w:cs="仿宋_GB2312"/>
          <w:color w:val="auto"/>
          <w:sz w:val="32"/>
          <w:szCs w:val="32"/>
          <w:highlight w:val="none"/>
        </w:rPr>
        <w:t>十一、</w:t>
      </w:r>
      <w:bookmarkEnd w:id="61"/>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04E7E491">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30"/>
      <w:r>
        <w:rPr>
          <w:rFonts w:hint="eastAsia" w:ascii="Times New Roman" w:hAnsi="Times New Roman" w:eastAsia="仿宋_GB2312" w:cs="仿宋_GB2312"/>
          <w:color w:val="auto"/>
          <w:sz w:val="32"/>
          <w:szCs w:val="32"/>
          <w:highlight w:val="none"/>
        </w:rPr>
        <w:t>十二、</w:t>
      </w:r>
      <w:bookmarkEnd w:id="62"/>
      <w:r>
        <w:rPr>
          <w:rFonts w:hint="eastAsia" w:ascii="Times New Roman" w:hAnsi="Times New Roman" w:eastAsia="仿宋_GB2312" w:cs="仿宋_GB2312"/>
          <w:color w:val="auto"/>
          <w:sz w:val="32"/>
          <w:szCs w:val="32"/>
          <w:highlight w:val="none"/>
          <w:lang w:eastAsia="zh-CN"/>
        </w:rPr>
        <w:t>国有资本经营预算财政拨款支出决算表</w:t>
      </w:r>
    </w:p>
    <w:p w14:paraId="6AAF338F">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3" w:name="_Toc15396631"/>
      <w:r>
        <w:rPr>
          <w:rFonts w:hint="eastAsia" w:ascii="Times New Roman" w:hAnsi="Times New Roman" w:eastAsia="仿宋_GB2312" w:cs="仿宋_GB2312"/>
          <w:color w:val="auto"/>
          <w:sz w:val="32"/>
          <w:szCs w:val="32"/>
          <w:highlight w:val="none"/>
        </w:rPr>
        <w:t>十三、</w:t>
      </w:r>
      <w:bookmarkEnd w:id="63"/>
      <w:r>
        <w:rPr>
          <w:rFonts w:hint="eastAsia" w:ascii="Times New Roman" w:hAnsi="Times New Roman" w:eastAsia="仿宋_GB2312" w:cs="仿宋_GB2312"/>
          <w:color w:val="auto"/>
          <w:sz w:val="32"/>
          <w:szCs w:val="32"/>
          <w:highlight w:val="none"/>
          <w:lang w:eastAsia="zh-CN"/>
        </w:rPr>
        <w:t>财政拨款“三公”经费支出决算表</w:t>
      </w:r>
    </w:p>
    <w:p w14:paraId="10ABBA89">
      <w:pPr>
        <w:rPr>
          <w:rFonts w:hint="eastAsia" w:ascii="Times New Roman" w:hAnsi="Times New Roman"/>
          <w:lang w:eastAsia="zh-CN"/>
        </w:rPr>
      </w:pPr>
    </w:p>
    <w:p w14:paraId="5CC29BF6"/>
    <w:sectPr>
      <w:footerReference r:id="rId8" w:type="first"/>
      <w:footerReference r:id="rId7"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4D482">
    <w:pPr>
      <w:pStyle w:val="8"/>
      <w:jc w:val="center"/>
    </w:pPr>
  </w:p>
  <w:p w14:paraId="23A33F3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54241">
    <w:pPr>
      <w:pStyle w:val="8"/>
      <w:jc w:val="center"/>
    </w:pPr>
  </w:p>
  <w:p w14:paraId="3445467F">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18344">
    <w:pPr>
      <w:pStyle w:val="8"/>
      <w:jc w:val="center"/>
    </w:pPr>
  </w:p>
  <w:p w14:paraId="6A9ABA77">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4A36E">
    <w:pPr>
      <w:pStyle w:val="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4840B">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74840B">
                    <w:pPr>
                      <w:pStyle w:val="8"/>
                    </w:pPr>
                    <w:r>
                      <w:fldChar w:fldCharType="begin"/>
                    </w:r>
                    <w:r>
                      <w:instrText xml:space="preserve"> PAGE  \* MERGEFORMAT </w:instrText>
                    </w:r>
                    <w:r>
                      <w:fldChar w:fldCharType="separate"/>
                    </w:r>
                    <w:r>
                      <w:t>- 2 -</w:t>
                    </w:r>
                    <w:r>
                      <w:fldChar w:fldCharType="end"/>
                    </w:r>
                  </w:p>
                </w:txbxContent>
              </v:textbox>
            </v:shape>
          </w:pict>
        </mc:Fallback>
      </mc:AlternateContent>
    </w:r>
  </w:p>
  <w:p w14:paraId="235F690D">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6A11F">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57E40">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A057E40">
                    <w:pPr>
                      <w:pStyle w:val="8"/>
                    </w:pPr>
                    <w:r>
                      <w:fldChar w:fldCharType="begin"/>
                    </w:r>
                    <w:r>
                      <w:instrText xml:space="preserve"> PAGE  \* MERGEFORMAT </w:instrText>
                    </w:r>
                    <w:r>
                      <w:fldChar w:fldCharType="separate"/>
                    </w:r>
                    <w:r>
                      <w:t>- 2 -</w:t>
                    </w:r>
                    <w:r>
                      <w:fldChar w:fldCharType="end"/>
                    </w:r>
                  </w:p>
                </w:txbxContent>
              </v:textbox>
            </v:shape>
          </w:pict>
        </mc:Fallback>
      </mc:AlternateContent>
    </w:r>
  </w:p>
  <w:p w14:paraId="72FE7642">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BE5DA">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70045">
                          <w:pPr>
                            <w:pStyle w:val="8"/>
                            <w:rPr>
                              <w:rFonts w:hint="default" w:eastAsia="宋体"/>
                              <w:lang w:val="en-US" w:eastAsia="zh-CN"/>
                            </w:rPr>
                          </w:pPr>
                          <w:r>
                            <w:rPr>
                              <w:rFonts w:hint="eastAsia"/>
                              <w:lang w:val="en-US" w:eastAsia="zh-CN"/>
                            </w:rPr>
                            <w:t>41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A70045">
                    <w:pPr>
                      <w:pStyle w:val="8"/>
                      <w:rPr>
                        <w:rFonts w:hint="default" w:eastAsia="宋体"/>
                        <w:lang w:val="en-US" w:eastAsia="zh-CN"/>
                      </w:rPr>
                    </w:pPr>
                    <w:r>
                      <w:rPr>
                        <w:rFonts w:hint="eastAsia"/>
                        <w:lang w:val="en-US" w:eastAsia="zh-CN"/>
                      </w:rPr>
                      <w:t>41</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03AE4"/>
    <w:rsid w:val="004F6543"/>
    <w:rsid w:val="02101F44"/>
    <w:rsid w:val="036115CE"/>
    <w:rsid w:val="04D03AE4"/>
    <w:rsid w:val="07CD206E"/>
    <w:rsid w:val="0A7B53F9"/>
    <w:rsid w:val="14FE41AE"/>
    <w:rsid w:val="159C7BB9"/>
    <w:rsid w:val="182A6B53"/>
    <w:rsid w:val="1AF601C3"/>
    <w:rsid w:val="1D520F21"/>
    <w:rsid w:val="2D6230D5"/>
    <w:rsid w:val="2E445169"/>
    <w:rsid w:val="2E7C66DE"/>
    <w:rsid w:val="2EB5532A"/>
    <w:rsid w:val="2FED0C50"/>
    <w:rsid w:val="31010326"/>
    <w:rsid w:val="31126BC0"/>
    <w:rsid w:val="36E556BA"/>
    <w:rsid w:val="42774755"/>
    <w:rsid w:val="4F473A81"/>
    <w:rsid w:val="53635FBD"/>
    <w:rsid w:val="5C76132B"/>
    <w:rsid w:val="5E592DFF"/>
    <w:rsid w:val="61985B6D"/>
    <w:rsid w:val="6F71133F"/>
    <w:rsid w:val="722E27C6"/>
    <w:rsid w:val="732F7567"/>
    <w:rsid w:val="74423AE3"/>
    <w:rsid w:val="75C72088"/>
    <w:rsid w:val="7695452F"/>
    <w:rsid w:val="771A5453"/>
    <w:rsid w:val="7C42227B"/>
    <w:rsid w:val="7E380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Title"/>
    <w:basedOn w:val="1"/>
    <w:next w:val="1"/>
    <w:qFormat/>
    <w:uiPriority w:val="10"/>
    <w:pPr>
      <w:spacing w:line="700" w:lineRule="exact"/>
      <w:jc w:val="center"/>
    </w:pPr>
    <w:rPr>
      <w:rFonts w:eastAsia="方正小标宋简体"/>
      <w:color w:val="000000"/>
      <w:kern w:val="0"/>
      <w:sz w:val="44"/>
      <w:szCs w:val="44"/>
    </w:rPr>
  </w:style>
  <w:style w:type="character" w:styleId="15">
    <w:name w:val="Emphasis"/>
    <w:basedOn w:val="14"/>
    <w:qFormat/>
    <w:uiPriority w:val="20"/>
    <w:rPr>
      <w:i/>
    </w:rPr>
  </w:style>
  <w:style w:type="character" w:customStyle="1" w:styleId="16">
    <w:name w:val="标题 1 Char"/>
    <w:basedOn w:val="14"/>
    <w:link w:val="2"/>
    <w:qFormat/>
    <w:uiPriority w:val="9"/>
    <w:rPr>
      <w:b/>
      <w:bCs/>
      <w:kern w:val="44"/>
      <w:sz w:val="44"/>
      <w:szCs w:val="44"/>
    </w:rPr>
  </w:style>
  <w:style w:type="character" w:customStyle="1" w:styleId="17">
    <w:name w:val="标题 2 Char"/>
    <w:basedOn w:val="14"/>
    <w:link w:val="3"/>
    <w:qFormat/>
    <w:uiPriority w:val="9"/>
    <w:rPr>
      <w:rFonts w:asciiTheme="majorHAnsi" w:hAnsiTheme="majorHAnsi" w:eastAsiaTheme="majorEastAsia" w:cstheme="majorBidi"/>
      <w:b/>
      <w:bCs/>
      <w:sz w:val="32"/>
      <w:szCs w:val="32"/>
    </w:rPr>
  </w:style>
  <w:style w:type="paragraph" w:styleId="18">
    <w:name w:val="List Paragraph"/>
    <w:basedOn w:val="1"/>
    <w:qFormat/>
    <w:uiPriority w:val="34"/>
    <w:pPr>
      <w:ind w:firstLine="420" w:firstLineChars="200"/>
    </w:pPr>
  </w:style>
  <w:style w:type="paragraph" w:customStyle="1" w:styleId="1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0">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4&#24180;&#20915;&#31639;\24&#24180;&#20915;&#31639;&#20844;&#24320;&#25253;&#21578;\&#30011;&#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4&#24180;&#20915;&#31639;\24&#24180;&#20915;&#31639;&#20844;&#24320;&#25253;&#21578;\&#30011;&#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4&#24180;&#20915;&#31639;\24&#24180;&#20915;&#31639;&#20844;&#24320;&#25253;&#21578;\&#30011;&#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4&#24180;&#20915;&#31639;\24&#24180;&#20915;&#31639;&#20844;&#24320;&#25253;&#21578;\&#30011;&#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4&#24180;&#20915;&#31639;\24&#24180;&#20915;&#31639;&#20844;&#24320;&#25253;&#21578;\&#30011;&#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4&#24180;&#20915;&#31639;\24&#24180;&#20915;&#31639;&#20844;&#24320;&#25253;&#21578;\&#30011;&#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4&#24180;&#20915;&#31639;\24&#24180;&#20915;&#31639;&#20844;&#24320;&#25253;&#21578;\&#30011;&#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[画图.xlsx]Sheet2!$B$1:$B$2</c:f>
              <c:strCache>
                <c:ptCount val="2"/>
                <c:pt idx="0">
                  <c:v>2023年收支总计</c:v>
                </c:pt>
                <c:pt idx="1">
                  <c:v>2024年收支总计</c:v>
                </c:pt>
              </c:strCache>
            </c:strRef>
          </c:cat>
          <c:val>
            <c:numRef>
              <c:f>[画图.xlsx]Sheet2!$C$1:$C$2</c:f>
              <c:numCache>
                <c:formatCode>General</c:formatCode>
                <c:ptCount val="2"/>
                <c:pt idx="0">
                  <c:v>996.5</c:v>
                </c:pt>
                <c:pt idx="1">
                  <c:v>979.32</c:v>
                </c:pt>
              </c:numCache>
            </c:numRef>
          </c:val>
        </c:ser>
        <c:dLbls>
          <c:showLegendKey val="0"/>
          <c:showVal val="1"/>
          <c:showCatName val="0"/>
          <c:showSerName val="0"/>
          <c:showPercent val="0"/>
          <c:showBubbleSize val="0"/>
        </c:dLbls>
        <c:gapWidth val="246"/>
        <c:overlap val="-28"/>
        <c:axId val="231576505"/>
        <c:axId val="507284271"/>
      </c:barChart>
      <c:catAx>
        <c:axId val="2315765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284271"/>
        <c:crosses val="autoZero"/>
        <c:auto val="1"/>
        <c:lblAlgn val="ctr"/>
        <c:lblOffset val="100"/>
        <c:noMultiLvlLbl val="0"/>
      </c:catAx>
      <c:valAx>
        <c:axId val="50728427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576505"/>
        <c:crosses val="autoZero"/>
        <c:crossBetween val="between"/>
      </c:valAx>
      <c:spPr>
        <a:noFill/>
        <a:ln>
          <a:noFill/>
        </a:ln>
        <a:effectLst/>
      </c:spPr>
    </c:plotArea>
    <c:plotVisOnly val="1"/>
    <c:dispBlanksAs val="gap"/>
    <c:showDLblsOverMax val="0"/>
    <c:extLst>
      <c:ext uri="{0b15fc19-7d7d-44ad-8c2d-2c3a37ce22c3}">
        <chartProps xmlns="https://web.wps.cn/et/2018/main" chartId="{279aa56c-128c-42bb-b5ff-1bab373a2f0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[画图.xlsx]Sheet2!$B$22:$B$23</c:f>
              <c:strCache>
                <c:ptCount val="2"/>
                <c:pt idx="0">
                  <c:v>一般公共预算财政拨款收入</c:v>
                </c:pt>
                <c:pt idx="1">
                  <c:v>政府性基金预算财政拨款收入</c:v>
                </c:pt>
              </c:strCache>
            </c:strRef>
          </c:cat>
          <c:val>
            <c:numRef>
              <c:f>[画图.xlsx]Sheet2!$C$22:$C$23</c:f>
              <c:numCache>
                <c:formatCode>0.00%</c:formatCode>
                <c:ptCount val="2"/>
                <c:pt idx="0">
                  <c:v>0.8711</c:v>
                </c:pt>
                <c:pt idx="1">
                  <c:v>0.1289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ba3de2e-c17b-49c0-bf27-247e2bc8368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376973684210526"/>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[画图.xlsx]Sheet2!$B$49:$B$50</c:f>
              <c:strCache>
                <c:ptCount val="2"/>
                <c:pt idx="0">
                  <c:v>基本支出</c:v>
                </c:pt>
                <c:pt idx="1">
                  <c:v>项目支出</c:v>
                </c:pt>
              </c:strCache>
            </c:strRef>
          </c:cat>
          <c:val>
            <c:numRef>
              <c:f>[画图.xlsx]Sheet2!$C$49:$C$50</c:f>
              <c:numCache>
                <c:formatCode>0.00%</c:formatCode>
                <c:ptCount val="2"/>
                <c:pt idx="0">
                  <c:v>0.7741</c:v>
                </c:pt>
                <c:pt idx="1">
                  <c:v>0.2259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8da0b46-fe7b-4d77-8662-61d536d51bc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[画图.xlsx]Sheet2!$B$74:$B$75</c:f>
              <c:strCache>
                <c:ptCount val="2"/>
                <c:pt idx="0">
                  <c:v>2023年财政收支总计</c:v>
                </c:pt>
                <c:pt idx="1">
                  <c:v>2024年财政收支总计</c:v>
                </c:pt>
              </c:strCache>
            </c:strRef>
          </c:cat>
          <c:val>
            <c:numRef>
              <c:f>[画图.xlsx]Sheet2!$C$74:$C$75</c:f>
              <c:numCache>
                <c:formatCode>General</c:formatCode>
                <c:ptCount val="2"/>
                <c:pt idx="0">
                  <c:v>996.5</c:v>
                </c:pt>
                <c:pt idx="1">
                  <c:v>979.32</c:v>
                </c:pt>
              </c:numCache>
            </c:numRef>
          </c:val>
        </c:ser>
        <c:dLbls>
          <c:showLegendKey val="0"/>
          <c:showVal val="1"/>
          <c:showCatName val="0"/>
          <c:showSerName val="0"/>
          <c:showPercent val="0"/>
          <c:showBubbleSize val="0"/>
        </c:dLbls>
        <c:gapWidth val="246"/>
        <c:overlap val="-28"/>
        <c:axId val="55876783"/>
        <c:axId val="490583753"/>
      </c:barChart>
      <c:catAx>
        <c:axId val="55876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583753"/>
        <c:crosses val="autoZero"/>
        <c:auto val="1"/>
        <c:lblAlgn val="ctr"/>
        <c:lblOffset val="100"/>
        <c:noMultiLvlLbl val="0"/>
      </c:catAx>
      <c:valAx>
        <c:axId val="4905837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76783"/>
        <c:crosses val="autoZero"/>
        <c:crossBetween val="between"/>
      </c:valAx>
      <c:spPr>
        <a:noFill/>
        <a:ln>
          <a:noFill/>
        </a:ln>
        <a:effectLst/>
      </c:spPr>
    </c:plotArea>
    <c:plotVisOnly val="1"/>
    <c:dispBlanksAs val="gap"/>
    <c:showDLblsOverMax val="0"/>
    <c:extLst>
      <c:ext uri="{0b15fc19-7d7d-44ad-8c2d-2c3a37ce22c3}">
        <chartProps xmlns="https://web.wps.cn/et/2018/main" chartId="{07c301dc-fddf-4783-bf53-5105617292d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一般公共预算财政拨款支出变化图（万元）</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[画图.xlsx]Sheet2!$B$98:$B$99</c:f>
              <c:strCache>
                <c:ptCount val="2"/>
                <c:pt idx="0">
                  <c:v>2023年一般公共预算财政拨款支出</c:v>
                </c:pt>
                <c:pt idx="1">
                  <c:v>2024年一般公共预算财政拨款支出</c:v>
                </c:pt>
              </c:strCache>
            </c:strRef>
          </c:cat>
          <c:val>
            <c:numRef>
              <c:f>[画图.xlsx]Sheet2!$C$98:$C$99</c:f>
              <c:numCache>
                <c:formatCode>General</c:formatCode>
                <c:ptCount val="2"/>
                <c:pt idx="0">
                  <c:v>920.5</c:v>
                </c:pt>
                <c:pt idx="1">
                  <c:v>823.5</c:v>
                </c:pt>
              </c:numCache>
            </c:numRef>
          </c:val>
        </c:ser>
        <c:dLbls>
          <c:showLegendKey val="0"/>
          <c:showVal val="1"/>
          <c:showCatName val="0"/>
          <c:showSerName val="0"/>
          <c:showPercent val="0"/>
          <c:showBubbleSize val="0"/>
        </c:dLbls>
        <c:gapWidth val="246"/>
        <c:overlap val="-28"/>
        <c:axId val="322525867"/>
        <c:axId val="755237090"/>
      </c:barChart>
      <c:catAx>
        <c:axId val="3225258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5237090"/>
        <c:crosses val="autoZero"/>
        <c:auto val="1"/>
        <c:lblAlgn val="ctr"/>
        <c:lblOffset val="100"/>
        <c:noMultiLvlLbl val="0"/>
      </c:catAx>
      <c:valAx>
        <c:axId val="7552370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525867"/>
        <c:crosses val="autoZero"/>
        <c:crossBetween val="between"/>
      </c:valAx>
      <c:spPr>
        <a:noFill/>
        <a:ln>
          <a:noFill/>
        </a:ln>
        <a:effectLst/>
      </c:spPr>
    </c:plotArea>
    <c:plotVisOnly val="1"/>
    <c:dispBlanksAs val="gap"/>
    <c:showDLblsOverMax val="0"/>
    <c:extLst>
      <c:ext uri="{0b15fc19-7d7d-44ad-8c2d-2c3a37ce22c3}">
        <chartProps xmlns="https://web.wps.cn/et/2018/main" chartId="{15bcb3a5-0b57-4c3a-bba7-92577310931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[画图.xlsx]Sheet2!$B$119:$B$124</c:f>
              <c:strCache>
                <c:ptCount val="6"/>
                <c:pt idx="0">
                  <c:v>一般公共服务支出</c:v>
                </c:pt>
                <c:pt idx="1">
                  <c:v>社会保障和就业支出</c:v>
                </c:pt>
                <c:pt idx="3">
                  <c:v>卫生健康支出</c:v>
                </c:pt>
                <c:pt idx="4">
                  <c:v>住房保障支出</c:v>
                </c:pt>
                <c:pt idx="5">
                  <c:v>农林水支出</c:v>
                </c:pt>
              </c:strCache>
            </c:strRef>
          </c:cat>
          <c:val>
            <c:numRef>
              <c:f>[画图.xlsx]Sheet2!$C$119:$C$124</c:f>
              <c:numCache>
                <c:formatCode>0.00%</c:formatCode>
                <c:ptCount val="6"/>
                <c:pt idx="0">
                  <c:v>0.5928</c:v>
                </c:pt>
                <c:pt idx="1">
                  <c:v>0.0983</c:v>
                </c:pt>
                <c:pt idx="3">
                  <c:v>0.0173</c:v>
                </c:pt>
                <c:pt idx="4">
                  <c:v>0.0525</c:v>
                </c:pt>
                <c:pt idx="5">
                  <c:v>0.2391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a40c68c-815a-4a67-bd63-6888093044e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“三公”经费支出结构图</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[画图.xlsx]Sheet2!$B$171:$B$173</c:f>
              <c:strCache>
                <c:ptCount val="3"/>
                <c:pt idx="0">
                  <c:v>因公出国（境）费支出</c:v>
                </c:pt>
                <c:pt idx="1">
                  <c:v>公务用车购置及运行维护费支出</c:v>
                </c:pt>
                <c:pt idx="2">
                  <c:v>公务接待费支出</c:v>
                </c:pt>
              </c:strCache>
            </c:strRef>
          </c:cat>
          <c:val>
            <c:numRef>
              <c:f>[画图.xlsx]Sheet2!$C$171:$C$173</c:f>
              <c:numCache>
                <c:formatCode>0.00%</c:formatCode>
                <c:ptCount val="3"/>
                <c:pt idx="0">
                  <c:v>0</c:v>
                </c:pt>
                <c:pt idx="1">
                  <c:v>0.5016</c:v>
                </c:pt>
                <c:pt idx="2">
                  <c:v>0.4984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f71d2c3-fa22-408a-a51a-eba131b9706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ae8d95d2-c192-4d1a-9b5b-366b5c0bb1da</errorID>
      <errorWord>巩固脱贫攻坚成果</errorWord>
      <group>L1_Word</group>
      <groupName>字词问题</groupName>
      <ability>L2_Typo</ability>
      <abilityName>字词错误</abilityName>
      <candidateList>
        <item>巩固拓展脱贫攻坚成果</item>
      </candidateList>
      <explain/>
      <paraID>27032770</paraID>
      <start>10</start>
      <end>18</end>
      <status>ignored</status>
      <modifiedWord/>
      <trackRevisions>false</trackRevisions>
    </reviewItem>
    <reviewItem>
      <errorID>f737d8fd-209a-4ecb-bb90-ca8c4ffac963</errorID>
      <errorWord>巩固脱贫攻坚成果</errorWord>
      <group>L1_Word</group>
      <groupName>字词问题</groupName>
      <ability>L2_Typo</ability>
      <abilityName>字词错误</abilityName>
      <candidateList>
        <item>巩固拓展脱贫攻坚成果</item>
      </candidateList>
      <explain/>
      <paraID>6DA04A52</paraID>
      <start>10</start>
      <end>18</end>
      <status>ignored</status>
      <modifiedWord/>
      <trackRevisions>false</trackRevisions>
    </reviewItem>
    <reviewItem>
      <errorID>2a3b6a4c-5e2e-4244-a67b-223f8f1f3adf</errorID>
      <errorWord>巩固脱贫攻坚成果</errorWord>
      <group>L1_Word</group>
      <groupName>字词问题</groupName>
      <ability>L2_Typo</ability>
      <abilityName>字词错误</abilityName>
      <candidateList>
        <item>巩固拓展脱贫攻坚成果</item>
      </candidateList>
      <explain/>
      <paraID>6DA04A52</paraID>
      <start>29</start>
      <end>37</end>
      <status>ignored</status>
      <modifiedWord/>
      <trackRevisions>false</trackRevisions>
    </reviewItem>
    <reviewItem>
      <errorID>8ff47fd2-e847-4401-ad1c-cc782e4e3502</errorID>
      <errorWord>巩固脱贫攻坚成果</errorWord>
      <group>L1_Word</group>
      <groupName>字词问题</groupName>
      <ability>L2_Typo</ability>
      <abilityName>字词错误</abilityName>
      <candidateList>
        <item>巩固拓展脱贫攻坚成果</item>
      </candidateList>
      <explain/>
      <paraID>7F39E3EC</paraID>
      <start>11</start>
      <end>19</end>
      <status>ignored</status>
      <modifiedWord/>
      <trackRevisions>false</trackRevisions>
    </reviewItem>
    <reviewItem>
      <errorID>51a08336-c3bd-46aa-8c73-bd96108e58e4</errorID>
      <errorWord>投及</errorWord>
      <group>L1_Word</group>
      <groupName>字词问题</groupName>
      <ability>L2_Typo</ability>
      <abilityName>字词错误</abilityName>
      <candidateList>
        <item>投入</item>
      </candidateList>
      <explain>❶〈动〉投到某种环境里去：～生产｜～新生活｜新机场已经正式～使用。❷〈形〉形容做事情聚精会神，全力以赴：她演戏很～。❸〈动〉指投放资金：少～，多产出。❹〈名〉投放的资金：教育～逐年增加｜这是一笔不小的～。</explain>
      <paraID>3BAE23A2</paraID>
      <start>73</start>
      <end>75</end>
      <status>modified</status>
      <modifiedWord>投入</modifiedWord>
      <trackRevisions>false</trackRevisions>
    </reviewItem>
    <reviewItem>
      <errorID>a7dc1e3b-5291-49be-9ec8-8df93570e18a</errorID>
      <errorWord>巩固脱贫攻坚成果</errorWord>
      <group>L1_Word</group>
      <groupName>字词问题</groupName>
      <ability>L2_Typo</ability>
      <abilityName>字词错误</abilityName>
      <candidateList>
        <item>巩固拓展脱贫攻坚成果</item>
      </candidateList>
      <explain/>
      <paraID>200BDFAB</paraID>
      <start>11</start>
      <end>19</end>
      <status>ignored</status>
      <modifiedWord/>
      <trackRevisions>false</trackRevisions>
    </reviewItem>
    <reviewItem>
      <errorID>c252a61c-6404-4b91-b12b-966d0a4c571c</errorID>
      <errorWord>巩固脱贫攻坚成果</errorWord>
      <group>L1_Word</group>
      <groupName>字词问题</groupName>
      <ability>L2_Typo</ability>
      <abilityName>字词错误</abilityName>
      <candidateList>
        <item>巩固拓展脱贫攻坚成果</item>
      </candidateList>
      <explain/>
      <paraID>159B5800</paraID>
      <start>11</start>
      <end>19</end>
      <status>ignored</status>
      <modifiedWord/>
      <trackRevisions>false</trackRevisions>
    </reviewItem>
    <reviewItem>
      <errorID>9c18e984-9fc0-48cc-84ae-d04d47d5dd91</errorID>
      <errorWord>巩固脱贫攻坚成果</errorWord>
      <group>L1_Word</group>
      <groupName>字词问题</groupName>
      <ability>L2_Typo</ability>
      <abilityName>字词错误</abilityName>
      <candidateList>
        <item>巩固拓展脱贫攻坚成果</item>
      </candidateList>
      <explain/>
      <paraID>159B5800</paraID>
      <start>30</start>
      <end>38</end>
      <status>ignored</status>
      <modifiedWord/>
      <trackRevisions>false</trackRevisions>
    </reviewItem>
    <reviewItem>
      <errorID>7f134e9e-24f3-4888-864d-5abbc5f0784e</errorID>
      <errorWord>巩固脱贫攻坚成果</errorWord>
      <group>L1_Word</group>
      <groupName>字词问题</groupName>
      <ability>L2_Typo</ability>
      <abilityName>字词错误</abilityName>
      <candidateList>
        <item>巩固拓展脱贫攻坚成果</item>
      </candidateList>
      <explain/>
      <paraID>77584B38</paraID>
      <start>11</start>
      <end>19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d1dd83-544c-47d6-9a22-55b838b1844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18560</Words>
  <Characters>20398</Characters>
  <Lines>0</Lines>
  <Paragraphs>0</Paragraphs>
  <TotalTime>2</TotalTime>
  <ScaleCrop>false</ScaleCrop>
  <LinksUpToDate>false</LinksUpToDate>
  <CharactersWithSpaces>20467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2025-11-02T14:28:00Z</dcterms:created>
  <dc:creator>Administrator</dc:creator>
  <cp:lastModifiedBy>碧云天</cp:lastModifiedBy>
  <cp:lastPrinted>2025-12-04T05:21:00Z</cp:lastPrinted>
  <dcterms:modified xsi:type="dcterms:W3CDTF">2026-01-06T08:09:59Z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8BEA7D3AC20D4974981B06AC8D8F1BD5_12</vt:lpwstr>
  </property>
</Properties>
</file>