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382C0">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default"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峨边彝族自治县宜坪乡人民政府</w:t>
      </w:r>
    </w:p>
    <w:p w14:paraId="41FC1EF2">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部门整体绩效自评报告</w:t>
      </w:r>
    </w:p>
    <w:p w14:paraId="46034E99">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Cs w:val="32"/>
          <w:shd w:val="clear" w:color="auto" w:fill="FFFFFF"/>
        </w:rPr>
      </w:pPr>
    </w:p>
    <w:p w14:paraId="63E34F44">
      <w:pPr>
        <w:widowControl/>
        <w:adjustRightInd w:val="0"/>
        <w:snapToGrid w:val="0"/>
        <w:spacing w:line="580" w:lineRule="exact"/>
        <w:ind w:firstLine="640" w:firstLineChars="200"/>
        <w:contextualSpacing/>
        <w:jc w:val="left"/>
        <w:rPr>
          <w:rFonts w:hint="eastAsia" w:ascii="黑体" w:hAnsi="黑体" w:eastAsia="黑体" w:cs="黑体"/>
          <w:b w:val="0"/>
          <w:bCs w:val="0"/>
          <w:color w:val="000000"/>
          <w:kern w:val="0"/>
          <w:szCs w:val="32"/>
          <w:shd w:val="clear" w:color="auto" w:fill="FFFFFF"/>
          <w:lang w:val="zh-CN"/>
        </w:rPr>
      </w:pPr>
      <w:r>
        <w:rPr>
          <w:rFonts w:hint="eastAsia" w:ascii="黑体" w:hAnsi="黑体" w:eastAsia="黑体" w:cs="黑体"/>
          <w:b w:val="0"/>
          <w:bCs w:val="0"/>
          <w:color w:val="000000"/>
          <w:kern w:val="0"/>
          <w:szCs w:val="32"/>
          <w:shd w:val="clear" w:color="auto" w:fill="FFFFFF"/>
        </w:rPr>
        <w:t>一、</w:t>
      </w:r>
      <w:r>
        <w:rPr>
          <w:rFonts w:hint="eastAsia" w:ascii="黑体" w:hAnsi="黑体" w:eastAsia="黑体" w:cs="黑体"/>
          <w:b w:val="0"/>
          <w:bCs w:val="0"/>
          <w:color w:val="000000"/>
          <w:kern w:val="0"/>
          <w:szCs w:val="32"/>
          <w:shd w:val="clear" w:color="auto" w:fill="FFFFFF"/>
          <w:lang w:val="zh-CN"/>
        </w:rPr>
        <w:t>部门基本情况</w:t>
      </w:r>
    </w:p>
    <w:p w14:paraId="2980D766">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（一）机构组成。</w:t>
      </w:r>
    </w:p>
    <w:p w14:paraId="3F79FE49">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按照省、市、县对乡镇机构改革的统一要求，宜坪乡机关领导机构设党委、人大、政府，不设政协机构，设乡人民武装部，为乡党委的军事部门和乡人民政府的兵役工作机构，受乡镇党委、政府和县人民武装部双重领导。</w:t>
      </w:r>
    </w:p>
    <w:p w14:paraId="50AC421C">
      <w:pPr>
        <w:numPr>
          <w:ilvl w:val="0"/>
          <w:numId w:val="1"/>
        </w:numPr>
        <w:spacing w:line="600" w:lineRule="exact"/>
        <w:rPr>
          <w:rFonts w:hint="eastAsia" w:ascii="仿宋" w:hAnsi="仿宋" w:eastAsia="仿宋" w:cs="仿宋"/>
          <w:color w:val="auto"/>
          <w:sz w:val="32"/>
          <w:szCs w:val="32"/>
        </w:rPr>
      </w:pPr>
      <w:r>
        <w:rPr>
          <w:rFonts w:hint="eastAsia" w:ascii="仿宋" w:hAnsi="仿宋" w:eastAsia="仿宋" w:cs="仿宋"/>
          <w:color w:val="auto"/>
          <w:sz w:val="32"/>
          <w:szCs w:val="32"/>
        </w:rPr>
        <w:t>宜坪乡行政机关的机构调整与设置</w:t>
      </w:r>
    </w:p>
    <w:p w14:paraId="3ECC954B">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宜坪乡综合设置行政机构，不搞上下对口一事一职，根据工作需要配备专、兼职干部，人员编制在乡镇行政编制总数内统筹考虑。宜坪乡设二个综合办事机构，即：</w:t>
      </w:r>
    </w:p>
    <w:p w14:paraId="35F4C358">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党政办公室：当好党委、政府的参谋，负责人大、党务（组织、宣传、纪检、统战）、武装、文书档案、人事、财政、精神文明建设、群众来信来访接待等工作，承办群团组织的日常事务和机关后勤工作（对外挂信访和群众工作室牌子）。</w:t>
      </w:r>
    </w:p>
    <w:p w14:paraId="229B4A64">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社会事务办公室：负责民政救灾、救济、优抚、计生、农业、林业、水利、农机、国土、科技、统计、乡企、社会治安综合治理、维护社会稳定、交通、安全生产、教育、卫生、劳动保障和司法民事调解等工作（对外挂计划生育办公室、安全生产办公室牌子）。</w:t>
      </w:r>
    </w:p>
    <w:p w14:paraId="6C5E4DC9">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宜坪乡不设行政执法机构，使用行政编制的地方税务所、工商所和使用政法专项编制的公安派出所、司法所等派出机构按规定设置。</w:t>
      </w:r>
    </w:p>
    <w:p w14:paraId="046AF82F">
      <w:pPr>
        <w:numPr>
          <w:ilvl w:val="0"/>
          <w:numId w:val="1"/>
        </w:numPr>
        <w:spacing w:line="600" w:lineRule="exact"/>
        <w:rPr>
          <w:rFonts w:hint="eastAsia" w:ascii="仿宋" w:hAnsi="仿宋" w:eastAsia="仿宋" w:cs="仿宋"/>
          <w:color w:val="auto"/>
          <w:sz w:val="32"/>
          <w:szCs w:val="32"/>
        </w:rPr>
      </w:pPr>
      <w:r>
        <w:rPr>
          <w:rFonts w:hint="eastAsia" w:ascii="仿宋" w:hAnsi="仿宋" w:eastAsia="仿宋" w:cs="仿宋"/>
          <w:color w:val="auto"/>
          <w:sz w:val="32"/>
          <w:szCs w:val="32"/>
        </w:rPr>
        <w:t>宜坪乡事业机构的调整与设置</w:t>
      </w:r>
    </w:p>
    <w:p w14:paraId="25DD7AFC">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按照科学合理、集中规范的原则，在整合现有宜坪乡事业机构的基础上，综合设置宜坪乡直属事业单位，对应乡镇机关综合办事机构个数，依据我县实情，宜坪乡设置2个乡镇直属事业单位，即：</w:t>
      </w:r>
    </w:p>
    <w:p w14:paraId="41FD8783">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农业技术服务中心：农经、农技、林业、水土保持等综合性的农业技术服务机构，其经费来源渠道不变。</w:t>
      </w:r>
    </w:p>
    <w:p w14:paraId="6A29B50D">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社会事业服务中心：乡镇劳动保障、计划生育服务站（计生服务站对外挂牌）文化、广播电视、教育、卫生防疫、公共卫生体系建设等。</w:t>
      </w:r>
    </w:p>
    <w:p w14:paraId="1B4F2D98">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撤销2003年宜坪乡事业单位机构改革时，保留的农经站、农技站、林业站、水利站、农机站、文化站、广播电视站、劳动保障服务所等牌子。</w:t>
      </w:r>
    </w:p>
    <w:p w14:paraId="2D49F5A9">
      <w:pPr>
        <w:spacing w:line="600" w:lineRule="exact"/>
        <w:ind w:firstLine="640" w:firstLineChars="200"/>
        <w:rPr>
          <w:rFonts w:hint="eastAsia" w:ascii="仿宋" w:hAnsi="仿宋" w:eastAsia="仿宋" w:cs="仿宋"/>
          <w:color w:val="000000"/>
          <w:kern w:val="0"/>
          <w:szCs w:val="32"/>
          <w:shd w:val="clear" w:color="auto" w:fill="FFFFFF"/>
          <w:lang w:val="zh-CN"/>
        </w:rPr>
      </w:pPr>
      <w:r>
        <w:rPr>
          <w:rFonts w:hint="eastAsia" w:ascii="仿宋" w:hAnsi="仿宋" w:eastAsia="仿宋" w:cs="仿宋"/>
          <w:color w:val="auto"/>
          <w:sz w:val="32"/>
          <w:szCs w:val="32"/>
        </w:rPr>
        <w:t>政府举办的乡镇农村中小学、乡镇卫生院、兽防站实行县办县管体制，宜坪乡不再保留也不再新设经费自筹事业单位。</w:t>
      </w:r>
    </w:p>
    <w:p w14:paraId="2358BAA3">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w:t>
      </w:r>
      <w:r>
        <w:rPr>
          <w:rFonts w:hint="eastAsia" w:ascii="楷体_GB2312" w:hAnsi="楷体_GB2312" w:eastAsia="楷体_GB2312" w:cs="楷体_GB2312"/>
          <w:color w:val="000000"/>
          <w:kern w:val="0"/>
          <w:szCs w:val="32"/>
          <w:shd w:val="clear" w:color="auto" w:fill="FFFFFF"/>
          <w:lang w:val="en-US" w:eastAsia="zh-CN"/>
        </w:rPr>
        <w:t>二）</w:t>
      </w:r>
      <w:r>
        <w:rPr>
          <w:rFonts w:hint="eastAsia" w:ascii="楷体_GB2312" w:hAnsi="楷体_GB2312" w:eastAsia="楷体_GB2312" w:cs="楷体_GB2312"/>
          <w:color w:val="000000"/>
          <w:kern w:val="0"/>
          <w:szCs w:val="32"/>
          <w:shd w:val="clear" w:color="auto" w:fill="FFFFFF"/>
          <w:lang w:val="zh-CN"/>
        </w:rPr>
        <w:t>机构职能和人员概况。</w:t>
      </w:r>
    </w:p>
    <w:p w14:paraId="051A8949">
      <w:pPr>
        <w:spacing w:line="600" w:lineRule="exact"/>
        <w:ind w:firstLine="645"/>
        <w:rPr>
          <w:rFonts w:hint="eastAsia" w:ascii="仿宋" w:hAnsi="仿宋" w:eastAsia="仿宋" w:cs="仿宋"/>
          <w:b/>
          <w:bCs/>
          <w:color w:val="auto"/>
          <w:sz w:val="32"/>
          <w:szCs w:val="32"/>
        </w:rPr>
      </w:pPr>
      <w:r>
        <w:rPr>
          <w:rFonts w:hint="eastAsia" w:ascii="仿宋" w:hAnsi="仿宋" w:eastAsia="仿宋" w:cs="仿宋"/>
          <w:b w:val="0"/>
          <w:bCs w:val="0"/>
          <w:color w:val="auto"/>
          <w:sz w:val="32"/>
          <w:szCs w:val="32"/>
          <w:lang w:val="en-US" w:eastAsia="zh-CN"/>
        </w:rPr>
        <w:t>宜坪乡党委、宜坪乡人民政府的主要职责是：</w:t>
      </w:r>
      <w:r>
        <w:rPr>
          <w:rFonts w:hint="eastAsia" w:ascii="仿宋" w:hAnsi="仿宋" w:eastAsia="仿宋" w:cs="仿宋"/>
          <w:b/>
          <w:bCs/>
          <w:color w:val="auto"/>
          <w:sz w:val="32"/>
          <w:szCs w:val="32"/>
          <w:lang w:val="en-US" w:eastAsia="zh-CN"/>
        </w:rPr>
        <w:t xml:space="preserve"> </w:t>
      </w:r>
    </w:p>
    <w:p w14:paraId="68AF2D8E">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1.负责贯彻执行党和国家的路线方针政策、法律法规规章，执行县委、县政府的决定，研究决定辖区政治、经济、文化、社会、生态文明等领域事业发展的重大事项并组织实施。 </w:t>
      </w:r>
    </w:p>
    <w:p w14:paraId="431D2E60">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2.统筹落实关于辖区发展的重大决策，参与辖区建设规划和公共服务设施布局，建立健全基层社会治理工作机制，引导、整合辖区内各种社会力量为区域发展服务，推动辖区健康、有序、 </w:t>
      </w:r>
    </w:p>
    <w:p w14:paraId="23D1F718">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可持续发展。 </w:t>
      </w:r>
    </w:p>
    <w:p w14:paraId="276E33BD">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14:paraId="3A199C29">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4.加强基层意识形态工作，推进基层精神文明建设，培养和弘扬社会主义核心价值观，创造良好社会环境。 </w:t>
      </w:r>
    </w:p>
    <w:p w14:paraId="0A732930">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5.负责拟定经济发展规划并组织实施。促进经济发展，推进产业结构调整，促进经济增长方式转变，促进农民增收。 </w:t>
      </w:r>
    </w:p>
    <w:p w14:paraId="13B3D287">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6.负责拟定社会事业发展规划并组织实施。负责教育、科技、文化旅游、体育、广播电视、民政、卫生健康、医疗保障、残疾人保障、社会保险、退役军人服务等工作，推进便民服务规范化建设管理，落实与群众密切相关的各项公共服务政策。 </w:t>
      </w:r>
    </w:p>
    <w:p w14:paraId="072B327B">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7.负责拟定乡村振兴发展规划并组织实施。负责农业产业升级转型、美丽乡村建设、农村文化生活繁荣、农村基础设施和公共服务能力提升、脱贫攻坚等工作。 </w:t>
      </w:r>
    </w:p>
    <w:p w14:paraId="0BFD4946">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8.负责城乡基层治理工作，深化党建引领城乡基层治理，构建共建共治共享的城乡基层治理工作格局，推进和谐宜居乡村建设；加强社会主义民主法治建设，承担社会治理、信访维稳、综治中心、社区戒毒、社区康复、法治建设、反邪教等工作。 </w:t>
      </w:r>
    </w:p>
    <w:p w14:paraId="5889A6DA">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9.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派驻和基层执法等力量。 </w:t>
      </w:r>
    </w:p>
    <w:p w14:paraId="0E15A69C">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10.负责应急管理和安全生产工作，落实安全生产责任制，建立健全应对突发紧急事件的处置管理机制，构建公共安全防控体系。</w:t>
      </w:r>
    </w:p>
    <w:p w14:paraId="669D5B5F">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11.负责自然资源、生态环境保护工作，做好网格化环境监管，开展自然资源、环境保护隐患排查和治理，配合有关部门查处自然资源、环境违法行为，做好辖区内自然资源及生态环境保护工作。 </w:t>
      </w:r>
    </w:p>
    <w:p w14:paraId="142B4881">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12.负责推进基层民主法治建设，加强普法依法治理，维护群众合法权益。负责协助武装部门做好辖区民兵训练和公民服兵役工作。 </w:t>
      </w:r>
    </w:p>
    <w:p w14:paraId="02E6D58A">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13.按照干部管理权限，负责干部的教育、培训、选拔、考核和监督工作。加强本级财政、所属行政事业单位以及村级财务的核算和监督。 </w:t>
      </w:r>
    </w:p>
    <w:p w14:paraId="3387C5C9">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14.根据法定职责或受委托承担辖区内审批服务、公共服务、各类社会事务服务等职责。负责制定完善权力清单、责任清单、公共服务清单，建立清单动态调整和公示机制，推进党务政务公开，接受群众监督，增加公信力。 </w:t>
      </w:r>
    </w:p>
    <w:p w14:paraId="7C19F769">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15.履行法律法规、规章规定的其他职责，承办县委、县政府交办的其他工作</w:t>
      </w:r>
    </w:p>
    <w:p w14:paraId="7E5397FE">
      <w:pPr>
        <w:spacing w:line="600" w:lineRule="exact"/>
        <w:ind w:firstLine="645"/>
        <w:rPr>
          <w:rFonts w:hint="eastAsia" w:ascii="仿宋" w:hAnsi="仿宋" w:eastAsia="仿宋" w:cs="仿宋"/>
          <w:b w:val="0"/>
          <w:bCs w:val="0"/>
          <w:color w:val="auto"/>
          <w:sz w:val="32"/>
          <w:szCs w:val="32"/>
          <w:lang w:val="zh-CN"/>
        </w:rPr>
      </w:pPr>
      <w:r>
        <w:rPr>
          <w:rFonts w:hint="eastAsia" w:ascii="仿宋" w:hAnsi="仿宋" w:eastAsia="仿宋" w:cs="仿宋"/>
          <w:b w:val="0"/>
          <w:bCs w:val="0"/>
          <w:color w:val="auto"/>
          <w:sz w:val="32"/>
          <w:szCs w:val="32"/>
          <w:lang w:val="zh-CN"/>
        </w:rPr>
        <w:t>人员概况：</w:t>
      </w:r>
    </w:p>
    <w:p w14:paraId="353AC4F9">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宜坪乡行政机关人员编制和领导职数</w:t>
      </w:r>
    </w:p>
    <w:p w14:paraId="0068C1C1">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领导职数按省、市有关规定宜坪乡设</w:t>
      </w:r>
      <w:r>
        <w:rPr>
          <w:rFonts w:hint="eastAsia" w:ascii="仿宋" w:hAnsi="仿宋" w:eastAsia="仿宋" w:cs="仿宋"/>
          <w:color w:val="auto"/>
          <w:sz w:val="32"/>
          <w:szCs w:val="32"/>
          <w:lang w:val="en-US" w:eastAsia="zh-CN"/>
        </w:rPr>
        <w:t>党委书记 1 名，乡长（副书记）1 名，人大主席 1 名，专职副书记 1 名、副乡长 2 名（其中 1 名兼任武装部长）、纪委书记 1名、组织委员 1 名（兼任统战委员）、宣传委员 1 名（兼任人大副主席）、政法委员 1 名。设中层职数 7 名。</w:t>
      </w:r>
      <w:r>
        <w:rPr>
          <w:rFonts w:hint="eastAsia" w:ascii="仿宋" w:hAnsi="仿宋" w:eastAsia="仿宋" w:cs="仿宋"/>
          <w:color w:val="auto"/>
          <w:sz w:val="32"/>
          <w:szCs w:val="32"/>
        </w:rPr>
        <w:t>重新核定宜坪乡行政编制</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名。</w:t>
      </w:r>
    </w:p>
    <w:p w14:paraId="02F21341">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宜坪乡事业机构和人员编制</w:t>
      </w:r>
    </w:p>
    <w:p w14:paraId="3000B6CF">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宜坪乡事业编制 15 名，宜坪乡设下列直属公益一类事业机构： </w:t>
      </w:r>
    </w:p>
    <w:p w14:paraId="3E6F1867">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（1）便民服务中心（挂退役军人服务站、农民工服务中心 </w:t>
      </w:r>
    </w:p>
    <w:p w14:paraId="4ADE75AB">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牌子）。核定事业编制 8 名（含退役军人服务站编制 1 名），设主任 1 名、副主任 1 名。</w:t>
      </w:r>
    </w:p>
    <w:p w14:paraId="1B2D3718">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（2）农业综合服务中心。核定事业编制 2 名，设主任 1 名。 </w:t>
      </w:r>
    </w:p>
    <w:p w14:paraId="35672C43">
      <w:pPr>
        <w:spacing w:line="600" w:lineRule="exact"/>
        <w:ind w:firstLine="64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（3）综治中心。核定事业编制 3 名，设主任 1 名。</w:t>
      </w:r>
    </w:p>
    <w:p w14:paraId="2DA147B4">
      <w:pPr>
        <w:spacing w:line="60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（4）文化旅游服务中心（挂综合文化站牌子）。核定事业 </w:t>
      </w:r>
    </w:p>
    <w:p w14:paraId="0CABF9F4">
      <w:pPr>
        <w:spacing w:line="600" w:lineRule="exact"/>
        <w:ind w:firstLine="645"/>
        <w:rPr>
          <w:rFonts w:ascii="楷体_GB2312" w:hAnsi="宋体" w:eastAsia="楷体_GB2312" w:cs="宋体"/>
          <w:color w:val="000000"/>
          <w:kern w:val="0"/>
          <w:szCs w:val="32"/>
          <w:shd w:val="clear" w:color="auto" w:fill="FFFFFF"/>
          <w:lang w:val="zh-CN"/>
        </w:rPr>
      </w:pPr>
      <w:r>
        <w:rPr>
          <w:rFonts w:hint="eastAsia" w:ascii="仿宋" w:hAnsi="仿宋" w:eastAsia="仿宋" w:cs="仿宋"/>
          <w:color w:val="auto"/>
          <w:sz w:val="32"/>
          <w:szCs w:val="32"/>
          <w:lang w:val="en-US" w:eastAsia="zh-CN"/>
        </w:rPr>
        <w:t>编制 2 名，设主任 1 名。</w:t>
      </w:r>
    </w:p>
    <w:p w14:paraId="310C8D61">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eastAsia="zh-CN"/>
        </w:rPr>
      </w:pPr>
      <w:r>
        <w:rPr>
          <w:rFonts w:hint="eastAsia" w:ascii="楷体_GB2312" w:hAnsi="楷体_GB2312" w:eastAsia="楷体_GB2312" w:cs="楷体_GB2312"/>
          <w:color w:val="000000"/>
          <w:kern w:val="0"/>
          <w:szCs w:val="32"/>
          <w:shd w:val="clear" w:color="auto" w:fill="FFFFFF"/>
          <w:lang w:val="zh-CN" w:eastAsia="zh-CN"/>
        </w:rPr>
        <w:t>（</w:t>
      </w:r>
      <w:r>
        <w:rPr>
          <w:rFonts w:hint="eastAsia" w:ascii="楷体_GB2312" w:hAnsi="楷体_GB2312" w:eastAsia="楷体_GB2312" w:cs="楷体_GB2312"/>
          <w:color w:val="000000"/>
          <w:kern w:val="0"/>
          <w:szCs w:val="32"/>
          <w:shd w:val="clear" w:color="auto" w:fill="FFFFFF"/>
          <w:lang w:val="en-US" w:eastAsia="zh-CN"/>
        </w:rPr>
        <w:t>三</w:t>
      </w:r>
      <w:r>
        <w:rPr>
          <w:rFonts w:hint="eastAsia" w:ascii="楷体_GB2312" w:hAnsi="楷体_GB2312" w:eastAsia="楷体_GB2312" w:cs="楷体_GB2312"/>
          <w:color w:val="000000"/>
          <w:kern w:val="0"/>
          <w:szCs w:val="32"/>
          <w:shd w:val="clear" w:color="auto" w:fill="FFFFFF"/>
          <w:lang w:val="zh-CN" w:eastAsia="zh-CN"/>
        </w:rPr>
        <w:t>）年度主要工作任务。</w:t>
      </w:r>
    </w:p>
    <w:p w14:paraId="4397F828">
      <w:pPr>
        <w:spacing w:line="600" w:lineRule="exact"/>
        <w:ind w:firstLine="64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1.聚焦政治建设，始终坚持党的全面领导。</w:t>
      </w:r>
    </w:p>
    <w:p w14:paraId="6F87808D">
      <w:pPr>
        <w:spacing w:line="600" w:lineRule="exact"/>
        <w:ind w:firstLine="645"/>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始终坚持把党的政治建设摆在首位，深入学习贯彻党的二十大精神和习近平总书记来川视察重要指示精神，省委十二届四次全会，市委八届八次全会，县委九届四次、五次、六次全会精神。扎实开展“我为群众办实事”，结合“四下基层”活动，党委书记带头，班子成员分工落实，党员干部合力推进，走进田间地头，走到群众家里，深入了解群众的需求，解决群众问题63个，收集民情民意67条。</w:t>
      </w:r>
    </w:p>
    <w:p w14:paraId="21B75C7A">
      <w:pPr>
        <w:spacing w:line="600" w:lineRule="exact"/>
        <w:ind w:firstLine="64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2.聚焦宜居宜业，始终坚持党建引领乡村振兴。</w:t>
      </w:r>
    </w:p>
    <w:p w14:paraId="18ACF4D9">
      <w:pPr>
        <w:spacing w:line="600" w:lineRule="exact"/>
        <w:ind w:firstLine="645"/>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牢牢守住防返贫底线，围绕“两不愁三保障”、安全饮水和住房安全等方面，常态化开展入户走访排查，依据就业务工、种养情况、人员构成、收入等要素，实施绿色稳定发展、黄色提前预警、红色常态监测“三色分类”精准管理；先后</w:t>
      </w:r>
      <w:r>
        <w:rPr>
          <w:rFonts w:hint="eastAsia" w:ascii="仿宋" w:hAnsi="仿宋" w:eastAsia="仿宋" w:cs="仿宋"/>
          <w:color w:val="auto"/>
          <w:sz w:val="32"/>
          <w:szCs w:val="32"/>
          <w:lang w:val="en-US" w:eastAsia="zh-CN"/>
        </w:rPr>
        <w:t>开展</w:t>
      </w:r>
      <w:r>
        <w:rPr>
          <w:rFonts w:hint="default" w:ascii="仿宋" w:hAnsi="仿宋" w:eastAsia="仿宋" w:cs="仿宋"/>
          <w:color w:val="auto"/>
          <w:sz w:val="32"/>
          <w:szCs w:val="32"/>
          <w:lang w:val="en-US" w:eastAsia="zh-CN"/>
        </w:rPr>
        <w:t>走访农户2轮、重点农户全覆盖5轮，深入142户开展风险入户核查，精准消除风险326条，累计收集解决困难136条，化解风险26户。坚决扛稳粮食安全重任，守牢耕地保护红线，印发耕地保护、农村宅基地审批等宣传册4000余份，举办法治宣讲10余场，全面推行田长制，2023年耕地净流入39亩，完成粮食播</w:t>
      </w:r>
      <w:r>
        <w:rPr>
          <w:rFonts w:hint="eastAsia" w:ascii="仿宋" w:hAnsi="仿宋" w:eastAsia="仿宋" w:cs="仿宋"/>
          <w:color w:val="auto"/>
          <w:sz w:val="32"/>
          <w:szCs w:val="32"/>
          <w:lang w:val="en-US" w:eastAsia="zh-CN"/>
        </w:rPr>
        <w:t>种</w:t>
      </w:r>
      <w:r>
        <w:rPr>
          <w:rFonts w:hint="default" w:ascii="仿宋" w:hAnsi="仿宋" w:eastAsia="仿宋" w:cs="仿宋"/>
          <w:color w:val="auto"/>
          <w:sz w:val="32"/>
          <w:szCs w:val="32"/>
          <w:lang w:val="en-US" w:eastAsia="zh-CN"/>
        </w:rPr>
        <w:t>1.6万亩。始终坚持产乡融合、园乡一体发展，编制现代农业产业示范园建设规划和宜居宜业和美乡村发展规划，细化发展目标、功能定位，明确空间布局；对标省级产业强镇和省级乡村振兴示范乡镇目标，制定补短措施，强化项目支撑，落地年度7个新建项目、3个续建项目，涉及资金2000余万元，每个项目专班管理、专班推进，实现项目程序合规、质量合格、安全推进的深度落地，建设完成低效林改造提升1300</w:t>
      </w:r>
      <w:r>
        <w:rPr>
          <w:rFonts w:hint="eastAsia" w:ascii="仿宋" w:hAnsi="仿宋" w:eastAsia="仿宋" w:cs="仿宋"/>
          <w:color w:val="auto"/>
          <w:sz w:val="32"/>
          <w:szCs w:val="32"/>
          <w:lang w:val="en-US" w:eastAsia="zh-CN"/>
        </w:rPr>
        <w:t>余</w:t>
      </w:r>
      <w:r>
        <w:rPr>
          <w:rFonts w:hint="default" w:ascii="仿宋" w:hAnsi="仿宋" w:eastAsia="仿宋" w:cs="仿宋"/>
          <w:color w:val="auto"/>
          <w:sz w:val="32"/>
          <w:szCs w:val="32"/>
          <w:lang w:val="en-US" w:eastAsia="zh-CN"/>
        </w:rPr>
        <w:t>亩，“薯玉蔬蔬”高标准粮蔬示范片3000亩，打造宜坪村粮经复合中心一个，打通草坪村、庙岗村通村通道，麂子塔饮水工程项目顺利完成，成功创建“中国高山枇杷第一乡”，2个合作社完成绿色产品审核认证，获得2个GAP认证证书，2个有机转换认证，成功举办第5届枇杷丰收节，吸引外地游客2万余人，带动群众销售枇杷100万斤，更是被中央电视台、新华社、四川观察等多家媒体报道。</w:t>
      </w:r>
    </w:p>
    <w:p w14:paraId="2D1E480C">
      <w:pPr>
        <w:spacing w:line="600" w:lineRule="exact"/>
        <w:ind w:firstLine="64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3.聚焦和美乡村，始终统筹好安全和发展。</w:t>
      </w:r>
    </w:p>
    <w:p w14:paraId="4B101CE3">
      <w:pPr>
        <w:spacing w:line="600" w:lineRule="exact"/>
        <w:ind w:firstLine="645"/>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深入开展重大事故隐患专项排查整治2023行动、安全风险隐患大排查大整治百日攻坚行动等，严格落实“六个治安”“12个 100%”等工作要求和“五个第一”安全风险防范措施，坚决执行“5+2”一体化防控体系工作部署，压实压细安全小组、安全员工作职责，组织地灾山洪点群众避险演练19次，整治地质灾害、道路交通、自建房安全等问题45个，全年无一起伤亡事故，常态化开展巡山护林工作，抓好火灾防范，在重点时段未发生一起野外用火事件。落严信访稳定工作，化解矛盾纠纷40件，办理心连心热线109件，重要时间节点无一人到省市县信访登记。坚实筑牢禁毒防线，先后发放禁毒宣传资料1000余份，组织乡村组干部及学生200人次到县禁毒教育基地开展警示教育学习，排查养殖场、住房、废旧工厂房屋等1600家次，重点场所26家均建档并落实专人盯防，形成党委政府主导、社会共同参与的禁毒工作格局。</w:t>
      </w:r>
    </w:p>
    <w:p w14:paraId="088E4D60">
      <w:pPr>
        <w:spacing w:line="600" w:lineRule="exact"/>
        <w:ind w:firstLine="64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4.聚焦强基固本，始终筑牢一线战斗堡垒。</w:t>
      </w:r>
    </w:p>
    <w:p w14:paraId="46B53D8F">
      <w:pPr>
        <w:spacing w:line="600" w:lineRule="exact"/>
        <w:ind w:firstLine="645"/>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将开展主题教育同加强基层党组织建设有机融合，更加注重强基固本，通过“三会一课”、主题党日、送课上门等方式，组织党员见缝插针开展学习，推动主题教育走深走实、见行见效。持续推进党支部规范化标准化建设，发展3名入党发展对象，按期转正2名，储备培养入党积极分子15名。强化支部带头人培养，举办专题培训班，提升支部书记、支部委员履职能力。认真执行领导干部能上能下规定，畅通干部职务职级晋升通道，推荐选拔正科级干部2人、副科级干部1人、1名班子成员进一步使用，1名驻村工作队员荣获全省驻村优秀工作队员，1名干部获“青年干部大讲堂”第一名，1名支部书记荣获市级乡村振兴“担当作为好书记”。积极探索农村治理模式，创新建立“家门口农情站”，以村民小组为单位，依托群众摆龙门阵的“摆点”，畅通党群连通“红线”，通过“一点一站、三支队伍、三项行动”，将“为民办实事”做到群众心坎上，截至目前，设立“家门口农情站”3个，覆盖群众683户2436人，解决群众实际困难21个，开展亲情守护等志愿活动30余次。坚持以三支队伍（志愿服务队、入户指导组、考评督查组）为统揽，聚焦难点、靶向发力，推进五清行动、创卫工作高质高效落地开展，开展环境整治50余次，整治卫生死角300余处，发放宣传资料1000余份，整理院落260余个，整治规范公共场所10余处，顺利通过国卫乡镇省级现场评估。</w:t>
      </w:r>
    </w:p>
    <w:p w14:paraId="4A1EF7BF">
      <w:pPr>
        <w:spacing w:line="600" w:lineRule="exact"/>
        <w:ind w:firstLine="64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5.聚焦从严治党，始终抓好党风廉政建设。</w:t>
      </w:r>
    </w:p>
    <w:p w14:paraId="59DD6B7D">
      <w:pPr>
        <w:spacing w:line="600" w:lineRule="exact"/>
        <w:ind w:firstLine="645"/>
        <w:rPr>
          <w:rFonts w:hint="eastAsia" w:ascii="仿宋" w:hAnsi="仿宋" w:eastAsia="仿宋" w:cs="仿宋"/>
          <w:color w:val="auto"/>
          <w:sz w:val="32"/>
          <w:szCs w:val="32"/>
          <w:lang w:val="zh-CN" w:eastAsia="zh-CN"/>
        </w:rPr>
      </w:pPr>
      <w:r>
        <w:rPr>
          <w:rFonts w:hint="default" w:ascii="仿宋" w:hAnsi="仿宋" w:eastAsia="仿宋" w:cs="仿宋"/>
          <w:color w:val="auto"/>
          <w:sz w:val="32"/>
          <w:szCs w:val="32"/>
          <w:lang w:val="en-US" w:eastAsia="zh-CN"/>
        </w:rPr>
        <w:t>认真开展“四项”专项整治，增强防腐自觉性，拧紧思想“总开关”，培树良好作风。深入开展党风廉政宣传教育月活动，持续开展“佳节倡廉”“家书话廉”“家访助廉”活动，开展严重违纪案件专题警示教育3次</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引导干部职工以案为鉴、以案为戒。严格落实意识形态工作责任制，加强意识形态学习，开展中心组学习12次，党员党性分析活动5次，组织谈心谈话4次，及时了解党员思想、工作生活等方面的情况，把准党员的思想脉搏。从严推动巡察问题整改工作，县委第二巡察组巡察反馈党委3个方面13个问题和意见建议，目前已整改11个问题，2个问题持续整改。</w:t>
      </w:r>
    </w:p>
    <w:p w14:paraId="03E1F318">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eastAsia="zh-CN"/>
        </w:rPr>
      </w:pPr>
      <w:r>
        <w:rPr>
          <w:rFonts w:hint="eastAsia" w:ascii="楷体_GB2312" w:hAnsi="楷体_GB2312" w:eastAsia="楷体_GB2312" w:cs="楷体_GB2312"/>
          <w:color w:val="000000"/>
          <w:kern w:val="0"/>
          <w:szCs w:val="32"/>
          <w:shd w:val="clear" w:color="auto" w:fill="FFFFFF"/>
          <w:lang w:val="zh-CN" w:eastAsia="zh-CN"/>
        </w:rPr>
        <w:t>（</w:t>
      </w:r>
      <w:r>
        <w:rPr>
          <w:rFonts w:hint="eastAsia" w:ascii="楷体_GB2312" w:hAnsi="楷体_GB2312" w:eastAsia="楷体_GB2312" w:cs="楷体_GB2312"/>
          <w:color w:val="000000"/>
          <w:kern w:val="0"/>
          <w:szCs w:val="32"/>
          <w:shd w:val="clear" w:color="auto" w:fill="FFFFFF"/>
          <w:lang w:val="en-US" w:eastAsia="zh-CN"/>
        </w:rPr>
        <w:t>四</w:t>
      </w:r>
      <w:r>
        <w:rPr>
          <w:rFonts w:hint="eastAsia" w:ascii="楷体_GB2312" w:hAnsi="楷体_GB2312" w:eastAsia="楷体_GB2312" w:cs="楷体_GB2312"/>
          <w:color w:val="000000"/>
          <w:kern w:val="0"/>
          <w:szCs w:val="32"/>
          <w:shd w:val="clear" w:color="auto" w:fill="FFFFFF"/>
          <w:lang w:val="zh-CN" w:eastAsia="zh-CN"/>
        </w:rPr>
        <w:t>）部门整体支出绩效目标。</w:t>
      </w:r>
    </w:p>
    <w:p w14:paraId="079430B1">
      <w:pPr>
        <w:spacing w:line="600" w:lineRule="exact"/>
        <w:ind w:firstLine="645"/>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zh-CN" w:eastAsia="zh-CN"/>
        </w:rPr>
        <w:t>我乡202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val="zh-CN" w:eastAsia="zh-CN"/>
        </w:rPr>
        <w:t>年完成项目如下：垃圾车运营维护费</w:t>
      </w:r>
      <w:r>
        <w:rPr>
          <w:rFonts w:hint="eastAsia" w:ascii="仿宋" w:hAnsi="仿宋" w:eastAsia="仿宋" w:cs="仿宋"/>
          <w:color w:val="auto"/>
          <w:sz w:val="32"/>
          <w:szCs w:val="32"/>
          <w:lang w:val="en-US" w:eastAsia="zh-CN"/>
        </w:rPr>
        <w:t>2.73</w:t>
      </w:r>
      <w:r>
        <w:rPr>
          <w:rFonts w:hint="eastAsia" w:ascii="仿宋" w:hAnsi="仿宋" w:eastAsia="仿宋" w:cs="仿宋"/>
          <w:color w:val="auto"/>
          <w:sz w:val="32"/>
          <w:szCs w:val="32"/>
          <w:lang w:val="zh-CN" w:eastAsia="zh-CN"/>
        </w:rPr>
        <w:t>万元、乡镇农村人居环境整治考核奖补资金</w:t>
      </w:r>
      <w:r>
        <w:rPr>
          <w:rFonts w:hint="eastAsia" w:ascii="仿宋" w:hAnsi="仿宋" w:eastAsia="仿宋" w:cs="仿宋"/>
          <w:color w:val="auto"/>
          <w:sz w:val="32"/>
          <w:szCs w:val="32"/>
          <w:lang w:val="en-US" w:eastAsia="zh-CN"/>
        </w:rPr>
        <w:t>42</w:t>
      </w:r>
      <w:r>
        <w:rPr>
          <w:rFonts w:hint="eastAsia" w:ascii="仿宋" w:hAnsi="仿宋" w:eastAsia="仿宋" w:cs="仿宋"/>
          <w:color w:val="auto"/>
          <w:sz w:val="32"/>
          <w:szCs w:val="32"/>
          <w:lang w:val="zh-CN" w:eastAsia="zh-CN"/>
        </w:rPr>
        <w:t>万元、草坪村西大门综合服务区运行管理维护费</w:t>
      </w:r>
      <w:r>
        <w:rPr>
          <w:rFonts w:hint="eastAsia" w:ascii="仿宋" w:hAnsi="仿宋" w:eastAsia="仿宋" w:cs="仿宋"/>
          <w:color w:val="auto"/>
          <w:sz w:val="32"/>
          <w:szCs w:val="32"/>
          <w:lang w:val="en-US" w:eastAsia="zh-CN"/>
        </w:rPr>
        <w:t>10万元、2023年基层组织和农村公共服务运行维护费67万元、公务用车购置24.98万元、2023年中央农村公益事业一事一议财政奖补项目37.7815万元、</w:t>
      </w:r>
      <w:r>
        <w:rPr>
          <w:rFonts w:hint="eastAsia" w:ascii="仿宋" w:hAnsi="仿宋" w:eastAsia="仿宋" w:cs="仿宋"/>
          <w:color w:val="auto"/>
          <w:sz w:val="32"/>
          <w:szCs w:val="32"/>
          <w:lang w:val="zh-CN" w:eastAsia="zh-CN"/>
        </w:rPr>
        <w:t>乡镇安全管理相关经费</w:t>
      </w:r>
      <w:r>
        <w:rPr>
          <w:rFonts w:hint="eastAsia" w:ascii="仿宋" w:hAnsi="仿宋" w:eastAsia="仿宋" w:cs="仿宋"/>
          <w:color w:val="auto"/>
          <w:sz w:val="32"/>
          <w:szCs w:val="32"/>
          <w:lang w:val="en-US" w:eastAsia="zh-CN"/>
        </w:rPr>
        <w:t>4.52万元</w:t>
      </w:r>
      <w:r>
        <w:rPr>
          <w:rFonts w:hint="eastAsia" w:ascii="仿宋" w:hAnsi="仿宋" w:eastAsia="仿宋" w:cs="仿宋"/>
          <w:color w:val="auto"/>
          <w:sz w:val="32"/>
          <w:szCs w:val="32"/>
          <w:lang w:val="zh-CN" w:eastAsia="zh-CN"/>
        </w:rPr>
        <w:t>，已按实际拨付完毕。</w:t>
      </w:r>
    </w:p>
    <w:p w14:paraId="410B000A">
      <w:pPr>
        <w:widowControl/>
        <w:adjustRightInd w:val="0"/>
        <w:snapToGrid w:val="0"/>
        <w:spacing w:line="580" w:lineRule="exact"/>
        <w:ind w:firstLine="640" w:firstLineChars="200"/>
        <w:contextualSpacing/>
        <w:jc w:val="left"/>
        <w:rPr>
          <w:rFonts w:hint="eastAsia" w:ascii="黑体" w:hAnsi="黑体" w:eastAsia="黑体" w:cs="黑体"/>
          <w:b w:val="0"/>
          <w:bCs w:val="0"/>
          <w:color w:val="000000"/>
          <w:kern w:val="0"/>
          <w:szCs w:val="32"/>
          <w:shd w:val="clear" w:color="auto" w:fill="FFFFFF"/>
        </w:rPr>
      </w:pPr>
      <w:r>
        <w:rPr>
          <w:rFonts w:hint="eastAsia" w:ascii="黑体" w:hAnsi="黑体" w:eastAsia="黑体" w:cs="黑体"/>
          <w:b w:val="0"/>
          <w:bCs w:val="0"/>
          <w:color w:val="000000"/>
          <w:kern w:val="0"/>
          <w:szCs w:val="32"/>
          <w:shd w:val="clear" w:color="auto" w:fill="FFFFFF"/>
        </w:rPr>
        <w:t>二、部门财政资金收支情况</w:t>
      </w:r>
    </w:p>
    <w:p w14:paraId="24450C7F">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（一）部门财政资金收入情况。</w:t>
      </w:r>
    </w:p>
    <w:p w14:paraId="2A5E5D91">
      <w:pPr>
        <w:widowControl/>
        <w:adjustRightInd w:val="0"/>
        <w:snapToGrid w:val="0"/>
        <w:spacing w:line="580" w:lineRule="exact"/>
        <w:ind w:firstLine="800" w:firstLineChars="250"/>
        <w:contextualSpacing/>
        <w:jc w:val="left"/>
        <w:rPr>
          <w:rFonts w:hint="eastAsia" w:ascii="仿宋" w:hAnsi="仿宋" w:eastAsia="仿宋" w:cs="仿宋"/>
          <w:color w:val="000000"/>
          <w:kern w:val="0"/>
          <w:szCs w:val="32"/>
          <w:shd w:val="clear" w:color="auto" w:fill="FFFFFF"/>
          <w:lang w:val="zh-CN" w:eastAsia="zh-CN"/>
        </w:rPr>
      </w:pP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年度部门收入总额</w:t>
      </w:r>
      <w:r>
        <w:rPr>
          <w:rFonts w:hint="eastAsia" w:ascii="仿宋" w:hAnsi="仿宋" w:eastAsia="仿宋" w:cs="宋体"/>
          <w:color w:val="auto"/>
          <w:kern w:val="0"/>
          <w:sz w:val="32"/>
          <w:szCs w:val="32"/>
          <w:lang w:val="en-US" w:eastAsia="zh-CN"/>
        </w:rPr>
        <w:t>996.5</w:t>
      </w:r>
      <w:r>
        <w:rPr>
          <w:rFonts w:hint="eastAsia" w:ascii="仿宋" w:hAnsi="仿宋" w:eastAsia="仿宋" w:cs="仿宋"/>
          <w:szCs w:val="32"/>
        </w:rPr>
        <w:t>万元</w:t>
      </w:r>
      <w:r>
        <w:rPr>
          <w:rFonts w:hint="eastAsia" w:ascii="仿宋" w:hAnsi="仿宋" w:eastAsia="仿宋" w:cs="仿宋"/>
          <w:szCs w:val="32"/>
          <w:lang w:eastAsia="zh-CN"/>
        </w:rPr>
        <w:t>。</w:t>
      </w:r>
    </w:p>
    <w:p w14:paraId="512F583C">
      <w:pPr>
        <w:pStyle w:val="6"/>
        <w:rPr>
          <w:lang w:val="zh-CN"/>
        </w:rPr>
      </w:pPr>
    </w:p>
    <w:p w14:paraId="66E4CEF1">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25ACD5A0">
      <w:pPr>
        <w:widowControl/>
        <w:adjustRightInd w:val="0"/>
        <w:snapToGrid w:val="0"/>
        <w:spacing w:line="580" w:lineRule="exact"/>
        <w:ind w:firstLine="800" w:firstLineChars="250"/>
        <w:contextualSpacing/>
        <w:jc w:val="left"/>
        <w:rPr>
          <w:rFonts w:hint="eastAsia" w:eastAsia="仿宋"/>
          <w:lang w:val="en-US" w:eastAsia="zh-CN"/>
        </w:rPr>
      </w:pP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年度部门支出总额</w:t>
      </w:r>
      <w:r>
        <w:rPr>
          <w:rFonts w:hint="eastAsia" w:ascii="仿宋" w:hAnsi="仿宋" w:eastAsia="仿宋" w:cs="宋体"/>
          <w:color w:val="auto"/>
          <w:kern w:val="0"/>
          <w:sz w:val="32"/>
          <w:szCs w:val="32"/>
          <w:lang w:val="en-US" w:eastAsia="zh-CN"/>
        </w:rPr>
        <w:t>996.5</w:t>
      </w:r>
      <w:r>
        <w:rPr>
          <w:rFonts w:hint="eastAsia" w:ascii="仿宋" w:hAnsi="仿宋" w:eastAsia="仿宋" w:cs="仿宋"/>
          <w:szCs w:val="32"/>
        </w:rPr>
        <w:t>万元</w:t>
      </w:r>
      <w:r>
        <w:rPr>
          <w:rFonts w:hint="eastAsia" w:ascii="仿宋" w:hAnsi="仿宋" w:eastAsia="仿宋" w:cs="仿宋"/>
          <w:szCs w:val="32"/>
          <w:lang w:eastAsia="zh-CN"/>
        </w:rPr>
        <w:t>。</w:t>
      </w:r>
    </w:p>
    <w:p w14:paraId="7A345BA6">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3CF2342F">
      <w:pPr>
        <w:widowControl/>
        <w:numPr>
          <w:ilvl w:val="0"/>
          <w:numId w:val="0"/>
        </w:numPr>
        <w:adjustRightInd w:val="0"/>
        <w:snapToGrid w:val="0"/>
        <w:spacing w:line="580" w:lineRule="exact"/>
        <w:ind w:firstLine="960" w:firstLineChars="300"/>
        <w:contextualSpacing/>
        <w:jc w:val="left"/>
        <w:rPr>
          <w:lang w:val="zh-CN"/>
        </w:rPr>
      </w:pPr>
      <w:r>
        <w:rPr>
          <w:rFonts w:hint="eastAsia" w:ascii="仿宋" w:hAnsi="仿宋" w:eastAsia="仿宋" w:cs="仿宋"/>
          <w:color w:val="000000"/>
          <w:kern w:val="0"/>
          <w:szCs w:val="32"/>
          <w:shd w:val="clear" w:color="auto" w:fill="FFFFFF"/>
          <w:lang w:val="zh-CN"/>
        </w:rPr>
        <w:t>无结转结余</w:t>
      </w:r>
    </w:p>
    <w:p w14:paraId="43E56ADD">
      <w:pPr>
        <w:widowControl/>
        <w:adjustRightInd w:val="0"/>
        <w:snapToGrid w:val="0"/>
        <w:spacing w:line="580" w:lineRule="exact"/>
        <w:ind w:firstLine="640" w:firstLineChars="200"/>
        <w:contextualSpacing/>
        <w:jc w:val="left"/>
        <w:rPr>
          <w:rFonts w:hint="eastAsia" w:ascii="黑体" w:hAnsi="黑体" w:eastAsia="黑体" w:cs="黑体"/>
          <w:b w:val="0"/>
          <w:bCs w:val="0"/>
          <w:color w:val="000000"/>
          <w:kern w:val="0"/>
          <w:szCs w:val="32"/>
          <w:shd w:val="clear" w:color="auto" w:fill="FFFFFF"/>
        </w:rPr>
      </w:pPr>
      <w:r>
        <w:rPr>
          <w:rFonts w:hint="eastAsia" w:ascii="黑体" w:hAnsi="黑体" w:eastAsia="黑体" w:cs="黑体"/>
          <w:b w:val="0"/>
          <w:bCs w:val="0"/>
          <w:color w:val="000000"/>
          <w:kern w:val="0"/>
          <w:szCs w:val="32"/>
          <w:shd w:val="clear" w:color="auto" w:fill="FFFFFF"/>
        </w:rPr>
        <w:t>三、部门整体绩效管理情况（根据自评体系进行描述）</w:t>
      </w:r>
    </w:p>
    <w:p w14:paraId="748B51D8">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（一）部门整体履职绩效分析。</w:t>
      </w:r>
    </w:p>
    <w:p w14:paraId="1E849E19">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预算管理方面，编制内在职人员控制率小于100%，支出总额控制在预算总额以内。制度执行总体较为有效，但仍需进一步强化，资金使用管理需进一步加强。单位内部控制制度需进一步健全，内控制度执行还需进一步规范。</w:t>
      </w:r>
    </w:p>
    <w:p w14:paraId="73871149">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56135C32">
      <w:pPr>
        <w:widowControl/>
        <w:numPr>
          <w:ilvl w:val="0"/>
          <w:numId w:val="0"/>
        </w:numPr>
        <w:adjustRightInd w:val="0"/>
        <w:snapToGrid w:val="0"/>
        <w:spacing w:line="580" w:lineRule="exact"/>
        <w:ind w:firstLine="640" w:firstLineChars="200"/>
        <w:contextualSpacing/>
        <w:jc w:val="left"/>
        <w:rPr>
          <w:rStyle w:val="11"/>
          <w:rFonts w:hint="eastAsia" w:ascii="仿宋" w:hAnsi="仿宋" w:eastAsia="仿宋" w:cs="仿宋"/>
          <w:b w:val="0"/>
          <w:bCs w:val="0"/>
          <w:i w:val="0"/>
          <w:iCs w:val="0"/>
          <w:caps w:val="0"/>
          <w:color w:val="000000"/>
          <w:spacing w:val="0"/>
          <w:sz w:val="32"/>
          <w:szCs w:val="32"/>
          <w:highlight w:val="none"/>
          <w:shd w:val="clear" w:fill="FFFFFF"/>
          <w:lang w:val="zh-CN"/>
        </w:rPr>
      </w:pPr>
      <w:r>
        <w:rPr>
          <w:rStyle w:val="11"/>
          <w:rFonts w:hint="eastAsia" w:ascii="仿宋" w:hAnsi="仿宋" w:eastAsia="仿宋" w:cs="仿宋"/>
          <w:b w:val="0"/>
          <w:bCs w:val="0"/>
          <w:i w:val="0"/>
          <w:iCs w:val="0"/>
          <w:caps w:val="0"/>
          <w:color w:val="000000"/>
          <w:spacing w:val="0"/>
          <w:sz w:val="32"/>
          <w:szCs w:val="32"/>
          <w:highlight w:val="none"/>
          <w:shd w:val="clear" w:fill="FFFFFF"/>
          <w:lang w:val="zh-CN"/>
        </w:rPr>
        <w:t>包括项目绩效目标制定、目标实现、支出控制、及时处置、执行进度、预算完成情况、资金结余率（低效无效率）和违规记录等情况。</w:t>
      </w:r>
    </w:p>
    <w:p w14:paraId="781346F3">
      <w:pPr>
        <w:widowControl/>
        <w:numPr>
          <w:ilvl w:val="0"/>
          <w:numId w:val="0"/>
        </w:numPr>
        <w:adjustRightInd w:val="0"/>
        <w:snapToGrid w:val="0"/>
        <w:spacing w:line="580" w:lineRule="exact"/>
        <w:ind w:firstLine="640" w:firstLineChars="200"/>
        <w:contextualSpacing/>
        <w:jc w:val="left"/>
        <w:rPr>
          <w:rStyle w:val="11"/>
          <w:rFonts w:hint="eastAsia" w:ascii="仿宋" w:hAnsi="仿宋" w:eastAsia="仿宋" w:cs="仿宋"/>
          <w:b w:val="0"/>
          <w:bCs w:val="0"/>
          <w:i w:val="0"/>
          <w:iCs w:val="0"/>
          <w:caps w:val="0"/>
          <w:color w:val="000000"/>
          <w:spacing w:val="0"/>
          <w:sz w:val="32"/>
          <w:szCs w:val="32"/>
          <w:highlight w:val="none"/>
          <w:shd w:val="clear" w:fill="FFFFFF"/>
          <w:lang w:val="zh-CN"/>
        </w:rPr>
      </w:pP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1.</w:t>
      </w:r>
      <w:r>
        <w:rPr>
          <w:rStyle w:val="11"/>
          <w:rFonts w:hint="eastAsia" w:ascii="仿宋" w:hAnsi="仿宋" w:eastAsia="仿宋" w:cs="仿宋"/>
          <w:b w:val="0"/>
          <w:bCs w:val="0"/>
          <w:i w:val="0"/>
          <w:iCs w:val="0"/>
          <w:caps w:val="0"/>
          <w:color w:val="000000"/>
          <w:spacing w:val="0"/>
          <w:sz w:val="32"/>
          <w:szCs w:val="32"/>
          <w:highlight w:val="none"/>
          <w:shd w:val="clear" w:fill="FFFFFF"/>
          <w:lang w:val="zh-CN"/>
        </w:rPr>
        <w:t>整体情况</w:t>
      </w:r>
    </w:p>
    <w:p w14:paraId="4E732458">
      <w:pPr>
        <w:widowControl/>
        <w:numPr>
          <w:ilvl w:val="0"/>
          <w:numId w:val="0"/>
        </w:numPr>
        <w:adjustRightInd w:val="0"/>
        <w:snapToGrid w:val="0"/>
        <w:spacing w:line="580" w:lineRule="exact"/>
        <w:ind w:firstLine="640" w:firstLineChars="200"/>
        <w:contextualSpacing/>
        <w:jc w:val="left"/>
        <w:rPr>
          <w:color w:val="auto"/>
          <w:lang w:val="zh-CN"/>
        </w:rPr>
      </w:pPr>
      <w:r>
        <w:rPr>
          <w:rStyle w:val="11"/>
          <w:rFonts w:hint="eastAsia" w:ascii="仿宋" w:hAnsi="仿宋" w:eastAsia="仿宋" w:cs="仿宋"/>
          <w:b w:val="0"/>
          <w:bCs w:val="0"/>
          <w:i w:val="0"/>
          <w:iCs w:val="0"/>
          <w:caps w:val="0"/>
          <w:color w:val="000000"/>
          <w:spacing w:val="0"/>
          <w:sz w:val="32"/>
          <w:szCs w:val="32"/>
          <w:highlight w:val="none"/>
          <w:shd w:val="clear" w:fill="FFFFFF"/>
          <w:lang w:val="zh-CN"/>
        </w:rPr>
        <w:t>宜坪乡人民政府绩效目标按要求向社会公开，部门整体绩效自评情况和自行组织的评价情况向社会公开，及时整改了绩效管理发现问题，向财政部门反馈结果应用情况。资金主要投入在垃圾车运营维护费</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2.73</w:t>
      </w:r>
      <w:r>
        <w:rPr>
          <w:rStyle w:val="11"/>
          <w:rFonts w:hint="eastAsia" w:ascii="仿宋" w:hAnsi="仿宋" w:eastAsia="仿宋" w:cs="仿宋"/>
          <w:b w:val="0"/>
          <w:bCs w:val="0"/>
          <w:i w:val="0"/>
          <w:iCs w:val="0"/>
          <w:caps w:val="0"/>
          <w:color w:val="000000"/>
          <w:spacing w:val="0"/>
          <w:sz w:val="32"/>
          <w:szCs w:val="32"/>
          <w:highlight w:val="none"/>
          <w:shd w:val="clear" w:fill="FFFFFF"/>
          <w:lang w:val="zh-CN"/>
        </w:rPr>
        <w:t>万元</w:t>
      </w:r>
      <w:r>
        <w:rPr>
          <w:rStyle w:val="11"/>
          <w:rFonts w:hint="eastAsia" w:ascii="仿宋" w:hAnsi="仿宋" w:eastAsia="仿宋" w:cs="仿宋"/>
          <w:b w:val="0"/>
          <w:bCs w:val="0"/>
          <w:i w:val="0"/>
          <w:iCs w:val="0"/>
          <w:caps w:val="0"/>
          <w:color w:val="000000"/>
          <w:spacing w:val="0"/>
          <w:sz w:val="32"/>
          <w:szCs w:val="32"/>
          <w:highlight w:val="none"/>
          <w:shd w:val="clear" w:fill="FFFFFF"/>
          <w:lang w:val="zh-CN" w:eastAsia="zh-CN"/>
        </w:rPr>
        <w:t>、</w:t>
      </w:r>
      <w:r>
        <w:rPr>
          <w:rStyle w:val="11"/>
          <w:rFonts w:hint="eastAsia" w:ascii="仿宋" w:hAnsi="仿宋" w:eastAsia="仿宋" w:cs="仿宋"/>
          <w:b w:val="0"/>
          <w:bCs w:val="0"/>
          <w:i w:val="0"/>
          <w:iCs w:val="0"/>
          <w:caps w:val="0"/>
          <w:color w:val="000000"/>
          <w:spacing w:val="0"/>
          <w:sz w:val="32"/>
          <w:szCs w:val="32"/>
          <w:highlight w:val="none"/>
          <w:shd w:val="clear" w:fill="FFFFFF"/>
          <w:lang w:val="zh-CN"/>
        </w:rPr>
        <w:t>乡镇农村人居环境整治考核奖补资金</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42</w:t>
      </w:r>
      <w:r>
        <w:rPr>
          <w:rStyle w:val="11"/>
          <w:rFonts w:hint="eastAsia" w:ascii="仿宋" w:hAnsi="仿宋" w:eastAsia="仿宋" w:cs="仿宋"/>
          <w:b w:val="0"/>
          <w:bCs w:val="0"/>
          <w:i w:val="0"/>
          <w:iCs w:val="0"/>
          <w:caps w:val="0"/>
          <w:color w:val="000000"/>
          <w:spacing w:val="0"/>
          <w:sz w:val="32"/>
          <w:szCs w:val="32"/>
          <w:highlight w:val="none"/>
          <w:shd w:val="clear" w:fill="FFFFFF"/>
          <w:lang w:val="zh-CN"/>
        </w:rPr>
        <w:t>万元、草坪村西大门综合服务区运行管理维护费</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10万元、2023年基层组织和农村公共服务运行维护费67万元、公务用车购置24.98万元、2023年中央农村公益事业一事一议财政奖补项目37.7815万元、</w:t>
      </w:r>
      <w:r>
        <w:rPr>
          <w:rStyle w:val="11"/>
          <w:rFonts w:hint="eastAsia" w:ascii="仿宋" w:hAnsi="仿宋" w:eastAsia="仿宋" w:cs="仿宋"/>
          <w:b w:val="0"/>
          <w:bCs w:val="0"/>
          <w:i w:val="0"/>
          <w:iCs w:val="0"/>
          <w:caps w:val="0"/>
          <w:color w:val="000000"/>
          <w:spacing w:val="0"/>
          <w:sz w:val="32"/>
          <w:szCs w:val="32"/>
          <w:highlight w:val="none"/>
          <w:shd w:val="clear" w:fill="FFFFFF"/>
          <w:lang w:val="zh-CN" w:eastAsia="zh-CN"/>
        </w:rPr>
        <w:t>乡镇安全管理相关经费</w:t>
      </w:r>
      <w:r>
        <w:rPr>
          <w:rStyle w:val="11"/>
          <w:rFonts w:hint="eastAsia" w:ascii="仿宋" w:hAnsi="仿宋" w:eastAsia="仿宋" w:cs="仿宋"/>
          <w:b w:val="0"/>
          <w:bCs w:val="0"/>
          <w:i w:val="0"/>
          <w:iCs w:val="0"/>
          <w:caps w:val="0"/>
          <w:color w:val="000000"/>
          <w:spacing w:val="0"/>
          <w:sz w:val="32"/>
          <w:szCs w:val="32"/>
          <w:highlight w:val="none"/>
          <w:shd w:val="clear" w:fill="FFFFFF"/>
          <w:lang w:val="en-US" w:eastAsia="zh-CN"/>
        </w:rPr>
        <w:t>4.52万元</w:t>
      </w:r>
      <w:r>
        <w:rPr>
          <w:rStyle w:val="11"/>
          <w:rFonts w:hint="eastAsia" w:ascii="仿宋" w:hAnsi="仿宋" w:eastAsia="仿宋" w:cs="仿宋"/>
          <w:b w:val="0"/>
          <w:bCs w:val="0"/>
          <w:i w:val="0"/>
          <w:iCs w:val="0"/>
          <w:caps w:val="0"/>
          <w:color w:val="000000"/>
          <w:spacing w:val="0"/>
          <w:sz w:val="32"/>
          <w:szCs w:val="32"/>
          <w:highlight w:val="none"/>
          <w:shd w:val="clear" w:fill="FFFFFF"/>
          <w:lang w:val="zh-CN"/>
        </w:rPr>
        <w:t>。通过统计分析获取了人民群众对生态环境的健康度、居住生活的舒适度、工作出行的便捷度、居住生活的安全度各方面的良好评价。</w:t>
      </w:r>
    </w:p>
    <w:p w14:paraId="47023F62">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r>
        <w:rPr>
          <w:rFonts w:hint="eastAsia" w:ascii="仿宋" w:hAnsi="仿宋" w:eastAsia="仿宋" w:cs="仿宋"/>
          <w:color w:val="000000"/>
          <w:kern w:val="0"/>
          <w:szCs w:val="32"/>
          <w:shd w:val="clear" w:color="auto" w:fill="FFFFFF"/>
          <w:lang w:val="zh-CN"/>
        </w:rPr>
        <w:t>无</w:t>
      </w:r>
    </w:p>
    <w:p w14:paraId="1A1162DF">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090B7FD5">
      <w:pPr>
        <w:widowControl/>
        <w:numPr>
          <w:ilvl w:val="0"/>
          <w:numId w:val="0"/>
        </w:numPr>
        <w:adjustRightInd w:val="0"/>
        <w:snapToGrid w:val="0"/>
        <w:spacing w:line="580" w:lineRule="exact"/>
        <w:ind w:leftChars="200"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本单位按照财政局下达的预算指标，严格执行预算内开支，保障了单位正常运转。本部门的预决算编制均按照县财政局下达的相关文件指标进行了编制，按时完成编制工作。绩效目标也按照有关文件如实进行了填报。</w:t>
      </w:r>
    </w:p>
    <w:p w14:paraId="7B2B397B">
      <w:pPr>
        <w:widowControl/>
        <w:adjustRightInd w:val="0"/>
        <w:snapToGrid w:val="0"/>
        <w:spacing w:line="580" w:lineRule="exact"/>
        <w:ind w:firstLine="640" w:firstLineChars="200"/>
        <w:contextualSpacing/>
        <w:jc w:val="left"/>
        <w:rPr>
          <w:rFonts w:hint="eastAsia" w:ascii="黑体" w:hAnsi="黑体" w:eastAsia="黑体" w:cs="黑体"/>
          <w:b w:val="0"/>
          <w:bCs w:val="0"/>
          <w:color w:val="000000"/>
          <w:kern w:val="0"/>
          <w:szCs w:val="32"/>
          <w:shd w:val="clear" w:color="auto" w:fill="FFFFFF"/>
        </w:rPr>
      </w:pPr>
      <w:r>
        <w:rPr>
          <w:rFonts w:hint="eastAsia" w:ascii="黑体" w:hAnsi="黑体" w:eastAsia="黑体" w:cs="黑体"/>
          <w:b w:val="0"/>
          <w:bCs w:val="0"/>
          <w:color w:val="000000"/>
          <w:kern w:val="0"/>
          <w:szCs w:val="32"/>
          <w:shd w:val="clear" w:color="auto" w:fill="FFFFFF"/>
        </w:rPr>
        <w:t>四、评价结论及建议</w:t>
      </w:r>
    </w:p>
    <w:p w14:paraId="5EEB8E7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205BACBF">
      <w:pPr>
        <w:widowControl/>
        <w:adjustRightInd w:val="0"/>
        <w:snapToGrid w:val="0"/>
        <w:spacing w:line="580" w:lineRule="exact"/>
        <w:ind w:firstLine="640" w:firstLineChars="200"/>
        <w:contextualSpacing/>
        <w:jc w:val="left"/>
        <w:rPr>
          <w:color w:val="auto"/>
          <w:lang w:val="zh-CN"/>
        </w:rPr>
      </w:pPr>
      <w:r>
        <w:rPr>
          <w:rFonts w:hint="eastAsia" w:ascii="仿宋" w:hAnsi="仿宋" w:eastAsia="仿宋" w:cs="仿宋"/>
          <w:color w:val="auto"/>
          <w:kern w:val="0"/>
          <w:szCs w:val="32"/>
          <w:shd w:val="clear" w:color="auto" w:fill="FFFFFF"/>
          <w:lang w:val="zh-CN"/>
        </w:rPr>
        <w:t>根据《峨边彝族自治县财政局 关于开展202</w:t>
      </w:r>
      <w:r>
        <w:rPr>
          <w:rFonts w:hint="eastAsia" w:ascii="仿宋" w:hAnsi="仿宋" w:eastAsia="仿宋" w:cs="仿宋"/>
          <w:color w:val="auto"/>
          <w:kern w:val="0"/>
          <w:szCs w:val="32"/>
          <w:shd w:val="clear" w:color="auto" w:fill="FFFFFF"/>
          <w:lang w:val="en-US" w:eastAsia="zh-CN"/>
        </w:rPr>
        <w:t>3</w:t>
      </w:r>
      <w:r>
        <w:rPr>
          <w:rFonts w:hint="eastAsia" w:ascii="仿宋" w:hAnsi="仿宋" w:eastAsia="仿宋" w:cs="仿宋"/>
          <w:color w:val="auto"/>
          <w:kern w:val="0"/>
          <w:szCs w:val="32"/>
          <w:shd w:val="clear" w:color="auto" w:fill="FFFFFF"/>
          <w:lang w:val="zh-CN"/>
        </w:rPr>
        <w:t>年度部门整体、项目支出预算绩效评价工作的通知》文件精神，宜坪乡人民政府认真组织开展了部门整体支出绩效评价工作，绩效评价得分： 9</w:t>
      </w:r>
      <w:r>
        <w:rPr>
          <w:rFonts w:hint="eastAsia" w:ascii="仿宋" w:hAnsi="仿宋" w:eastAsia="仿宋" w:cs="仿宋"/>
          <w:color w:val="auto"/>
          <w:kern w:val="0"/>
          <w:szCs w:val="32"/>
          <w:shd w:val="clear" w:color="auto" w:fill="FFFFFF"/>
          <w:lang w:val="en-US" w:eastAsia="zh-CN"/>
        </w:rPr>
        <w:t>7</w:t>
      </w:r>
      <w:r>
        <w:rPr>
          <w:rFonts w:hint="eastAsia" w:ascii="仿宋" w:hAnsi="仿宋" w:eastAsia="仿宋" w:cs="仿宋"/>
          <w:color w:val="auto"/>
          <w:kern w:val="0"/>
          <w:szCs w:val="32"/>
          <w:shd w:val="clear" w:color="auto" w:fill="FFFFFF"/>
          <w:lang w:val="zh-CN"/>
        </w:rPr>
        <w:t xml:space="preserve"> 分。</w:t>
      </w:r>
    </w:p>
    <w:p w14:paraId="6C821740">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w:t>
      </w:r>
      <w:r>
        <w:rPr>
          <w:rFonts w:hint="eastAsia" w:ascii="楷体_GB2312" w:hAnsi="楷体_GB2312" w:eastAsia="楷体_GB2312" w:cs="楷体_GB2312"/>
          <w:color w:val="000000"/>
          <w:kern w:val="0"/>
          <w:szCs w:val="32"/>
          <w:shd w:val="clear" w:color="auto" w:fill="FFFFFF"/>
          <w:lang w:val="en-US" w:eastAsia="zh-CN"/>
        </w:rPr>
        <w:t>二</w:t>
      </w:r>
      <w:r>
        <w:rPr>
          <w:rFonts w:hint="eastAsia" w:ascii="楷体_GB2312" w:hAnsi="楷体_GB2312" w:eastAsia="楷体_GB2312" w:cs="楷体_GB2312"/>
          <w:color w:val="000000"/>
          <w:kern w:val="0"/>
          <w:szCs w:val="32"/>
          <w:shd w:val="clear" w:color="auto" w:fill="FFFFFF"/>
          <w:lang w:val="zh-CN"/>
        </w:rPr>
        <w:t>）存在问题。</w:t>
      </w:r>
    </w:p>
    <w:p w14:paraId="0C3A044B">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Style w:val="11"/>
          <w:rFonts w:hint="eastAsia" w:ascii="仿宋" w:hAnsi="仿宋" w:eastAsia="仿宋" w:cs="仿宋"/>
          <w:b w:val="0"/>
          <w:bCs w:val="0"/>
          <w:i w:val="0"/>
          <w:iCs w:val="0"/>
          <w:caps w:val="0"/>
          <w:color w:val="000000"/>
          <w:spacing w:val="0"/>
          <w:sz w:val="32"/>
          <w:szCs w:val="32"/>
          <w:highlight w:val="none"/>
          <w:shd w:val="clear" w:fill="FFFFFF"/>
        </w:rPr>
        <w:t>在资金管理过程中，财务管理制度</w:t>
      </w:r>
      <w:r>
        <w:rPr>
          <w:rStyle w:val="11"/>
          <w:rFonts w:hint="eastAsia" w:ascii="仿宋" w:hAnsi="仿宋" w:eastAsia="仿宋" w:cs="仿宋"/>
          <w:b w:val="0"/>
          <w:bCs w:val="0"/>
          <w:i w:val="0"/>
          <w:iCs w:val="0"/>
          <w:caps w:val="0"/>
          <w:color w:val="000000"/>
          <w:spacing w:val="0"/>
          <w:sz w:val="32"/>
          <w:szCs w:val="32"/>
          <w:highlight w:val="none"/>
          <w:shd w:val="clear" w:fill="FFFFFF"/>
          <w:lang w:eastAsia="zh-CN"/>
        </w:rPr>
        <w:t>需完善。</w:t>
      </w:r>
    </w:p>
    <w:p w14:paraId="4C021B8E">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（三）改进建议。</w:t>
      </w:r>
    </w:p>
    <w:p w14:paraId="2514494D">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yellow"/>
          <w:shd w:val="clear" w:color="auto" w:fill="FFFFFF"/>
          <w:lang w:val="zh-CN"/>
        </w:rPr>
      </w:pPr>
      <w:r>
        <w:rPr>
          <w:rFonts w:hint="eastAsia" w:ascii="仿宋" w:hAnsi="仿宋" w:eastAsia="仿宋" w:cs="仿宋"/>
          <w:color w:val="auto"/>
          <w:kern w:val="0"/>
          <w:sz w:val="32"/>
          <w:szCs w:val="32"/>
          <w:highlight w:val="none"/>
          <w:shd w:val="clear" w:color="auto" w:fill="FFFFFF"/>
          <w:lang w:val="zh-CN"/>
        </w:rPr>
        <w:t>1、细化预算编制工作，</w:t>
      </w:r>
      <w:r>
        <w:rPr>
          <w:rFonts w:hint="eastAsia" w:ascii="仿宋" w:hAnsi="仿宋" w:eastAsia="仿宋" w:cs="仿宋"/>
          <w:color w:val="auto"/>
          <w:kern w:val="0"/>
          <w:szCs w:val="32"/>
          <w:shd w:val="clear" w:color="auto" w:fill="FFFFFF"/>
          <w:lang w:val="zh-CN"/>
        </w:rPr>
        <w:t>严格按照预算编制的相关制度和要求进行预算编制，进一步提高预算编制的科学性、严谨性和可控性，</w:t>
      </w:r>
      <w:r>
        <w:rPr>
          <w:rFonts w:hint="eastAsia" w:ascii="仿宋" w:hAnsi="仿宋" w:eastAsia="仿宋" w:cs="仿宋"/>
          <w:color w:val="000000"/>
          <w:kern w:val="0"/>
          <w:sz w:val="32"/>
          <w:szCs w:val="32"/>
          <w:highlight w:val="none"/>
          <w:shd w:val="clear" w:color="auto" w:fill="FFFFFF"/>
          <w:lang w:val="zh-CN"/>
        </w:rPr>
        <w:t>按照预算编制的相关制度和要求</w:t>
      </w:r>
      <w:r>
        <w:rPr>
          <w:rFonts w:hint="eastAsia" w:ascii="仿宋" w:hAnsi="仿宋" w:eastAsia="仿宋" w:cs="仿宋"/>
          <w:color w:val="000000"/>
          <w:kern w:val="0"/>
          <w:sz w:val="32"/>
          <w:szCs w:val="32"/>
          <w:highlight w:val="none"/>
          <w:shd w:val="clear" w:color="auto" w:fill="FFFFFF"/>
          <w:lang w:val="en-US" w:eastAsia="zh-CN"/>
        </w:rPr>
        <w:t>进行支付</w:t>
      </w:r>
      <w:r>
        <w:rPr>
          <w:rFonts w:hint="eastAsia" w:ascii="仿宋" w:hAnsi="仿宋" w:eastAsia="仿宋" w:cs="仿宋"/>
          <w:color w:val="000000"/>
          <w:kern w:val="0"/>
          <w:sz w:val="32"/>
          <w:szCs w:val="32"/>
          <w:highlight w:val="none"/>
          <w:shd w:val="clear" w:color="auto" w:fill="FFFFFF"/>
          <w:lang w:val="zh-CN"/>
        </w:rPr>
        <w:t>。</w:t>
      </w:r>
    </w:p>
    <w:p w14:paraId="3C2BE4BC">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2、加强财务管理，健全管理制度体系。按照预算规定的费用项目和用途进行资金使用，杜绝超支现象的发生。</w:t>
      </w:r>
    </w:p>
    <w:p w14:paraId="66FE2AA9">
      <w:pPr>
        <w:spacing w:before="80" w:line="220" w:lineRule="auto"/>
        <w:ind w:left="5643"/>
        <w:outlineLvl w:val="0"/>
        <w:rPr>
          <w:rFonts w:hint="eastAsia" w:eastAsia="宋体"/>
          <w:lang w:val="en-US" w:eastAsia="zh-CN"/>
        </w:rPr>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pPr>
    </w:p>
    <w:p w14:paraId="32E081E5">
      <w:pPr>
        <w:spacing w:before="80" w:line="220" w:lineRule="auto"/>
        <w:jc w:val="center"/>
        <w:outlineLvl w:val="0"/>
        <w:rPr>
          <w:rFonts w:ascii="宋体" w:hAnsi="宋体" w:eastAsia="宋体" w:cs="宋体"/>
          <w:sz w:val="14"/>
          <w:szCs w:val="14"/>
        </w:rPr>
      </w:pPr>
      <w:r>
        <w:rPr>
          <w:rFonts w:ascii="宋体" w:hAnsi="宋体" w:eastAsia="宋体" w:cs="宋体"/>
          <w:b/>
          <w:bCs/>
          <w:spacing w:val="-1"/>
          <w:sz w:val="14"/>
          <w:szCs w:val="14"/>
        </w:rPr>
        <w:t>县级部门整体绩效自评打分表</w:t>
      </w:r>
    </w:p>
    <w:p w14:paraId="6B69A6F6">
      <w:pPr>
        <w:spacing w:line="47" w:lineRule="exact"/>
      </w:pPr>
    </w:p>
    <w:tbl>
      <w:tblPr>
        <w:tblStyle w:val="19"/>
        <w:tblW w:w="15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535"/>
        <w:gridCol w:w="1595"/>
        <w:gridCol w:w="559"/>
        <w:gridCol w:w="2632"/>
        <w:gridCol w:w="6109"/>
        <w:gridCol w:w="510"/>
        <w:gridCol w:w="420"/>
        <w:gridCol w:w="240"/>
        <w:gridCol w:w="675"/>
        <w:gridCol w:w="795"/>
        <w:gridCol w:w="930"/>
      </w:tblGrid>
      <w:tr w14:paraId="6B95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2669" w:type="dxa"/>
            <w:gridSpan w:val="3"/>
            <w:vAlign w:val="top"/>
          </w:tcPr>
          <w:p w14:paraId="68F3D2F5">
            <w:pPr>
              <w:pStyle w:val="20"/>
              <w:spacing w:before="65" w:line="230" w:lineRule="auto"/>
              <w:ind w:left="1121"/>
            </w:pPr>
            <w:r>
              <w:rPr>
                <w:b/>
                <w:bCs/>
                <w:spacing w:val="3"/>
              </w:rPr>
              <w:t>绩效指标</w:t>
            </w:r>
          </w:p>
        </w:tc>
        <w:tc>
          <w:tcPr>
            <w:tcW w:w="559" w:type="dxa"/>
            <w:vMerge w:val="restart"/>
            <w:tcBorders>
              <w:bottom w:val="nil"/>
            </w:tcBorders>
            <w:vAlign w:val="top"/>
          </w:tcPr>
          <w:p w14:paraId="7EE8F419">
            <w:pPr>
              <w:pStyle w:val="20"/>
              <w:spacing w:before="173" w:line="230" w:lineRule="auto"/>
              <w:ind w:left="64"/>
            </w:pPr>
            <w:r>
              <w:rPr>
                <w:b/>
                <w:bCs/>
                <w:spacing w:val="3"/>
              </w:rPr>
              <w:t>指标分值</w:t>
            </w:r>
          </w:p>
        </w:tc>
        <w:tc>
          <w:tcPr>
            <w:tcW w:w="2632" w:type="dxa"/>
            <w:vMerge w:val="restart"/>
            <w:tcBorders>
              <w:bottom w:val="nil"/>
            </w:tcBorders>
            <w:vAlign w:val="top"/>
          </w:tcPr>
          <w:p w14:paraId="4421EC47">
            <w:pPr>
              <w:pStyle w:val="20"/>
              <w:spacing w:before="173" w:line="230" w:lineRule="auto"/>
              <w:ind w:left="1102"/>
            </w:pPr>
            <w:r>
              <w:rPr>
                <w:b/>
                <w:bCs/>
                <w:spacing w:val="3"/>
              </w:rPr>
              <w:t>指标解释</w:t>
            </w:r>
          </w:p>
        </w:tc>
        <w:tc>
          <w:tcPr>
            <w:tcW w:w="6109" w:type="dxa"/>
            <w:vMerge w:val="restart"/>
            <w:tcBorders>
              <w:bottom w:val="nil"/>
            </w:tcBorders>
            <w:vAlign w:val="top"/>
          </w:tcPr>
          <w:p w14:paraId="20708BBE">
            <w:pPr>
              <w:pStyle w:val="20"/>
              <w:spacing w:before="173" w:line="230" w:lineRule="auto"/>
              <w:ind w:left="1406"/>
            </w:pPr>
            <w:r>
              <w:rPr>
                <w:b/>
                <w:bCs/>
                <w:spacing w:val="4"/>
              </w:rPr>
              <w:t>计分标准</w:t>
            </w:r>
          </w:p>
        </w:tc>
        <w:tc>
          <w:tcPr>
            <w:tcW w:w="930" w:type="dxa"/>
            <w:gridSpan w:val="2"/>
            <w:vAlign w:val="top"/>
          </w:tcPr>
          <w:p w14:paraId="40E9FC76">
            <w:pPr>
              <w:pStyle w:val="20"/>
              <w:spacing w:before="65" w:line="228" w:lineRule="auto"/>
              <w:ind w:left="303"/>
            </w:pPr>
            <w:r>
              <w:rPr>
                <w:b/>
                <w:bCs/>
                <w:spacing w:val="4"/>
              </w:rPr>
              <w:t>评价方式</w:t>
            </w:r>
          </w:p>
        </w:tc>
        <w:tc>
          <w:tcPr>
            <w:tcW w:w="915" w:type="dxa"/>
            <w:gridSpan w:val="2"/>
            <w:vAlign w:val="top"/>
          </w:tcPr>
          <w:p w14:paraId="72889590">
            <w:pPr>
              <w:pStyle w:val="20"/>
              <w:spacing w:before="65" w:line="228" w:lineRule="auto"/>
              <w:ind w:left="382"/>
            </w:pPr>
            <w:r>
              <w:rPr>
                <w:b/>
                <w:bCs/>
                <w:spacing w:val="4"/>
              </w:rPr>
              <w:t>评价属性</w:t>
            </w:r>
          </w:p>
        </w:tc>
        <w:tc>
          <w:tcPr>
            <w:tcW w:w="795" w:type="dxa"/>
            <w:vMerge w:val="restart"/>
            <w:tcBorders>
              <w:bottom w:val="nil"/>
            </w:tcBorders>
            <w:shd w:val="clear" w:color="auto" w:fill="FDE9D9"/>
            <w:vAlign w:val="top"/>
          </w:tcPr>
          <w:p w14:paraId="7C969F82">
            <w:pPr>
              <w:pStyle w:val="20"/>
              <w:spacing w:before="173" w:line="230" w:lineRule="auto"/>
              <w:ind w:left="91"/>
            </w:pPr>
            <w:r>
              <w:rPr>
                <w:b/>
                <w:bCs/>
                <w:spacing w:val="-1"/>
              </w:rPr>
              <w:t>自评打分</w:t>
            </w:r>
          </w:p>
        </w:tc>
        <w:tc>
          <w:tcPr>
            <w:tcW w:w="930" w:type="dxa"/>
            <w:vMerge w:val="restart"/>
            <w:tcBorders>
              <w:bottom w:val="nil"/>
            </w:tcBorders>
            <w:vAlign w:val="top"/>
          </w:tcPr>
          <w:p w14:paraId="22A74CE4">
            <w:pPr>
              <w:pStyle w:val="20"/>
              <w:spacing w:before="173" w:line="231" w:lineRule="auto"/>
              <w:ind w:left="521"/>
            </w:pPr>
            <w:r>
              <w:rPr>
                <w:b/>
                <w:bCs/>
                <w:spacing w:val="2"/>
              </w:rPr>
              <w:t>备注</w:t>
            </w:r>
          </w:p>
        </w:tc>
      </w:tr>
      <w:tr w14:paraId="14E3B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539" w:type="dxa"/>
            <w:vAlign w:val="top"/>
          </w:tcPr>
          <w:p w14:paraId="37BA0EB7">
            <w:pPr>
              <w:pStyle w:val="20"/>
              <w:spacing w:before="57" w:line="230" w:lineRule="auto"/>
              <w:ind w:left="56"/>
            </w:pPr>
            <w:r>
              <w:rPr>
                <w:b/>
                <w:bCs/>
                <w:spacing w:val="3"/>
              </w:rPr>
              <w:t>一级指标</w:t>
            </w:r>
          </w:p>
        </w:tc>
        <w:tc>
          <w:tcPr>
            <w:tcW w:w="535" w:type="dxa"/>
            <w:vAlign w:val="top"/>
          </w:tcPr>
          <w:p w14:paraId="452712B9">
            <w:pPr>
              <w:pStyle w:val="20"/>
              <w:spacing w:before="57" w:line="230" w:lineRule="auto"/>
              <w:ind w:left="52"/>
            </w:pPr>
            <w:r>
              <w:rPr>
                <w:b/>
                <w:bCs/>
                <w:spacing w:val="3"/>
              </w:rPr>
              <w:t>二级指标</w:t>
            </w:r>
          </w:p>
        </w:tc>
        <w:tc>
          <w:tcPr>
            <w:tcW w:w="1595" w:type="dxa"/>
            <w:vAlign w:val="top"/>
          </w:tcPr>
          <w:p w14:paraId="73BE3F40">
            <w:pPr>
              <w:pStyle w:val="20"/>
              <w:spacing w:before="57" w:line="230" w:lineRule="auto"/>
              <w:ind w:left="580"/>
            </w:pPr>
            <w:r>
              <w:rPr>
                <w:b/>
                <w:bCs/>
                <w:spacing w:val="4"/>
              </w:rPr>
              <w:t>三级指标</w:t>
            </w:r>
          </w:p>
        </w:tc>
        <w:tc>
          <w:tcPr>
            <w:tcW w:w="559" w:type="dxa"/>
            <w:vMerge w:val="continue"/>
            <w:tcBorders>
              <w:top w:val="nil"/>
            </w:tcBorders>
            <w:vAlign w:val="top"/>
          </w:tcPr>
          <w:p w14:paraId="49B55307">
            <w:pPr>
              <w:rPr>
                <w:rFonts w:ascii="Arial"/>
                <w:sz w:val="21"/>
              </w:rPr>
            </w:pPr>
          </w:p>
        </w:tc>
        <w:tc>
          <w:tcPr>
            <w:tcW w:w="2632" w:type="dxa"/>
            <w:vMerge w:val="continue"/>
            <w:tcBorders>
              <w:top w:val="nil"/>
            </w:tcBorders>
            <w:vAlign w:val="top"/>
          </w:tcPr>
          <w:p w14:paraId="41183CFF">
            <w:pPr>
              <w:rPr>
                <w:rFonts w:ascii="Arial"/>
                <w:sz w:val="21"/>
              </w:rPr>
            </w:pPr>
          </w:p>
        </w:tc>
        <w:tc>
          <w:tcPr>
            <w:tcW w:w="6109" w:type="dxa"/>
            <w:vMerge w:val="continue"/>
            <w:tcBorders>
              <w:top w:val="nil"/>
            </w:tcBorders>
            <w:vAlign w:val="top"/>
          </w:tcPr>
          <w:p w14:paraId="6228DDD2">
            <w:pPr>
              <w:rPr>
                <w:rFonts w:ascii="Arial"/>
                <w:sz w:val="21"/>
              </w:rPr>
            </w:pPr>
          </w:p>
        </w:tc>
        <w:tc>
          <w:tcPr>
            <w:tcW w:w="510" w:type="dxa"/>
            <w:vAlign w:val="top"/>
          </w:tcPr>
          <w:p w14:paraId="768A7583">
            <w:pPr>
              <w:pStyle w:val="20"/>
              <w:spacing w:before="57" w:line="228" w:lineRule="auto"/>
              <w:ind w:left="45"/>
            </w:pPr>
            <w:r>
              <w:rPr>
                <w:b/>
                <w:bCs/>
                <w:spacing w:val="4"/>
              </w:rPr>
              <w:t>整体评价</w:t>
            </w:r>
          </w:p>
        </w:tc>
        <w:tc>
          <w:tcPr>
            <w:tcW w:w="420" w:type="dxa"/>
            <w:vAlign w:val="top"/>
          </w:tcPr>
          <w:p w14:paraId="7E299308">
            <w:pPr>
              <w:pStyle w:val="20"/>
              <w:spacing w:before="57" w:line="228" w:lineRule="auto"/>
              <w:ind w:left="43"/>
            </w:pPr>
            <w:r>
              <w:rPr>
                <w:b/>
                <w:bCs/>
                <w:spacing w:val="4"/>
              </w:rPr>
              <w:t>样本评价</w:t>
            </w:r>
          </w:p>
        </w:tc>
        <w:tc>
          <w:tcPr>
            <w:tcW w:w="240" w:type="dxa"/>
            <w:vAlign w:val="top"/>
          </w:tcPr>
          <w:p w14:paraId="29915A38">
            <w:pPr>
              <w:pStyle w:val="20"/>
              <w:spacing w:before="57" w:line="228" w:lineRule="auto"/>
              <w:ind w:left="99"/>
            </w:pPr>
            <w:r>
              <w:rPr>
                <w:b/>
                <w:bCs/>
                <w:spacing w:val="3"/>
              </w:rPr>
              <w:t>定性评价</w:t>
            </w:r>
          </w:p>
        </w:tc>
        <w:tc>
          <w:tcPr>
            <w:tcW w:w="675" w:type="dxa"/>
            <w:vAlign w:val="top"/>
          </w:tcPr>
          <w:p w14:paraId="05113D40">
            <w:pPr>
              <w:pStyle w:val="20"/>
              <w:spacing w:before="57" w:line="228" w:lineRule="auto"/>
              <w:ind w:left="76"/>
            </w:pPr>
            <w:r>
              <w:rPr>
                <w:b/>
                <w:bCs/>
                <w:spacing w:val="3"/>
              </w:rPr>
              <w:t>定量评价</w:t>
            </w:r>
          </w:p>
        </w:tc>
        <w:tc>
          <w:tcPr>
            <w:tcW w:w="795" w:type="dxa"/>
            <w:vMerge w:val="continue"/>
            <w:tcBorders>
              <w:top w:val="nil"/>
            </w:tcBorders>
            <w:vAlign w:val="top"/>
          </w:tcPr>
          <w:p w14:paraId="5E2632ED">
            <w:pPr>
              <w:rPr>
                <w:rFonts w:ascii="Arial"/>
                <w:sz w:val="21"/>
              </w:rPr>
            </w:pPr>
          </w:p>
        </w:tc>
        <w:tc>
          <w:tcPr>
            <w:tcW w:w="930" w:type="dxa"/>
            <w:vMerge w:val="continue"/>
            <w:tcBorders>
              <w:top w:val="nil"/>
            </w:tcBorders>
            <w:vAlign w:val="top"/>
          </w:tcPr>
          <w:p w14:paraId="0C380734">
            <w:pPr>
              <w:rPr>
                <w:rFonts w:ascii="Arial"/>
                <w:sz w:val="21"/>
              </w:rPr>
            </w:pPr>
          </w:p>
        </w:tc>
      </w:tr>
      <w:tr w14:paraId="2F72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39" w:type="dxa"/>
            <w:vMerge w:val="restart"/>
            <w:tcBorders>
              <w:bottom w:val="nil"/>
            </w:tcBorders>
            <w:vAlign w:val="top"/>
          </w:tcPr>
          <w:p w14:paraId="0C4E2575">
            <w:pPr>
              <w:spacing w:line="259" w:lineRule="auto"/>
              <w:rPr>
                <w:rFonts w:ascii="Arial"/>
                <w:sz w:val="21"/>
              </w:rPr>
            </w:pPr>
          </w:p>
          <w:p w14:paraId="4E6CCEE2">
            <w:pPr>
              <w:spacing w:line="259" w:lineRule="auto"/>
              <w:rPr>
                <w:rFonts w:ascii="Arial"/>
                <w:sz w:val="21"/>
              </w:rPr>
            </w:pPr>
          </w:p>
          <w:p w14:paraId="75143356">
            <w:pPr>
              <w:spacing w:line="259" w:lineRule="auto"/>
              <w:rPr>
                <w:rFonts w:ascii="Arial"/>
                <w:sz w:val="21"/>
              </w:rPr>
            </w:pPr>
          </w:p>
          <w:p w14:paraId="08FA8DB4">
            <w:pPr>
              <w:spacing w:line="259" w:lineRule="auto"/>
              <w:rPr>
                <w:rFonts w:ascii="Arial"/>
                <w:sz w:val="21"/>
              </w:rPr>
            </w:pPr>
          </w:p>
          <w:p w14:paraId="356E5591">
            <w:pPr>
              <w:spacing w:line="259" w:lineRule="auto"/>
              <w:rPr>
                <w:rFonts w:ascii="Arial"/>
                <w:sz w:val="21"/>
              </w:rPr>
            </w:pPr>
          </w:p>
          <w:p w14:paraId="6E712D17">
            <w:pPr>
              <w:spacing w:line="259" w:lineRule="auto"/>
              <w:rPr>
                <w:rFonts w:ascii="Arial"/>
                <w:sz w:val="21"/>
              </w:rPr>
            </w:pPr>
          </w:p>
          <w:p w14:paraId="46CFD140">
            <w:pPr>
              <w:spacing w:line="259" w:lineRule="auto"/>
              <w:rPr>
                <w:rFonts w:ascii="Arial"/>
                <w:sz w:val="21"/>
              </w:rPr>
            </w:pPr>
          </w:p>
          <w:p w14:paraId="2DCBBB57">
            <w:pPr>
              <w:spacing w:line="259" w:lineRule="auto"/>
              <w:rPr>
                <w:rFonts w:ascii="Arial"/>
                <w:sz w:val="21"/>
              </w:rPr>
            </w:pPr>
          </w:p>
          <w:p w14:paraId="00E81322">
            <w:pPr>
              <w:spacing w:line="260" w:lineRule="auto"/>
              <w:rPr>
                <w:rFonts w:ascii="Arial"/>
                <w:sz w:val="21"/>
              </w:rPr>
            </w:pPr>
          </w:p>
          <w:p w14:paraId="29C652A5">
            <w:pPr>
              <w:spacing w:line="260" w:lineRule="auto"/>
              <w:rPr>
                <w:rFonts w:ascii="Arial"/>
                <w:sz w:val="21"/>
              </w:rPr>
            </w:pPr>
          </w:p>
          <w:p w14:paraId="4B62D97F">
            <w:pPr>
              <w:spacing w:line="260" w:lineRule="auto"/>
              <w:rPr>
                <w:rFonts w:ascii="Arial"/>
                <w:sz w:val="21"/>
              </w:rPr>
            </w:pPr>
          </w:p>
          <w:p w14:paraId="5D7C419C">
            <w:pPr>
              <w:pStyle w:val="20"/>
              <w:spacing w:before="33" w:line="230" w:lineRule="auto"/>
              <w:ind w:left="57"/>
            </w:pPr>
            <w:r>
              <w:rPr>
                <w:spacing w:val="4"/>
              </w:rPr>
              <w:t>部门预算</w:t>
            </w:r>
          </w:p>
          <w:p w14:paraId="4A182FF3">
            <w:pPr>
              <w:pStyle w:val="20"/>
              <w:spacing w:before="7" w:line="230" w:lineRule="auto"/>
              <w:ind w:left="58"/>
            </w:pPr>
            <w:r>
              <w:rPr>
                <w:spacing w:val="4"/>
              </w:rPr>
              <w:t>项目绩效</w:t>
            </w:r>
          </w:p>
          <w:p w14:paraId="33A40DBA">
            <w:pPr>
              <w:pStyle w:val="20"/>
              <w:spacing w:before="7" w:line="237" w:lineRule="auto"/>
              <w:ind w:left="165" w:right="51" w:hanging="106"/>
            </w:pPr>
            <w:r>
              <w:rPr>
                <w:spacing w:val="4"/>
              </w:rPr>
              <w:t>管理（70</w:t>
            </w:r>
            <w:r>
              <w:rPr>
                <w:spacing w:val="1"/>
              </w:rPr>
              <w:t xml:space="preserve"> </w:t>
            </w:r>
            <w:r>
              <w:t>分）</w:t>
            </w:r>
          </w:p>
        </w:tc>
        <w:tc>
          <w:tcPr>
            <w:tcW w:w="535" w:type="dxa"/>
            <w:vMerge w:val="restart"/>
            <w:tcBorders>
              <w:bottom w:val="nil"/>
            </w:tcBorders>
            <w:vAlign w:val="top"/>
          </w:tcPr>
          <w:p w14:paraId="727458D4">
            <w:pPr>
              <w:spacing w:line="284" w:lineRule="auto"/>
              <w:rPr>
                <w:rFonts w:ascii="Arial"/>
                <w:sz w:val="21"/>
              </w:rPr>
            </w:pPr>
          </w:p>
          <w:p w14:paraId="293E124F">
            <w:pPr>
              <w:spacing w:line="284" w:lineRule="auto"/>
              <w:rPr>
                <w:rFonts w:ascii="Arial"/>
                <w:sz w:val="21"/>
              </w:rPr>
            </w:pPr>
          </w:p>
          <w:p w14:paraId="624A69A2">
            <w:pPr>
              <w:spacing w:line="284" w:lineRule="auto"/>
              <w:rPr>
                <w:rFonts w:ascii="Arial"/>
                <w:sz w:val="21"/>
              </w:rPr>
            </w:pPr>
          </w:p>
          <w:p w14:paraId="1F1C8ABA">
            <w:pPr>
              <w:spacing w:line="284" w:lineRule="auto"/>
              <w:rPr>
                <w:rFonts w:ascii="Arial"/>
                <w:sz w:val="21"/>
              </w:rPr>
            </w:pPr>
          </w:p>
          <w:p w14:paraId="2CDC94C4">
            <w:pPr>
              <w:spacing w:line="285" w:lineRule="auto"/>
              <w:rPr>
                <w:rFonts w:ascii="Arial"/>
                <w:sz w:val="21"/>
              </w:rPr>
            </w:pPr>
          </w:p>
          <w:p w14:paraId="00E6DB99">
            <w:pPr>
              <w:pStyle w:val="20"/>
              <w:spacing w:before="33" w:line="237" w:lineRule="auto"/>
              <w:ind w:left="58" w:right="58" w:firstLine="14"/>
            </w:pPr>
            <w:r>
              <w:rPr>
                <w:spacing w:val="-1"/>
              </w:rPr>
              <w:t>目标管理</w:t>
            </w:r>
            <w:r>
              <w:rPr>
                <w:spacing w:val="1"/>
              </w:rPr>
              <w:t xml:space="preserve"> </w:t>
            </w:r>
            <w:r>
              <w:rPr>
                <w:spacing w:val="2"/>
              </w:rPr>
              <w:t>（40分）</w:t>
            </w:r>
          </w:p>
        </w:tc>
        <w:tc>
          <w:tcPr>
            <w:tcW w:w="1595" w:type="dxa"/>
            <w:vMerge w:val="restart"/>
            <w:tcBorders>
              <w:bottom w:val="nil"/>
            </w:tcBorders>
            <w:vAlign w:val="top"/>
          </w:tcPr>
          <w:p w14:paraId="52227894">
            <w:pPr>
              <w:spacing w:line="266" w:lineRule="auto"/>
              <w:rPr>
                <w:rFonts w:ascii="Arial"/>
                <w:sz w:val="21"/>
              </w:rPr>
            </w:pPr>
          </w:p>
          <w:p w14:paraId="2350E6F5">
            <w:pPr>
              <w:spacing w:line="267" w:lineRule="auto"/>
              <w:rPr>
                <w:rFonts w:ascii="Arial"/>
                <w:sz w:val="21"/>
              </w:rPr>
            </w:pPr>
          </w:p>
          <w:p w14:paraId="1914DD4E">
            <w:pPr>
              <w:pStyle w:val="20"/>
              <w:spacing w:before="33" w:line="230" w:lineRule="auto"/>
              <w:ind w:left="603"/>
            </w:pPr>
            <w:r>
              <w:rPr>
                <w:spacing w:val="-1"/>
              </w:rPr>
              <w:t>目标制定</w:t>
            </w:r>
          </w:p>
        </w:tc>
        <w:tc>
          <w:tcPr>
            <w:tcW w:w="559" w:type="dxa"/>
            <w:vAlign w:val="center"/>
          </w:tcPr>
          <w:p w14:paraId="129DB109">
            <w:pPr>
              <w:spacing w:line="250" w:lineRule="auto"/>
              <w:jc w:val="center"/>
              <w:rPr>
                <w:rFonts w:ascii="Arial"/>
                <w:sz w:val="21"/>
              </w:rPr>
            </w:pPr>
          </w:p>
          <w:p w14:paraId="102062F9">
            <w:pPr>
              <w:pStyle w:val="20"/>
              <w:spacing w:before="32" w:line="191" w:lineRule="auto"/>
              <w:ind w:left="237"/>
              <w:jc w:val="center"/>
            </w:pPr>
            <w:r>
              <w:rPr>
                <w:spacing w:val="-4"/>
              </w:rPr>
              <w:t>10</w:t>
            </w:r>
          </w:p>
        </w:tc>
        <w:tc>
          <w:tcPr>
            <w:tcW w:w="2632" w:type="dxa"/>
            <w:vAlign w:val="top"/>
          </w:tcPr>
          <w:p w14:paraId="27CB0FCC">
            <w:pPr>
              <w:pStyle w:val="20"/>
              <w:spacing w:before="267" w:line="230" w:lineRule="auto"/>
              <w:ind w:left="19"/>
            </w:pPr>
            <w:r>
              <w:rPr>
                <w:spacing w:val="4"/>
              </w:rPr>
              <w:t>是否开展部门内部绩效目标审核工作</w:t>
            </w:r>
            <w:r>
              <w:rPr>
                <w:spacing w:val="3"/>
              </w:rPr>
              <w:t xml:space="preserve"> </w:t>
            </w:r>
            <w:r>
              <w:rPr>
                <w:spacing w:val="4"/>
              </w:rPr>
              <w:t>。</w:t>
            </w:r>
          </w:p>
        </w:tc>
        <w:tc>
          <w:tcPr>
            <w:tcW w:w="6109" w:type="dxa"/>
            <w:vAlign w:val="top"/>
          </w:tcPr>
          <w:p w14:paraId="2FC59465">
            <w:pPr>
              <w:pStyle w:val="20"/>
              <w:spacing w:before="202" w:line="237" w:lineRule="auto"/>
              <w:ind w:left="20" w:right="91"/>
            </w:pPr>
            <w:r>
              <w:rPr>
                <w:spacing w:val="4"/>
              </w:rPr>
              <w:t>部门组织对本部门</w:t>
            </w:r>
            <w:r>
              <w:rPr>
                <w:spacing w:val="-14"/>
              </w:rPr>
              <w:t xml:space="preserve"> </w:t>
            </w:r>
            <w:r>
              <w:rPr>
                <w:spacing w:val="4"/>
              </w:rPr>
              <w:t>（含下属单位</w:t>
            </w:r>
            <w:r>
              <w:rPr>
                <w:spacing w:val="-22"/>
              </w:rPr>
              <w:t xml:space="preserve"> </w:t>
            </w:r>
            <w:r>
              <w:rPr>
                <w:spacing w:val="4"/>
              </w:rPr>
              <w:t>）绩效目标开展内部审核的</w:t>
            </w:r>
            <w:r>
              <w:rPr>
                <w:spacing w:val="-11"/>
              </w:rPr>
              <w:t xml:space="preserve"> </w:t>
            </w:r>
            <w:r>
              <w:rPr>
                <w:spacing w:val="4"/>
              </w:rPr>
              <w:t>，得10</w:t>
            </w:r>
            <w:r>
              <w:t xml:space="preserve"> </w:t>
            </w:r>
            <w:r>
              <w:rPr>
                <w:spacing w:val="4"/>
              </w:rPr>
              <w:t>分，否则不得分。</w:t>
            </w:r>
          </w:p>
        </w:tc>
        <w:tc>
          <w:tcPr>
            <w:tcW w:w="510" w:type="dxa"/>
            <w:vAlign w:val="top"/>
          </w:tcPr>
          <w:p w14:paraId="3D08CC4C">
            <w:pPr>
              <w:pStyle w:val="20"/>
              <w:spacing w:before="267" w:line="135" w:lineRule="exact"/>
              <w:ind w:left="236"/>
            </w:pPr>
            <w:r>
              <w:t>√</w:t>
            </w:r>
          </w:p>
        </w:tc>
        <w:tc>
          <w:tcPr>
            <w:tcW w:w="420" w:type="dxa"/>
            <w:vAlign w:val="top"/>
          </w:tcPr>
          <w:p w14:paraId="6DDB0C1F">
            <w:pPr>
              <w:pStyle w:val="20"/>
              <w:spacing w:before="267" w:line="135" w:lineRule="exact"/>
              <w:ind w:left="235"/>
            </w:pPr>
            <w:r>
              <w:t>√</w:t>
            </w:r>
          </w:p>
        </w:tc>
        <w:tc>
          <w:tcPr>
            <w:tcW w:w="240" w:type="dxa"/>
            <w:vAlign w:val="top"/>
          </w:tcPr>
          <w:p w14:paraId="3657AF70">
            <w:pPr>
              <w:rPr>
                <w:rFonts w:ascii="Arial"/>
                <w:sz w:val="21"/>
              </w:rPr>
            </w:pPr>
          </w:p>
        </w:tc>
        <w:tc>
          <w:tcPr>
            <w:tcW w:w="675" w:type="dxa"/>
            <w:vAlign w:val="top"/>
          </w:tcPr>
          <w:p w14:paraId="7B9F53D7">
            <w:pPr>
              <w:pStyle w:val="20"/>
              <w:spacing w:before="267" w:line="135" w:lineRule="exact"/>
              <w:ind w:left="263"/>
            </w:pPr>
            <w:r>
              <w:t>√</w:t>
            </w:r>
          </w:p>
        </w:tc>
        <w:tc>
          <w:tcPr>
            <w:tcW w:w="795" w:type="dxa"/>
            <w:shd w:val="clear" w:color="auto" w:fill="FDE9D9"/>
            <w:vAlign w:val="top"/>
          </w:tcPr>
          <w:p w14:paraId="38EDD974">
            <w:pPr>
              <w:spacing w:line="250" w:lineRule="auto"/>
              <w:rPr>
                <w:rFonts w:ascii="Arial"/>
                <w:sz w:val="21"/>
              </w:rPr>
            </w:pPr>
          </w:p>
          <w:p w14:paraId="7B69DCFF">
            <w:pPr>
              <w:pStyle w:val="20"/>
              <w:spacing w:before="32" w:line="191" w:lineRule="auto"/>
              <w:ind w:left="244"/>
            </w:pPr>
            <w:r>
              <w:rPr>
                <w:spacing w:val="-4"/>
              </w:rPr>
              <w:t>10</w:t>
            </w:r>
          </w:p>
        </w:tc>
        <w:tc>
          <w:tcPr>
            <w:tcW w:w="930" w:type="dxa"/>
            <w:vAlign w:val="top"/>
          </w:tcPr>
          <w:p w14:paraId="0DEE1C50">
            <w:pPr>
              <w:rPr>
                <w:rFonts w:ascii="Arial"/>
                <w:sz w:val="21"/>
              </w:rPr>
            </w:pPr>
          </w:p>
        </w:tc>
      </w:tr>
      <w:tr w14:paraId="6FAC4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539" w:type="dxa"/>
            <w:vMerge w:val="continue"/>
            <w:tcBorders>
              <w:top w:val="nil"/>
              <w:bottom w:val="nil"/>
            </w:tcBorders>
            <w:vAlign w:val="top"/>
          </w:tcPr>
          <w:p w14:paraId="0BAAB46A">
            <w:pPr>
              <w:rPr>
                <w:rFonts w:ascii="Arial"/>
                <w:sz w:val="21"/>
              </w:rPr>
            </w:pPr>
          </w:p>
        </w:tc>
        <w:tc>
          <w:tcPr>
            <w:tcW w:w="535" w:type="dxa"/>
            <w:vMerge w:val="continue"/>
            <w:tcBorders>
              <w:top w:val="nil"/>
              <w:bottom w:val="nil"/>
            </w:tcBorders>
            <w:vAlign w:val="top"/>
          </w:tcPr>
          <w:p w14:paraId="3AB18E4D">
            <w:pPr>
              <w:rPr>
                <w:rFonts w:ascii="Arial"/>
                <w:sz w:val="21"/>
              </w:rPr>
            </w:pPr>
          </w:p>
        </w:tc>
        <w:tc>
          <w:tcPr>
            <w:tcW w:w="1595" w:type="dxa"/>
            <w:vMerge w:val="continue"/>
            <w:tcBorders>
              <w:top w:val="nil"/>
            </w:tcBorders>
            <w:vAlign w:val="top"/>
          </w:tcPr>
          <w:p w14:paraId="778EBDF3">
            <w:pPr>
              <w:rPr>
                <w:rFonts w:ascii="Arial"/>
                <w:sz w:val="21"/>
              </w:rPr>
            </w:pPr>
          </w:p>
        </w:tc>
        <w:tc>
          <w:tcPr>
            <w:tcW w:w="559" w:type="dxa"/>
            <w:vAlign w:val="center"/>
          </w:tcPr>
          <w:p w14:paraId="13E4C47D">
            <w:pPr>
              <w:pStyle w:val="20"/>
              <w:spacing w:before="32" w:line="191" w:lineRule="auto"/>
              <w:jc w:val="both"/>
            </w:pPr>
            <w:r>
              <w:rPr>
                <w:spacing w:val="-4"/>
              </w:rPr>
              <w:t>10</w:t>
            </w:r>
          </w:p>
        </w:tc>
        <w:tc>
          <w:tcPr>
            <w:tcW w:w="2632" w:type="dxa"/>
            <w:vAlign w:val="center"/>
          </w:tcPr>
          <w:p w14:paraId="76E95A2D">
            <w:pPr>
              <w:pStyle w:val="20"/>
              <w:spacing w:before="32" w:line="234" w:lineRule="auto"/>
              <w:ind w:right="47"/>
              <w:jc w:val="both"/>
            </w:pPr>
            <w:r>
              <w:rPr>
                <w:spacing w:val="5"/>
              </w:rPr>
              <w:t>根据年度绩效目标实现情况</w:t>
            </w:r>
            <w:r>
              <w:rPr>
                <w:spacing w:val="-8"/>
              </w:rPr>
              <w:t xml:space="preserve"> </w:t>
            </w:r>
            <w:r>
              <w:rPr>
                <w:spacing w:val="5"/>
              </w:rPr>
              <w:t>，评价部门绩效目标是</w:t>
            </w:r>
            <w:r>
              <w:rPr>
                <w:spacing w:val="4"/>
              </w:rPr>
              <w:t>否科</w:t>
            </w:r>
            <w:r>
              <w:t xml:space="preserve"> </w:t>
            </w:r>
            <w:r>
              <w:rPr>
                <w:spacing w:val="5"/>
              </w:rPr>
              <w:t>学合理、规范完整</w:t>
            </w:r>
            <w:r>
              <w:rPr>
                <w:spacing w:val="-28"/>
              </w:rPr>
              <w:t xml:space="preserve"> </w:t>
            </w:r>
            <w:r>
              <w:rPr>
                <w:spacing w:val="5"/>
              </w:rPr>
              <w:t>、细化量化并与预算安排相匹配</w:t>
            </w:r>
            <w:r>
              <w:rPr>
                <w:spacing w:val="-18"/>
              </w:rPr>
              <w:t xml:space="preserve"> </w:t>
            </w:r>
          </w:p>
        </w:tc>
        <w:tc>
          <w:tcPr>
            <w:tcW w:w="6109" w:type="dxa"/>
            <w:vAlign w:val="top"/>
          </w:tcPr>
          <w:p w14:paraId="3F71614B">
            <w:pPr>
              <w:pStyle w:val="20"/>
              <w:spacing w:before="189" w:line="239" w:lineRule="auto"/>
              <w:ind w:left="20" w:right="704" w:firstLine="6"/>
              <w:jc w:val="both"/>
            </w:pPr>
            <w:r>
              <w:rPr>
                <w:spacing w:val="4"/>
              </w:rPr>
              <w:t>1.绩效目标编制科学合理的</w:t>
            </w:r>
            <w:r>
              <w:rPr>
                <w:spacing w:val="3"/>
              </w:rPr>
              <w:t xml:space="preserve"> </w:t>
            </w:r>
            <w:r>
              <w:rPr>
                <w:spacing w:val="4"/>
              </w:rPr>
              <w:t>，得2分，否则酌情扣分。</w:t>
            </w:r>
            <w:r>
              <w:t xml:space="preserve"> </w:t>
            </w:r>
            <w:r>
              <w:rPr>
                <w:spacing w:val="5"/>
              </w:rPr>
              <w:t>2.绩效目标编制规范完整的</w:t>
            </w:r>
            <w:r>
              <w:rPr>
                <w:spacing w:val="-11"/>
              </w:rPr>
              <w:t xml:space="preserve"> </w:t>
            </w:r>
            <w:r>
              <w:rPr>
                <w:spacing w:val="5"/>
              </w:rPr>
              <w:t>，得2分，否则</w:t>
            </w:r>
            <w:r>
              <w:rPr>
                <w:spacing w:val="4"/>
              </w:rPr>
              <w:t>酌情扣分。</w:t>
            </w:r>
            <w:r>
              <w:t xml:space="preserve"> </w:t>
            </w:r>
            <w:r>
              <w:rPr>
                <w:spacing w:val="5"/>
              </w:rPr>
              <w:t>3.绩效指标编制细化量化的</w:t>
            </w:r>
            <w:r>
              <w:rPr>
                <w:spacing w:val="-11"/>
              </w:rPr>
              <w:t xml:space="preserve"> </w:t>
            </w:r>
            <w:r>
              <w:rPr>
                <w:spacing w:val="5"/>
              </w:rPr>
              <w:t>，得2分，否则</w:t>
            </w:r>
            <w:r>
              <w:rPr>
                <w:spacing w:val="4"/>
              </w:rPr>
              <w:t>酌情扣分。</w:t>
            </w:r>
          </w:p>
          <w:p w14:paraId="76AFAB1D">
            <w:pPr>
              <w:pStyle w:val="20"/>
              <w:spacing w:before="5" w:line="230" w:lineRule="auto"/>
              <w:ind w:left="18"/>
            </w:pPr>
            <w:r>
              <w:rPr>
                <w:spacing w:val="5"/>
              </w:rPr>
              <w:t>4.绩效指标编制与预算安排相匹配的 ，得2分，</w:t>
            </w:r>
            <w:r>
              <w:rPr>
                <w:spacing w:val="4"/>
              </w:rPr>
              <w:t>否则酌情扣分。</w:t>
            </w:r>
          </w:p>
          <w:p w14:paraId="098EA95C">
            <w:pPr>
              <w:pStyle w:val="20"/>
              <w:spacing w:before="6" w:line="237" w:lineRule="auto"/>
              <w:ind w:left="28" w:right="100" w:hanging="7"/>
            </w:pPr>
            <w:r>
              <w:rPr>
                <w:spacing w:val="6"/>
              </w:rPr>
              <w:t>5.评价部门绩效目标纳入部门党组</w:t>
            </w:r>
            <w:r>
              <w:rPr>
                <w:spacing w:val="-14"/>
              </w:rPr>
              <w:t xml:space="preserve"> </w:t>
            </w:r>
            <w:r>
              <w:rPr>
                <w:spacing w:val="6"/>
              </w:rPr>
              <w:t>（委）会（办公会）集</w:t>
            </w:r>
            <w:r>
              <w:rPr>
                <w:spacing w:val="5"/>
              </w:rPr>
              <w:t>体决策范</w:t>
            </w:r>
            <w:r>
              <w:t xml:space="preserve"> </w:t>
            </w:r>
            <w:r>
              <w:rPr>
                <w:spacing w:val="4"/>
              </w:rPr>
              <w:t>围的得2分，否则不得分。</w:t>
            </w:r>
          </w:p>
        </w:tc>
        <w:tc>
          <w:tcPr>
            <w:tcW w:w="510" w:type="dxa"/>
            <w:vAlign w:val="top"/>
          </w:tcPr>
          <w:p w14:paraId="440E9F4E">
            <w:pPr>
              <w:spacing w:line="242" w:lineRule="auto"/>
              <w:rPr>
                <w:rFonts w:ascii="Arial"/>
                <w:sz w:val="21"/>
              </w:rPr>
            </w:pPr>
          </w:p>
          <w:p w14:paraId="13D736E6">
            <w:pPr>
              <w:pStyle w:val="20"/>
              <w:spacing w:before="32" w:line="135" w:lineRule="exact"/>
              <w:ind w:left="236"/>
            </w:pPr>
            <w:r>
              <w:t>√</w:t>
            </w:r>
          </w:p>
        </w:tc>
        <w:tc>
          <w:tcPr>
            <w:tcW w:w="420" w:type="dxa"/>
            <w:vAlign w:val="top"/>
          </w:tcPr>
          <w:p w14:paraId="18443763">
            <w:pPr>
              <w:spacing w:line="242" w:lineRule="auto"/>
              <w:rPr>
                <w:rFonts w:ascii="Arial"/>
                <w:sz w:val="21"/>
              </w:rPr>
            </w:pPr>
          </w:p>
          <w:p w14:paraId="348DA4B6">
            <w:pPr>
              <w:pStyle w:val="20"/>
              <w:spacing w:before="32" w:line="135" w:lineRule="exact"/>
              <w:ind w:left="235"/>
            </w:pPr>
            <w:r>
              <w:t>√</w:t>
            </w:r>
          </w:p>
        </w:tc>
        <w:tc>
          <w:tcPr>
            <w:tcW w:w="240" w:type="dxa"/>
            <w:vAlign w:val="top"/>
          </w:tcPr>
          <w:p w14:paraId="28B4FE7E">
            <w:pPr>
              <w:spacing w:line="241" w:lineRule="auto"/>
              <w:rPr>
                <w:rFonts w:ascii="Arial"/>
                <w:sz w:val="21"/>
              </w:rPr>
            </w:pPr>
          </w:p>
          <w:p w14:paraId="74F19B59">
            <w:pPr>
              <w:spacing w:line="242" w:lineRule="auto"/>
              <w:rPr>
                <w:rFonts w:ascii="Arial"/>
                <w:sz w:val="21"/>
              </w:rPr>
            </w:pPr>
          </w:p>
          <w:p w14:paraId="7D03DE7B">
            <w:pPr>
              <w:pStyle w:val="20"/>
              <w:spacing w:before="32" w:line="135" w:lineRule="exact"/>
              <w:ind w:left="288"/>
            </w:pPr>
            <w:r>
              <w:t>√</w:t>
            </w:r>
          </w:p>
        </w:tc>
        <w:tc>
          <w:tcPr>
            <w:tcW w:w="675" w:type="dxa"/>
            <w:vAlign w:val="top"/>
          </w:tcPr>
          <w:p w14:paraId="6A5E7F05">
            <w:pPr>
              <w:spacing w:line="241" w:lineRule="auto"/>
              <w:rPr>
                <w:rFonts w:ascii="Arial"/>
                <w:sz w:val="21"/>
              </w:rPr>
            </w:pPr>
          </w:p>
          <w:p w14:paraId="1472DF5C">
            <w:pPr>
              <w:pStyle w:val="20"/>
              <w:spacing w:before="32" w:line="135" w:lineRule="exact"/>
            </w:pPr>
            <w:r>
              <w:t>√</w:t>
            </w:r>
          </w:p>
        </w:tc>
        <w:tc>
          <w:tcPr>
            <w:tcW w:w="795" w:type="dxa"/>
            <w:shd w:val="clear" w:color="auto" w:fill="FDE9D9"/>
            <w:vAlign w:val="top"/>
          </w:tcPr>
          <w:p w14:paraId="275D30E2">
            <w:pPr>
              <w:spacing w:line="250" w:lineRule="auto"/>
              <w:rPr>
                <w:rFonts w:ascii="Arial"/>
                <w:sz w:val="21"/>
              </w:rPr>
            </w:pPr>
          </w:p>
          <w:p w14:paraId="693A7E5C">
            <w:pPr>
              <w:pStyle w:val="20"/>
              <w:spacing w:before="32" w:line="191" w:lineRule="auto"/>
              <w:ind w:left="244"/>
            </w:pPr>
            <w:r>
              <w:rPr>
                <w:spacing w:val="-4"/>
              </w:rPr>
              <w:t>10</w:t>
            </w:r>
          </w:p>
        </w:tc>
        <w:tc>
          <w:tcPr>
            <w:tcW w:w="930" w:type="dxa"/>
            <w:vAlign w:val="top"/>
          </w:tcPr>
          <w:p w14:paraId="68722D61">
            <w:pPr>
              <w:rPr>
                <w:rFonts w:ascii="Arial"/>
                <w:sz w:val="21"/>
              </w:rPr>
            </w:pPr>
          </w:p>
        </w:tc>
      </w:tr>
      <w:tr w14:paraId="6272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39" w:type="dxa"/>
            <w:vMerge w:val="continue"/>
            <w:tcBorders>
              <w:top w:val="nil"/>
              <w:bottom w:val="nil"/>
            </w:tcBorders>
            <w:vAlign w:val="top"/>
          </w:tcPr>
          <w:p w14:paraId="32C0D18C">
            <w:pPr>
              <w:rPr>
                <w:rFonts w:ascii="Arial"/>
                <w:sz w:val="21"/>
              </w:rPr>
            </w:pPr>
          </w:p>
        </w:tc>
        <w:tc>
          <w:tcPr>
            <w:tcW w:w="535" w:type="dxa"/>
            <w:vMerge w:val="continue"/>
            <w:tcBorders>
              <w:top w:val="nil"/>
              <w:bottom w:val="nil"/>
            </w:tcBorders>
            <w:vAlign w:val="top"/>
          </w:tcPr>
          <w:p w14:paraId="0300EF5A">
            <w:pPr>
              <w:rPr>
                <w:rFonts w:ascii="Arial"/>
                <w:sz w:val="21"/>
              </w:rPr>
            </w:pPr>
          </w:p>
        </w:tc>
        <w:tc>
          <w:tcPr>
            <w:tcW w:w="1595" w:type="dxa"/>
            <w:vMerge w:val="restart"/>
            <w:tcBorders>
              <w:bottom w:val="nil"/>
            </w:tcBorders>
            <w:vAlign w:val="top"/>
          </w:tcPr>
          <w:p w14:paraId="00BD9357">
            <w:pPr>
              <w:spacing w:line="302" w:lineRule="auto"/>
              <w:rPr>
                <w:rFonts w:ascii="Arial"/>
                <w:sz w:val="21"/>
              </w:rPr>
            </w:pPr>
          </w:p>
          <w:p w14:paraId="470CA752">
            <w:pPr>
              <w:spacing w:line="303" w:lineRule="auto"/>
              <w:rPr>
                <w:rFonts w:ascii="Arial"/>
                <w:sz w:val="21"/>
              </w:rPr>
            </w:pPr>
          </w:p>
          <w:p w14:paraId="68515F94">
            <w:pPr>
              <w:pStyle w:val="20"/>
              <w:spacing w:before="32" w:line="230" w:lineRule="auto"/>
              <w:ind w:left="603"/>
            </w:pPr>
            <w:r>
              <w:rPr>
                <w:spacing w:val="-1"/>
              </w:rPr>
              <w:t>目标实现</w:t>
            </w:r>
          </w:p>
        </w:tc>
        <w:tc>
          <w:tcPr>
            <w:tcW w:w="559" w:type="dxa"/>
            <w:vAlign w:val="center"/>
          </w:tcPr>
          <w:p w14:paraId="051640D5">
            <w:pPr>
              <w:spacing w:line="251" w:lineRule="auto"/>
              <w:jc w:val="center"/>
              <w:rPr>
                <w:rFonts w:ascii="Arial"/>
                <w:sz w:val="21"/>
              </w:rPr>
            </w:pPr>
          </w:p>
          <w:p w14:paraId="6175E667">
            <w:pPr>
              <w:pStyle w:val="20"/>
              <w:spacing w:before="33" w:line="191" w:lineRule="auto"/>
              <w:ind w:left="237"/>
              <w:jc w:val="center"/>
            </w:pPr>
            <w:r>
              <w:rPr>
                <w:spacing w:val="-4"/>
              </w:rPr>
              <w:t>10</w:t>
            </w:r>
          </w:p>
        </w:tc>
        <w:tc>
          <w:tcPr>
            <w:tcW w:w="2632" w:type="dxa"/>
            <w:vAlign w:val="top"/>
          </w:tcPr>
          <w:p w14:paraId="1215F7D6">
            <w:pPr>
              <w:pStyle w:val="20"/>
              <w:spacing w:before="204" w:line="237" w:lineRule="auto"/>
              <w:ind w:left="17" w:right="78"/>
            </w:pPr>
            <w:r>
              <w:rPr>
                <w:spacing w:val="5"/>
              </w:rPr>
              <w:t>评价部门整体支出绩效目标实现程度与预期目标的偏离</w:t>
            </w:r>
            <w:r>
              <w:rPr>
                <w:spacing w:val="9"/>
              </w:rPr>
              <w:t xml:space="preserve"> </w:t>
            </w:r>
            <w:r>
              <w:t>度。</w:t>
            </w:r>
          </w:p>
        </w:tc>
        <w:tc>
          <w:tcPr>
            <w:tcW w:w="6109" w:type="dxa"/>
            <w:vAlign w:val="top"/>
          </w:tcPr>
          <w:p w14:paraId="71E7A34A">
            <w:pPr>
              <w:pStyle w:val="20"/>
              <w:spacing w:before="73"/>
              <w:ind w:left="19" w:right="108" w:firstLine="11"/>
              <w:jc w:val="both"/>
            </w:pPr>
            <w:r>
              <w:rPr>
                <w:spacing w:val="4"/>
              </w:rPr>
              <w:t>以部门整体支出绩效为核心</w:t>
            </w:r>
            <w:r>
              <w:rPr>
                <w:spacing w:val="10"/>
              </w:rPr>
              <w:t xml:space="preserve"> </w:t>
            </w:r>
            <w:r>
              <w:rPr>
                <w:spacing w:val="4"/>
              </w:rPr>
              <w:t>，评价部门整体支出实际完成情况与预</w:t>
            </w:r>
            <w:r>
              <w:t xml:space="preserve"> </w:t>
            </w:r>
            <w:r>
              <w:rPr>
                <w:spacing w:val="5"/>
              </w:rPr>
              <w:t>期绩效目标偏离度</w:t>
            </w:r>
            <w:r>
              <w:rPr>
                <w:spacing w:val="-17"/>
              </w:rPr>
              <w:t xml:space="preserve"> </w:t>
            </w:r>
            <w:r>
              <w:rPr>
                <w:spacing w:val="5"/>
              </w:rPr>
              <w:t>，单个数量指标实际完成未达到预期指标或超过</w:t>
            </w:r>
            <w:r>
              <w:t xml:space="preserve"> </w:t>
            </w:r>
            <w:r>
              <w:rPr>
                <w:spacing w:val="6"/>
              </w:rPr>
              <w:t>预期指标30%以上的，均不计分</w:t>
            </w:r>
            <w:r>
              <w:rPr>
                <w:spacing w:val="-26"/>
              </w:rPr>
              <w:t xml:space="preserve"> </w:t>
            </w:r>
            <w:r>
              <w:rPr>
                <w:spacing w:val="6"/>
              </w:rPr>
              <w:t>。该项指标得分=达到预期</w:t>
            </w:r>
            <w:r>
              <w:rPr>
                <w:spacing w:val="5"/>
              </w:rPr>
              <w:t>值的数量</w:t>
            </w:r>
            <w:r>
              <w:t xml:space="preserve"> </w:t>
            </w:r>
            <w:r>
              <w:rPr>
                <w:spacing w:val="4"/>
              </w:rPr>
              <w:t>指标个数/全部数量指标个数</w:t>
            </w:r>
            <w:r>
              <w:rPr>
                <w:spacing w:val="-17"/>
              </w:rPr>
              <w:t xml:space="preserve"> </w:t>
            </w:r>
            <w:r>
              <w:rPr>
                <w:spacing w:val="4"/>
              </w:rPr>
              <w:t>*10。</w:t>
            </w:r>
          </w:p>
        </w:tc>
        <w:tc>
          <w:tcPr>
            <w:tcW w:w="510" w:type="dxa"/>
            <w:vAlign w:val="top"/>
          </w:tcPr>
          <w:p w14:paraId="4AED00EF">
            <w:pPr>
              <w:pStyle w:val="20"/>
              <w:spacing w:before="269" w:line="134" w:lineRule="exact"/>
              <w:ind w:left="236"/>
            </w:pPr>
            <w:r>
              <w:t>√</w:t>
            </w:r>
          </w:p>
        </w:tc>
        <w:tc>
          <w:tcPr>
            <w:tcW w:w="420" w:type="dxa"/>
            <w:vAlign w:val="top"/>
          </w:tcPr>
          <w:p w14:paraId="719A6AD7">
            <w:pPr>
              <w:rPr>
                <w:rFonts w:ascii="Arial"/>
                <w:sz w:val="21"/>
              </w:rPr>
            </w:pPr>
          </w:p>
        </w:tc>
        <w:tc>
          <w:tcPr>
            <w:tcW w:w="240" w:type="dxa"/>
            <w:vAlign w:val="top"/>
          </w:tcPr>
          <w:p w14:paraId="6F5416AF">
            <w:pPr>
              <w:rPr>
                <w:rFonts w:ascii="Arial"/>
                <w:sz w:val="21"/>
              </w:rPr>
            </w:pPr>
          </w:p>
        </w:tc>
        <w:tc>
          <w:tcPr>
            <w:tcW w:w="675" w:type="dxa"/>
            <w:vAlign w:val="top"/>
          </w:tcPr>
          <w:p w14:paraId="517DB908">
            <w:pPr>
              <w:pStyle w:val="20"/>
              <w:spacing w:before="269" w:line="134" w:lineRule="exact"/>
              <w:ind w:left="263"/>
            </w:pPr>
            <w:r>
              <w:t>√</w:t>
            </w:r>
          </w:p>
        </w:tc>
        <w:tc>
          <w:tcPr>
            <w:tcW w:w="795" w:type="dxa"/>
            <w:shd w:val="clear" w:color="auto" w:fill="FDE9D9"/>
            <w:vAlign w:val="top"/>
          </w:tcPr>
          <w:p w14:paraId="138946CB">
            <w:pPr>
              <w:spacing w:line="251" w:lineRule="auto"/>
              <w:rPr>
                <w:rFonts w:ascii="Arial"/>
                <w:sz w:val="21"/>
              </w:rPr>
            </w:pPr>
          </w:p>
          <w:p w14:paraId="3FD6D9AD">
            <w:pPr>
              <w:pStyle w:val="20"/>
              <w:spacing w:before="33" w:line="191" w:lineRule="auto"/>
              <w:ind w:left="244"/>
            </w:pPr>
            <w:r>
              <w:rPr>
                <w:spacing w:val="-4"/>
              </w:rPr>
              <w:t>10</w:t>
            </w:r>
          </w:p>
        </w:tc>
        <w:tc>
          <w:tcPr>
            <w:tcW w:w="930" w:type="dxa"/>
            <w:vAlign w:val="top"/>
          </w:tcPr>
          <w:p w14:paraId="7A178439">
            <w:pPr>
              <w:rPr>
                <w:rFonts w:ascii="Arial"/>
                <w:sz w:val="21"/>
              </w:rPr>
            </w:pPr>
          </w:p>
        </w:tc>
      </w:tr>
      <w:tr w14:paraId="7306D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539" w:type="dxa"/>
            <w:vMerge w:val="continue"/>
            <w:tcBorders>
              <w:top w:val="nil"/>
              <w:bottom w:val="nil"/>
            </w:tcBorders>
            <w:vAlign w:val="top"/>
          </w:tcPr>
          <w:p w14:paraId="3702F025">
            <w:pPr>
              <w:rPr>
                <w:rFonts w:ascii="Arial"/>
                <w:sz w:val="21"/>
              </w:rPr>
            </w:pPr>
          </w:p>
        </w:tc>
        <w:tc>
          <w:tcPr>
            <w:tcW w:w="535" w:type="dxa"/>
            <w:vMerge w:val="continue"/>
            <w:tcBorders>
              <w:top w:val="nil"/>
            </w:tcBorders>
            <w:vAlign w:val="top"/>
          </w:tcPr>
          <w:p w14:paraId="5C52F1F1">
            <w:pPr>
              <w:rPr>
                <w:rFonts w:ascii="Arial"/>
                <w:sz w:val="21"/>
              </w:rPr>
            </w:pPr>
          </w:p>
        </w:tc>
        <w:tc>
          <w:tcPr>
            <w:tcW w:w="1595" w:type="dxa"/>
            <w:vMerge w:val="continue"/>
            <w:tcBorders>
              <w:top w:val="nil"/>
            </w:tcBorders>
            <w:vAlign w:val="top"/>
          </w:tcPr>
          <w:p w14:paraId="3C6E69ED">
            <w:pPr>
              <w:rPr>
                <w:rFonts w:ascii="Arial"/>
                <w:sz w:val="21"/>
              </w:rPr>
            </w:pPr>
          </w:p>
        </w:tc>
        <w:tc>
          <w:tcPr>
            <w:tcW w:w="559" w:type="dxa"/>
            <w:vAlign w:val="center"/>
          </w:tcPr>
          <w:p w14:paraId="4CDDFB8E">
            <w:pPr>
              <w:spacing w:line="302" w:lineRule="auto"/>
              <w:jc w:val="center"/>
              <w:rPr>
                <w:rFonts w:ascii="Arial"/>
                <w:sz w:val="21"/>
              </w:rPr>
            </w:pPr>
          </w:p>
          <w:p w14:paraId="66CE9CBF">
            <w:pPr>
              <w:pStyle w:val="20"/>
              <w:spacing w:before="32" w:line="191" w:lineRule="auto"/>
              <w:ind w:left="237"/>
              <w:jc w:val="center"/>
            </w:pPr>
            <w:r>
              <w:rPr>
                <w:spacing w:val="-4"/>
              </w:rPr>
              <w:t>10</w:t>
            </w:r>
          </w:p>
        </w:tc>
        <w:tc>
          <w:tcPr>
            <w:tcW w:w="2632" w:type="dxa"/>
            <w:vAlign w:val="top"/>
          </w:tcPr>
          <w:p w14:paraId="6F54DE3C">
            <w:pPr>
              <w:pStyle w:val="20"/>
              <w:spacing w:before="255" w:line="237" w:lineRule="auto"/>
              <w:ind w:left="17" w:right="78"/>
            </w:pPr>
            <w:r>
              <w:rPr>
                <w:spacing w:val="5"/>
              </w:rPr>
              <w:t>评价部门预算项目绩效目标实际实现程度与预期目标的</w:t>
            </w:r>
            <w:r>
              <w:rPr>
                <w:spacing w:val="9"/>
              </w:rPr>
              <w:t xml:space="preserve"> </w:t>
            </w:r>
            <w:r>
              <w:rPr>
                <w:spacing w:val="3"/>
              </w:rPr>
              <w:t>偏离度。</w:t>
            </w:r>
          </w:p>
        </w:tc>
        <w:tc>
          <w:tcPr>
            <w:tcW w:w="6109" w:type="dxa"/>
            <w:vAlign w:val="top"/>
          </w:tcPr>
          <w:p w14:paraId="3FC4105D">
            <w:pPr>
              <w:pStyle w:val="20"/>
              <w:spacing w:before="59"/>
              <w:ind w:left="19" w:right="74" w:firstLine="11"/>
            </w:pPr>
            <w:r>
              <w:rPr>
                <w:spacing w:val="4"/>
              </w:rPr>
              <w:t>以部门预算项目绩效为核心</w:t>
            </w:r>
            <w:r>
              <w:rPr>
                <w:spacing w:val="10"/>
              </w:rPr>
              <w:t xml:space="preserve"> </w:t>
            </w:r>
            <w:r>
              <w:rPr>
                <w:spacing w:val="4"/>
              </w:rPr>
              <w:t>，评价部门预算项目实际完成情况与预</w:t>
            </w:r>
            <w:r>
              <w:t xml:space="preserve">  </w:t>
            </w:r>
            <w:r>
              <w:rPr>
                <w:spacing w:val="5"/>
              </w:rPr>
              <w:t>期绩效目标偏离度</w:t>
            </w:r>
            <w:r>
              <w:rPr>
                <w:spacing w:val="-17"/>
              </w:rPr>
              <w:t xml:space="preserve"> </w:t>
            </w:r>
            <w:r>
              <w:rPr>
                <w:spacing w:val="5"/>
              </w:rPr>
              <w:t>，单个数量指标实际完成未达到预期指标或超过</w:t>
            </w:r>
            <w:r>
              <w:t xml:space="preserve">  </w:t>
            </w:r>
            <w:r>
              <w:rPr>
                <w:spacing w:val="6"/>
              </w:rPr>
              <w:t>预期指标30%以上的，均不计分</w:t>
            </w:r>
            <w:r>
              <w:rPr>
                <w:spacing w:val="-26"/>
              </w:rPr>
              <w:t xml:space="preserve"> </w:t>
            </w:r>
            <w:r>
              <w:rPr>
                <w:spacing w:val="6"/>
              </w:rPr>
              <w:t>。该项指标得分=达到预期值</w:t>
            </w:r>
            <w:r>
              <w:rPr>
                <w:spacing w:val="5"/>
              </w:rPr>
              <w:t>的数量</w:t>
            </w:r>
            <w:r>
              <w:t xml:space="preserve">  </w:t>
            </w:r>
            <w:r>
              <w:rPr>
                <w:spacing w:val="5"/>
              </w:rPr>
              <w:t>指标个数/全部数量指标个数</w:t>
            </w:r>
            <w:r>
              <w:rPr>
                <w:spacing w:val="-10"/>
              </w:rPr>
              <w:t xml:space="preserve"> </w:t>
            </w:r>
            <w:r>
              <w:rPr>
                <w:spacing w:val="5"/>
              </w:rPr>
              <w:t>（即评价选取的项目绩效目标包含的所</w:t>
            </w:r>
            <w:r>
              <w:t xml:space="preserve"> </w:t>
            </w:r>
            <w:r>
              <w:rPr>
                <w:spacing w:val="2"/>
              </w:rPr>
              <w:t>有数量指标</w:t>
            </w:r>
            <w:r>
              <w:rPr>
                <w:spacing w:val="-20"/>
              </w:rPr>
              <w:t xml:space="preserve"> </w:t>
            </w:r>
            <w:r>
              <w:rPr>
                <w:spacing w:val="2"/>
              </w:rPr>
              <w:t>）*10。</w:t>
            </w:r>
          </w:p>
        </w:tc>
        <w:tc>
          <w:tcPr>
            <w:tcW w:w="510" w:type="dxa"/>
            <w:vAlign w:val="top"/>
          </w:tcPr>
          <w:p w14:paraId="656EFD9D">
            <w:pPr>
              <w:rPr>
                <w:rFonts w:ascii="Arial"/>
                <w:sz w:val="21"/>
              </w:rPr>
            </w:pPr>
          </w:p>
        </w:tc>
        <w:tc>
          <w:tcPr>
            <w:tcW w:w="420" w:type="dxa"/>
            <w:vAlign w:val="top"/>
          </w:tcPr>
          <w:p w14:paraId="201B7B0C">
            <w:pPr>
              <w:spacing w:line="286" w:lineRule="auto"/>
              <w:rPr>
                <w:rFonts w:ascii="Arial"/>
                <w:sz w:val="21"/>
              </w:rPr>
            </w:pPr>
          </w:p>
          <w:p w14:paraId="27FC7344">
            <w:pPr>
              <w:pStyle w:val="20"/>
              <w:spacing w:before="32" w:line="135" w:lineRule="exact"/>
              <w:ind w:left="235"/>
            </w:pPr>
            <w:r>
              <w:t>√</w:t>
            </w:r>
          </w:p>
        </w:tc>
        <w:tc>
          <w:tcPr>
            <w:tcW w:w="240" w:type="dxa"/>
            <w:vAlign w:val="top"/>
          </w:tcPr>
          <w:p w14:paraId="62DAD132">
            <w:pPr>
              <w:rPr>
                <w:rFonts w:ascii="Arial"/>
                <w:sz w:val="21"/>
              </w:rPr>
            </w:pPr>
          </w:p>
        </w:tc>
        <w:tc>
          <w:tcPr>
            <w:tcW w:w="675" w:type="dxa"/>
            <w:vAlign w:val="top"/>
          </w:tcPr>
          <w:p w14:paraId="707CB593">
            <w:pPr>
              <w:spacing w:line="286" w:lineRule="auto"/>
              <w:rPr>
                <w:rFonts w:ascii="Arial"/>
                <w:sz w:val="21"/>
              </w:rPr>
            </w:pPr>
          </w:p>
          <w:p w14:paraId="31BB4B49">
            <w:pPr>
              <w:pStyle w:val="20"/>
              <w:spacing w:before="32" w:line="135" w:lineRule="exact"/>
              <w:ind w:left="263"/>
            </w:pPr>
            <w:r>
              <w:t>√</w:t>
            </w:r>
          </w:p>
        </w:tc>
        <w:tc>
          <w:tcPr>
            <w:tcW w:w="795" w:type="dxa"/>
            <w:shd w:val="clear" w:color="auto" w:fill="FDE9D9"/>
            <w:vAlign w:val="top"/>
          </w:tcPr>
          <w:p w14:paraId="7B2808E4">
            <w:pPr>
              <w:spacing w:line="302" w:lineRule="auto"/>
              <w:rPr>
                <w:rFonts w:ascii="Arial"/>
                <w:sz w:val="21"/>
              </w:rPr>
            </w:pPr>
          </w:p>
          <w:p w14:paraId="4F5A052B">
            <w:pPr>
              <w:pStyle w:val="20"/>
              <w:spacing w:before="32" w:line="191" w:lineRule="auto"/>
              <w:ind w:left="244"/>
            </w:pPr>
            <w:r>
              <w:rPr>
                <w:spacing w:val="-4"/>
              </w:rPr>
              <w:t>10</w:t>
            </w:r>
          </w:p>
        </w:tc>
        <w:tc>
          <w:tcPr>
            <w:tcW w:w="930" w:type="dxa"/>
            <w:vAlign w:val="top"/>
          </w:tcPr>
          <w:p w14:paraId="2F2C21BF">
            <w:pPr>
              <w:pStyle w:val="20"/>
              <w:spacing w:before="191" w:line="237" w:lineRule="auto"/>
              <w:ind w:left="22" w:right="66"/>
              <w:jc w:val="both"/>
            </w:pPr>
            <w:r>
              <w:rPr>
                <w:spacing w:val="5"/>
              </w:rPr>
              <w:t>部门自评范围为部门所有</w:t>
            </w:r>
            <w:r>
              <w:t xml:space="preserve"> </w:t>
            </w:r>
            <w:r>
              <w:rPr>
                <w:spacing w:val="5"/>
              </w:rPr>
              <w:t>纳入绩效目标管理的部门</w:t>
            </w:r>
            <w:r>
              <w:t xml:space="preserve"> </w:t>
            </w:r>
            <w:r>
              <w:rPr>
                <w:spacing w:val="4"/>
              </w:rPr>
              <w:t>预算项目</w:t>
            </w:r>
          </w:p>
        </w:tc>
      </w:tr>
      <w:tr w14:paraId="29A56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39" w:type="dxa"/>
            <w:vMerge w:val="continue"/>
            <w:tcBorders>
              <w:top w:val="nil"/>
              <w:bottom w:val="nil"/>
            </w:tcBorders>
            <w:vAlign w:val="top"/>
          </w:tcPr>
          <w:p w14:paraId="06F5ECD3">
            <w:pPr>
              <w:rPr>
                <w:rFonts w:ascii="Arial"/>
                <w:sz w:val="21"/>
              </w:rPr>
            </w:pPr>
          </w:p>
        </w:tc>
        <w:tc>
          <w:tcPr>
            <w:tcW w:w="535" w:type="dxa"/>
            <w:vMerge w:val="restart"/>
            <w:tcBorders>
              <w:bottom w:val="nil"/>
            </w:tcBorders>
            <w:vAlign w:val="center"/>
          </w:tcPr>
          <w:p w14:paraId="1EC7BF7E">
            <w:pPr>
              <w:spacing w:line="252" w:lineRule="auto"/>
              <w:jc w:val="both"/>
              <w:rPr>
                <w:rFonts w:ascii="Arial"/>
                <w:sz w:val="21"/>
              </w:rPr>
            </w:pPr>
          </w:p>
          <w:p w14:paraId="4B8F854C">
            <w:pPr>
              <w:pStyle w:val="20"/>
              <w:spacing w:before="32" w:line="235" w:lineRule="auto"/>
              <w:ind w:left="58" w:right="58" w:hanging="5"/>
              <w:jc w:val="center"/>
            </w:pPr>
            <w:r>
              <w:rPr>
                <w:spacing w:val="4"/>
              </w:rPr>
              <w:t>动态调整</w:t>
            </w:r>
            <w:r>
              <w:t xml:space="preserve"> </w:t>
            </w:r>
            <w:r>
              <w:rPr>
                <w:spacing w:val="2"/>
              </w:rPr>
              <w:t>（15分）</w:t>
            </w:r>
          </w:p>
        </w:tc>
        <w:tc>
          <w:tcPr>
            <w:tcW w:w="1595" w:type="dxa"/>
            <w:vAlign w:val="center"/>
          </w:tcPr>
          <w:p w14:paraId="38109112">
            <w:pPr>
              <w:spacing w:line="291" w:lineRule="auto"/>
              <w:jc w:val="center"/>
              <w:rPr>
                <w:rFonts w:ascii="Arial"/>
                <w:sz w:val="21"/>
              </w:rPr>
            </w:pPr>
          </w:p>
          <w:p w14:paraId="6A80318D">
            <w:pPr>
              <w:pStyle w:val="20"/>
              <w:spacing w:before="33" w:line="230" w:lineRule="auto"/>
              <w:ind w:left="584"/>
              <w:jc w:val="center"/>
            </w:pPr>
            <w:r>
              <w:rPr>
                <w:spacing w:val="4"/>
              </w:rPr>
              <w:t>支出控制</w:t>
            </w:r>
          </w:p>
        </w:tc>
        <w:tc>
          <w:tcPr>
            <w:tcW w:w="559" w:type="dxa"/>
            <w:vAlign w:val="center"/>
          </w:tcPr>
          <w:p w14:paraId="3CC42E31">
            <w:pPr>
              <w:spacing w:line="307" w:lineRule="auto"/>
              <w:jc w:val="center"/>
              <w:rPr>
                <w:rFonts w:ascii="Arial"/>
                <w:sz w:val="21"/>
              </w:rPr>
            </w:pPr>
          </w:p>
          <w:p w14:paraId="507B59BB">
            <w:pPr>
              <w:pStyle w:val="20"/>
              <w:spacing w:before="33" w:line="191" w:lineRule="auto"/>
              <w:ind w:left="237"/>
              <w:jc w:val="center"/>
            </w:pPr>
            <w:r>
              <w:rPr>
                <w:spacing w:val="-4"/>
              </w:rPr>
              <w:t>10</w:t>
            </w:r>
          </w:p>
        </w:tc>
        <w:tc>
          <w:tcPr>
            <w:tcW w:w="2632" w:type="dxa"/>
            <w:vAlign w:val="top"/>
          </w:tcPr>
          <w:p w14:paraId="65DE1C84">
            <w:pPr>
              <w:spacing w:line="291" w:lineRule="auto"/>
              <w:rPr>
                <w:rFonts w:ascii="Arial"/>
                <w:sz w:val="21"/>
              </w:rPr>
            </w:pPr>
          </w:p>
          <w:p w14:paraId="6D93FCD0">
            <w:pPr>
              <w:pStyle w:val="20"/>
              <w:spacing w:before="33" w:line="230" w:lineRule="auto"/>
              <w:ind w:left="19"/>
            </w:pPr>
            <w:r>
              <w:rPr>
                <w:spacing w:val="4"/>
              </w:rPr>
              <w:t>部门公用经费及非定额公用支出控制情况 。</w:t>
            </w:r>
          </w:p>
        </w:tc>
        <w:tc>
          <w:tcPr>
            <w:tcW w:w="6109" w:type="dxa"/>
            <w:vAlign w:val="top"/>
          </w:tcPr>
          <w:p w14:paraId="2D301EC2">
            <w:pPr>
              <w:pStyle w:val="20"/>
              <w:spacing w:before="128" w:line="237" w:lineRule="auto"/>
              <w:ind w:left="24" w:right="91" w:hanging="5"/>
            </w:pPr>
            <w:r>
              <w:rPr>
                <w:spacing w:val="6"/>
              </w:rPr>
              <w:t>计算部门日常公用经费</w:t>
            </w:r>
            <w:r>
              <w:rPr>
                <w:spacing w:val="-15"/>
              </w:rPr>
              <w:t xml:space="preserve"> </w:t>
            </w:r>
            <w:r>
              <w:rPr>
                <w:spacing w:val="6"/>
              </w:rPr>
              <w:t>、项目支出中“办公费、</w:t>
            </w:r>
            <w:r>
              <w:rPr>
                <w:spacing w:val="5"/>
              </w:rPr>
              <w:t>印刷费、水费、</w:t>
            </w:r>
            <w:r>
              <w:rPr>
                <w:spacing w:val="-27"/>
              </w:rPr>
              <w:t xml:space="preserve"> </w:t>
            </w:r>
            <w:r>
              <w:rPr>
                <w:spacing w:val="5"/>
              </w:rPr>
              <w:t>电</w:t>
            </w:r>
            <w:r>
              <w:t xml:space="preserve"> </w:t>
            </w:r>
            <w:r>
              <w:rPr>
                <w:spacing w:val="4"/>
              </w:rPr>
              <w:t>费、物业管理费</w:t>
            </w:r>
            <w:r>
              <w:rPr>
                <w:spacing w:val="-8"/>
              </w:rPr>
              <w:t xml:space="preserve"> </w:t>
            </w:r>
            <w:r>
              <w:rPr>
                <w:spacing w:val="4"/>
              </w:rPr>
              <w:t>”等科目年初预算数与决算数偏差程度</w:t>
            </w:r>
            <w:r>
              <w:rPr>
                <w:spacing w:val="-11"/>
              </w:rPr>
              <w:t xml:space="preserve"> </w:t>
            </w:r>
            <w:r>
              <w:rPr>
                <w:spacing w:val="4"/>
              </w:rPr>
              <w:t>。</w:t>
            </w:r>
          </w:p>
          <w:p w14:paraId="7524D12A">
            <w:pPr>
              <w:pStyle w:val="20"/>
              <w:spacing w:before="5" w:line="237" w:lineRule="auto"/>
              <w:ind w:left="19" w:right="117"/>
            </w:pPr>
            <w:r>
              <w:rPr>
                <w:spacing w:val="5"/>
              </w:rPr>
              <w:t>预决算偏差程度在</w:t>
            </w:r>
            <w:r>
              <w:rPr>
                <w:spacing w:val="-19"/>
              </w:rPr>
              <w:t xml:space="preserve"> </w:t>
            </w:r>
            <w:r>
              <w:rPr>
                <w:spacing w:val="5"/>
              </w:rPr>
              <w:t>10%以内的，得10分。偏差度在10</w:t>
            </w:r>
            <w:r>
              <w:rPr>
                <w:spacing w:val="4"/>
              </w:rPr>
              <w:t>%</w:t>
            </w:r>
            <w:r>
              <w:rPr>
                <w:rFonts w:hint="eastAsia"/>
                <w:spacing w:val="4"/>
                <w:lang w:eastAsia="zh-CN"/>
              </w:rPr>
              <w:t>～</w:t>
            </w:r>
            <w:r>
              <w:rPr>
                <w:spacing w:val="4"/>
              </w:rPr>
              <w:t>20%之间的，</w:t>
            </w:r>
            <w:r>
              <w:t xml:space="preserve"> </w:t>
            </w:r>
            <w:r>
              <w:rPr>
                <w:spacing w:val="6"/>
              </w:rPr>
              <w:t>得5分，偏差度超过20%的，不得分。</w:t>
            </w:r>
          </w:p>
        </w:tc>
        <w:tc>
          <w:tcPr>
            <w:tcW w:w="510" w:type="dxa"/>
            <w:vAlign w:val="center"/>
          </w:tcPr>
          <w:p w14:paraId="61CAA0D6">
            <w:pPr>
              <w:spacing w:line="291" w:lineRule="auto"/>
              <w:jc w:val="center"/>
              <w:rPr>
                <w:rFonts w:ascii="Arial"/>
                <w:sz w:val="21"/>
              </w:rPr>
            </w:pPr>
          </w:p>
          <w:p w14:paraId="2F94EC6B">
            <w:pPr>
              <w:pStyle w:val="20"/>
              <w:spacing w:before="33" w:line="134" w:lineRule="exact"/>
              <w:ind w:left="236"/>
              <w:jc w:val="center"/>
            </w:pPr>
            <w:r>
              <w:t>√</w:t>
            </w:r>
          </w:p>
        </w:tc>
        <w:tc>
          <w:tcPr>
            <w:tcW w:w="420" w:type="dxa"/>
            <w:vAlign w:val="center"/>
          </w:tcPr>
          <w:p w14:paraId="7DDF0337">
            <w:pPr>
              <w:jc w:val="center"/>
              <w:rPr>
                <w:rFonts w:ascii="Arial"/>
                <w:sz w:val="21"/>
              </w:rPr>
            </w:pPr>
          </w:p>
        </w:tc>
        <w:tc>
          <w:tcPr>
            <w:tcW w:w="240" w:type="dxa"/>
            <w:vAlign w:val="center"/>
          </w:tcPr>
          <w:p w14:paraId="6A34DF11">
            <w:pPr>
              <w:jc w:val="center"/>
              <w:rPr>
                <w:rFonts w:ascii="Arial"/>
                <w:sz w:val="21"/>
              </w:rPr>
            </w:pPr>
          </w:p>
        </w:tc>
        <w:tc>
          <w:tcPr>
            <w:tcW w:w="675" w:type="dxa"/>
            <w:vAlign w:val="center"/>
          </w:tcPr>
          <w:p w14:paraId="1F4EEAD9">
            <w:pPr>
              <w:spacing w:line="291" w:lineRule="auto"/>
              <w:jc w:val="center"/>
              <w:rPr>
                <w:rFonts w:ascii="Arial"/>
                <w:sz w:val="21"/>
              </w:rPr>
            </w:pPr>
          </w:p>
          <w:p w14:paraId="70682635">
            <w:pPr>
              <w:pStyle w:val="20"/>
              <w:spacing w:before="33" w:line="134" w:lineRule="exact"/>
              <w:ind w:left="263"/>
              <w:jc w:val="center"/>
            </w:pPr>
            <w:r>
              <w:t>√</w:t>
            </w:r>
          </w:p>
        </w:tc>
        <w:tc>
          <w:tcPr>
            <w:tcW w:w="795" w:type="dxa"/>
            <w:shd w:val="clear" w:color="auto" w:fill="FDE9D9"/>
            <w:vAlign w:val="center"/>
          </w:tcPr>
          <w:p w14:paraId="24A51715">
            <w:pPr>
              <w:spacing w:line="307" w:lineRule="auto"/>
              <w:jc w:val="center"/>
              <w:rPr>
                <w:rFonts w:ascii="Arial"/>
                <w:sz w:val="21"/>
              </w:rPr>
            </w:pPr>
          </w:p>
          <w:p w14:paraId="3CEBF5B0">
            <w:pPr>
              <w:pStyle w:val="20"/>
              <w:spacing w:before="33" w:line="191" w:lineRule="auto"/>
              <w:ind w:left="244"/>
              <w:jc w:val="center"/>
            </w:pPr>
            <w:r>
              <w:rPr>
                <w:spacing w:val="-4"/>
              </w:rPr>
              <w:t>10</w:t>
            </w:r>
          </w:p>
        </w:tc>
        <w:tc>
          <w:tcPr>
            <w:tcW w:w="930" w:type="dxa"/>
            <w:vAlign w:val="top"/>
          </w:tcPr>
          <w:p w14:paraId="1646CF48">
            <w:pPr>
              <w:rPr>
                <w:rFonts w:ascii="Arial"/>
                <w:sz w:val="21"/>
              </w:rPr>
            </w:pPr>
          </w:p>
        </w:tc>
      </w:tr>
      <w:tr w14:paraId="5B98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39" w:type="dxa"/>
            <w:vMerge w:val="continue"/>
            <w:tcBorders>
              <w:top w:val="nil"/>
              <w:bottom w:val="nil"/>
            </w:tcBorders>
            <w:vAlign w:val="top"/>
          </w:tcPr>
          <w:p w14:paraId="73ABE185">
            <w:pPr>
              <w:rPr>
                <w:rFonts w:ascii="Arial"/>
                <w:sz w:val="21"/>
              </w:rPr>
            </w:pPr>
          </w:p>
        </w:tc>
        <w:tc>
          <w:tcPr>
            <w:tcW w:w="535" w:type="dxa"/>
            <w:vMerge w:val="continue"/>
            <w:tcBorders>
              <w:top w:val="nil"/>
              <w:bottom w:val="nil"/>
            </w:tcBorders>
            <w:vAlign w:val="top"/>
          </w:tcPr>
          <w:p w14:paraId="1AED8AA3">
            <w:pPr>
              <w:rPr>
                <w:rFonts w:ascii="Arial"/>
                <w:sz w:val="21"/>
              </w:rPr>
            </w:pPr>
          </w:p>
        </w:tc>
        <w:tc>
          <w:tcPr>
            <w:tcW w:w="1595" w:type="dxa"/>
            <w:vAlign w:val="center"/>
          </w:tcPr>
          <w:p w14:paraId="4BB84869">
            <w:pPr>
              <w:pStyle w:val="20"/>
              <w:spacing w:before="264" w:line="232" w:lineRule="auto"/>
              <w:ind w:left="583"/>
              <w:jc w:val="center"/>
            </w:pPr>
            <w:r>
              <w:rPr>
                <w:spacing w:val="4"/>
              </w:rPr>
              <w:t>及时处置</w:t>
            </w:r>
          </w:p>
        </w:tc>
        <w:tc>
          <w:tcPr>
            <w:tcW w:w="559" w:type="dxa"/>
            <w:vAlign w:val="center"/>
          </w:tcPr>
          <w:p w14:paraId="7FC5FE65">
            <w:pPr>
              <w:spacing w:line="247" w:lineRule="auto"/>
              <w:jc w:val="left"/>
              <w:rPr>
                <w:rFonts w:ascii="Arial"/>
                <w:sz w:val="21"/>
              </w:rPr>
            </w:pPr>
          </w:p>
          <w:p w14:paraId="310432D9">
            <w:pPr>
              <w:pStyle w:val="20"/>
              <w:spacing w:before="33" w:line="189" w:lineRule="auto"/>
              <w:ind w:left="257"/>
              <w:jc w:val="left"/>
            </w:pPr>
            <w:r>
              <w:t>5</w:t>
            </w:r>
          </w:p>
        </w:tc>
        <w:tc>
          <w:tcPr>
            <w:tcW w:w="2632" w:type="dxa"/>
            <w:vAlign w:val="top"/>
          </w:tcPr>
          <w:p w14:paraId="22E062FB">
            <w:pPr>
              <w:pStyle w:val="20"/>
              <w:spacing w:before="200" w:line="234" w:lineRule="auto"/>
              <w:ind w:left="18" w:right="44" w:hanging="1"/>
            </w:pPr>
            <w:r>
              <w:rPr>
                <w:spacing w:val="4"/>
              </w:rPr>
              <w:t>评价部门开展绩效运行监控后 ，将绩效监控结果应用到</w:t>
            </w:r>
            <w:r>
              <w:rPr>
                <w:spacing w:val="13"/>
              </w:rPr>
              <w:t xml:space="preserve"> </w:t>
            </w:r>
            <w:r>
              <w:rPr>
                <w:spacing w:val="4"/>
              </w:rPr>
              <w:t>预算调整的情况。</w:t>
            </w:r>
          </w:p>
        </w:tc>
        <w:tc>
          <w:tcPr>
            <w:tcW w:w="6109" w:type="dxa"/>
            <w:vAlign w:val="top"/>
          </w:tcPr>
          <w:p w14:paraId="55646662">
            <w:pPr>
              <w:pStyle w:val="20"/>
              <w:spacing w:before="132" w:line="239" w:lineRule="auto"/>
              <w:ind w:left="20" w:right="53"/>
              <w:jc w:val="both"/>
            </w:pPr>
            <w:r>
              <w:rPr>
                <w:spacing w:val="5"/>
              </w:rPr>
              <w:t>绩效运行监控未发现问题或对发现问题提出预算收回</w:t>
            </w:r>
            <w:r>
              <w:rPr>
                <w:spacing w:val="18"/>
              </w:rPr>
              <w:t xml:space="preserve"> </w:t>
            </w:r>
            <w:r>
              <w:rPr>
                <w:spacing w:val="5"/>
              </w:rPr>
              <w:t>、调整处置意</w:t>
            </w:r>
            <w:r>
              <w:t xml:space="preserve">  </w:t>
            </w:r>
            <w:r>
              <w:rPr>
                <w:spacing w:val="5"/>
              </w:rPr>
              <w:t>见并加以落实的得</w:t>
            </w:r>
            <w:r>
              <w:rPr>
                <w:spacing w:val="-25"/>
              </w:rPr>
              <w:t xml:space="preserve"> </w:t>
            </w:r>
            <w:r>
              <w:rPr>
                <w:spacing w:val="5"/>
              </w:rPr>
              <w:t>5分。如存在未及时处置落实的</w:t>
            </w:r>
            <w:r>
              <w:rPr>
                <w:spacing w:val="-10"/>
              </w:rPr>
              <w:t xml:space="preserve"> </w:t>
            </w:r>
            <w:r>
              <w:rPr>
                <w:spacing w:val="5"/>
              </w:rPr>
              <w:t>，按未进</w:t>
            </w:r>
            <w:r>
              <w:rPr>
                <w:spacing w:val="4"/>
              </w:rPr>
              <w:t>行问题整</w:t>
            </w:r>
            <w:r>
              <w:t xml:space="preserve"> </w:t>
            </w:r>
            <w:r>
              <w:rPr>
                <w:spacing w:val="5"/>
              </w:rPr>
              <w:t>改的项目数量/监控发现问题的项目总数 ×5分扣分，直至扣完。</w:t>
            </w:r>
          </w:p>
        </w:tc>
        <w:tc>
          <w:tcPr>
            <w:tcW w:w="510" w:type="dxa"/>
            <w:vAlign w:val="center"/>
          </w:tcPr>
          <w:p w14:paraId="5EDEF16E">
            <w:pPr>
              <w:pStyle w:val="20"/>
              <w:spacing w:before="264" w:line="134" w:lineRule="exact"/>
              <w:ind w:left="236"/>
              <w:jc w:val="center"/>
            </w:pPr>
            <w:r>
              <w:t>√</w:t>
            </w:r>
          </w:p>
        </w:tc>
        <w:tc>
          <w:tcPr>
            <w:tcW w:w="420" w:type="dxa"/>
            <w:vAlign w:val="center"/>
          </w:tcPr>
          <w:p w14:paraId="37D3D6D6">
            <w:pPr>
              <w:jc w:val="center"/>
              <w:rPr>
                <w:rFonts w:ascii="Arial"/>
                <w:sz w:val="21"/>
              </w:rPr>
            </w:pPr>
          </w:p>
        </w:tc>
        <w:tc>
          <w:tcPr>
            <w:tcW w:w="240" w:type="dxa"/>
            <w:vAlign w:val="center"/>
          </w:tcPr>
          <w:p w14:paraId="63BC9601">
            <w:pPr>
              <w:jc w:val="center"/>
              <w:rPr>
                <w:rFonts w:ascii="Arial"/>
                <w:sz w:val="21"/>
              </w:rPr>
            </w:pPr>
          </w:p>
        </w:tc>
        <w:tc>
          <w:tcPr>
            <w:tcW w:w="675" w:type="dxa"/>
            <w:vAlign w:val="center"/>
          </w:tcPr>
          <w:p w14:paraId="30A5E6A7">
            <w:pPr>
              <w:pStyle w:val="20"/>
              <w:spacing w:before="264" w:line="134" w:lineRule="exact"/>
              <w:ind w:left="263"/>
              <w:jc w:val="center"/>
            </w:pPr>
            <w:r>
              <w:t>√</w:t>
            </w:r>
          </w:p>
        </w:tc>
        <w:tc>
          <w:tcPr>
            <w:tcW w:w="795" w:type="dxa"/>
            <w:shd w:val="clear" w:color="auto" w:fill="FDE9D9"/>
            <w:vAlign w:val="center"/>
          </w:tcPr>
          <w:p w14:paraId="6F07343E">
            <w:pPr>
              <w:spacing w:line="247" w:lineRule="auto"/>
              <w:jc w:val="center"/>
              <w:rPr>
                <w:rFonts w:ascii="Arial"/>
                <w:sz w:val="21"/>
              </w:rPr>
            </w:pPr>
          </w:p>
          <w:p w14:paraId="4BBA6A8B">
            <w:pPr>
              <w:pStyle w:val="20"/>
              <w:spacing w:before="33" w:line="189" w:lineRule="auto"/>
              <w:ind w:left="268"/>
              <w:jc w:val="center"/>
            </w:pPr>
            <w:r>
              <w:t>5</w:t>
            </w:r>
          </w:p>
        </w:tc>
        <w:tc>
          <w:tcPr>
            <w:tcW w:w="930" w:type="dxa"/>
            <w:vAlign w:val="top"/>
          </w:tcPr>
          <w:p w14:paraId="44A9BE6B">
            <w:pPr>
              <w:rPr>
                <w:rFonts w:ascii="Arial"/>
                <w:sz w:val="21"/>
              </w:rPr>
            </w:pPr>
          </w:p>
        </w:tc>
      </w:tr>
      <w:tr w14:paraId="42416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39" w:type="dxa"/>
            <w:vMerge w:val="continue"/>
            <w:tcBorders>
              <w:top w:val="nil"/>
              <w:bottom w:val="nil"/>
            </w:tcBorders>
            <w:vAlign w:val="top"/>
          </w:tcPr>
          <w:p w14:paraId="4505DA2B">
            <w:pPr>
              <w:rPr>
                <w:rFonts w:ascii="Arial"/>
                <w:sz w:val="21"/>
              </w:rPr>
            </w:pPr>
          </w:p>
        </w:tc>
        <w:tc>
          <w:tcPr>
            <w:tcW w:w="535" w:type="dxa"/>
            <w:vMerge w:val="continue"/>
            <w:tcBorders>
              <w:top w:val="nil"/>
            </w:tcBorders>
            <w:vAlign w:val="top"/>
          </w:tcPr>
          <w:p w14:paraId="7DBD9CF7">
            <w:pPr>
              <w:rPr>
                <w:rFonts w:ascii="Arial"/>
                <w:sz w:val="21"/>
              </w:rPr>
            </w:pPr>
          </w:p>
        </w:tc>
        <w:tc>
          <w:tcPr>
            <w:tcW w:w="1595" w:type="dxa"/>
            <w:vAlign w:val="center"/>
          </w:tcPr>
          <w:p w14:paraId="69D65611">
            <w:pPr>
              <w:pStyle w:val="20"/>
              <w:spacing w:before="32" w:line="230" w:lineRule="auto"/>
              <w:ind w:firstLine="756" w:firstLineChars="700"/>
              <w:jc w:val="center"/>
            </w:pPr>
            <w:r>
              <w:rPr>
                <w:spacing w:val="4"/>
              </w:rPr>
              <w:t>执行进度</w:t>
            </w:r>
          </w:p>
        </w:tc>
        <w:tc>
          <w:tcPr>
            <w:tcW w:w="559" w:type="dxa"/>
            <w:vAlign w:val="center"/>
          </w:tcPr>
          <w:p w14:paraId="1AC5F787">
            <w:pPr>
              <w:spacing w:line="340" w:lineRule="auto"/>
              <w:jc w:val="left"/>
              <w:rPr>
                <w:rFonts w:ascii="Arial"/>
                <w:sz w:val="21"/>
              </w:rPr>
            </w:pPr>
          </w:p>
          <w:p w14:paraId="22AE9D48">
            <w:pPr>
              <w:pStyle w:val="20"/>
              <w:spacing w:before="33" w:line="189" w:lineRule="auto"/>
              <w:ind w:left="257"/>
              <w:jc w:val="left"/>
            </w:pPr>
            <w:r>
              <w:t>5</w:t>
            </w:r>
          </w:p>
        </w:tc>
        <w:tc>
          <w:tcPr>
            <w:tcW w:w="2632" w:type="dxa"/>
            <w:vAlign w:val="top"/>
          </w:tcPr>
          <w:p w14:paraId="1009A968">
            <w:pPr>
              <w:pStyle w:val="20"/>
              <w:spacing w:before="33" w:line="228" w:lineRule="auto"/>
              <w:rPr>
                <w:spacing w:val="5"/>
              </w:rPr>
            </w:pPr>
          </w:p>
          <w:p w14:paraId="0564AB3C">
            <w:pPr>
              <w:pStyle w:val="20"/>
              <w:spacing w:before="33" w:line="228" w:lineRule="auto"/>
              <w:rPr>
                <w:spacing w:val="5"/>
              </w:rPr>
            </w:pPr>
          </w:p>
          <w:p w14:paraId="312873B0">
            <w:pPr>
              <w:pStyle w:val="20"/>
              <w:spacing w:before="33" w:line="228" w:lineRule="auto"/>
            </w:pPr>
            <w:r>
              <w:rPr>
                <w:spacing w:val="5"/>
              </w:rPr>
              <w:t>评价部门在6、9、11月的预算执行情况。</w:t>
            </w:r>
          </w:p>
        </w:tc>
        <w:tc>
          <w:tcPr>
            <w:tcW w:w="6109" w:type="dxa"/>
            <w:vAlign w:val="top"/>
          </w:tcPr>
          <w:p w14:paraId="3E9AE43B">
            <w:pPr>
              <w:pStyle w:val="20"/>
              <w:spacing w:before="96" w:line="237" w:lineRule="auto"/>
              <w:ind w:left="26" w:right="65" w:hanging="6"/>
            </w:pPr>
            <w:r>
              <w:rPr>
                <w:spacing w:val="5"/>
              </w:rPr>
              <w:t>部门预算执行进度在</w:t>
            </w:r>
            <w:r>
              <w:rPr>
                <w:spacing w:val="-23"/>
              </w:rPr>
              <w:t xml:space="preserve"> </w:t>
            </w:r>
            <w:r>
              <w:rPr>
                <w:spacing w:val="5"/>
              </w:rPr>
              <w:t>6、9、11月应达到序时进度的80%、</w:t>
            </w:r>
            <w:r>
              <w:rPr>
                <w:spacing w:val="4"/>
              </w:rPr>
              <w:t>90%、90%，</w:t>
            </w:r>
            <w:r>
              <w:t xml:space="preserve"> </w:t>
            </w:r>
            <w:r>
              <w:rPr>
                <w:spacing w:val="4"/>
              </w:rPr>
              <w:t>即实际支出进度分别达到</w:t>
            </w:r>
            <w:r>
              <w:rPr>
                <w:spacing w:val="-19"/>
              </w:rPr>
              <w:t xml:space="preserve"> </w:t>
            </w:r>
            <w:r>
              <w:rPr>
                <w:spacing w:val="4"/>
              </w:rPr>
              <w:t>40%、67.5%、82.5</w:t>
            </w:r>
            <w:r>
              <w:rPr>
                <w:spacing w:val="3"/>
              </w:rPr>
              <w:t>%。</w:t>
            </w:r>
          </w:p>
          <w:p w14:paraId="66E98C2A">
            <w:pPr>
              <w:pStyle w:val="20"/>
              <w:spacing w:before="4" w:line="230" w:lineRule="auto"/>
              <w:ind w:left="19"/>
            </w:pPr>
            <w:r>
              <w:rPr>
                <w:spacing w:val="5"/>
              </w:rPr>
              <w:t>6、9、11月部门预算执行进度达到量化指标的分别得 1分、</w:t>
            </w:r>
            <w:r>
              <w:rPr>
                <w:spacing w:val="4"/>
              </w:rPr>
              <w:t>2分、</w:t>
            </w:r>
          </w:p>
          <w:p w14:paraId="3BA16E48">
            <w:pPr>
              <w:pStyle w:val="20"/>
              <w:spacing w:before="7" w:line="230" w:lineRule="auto"/>
              <w:ind w:left="20"/>
            </w:pPr>
            <w:r>
              <w:rPr>
                <w:spacing w:val="5"/>
              </w:rPr>
              <w:t>2分，未达到目标进度</w:t>
            </w:r>
            <w:r>
              <w:rPr>
                <w:rFonts w:hint="eastAsia"/>
                <w:spacing w:val="5"/>
                <w:lang w:eastAsia="zh-CN"/>
              </w:rPr>
              <w:t>的</w:t>
            </w:r>
            <w:r>
              <w:rPr>
                <w:spacing w:val="5"/>
              </w:rPr>
              <w:t>按其实际进度占目标进度的比重计算得分</w:t>
            </w:r>
          </w:p>
          <w:p w14:paraId="7C7E0E0A">
            <w:pPr>
              <w:pStyle w:val="20"/>
              <w:spacing w:before="75" w:line="52" w:lineRule="exact"/>
              <w:ind w:left="29"/>
            </w:pPr>
            <w:r>
              <w:rPr>
                <w:position w:val="1"/>
              </w:rPr>
              <w:t>。</w:t>
            </w:r>
          </w:p>
        </w:tc>
        <w:tc>
          <w:tcPr>
            <w:tcW w:w="510" w:type="dxa"/>
            <w:vAlign w:val="center"/>
          </w:tcPr>
          <w:p w14:paraId="2E110133">
            <w:pPr>
              <w:spacing w:line="323" w:lineRule="auto"/>
              <w:jc w:val="center"/>
              <w:rPr>
                <w:rFonts w:ascii="Arial"/>
                <w:sz w:val="21"/>
              </w:rPr>
            </w:pPr>
          </w:p>
          <w:p w14:paraId="60DB3D61">
            <w:pPr>
              <w:pStyle w:val="20"/>
              <w:spacing w:before="33" w:line="134" w:lineRule="exact"/>
              <w:ind w:left="236"/>
              <w:jc w:val="center"/>
            </w:pPr>
            <w:r>
              <w:t>√</w:t>
            </w:r>
          </w:p>
        </w:tc>
        <w:tc>
          <w:tcPr>
            <w:tcW w:w="420" w:type="dxa"/>
            <w:vAlign w:val="center"/>
          </w:tcPr>
          <w:p w14:paraId="56BA4F94">
            <w:pPr>
              <w:jc w:val="center"/>
              <w:rPr>
                <w:rFonts w:ascii="Arial"/>
                <w:sz w:val="21"/>
              </w:rPr>
            </w:pPr>
          </w:p>
        </w:tc>
        <w:tc>
          <w:tcPr>
            <w:tcW w:w="240" w:type="dxa"/>
            <w:vAlign w:val="center"/>
          </w:tcPr>
          <w:p w14:paraId="31A96987">
            <w:pPr>
              <w:jc w:val="center"/>
              <w:rPr>
                <w:rFonts w:ascii="Arial"/>
                <w:sz w:val="21"/>
              </w:rPr>
            </w:pPr>
          </w:p>
        </w:tc>
        <w:tc>
          <w:tcPr>
            <w:tcW w:w="675" w:type="dxa"/>
            <w:vAlign w:val="center"/>
          </w:tcPr>
          <w:p w14:paraId="1B9F404B">
            <w:pPr>
              <w:spacing w:line="323" w:lineRule="auto"/>
              <w:jc w:val="center"/>
              <w:rPr>
                <w:rFonts w:ascii="Arial"/>
                <w:sz w:val="21"/>
              </w:rPr>
            </w:pPr>
          </w:p>
          <w:p w14:paraId="5DD01BB3">
            <w:pPr>
              <w:pStyle w:val="20"/>
              <w:spacing w:before="33" w:line="134" w:lineRule="exact"/>
              <w:ind w:left="263"/>
              <w:jc w:val="center"/>
            </w:pPr>
            <w:r>
              <w:t>√</w:t>
            </w:r>
          </w:p>
        </w:tc>
        <w:tc>
          <w:tcPr>
            <w:tcW w:w="795" w:type="dxa"/>
            <w:shd w:val="clear" w:color="auto" w:fill="FDE9D9"/>
            <w:vAlign w:val="center"/>
          </w:tcPr>
          <w:p w14:paraId="4CB215DC">
            <w:pPr>
              <w:spacing w:line="340" w:lineRule="auto"/>
              <w:jc w:val="center"/>
              <w:rPr>
                <w:rFonts w:ascii="Arial"/>
                <w:sz w:val="21"/>
              </w:rPr>
            </w:pPr>
          </w:p>
          <w:p w14:paraId="1B747E41">
            <w:pPr>
              <w:pStyle w:val="20"/>
              <w:spacing w:before="32" w:line="190" w:lineRule="auto"/>
              <w:ind w:left="268"/>
              <w:jc w:val="center"/>
            </w:pPr>
            <w:r>
              <w:t>3</w:t>
            </w:r>
          </w:p>
        </w:tc>
        <w:tc>
          <w:tcPr>
            <w:tcW w:w="930" w:type="dxa"/>
            <w:vAlign w:val="top"/>
          </w:tcPr>
          <w:p w14:paraId="759A93D4">
            <w:pPr>
              <w:rPr>
                <w:rFonts w:ascii="Arial"/>
                <w:sz w:val="21"/>
              </w:rPr>
            </w:pPr>
          </w:p>
        </w:tc>
      </w:tr>
      <w:tr w14:paraId="2E5F8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39" w:type="dxa"/>
            <w:vMerge w:val="continue"/>
            <w:tcBorders>
              <w:top w:val="nil"/>
              <w:bottom w:val="nil"/>
            </w:tcBorders>
            <w:vAlign w:val="top"/>
          </w:tcPr>
          <w:p w14:paraId="57EE95B5">
            <w:pPr>
              <w:rPr>
                <w:rFonts w:ascii="Arial"/>
                <w:sz w:val="21"/>
              </w:rPr>
            </w:pPr>
          </w:p>
        </w:tc>
        <w:tc>
          <w:tcPr>
            <w:tcW w:w="535" w:type="dxa"/>
            <w:vMerge w:val="restart"/>
            <w:tcBorders>
              <w:bottom w:val="nil"/>
            </w:tcBorders>
            <w:vAlign w:val="top"/>
          </w:tcPr>
          <w:p w14:paraId="66391345">
            <w:pPr>
              <w:spacing w:line="331" w:lineRule="auto"/>
              <w:rPr>
                <w:rFonts w:ascii="Arial"/>
                <w:sz w:val="21"/>
              </w:rPr>
            </w:pPr>
          </w:p>
          <w:p w14:paraId="2313DB4B">
            <w:pPr>
              <w:pStyle w:val="20"/>
              <w:spacing w:before="32" w:line="237" w:lineRule="auto"/>
              <w:ind w:left="57" w:right="58" w:hanging="4"/>
            </w:pPr>
            <w:r>
              <w:rPr>
                <w:spacing w:val="4"/>
              </w:rPr>
              <w:t>完成结果</w:t>
            </w:r>
            <w:r>
              <w:t xml:space="preserve"> </w:t>
            </w:r>
            <w:r>
              <w:rPr>
                <w:spacing w:val="2"/>
              </w:rPr>
              <w:t>（10分）</w:t>
            </w:r>
          </w:p>
        </w:tc>
        <w:tc>
          <w:tcPr>
            <w:tcW w:w="1595" w:type="dxa"/>
            <w:vAlign w:val="top"/>
          </w:tcPr>
          <w:p w14:paraId="4C37282D">
            <w:pPr>
              <w:pStyle w:val="20"/>
              <w:spacing w:before="214" w:line="230" w:lineRule="auto"/>
              <w:ind w:left="156"/>
            </w:pPr>
            <w:r>
              <w:rPr>
                <w:spacing w:val="6"/>
              </w:rPr>
              <w:t>资金结余率（低效无效率）</w:t>
            </w:r>
          </w:p>
        </w:tc>
        <w:tc>
          <w:tcPr>
            <w:tcW w:w="559" w:type="dxa"/>
            <w:vAlign w:val="center"/>
          </w:tcPr>
          <w:p w14:paraId="5D10D141">
            <w:pPr>
              <w:pStyle w:val="20"/>
              <w:spacing w:before="232" w:line="189" w:lineRule="auto"/>
              <w:ind w:left="257"/>
              <w:jc w:val="left"/>
            </w:pPr>
            <w:r>
              <w:t>5</w:t>
            </w:r>
          </w:p>
        </w:tc>
        <w:tc>
          <w:tcPr>
            <w:tcW w:w="2632" w:type="dxa"/>
            <w:vAlign w:val="top"/>
          </w:tcPr>
          <w:p w14:paraId="6DD357E4">
            <w:pPr>
              <w:pStyle w:val="20"/>
              <w:spacing w:before="214" w:line="228" w:lineRule="auto"/>
              <w:ind w:left="17"/>
            </w:pPr>
            <w:r>
              <w:rPr>
                <w:spacing w:val="5"/>
              </w:rPr>
              <w:t>评价部门预算项目年终资金结余情况</w:t>
            </w:r>
            <w:r>
              <w:rPr>
                <w:spacing w:val="-11"/>
              </w:rPr>
              <w:t xml:space="preserve"> </w:t>
            </w:r>
            <w:r>
              <w:rPr>
                <w:spacing w:val="5"/>
              </w:rPr>
              <w:t>。</w:t>
            </w:r>
          </w:p>
        </w:tc>
        <w:tc>
          <w:tcPr>
            <w:tcW w:w="6109" w:type="dxa"/>
            <w:vAlign w:val="top"/>
          </w:tcPr>
          <w:p w14:paraId="5DD11885">
            <w:pPr>
              <w:pStyle w:val="20"/>
              <w:spacing w:before="214" w:line="230" w:lineRule="auto"/>
              <w:ind w:left="20"/>
            </w:pPr>
            <w:r>
              <w:rPr>
                <w:spacing w:val="5"/>
              </w:rPr>
              <w:t>部门预算项目资金结余率小于</w:t>
            </w:r>
            <w:r>
              <w:rPr>
                <w:spacing w:val="-14"/>
              </w:rPr>
              <w:t xml:space="preserve"> </w:t>
            </w:r>
            <w:r>
              <w:rPr>
                <w:spacing w:val="5"/>
              </w:rPr>
              <w:t>0.1的项目数/部门预算项目总</w:t>
            </w:r>
            <w:r>
              <w:rPr>
                <w:spacing w:val="4"/>
              </w:rPr>
              <w:t>数</w:t>
            </w:r>
            <w:r>
              <w:rPr>
                <w:spacing w:val="-27"/>
              </w:rPr>
              <w:t xml:space="preserve"> </w:t>
            </w:r>
            <w:r>
              <w:rPr>
                <w:spacing w:val="4"/>
              </w:rPr>
              <w:t>*5。</w:t>
            </w:r>
          </w:p>
        </w:tc>
        <w:tc>
          <w:tcPr>
            <w:tcW w:w="510" w:type="dxa"/>
            <w:vAlign w:val="center"/>
          </w:tcPr>
          <w:p w14:paraId="146E6CD8">
            <w:pPr>
              <w:pStyle w:val="20"/>
              <w:spacing w:before="214" w:line="135" w:lineRule="exact"/>
              <w:ind w:left="236"/>
              <w:jc w:val="center"/>
            </w:pPr>
            <w:r>
              <w:t>√</w:t>
            </w:r>
          </w:p>
        </w:tc>
        <w:tc>
          <w:tcPr>
            <w:tcW w:w="420" w:type="dxa"/>
            <w:vAlign w:val="center"/>
          </w:tcPr>
          <w:p w14:paraId="542FC4F4">
            <w:pPr>
              <w:jc w:val="center"/>
              <w:rPr>
                <w:rFonts w:ascii="Arial"/>
                <w:sz w:val="21"/>
              </w:rPr>
            </w:pPr>
          </w:p>
        </w:tc>
        <w:tc>
          <w:tcPr>
            <w:tcW w:w="240" w:type="dxa"/>
            <w:vAlign w:val="center"/>
          </w:tcPr>
          <w:p w14:paraId="00E22873">
            <w:pPr>
              <w:jc w:val="center"/>
              <w:rPr>
                <w:rFonts w:ascii="Arial"/>
                <w:sz w:val="21"/>
              </w:rPr>
            </w:pPr>
          </w:p>
        </w:tc>
        <w:tc>
          <w:tcPr>
            <w:tcW w:w="675" w:type="dxa"/>
            <w:vAlign w:val="center"/>
          </w:tcPr>
          <w:p w14:paraId="2C36F2E8">
            <w:pPr>
              <w:pStyle w:val="20"/>
              <w:spacing w:before="214" w:line="135" w:lineRule="exact"/>
              <w:ind w:left="263"/>
              <w:jc w:val="center"/>
            </w:pPr>
            <w:r>
              <w:t>√</w:t>
            </w:r>
          </w:p>
        </w:tc>
        <w:tc>
          <w:tcPr>
            <w:tcW w:w="795" w:type="dxa"/>
            <w:shd w:val="clear" w:color="auto" w:fill="FDE9D9"/>
            <w:vAlign w:val="center"/>
          </w:tcPr>
          <w:p w14:paraId="07177352">
            <w:pPr>
              <w:pStyle w:val="20"/>
              <w:spacing w:before="232" w:line="189" w:lineRule="auto"/>
              <w:ind w:left="268"/>
              <w:jc w:val="center"/>
            </w:pPr>
            <w:r>
              <w:t>5</w:t>
            </w:r>
          </w:p>
        </w:tc>
        <w:tc>
          <w:tcPr>
            <w:tcW w:w="930" w:type="dxa"/>
            <w:vAlign w:val="top"/>
          </w:tcPr>
          <w:p w14:paraId="0A488807">
            <w:pPr>
              <w:rPr>
                <w:rFonts w:ascii="Arial"/>
                <w:sz w:val="21"/>
              </w:rPr>
            </w:pPr>
          </w:p>
        </w:tc>
      </w:tr>
      <w:tr w14:paraId="0929F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539" w:type="dxa"/>
            <w:vMerge w:val="continue"/>
            <w:tcBorders>
              <w:top w:val="nil"/>
            </w:tcBorders>
            <w:vAlign w:val="top"/>
          </w:tcPr>
          <w:p w14:paraId="6E842392">
            <w:pPr>
              <w:rPr>
                <w:rFonts w:ascii="Arial"/>
                <w:sz w:val="21"/>
              </w:rPr>
            </w:pPr>
          </w:p>
        </w:tc>
        <w:tc>
          <w:tcPr>
            <w:tcW w:w="535" w:type="dxa"/>
            <w:vMerge w:val="continue"/>
            <w:tcBorders>
              <w:top w:val="nil"/>
            </w:tcBorders>
            <w:vAlign w:val="top"/>
          </w:tcPr>
          <w:p w14:paraId="5132C91D">
            <w:pPr>
              <w:rPr>
                <w:rFonts w:ascii="Arial"/>
                <w:sz w:val="21"/>
              </w:rPr>
            </w:pPr>
          </w:p>
        </w:tc>
        <w:tc>
          <w:tcPr>
            <w:tcW w:w="1595" w:type="dxa"/>
            <w:vAlign w:val="top"/>
          </w:tcPr>
          <w:p w14:paraId="65DE85CC">
            <w:pPr>
              <w:pStyle w:val="20"/>
              <w:spacing w:before="169" w:line="232" w:lineRule="auto"/>
              <w:ind w:left="583"/>
            </w:pPr>
            <w:r>
              <w:rPr>
                <w:spacing w:val="4"/>
              </w:rPr>
              <w:t>违规记录</w:t>
            </w:r>
          </w:p>
        </w:tc>
        <w:tc>
          <w:tcPr>
            <w:tcW w:w="559" w:type="dxa"/>
            <w:vAlign w:val="center"/>
          </w:tcPr>
          <w:p w14:paraId="14577A6E">
            <w:pPr>
              <w:pStyle w:val="20"/>
              <w:spacing w:before="186" w:line="189" w:lineRule="auto"/>
              <w:ind w:left="257"/>
              <w:jc w:val="left"/>
            </w:pPr>
            <w:r>
              <w:t>5</w:t>
            </w:r>
          </w:p>
        </w:tc>
        <w:tc>
          <w:tcPr>
            <w:tcW w:w="2632" w:type="dxa"/>
            <w:vAlign w:val="top"/>
          </w:tcPr>
          <w:p w14:paraId="68FC6798">
            <w:pPr>
              <w:pStyle w:val="20"/>
              <w:spacing w:before="101" w:line="237" w:lineRule="auto"/>
              <w:ind w:left="18" w:right="61"/>
            </w:pPr>
            <w:r>
              <w:rPr>
                <w:spacing w:val="5"/>
              </w:rPr>
              <w:t>根据审计监督</w:t>
            </w:r>
            <w:r>
              <w:rPr>
                <w:spacing w:val="-24"/>
              </w:rPr>
              <w:t xml:space="preserve"> </w:t>
            </w:r>
            <w:r>
              <w:rPr>
                <w:spacing w:val="5"/>
              </w:rPr>
              <w:t>、财会监督和部门自查结果反映部门上一</w:t>
            </w:r>
            <w:r>
              <w:t xml:space="preserve"> </w:t>
            </w:r>
            <w:r>
              <w:rPr>
                <w:spacing w:val="5"/>
              </w:rPr>
              <w:t>年度部门预算管理是否存在相关问题</w:t>
            </w:r>
            <w:r>
              <w:rPr>
                <w:spacing w:val="-11"/>
              </w:rPr>
              <w:t xml:space="preserve"> </w:t>
            </w:r>
            <w:r>
              <w:rPr>
                <w:spacing w:val="5"/>
              </w:rPr>
              <w:t>。</w:t>
            </w:r>
          </w:p>
        </w:tc>
        <w:tc>
          <w:tcPr>
            <w:tcW w:w="6109" w:type="dxa"/>
            <w:vAlign w:val="top"/>
          </w:tcPr>
          <w:p w14:paraId="7577C969">
            <w:pPr>
              <w:pStyle w:val="20"/>
              <w:spacing w:before="36" w:line="234" w:lineRule="auto"/>
              <w:ind w:left="18" w:right="103" w:firstLine="1"/>
              <w:jc w:val="both"/>
            </w:pPr>
            <w:r>
              <w:rPr>
                <w:spacing w:val="5"/>
              </w:rPr>
              <w:t>依据评价年度审计监督</w:t>
            </w:r>
            <w:r>
              <w:rPr>
                <w:spacing w:val="-14"/>
              </w:rPr>
              <w:t xml:space="preserve"> </w:t>
            </w:r>
            <w:r>
              <w:rPr>
                <w:spacing w:val="5"/>
              </w:rPr>
              <w:t>、财会监督和部门自查</w:t>
            </w:r>
            <w:r>
              <w:rPr>
                <w:spacing w:val="4"/>
              </w:rPr>
              <w:t>结果</w:t>
            </w:r>
            <w:r>
              <w:rPr>
                <w:spacing w:val="-11"/>
              </w:rPr>
              <w:t xml:space="preserve"> </w:t>
            </w:r>
            <w:r>
              <w:rPr>
                <w:spacing w:val="4"/>
              </w:rPr>
              <w:t>，出现未落实党</w:t>
            </w:r>
            <w:r>
              <w:t xml:space="preserve"> </w:t>
            </w:r>
            <w:r>
              <w:rPr>
                <w:spacing w:val="4"/>
              </w:rPr>
              <w:t>政机关过紧日子相关要求</w:t>
            </w:r>
            <w:r>
              <w:rPr>
                <w:spacing w:val="-3"/>
              </w:rPr>
              <w:t xml:space="preserve"> </w:t>
            </w:r>
            <w:r>
              <w:rPr>
                <w:spacing w:val="4"/>
              </w:rPr>
              <w:t>，</w:t>
            </w:r>
            <w:r>
              <w:rPr>
                <w:spacing w:val="-27"/>
              </w:rPr>
              <w:t xml:space="preserve"> </w:t>
            </w:r>
            <w:r>
              <w:rPr>
                <w:spacing w:val="4"/>
              </w:rPr>
              <w:t>以及部门预算管理方面违纪违规等问题</w:t>
            </w:r>
            <w:r>
              <w:t xml:space="preserve"> </w:t>
            </w:r>
            <w:r>
              <w:rPr>
                <w:spacing w:val="5"/>
              </w:rPr>
              <w:t>的，每个问题扣0.5分，直至扣完。</w:t>
            </w:r>
          </w:p>
        </w:tc>
        <w:tc>
          <w:tcPr>
            <w:tcW w:w="510" w:type="dxa"/>
            <w:vAlign w:val="center"/>
          </w:tcPr>
          <w:p w14:paraId="0FD52AFF">
            <w:pPr>
              <w:pStyle w:val="20"/>
              <w:spacing w:before="169" w:line="134" w:lineRule="exact"/>
              <w:ind w:left="236"/>
              <w:jc w:val="center"/>
            </w:pPr>
            <w:r>
              <w:t>√</w:t>
            </w:r>
          </w:p>
        </w:tc>
        <w:tc>
          <w:tcPr>
            <w:tcW w:w="420" w:type="dxa"/>
            <w:vAlign w:val="center"/>
          </w:tcPr>
          <w:p w14:paraId="67C73488">
            <w:pPr>
              <w:jc w:val="center"/>
              <w:rPr>
                <w:rFonts w:ascii="Arial"/>
                <w:sz w:val="21"/>
              </w:rPr>
            </w:pPr>
          </w:p>
        </w:tc>
        <w:tc>
          <w:tcPr>
            <w:tcW w:w="240" w:type="dxa"/>
            <w:vAlign w:val="center"/>
          </w:tcPr>
          <w:p w14:paraId="385B2451">
            <w:pPr>
              <w:pStyle w:val="20"/>
              <w:spacing w:before="169" w:line="134" w:lineRule="exact"/>
              <w:ind w:left="288"/>
              <w:jc w:val="center"/>
            </w:pPr>
            <w:r>
              <w:t>√</w:t>
            </w:r>
          </w:p>
        </w:tc>
        <w:tc>
          <w:tcPr>
            <w:tcW w:w="675" w:type="dxa"/>
            <w:vAlign w:val="center"/>
          </w:tcPr>
          <w:p w14:paraId="12AD0DBE">
            <w:pPr>
              <w:pStyle w:val="20"/>
              <w:spacing w:before="169" w:line="134" w:lineRule="exact"/>
              <w:ind w:left="263"/>
              <w:jc w:val="center"/>
            </w:pPr>
            <w:r>
              <w:t>√</w:t>
            </w:r>
          </w:p>
        </w:tc>
        <w:tc>
          <w:tcPr>
            <w:tcW w:w="795" w:type="dxa"/>
            <w:shd w:val="clear" w:color="auto" w:fill="FDE9D9"/>
            <w:vAlign w:val="center"/>
          </w:tcPr>
          <w:p w14:paraId="68CAD9CC">
            <w:pPr>
              <w:pStyle w:val="20"/>
              <w:spacing w:before="186" w:line="189" w:lineRule="auto"/>
              <w:ind w:left="268"/>
              <w:jc w:val="center"/>
            </w:pPr>
            <w:r>
              <w:t>5</w:t>
            </w:r>
          </w:p>
        </w:tc>
        <w:tc>
          <w:tcPr>
            <w:tcW w:w="930" w:type="dxa"/>
            <w:vAlign w:val="top"/>
          </w:tcPr>
          <w:p w14:paraId="7FE6F25D">
            <w:pPr>
              <w:rPr>
                <w:rFonts w:ascii="Arial"/>
                <w:sz w:val="21"/>
              </w:rPr>
            </w:pPr>
          </w:p>
        </w:tc>
      </w:tr>
      <w:tr w14:paraId="6DA7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539" w:type="dxa"/>
            <w:vMerge w:val="restart"/>
            <w:tcBorders>
              <w:bottom w:val="nil"/>
            </w:tcBorders>
            <w:vAlign w:val="top"/>
          </w:tcPr>
          <w:p w14:paraId="412D3B25">
            <w:pPr>
              <w:spacing w:line="305" w:lineRule="auto"/>
              <w:rPr>
                <w:rFonts w:ascii="Arial"/>
                <w:sz w:val="21"/>
              </w:rPr>
            </w:pPr>
          </w:p>
          <w:p w14:paraId="31B5B925">
            <w:pPr>
              <w:spacing w:line="305" w:lineRule="auto"/>
              <w:rPr>
                <w:rFonts w:ascii="Arial"/>
                <w:sz w:val="21"/>
              </w:rPr>
            </w:pPr>
          </w:p>
          <w:p w14:paraId="4ED66472">
            <w:pPr>
              <w:spacing w:line="306" w:lineRule="auto"/>
              <w:rPr>
                <w:rFonts w:ascii="Arial"/>
                <w:sz w:val="21"/>
              </w:rPr>
            </w:pPr>
          </w:p>
          <w:p w14:paraId="1F307097">
            <w:pPr>
              <w:pStyle w:val="20"/>
              <w:spacing w:before="32" w:line="230" w:lineRule="auto"/>
              <w:ind w:left="58"/>
            </w:pPr>
            <w:r>
              <w:rPr>
                <w:spacing w:val="4"/>
              </w:rPr>
              <w:t>绩效结果</w:t>
            </w:r>
          </w:p>
          <w:p w14:paraId="1133E8B2">
            <w:pPr>
              <w:pStyle w:val="20"/>
              <w:spacing w:before="7" w:line="237" w:lineRule="auto"/>
              <w:ind w:left="165" w:right="51" w:hanging="109"/>
            </w:pPr>
            <w:r>
              <w:rPr>
                <w:spacing w:val="5"/>
              </w:rPr>
              <w:t>应用（30</w:t>
            </w:r>
            <w:r>
              <w:t xml:space="preserve"> 分）</w:t>
            </w:r>
          </w:p>
        </w:tc>
        <w:tc>
          <w:tcPr>
            <w:tcW w:w="535" w:type="dxa"/>
            <w:vAlign w:val="top"/>
          </w:tcPr>
          <w:p w14:paraId="7C8F8417">
            <w:pPr>
              <w:pStyle w:val="20"/>
              <w:spacing w:before="164" w:line="235" w:lineRule="auto"/>
              <w:ind w:left="58" w:right="58" w:firstLine="7"/>
            </w:pPr>
            <w:r>
              <w:rPr>
                <w:spacing w:val="1"/>
              </w:rPr>
              <w:t>内部应用</w:t>
            </w:r>
            <w:r>
              <w:t xml:space="preserve"> </w:t>
            </w:r>
            <w:r>
              <w:rPr>
                <w:spacing w:val="2"/>
              </w:rPr>
              <w:t>（10分）</w:t>
            </w:r>
          </w:p>
        </w:tc>
        <w:tc>
          <w:tcPr>
            <w:tcW w:w="1595" w:type="dxa"/>
            <w:vAlign w:val="top"/>
          </w:tcPr>
          <w:p w14:paraId="77CA80C3">
            <w:pPr>
              <w:pStyle w:val="20"/>
              <w:spacing w:before="229" w:line="230" w:lineRule="auto"/>
              <w:ind w:left="584"/>
            </w:pPr>
            <w:r>
              <w:rPr>
                <w:spacing w:val="4"/>
              </w:rPr>
              <w:t>预算挂钩</w:t>
            </w:r>
          </w:p>
        </w:tc>
        <w:tc>
          <w:tcPr>
            <w:tcW w:w="559" w:type="dxa"/>
            <w:vAlign w:val="center"/>
          </w:tcPr>
          <w:p w14:paraId="3DD4EBE5">
            <w:pPr>
              <w:pStyle w:val="20"/>
              <w:spacing w:before="245" w:line="191" w:lineRule="auto"/>
              <w:ind w:left="237"/>
              <w:jc w:val="left"/>
            </w:pPr>
            <w:r>
              <w:rPr>
                <w:spacing w:val="-4"/>
              </w:rPr>
              <w:t>10</w:t>
            </w:r>
          </w:p>
        </w:tc>
        <w:tc>
          <w:tcPr>
            <w:tcW w:w="2632" w:type="dxa"/>
            <w:vAlign w:val="top"/>
          </w:tcPr>
          <w:p w14:paraId="776CB21B">
            <w:pPr>
              <w:pStyle w:val="20"/>
              <w:spacing w:before="229" w:line="230" w:lineRule="auto"/>
              <w:ind w:left="19"/>
            </w:pPr>
            <w:r>
              <w:rPr>
                <w:spacing w:val="5"/>
              </w:rPr>
              <w:t>部门内部绩效结果与预算挂钩情况</w:t>
            </w:r>
          </w:p>
        </w:tc>
        <w:tc>
          <w:tcPr>
            <w:tcW w:w="6109" w:type="dxa"/>
            <w:vAlign w:val="top"/>
          </w:tcPr>
          <w:p w14:paraId="196A0237">
            <w:pPr>
              <w:pStyle w:val="20"/>
              <w:spacing w:before="97" w:line="239" w:lineRule="auto"/>
              <w:ind w:left="18" w:right="38"/>
              <w:jc w:val="both"/>
            </w:pPr>
            <w:r>
              <w:rPr>
                <w:spacing w:val="5"/>
              </w:rPr>
              <w:t>将内设机构和下属单位绩效自评情况纳入内部考核体系</w:t>
            </w:r>
            <w:r>
              <w:rPr>
                <w:spacing w:val="27"/>
                <w:w w:val="101"/>
              </w:rPr>
              <w:t xml:space="preserve"> </w:t>
            </w:r>
            <w:r>
              <w:rPr>
                <w:spacing w:val="5"/>
              </w:rPr>
              <w:t>，得5分；建</w:t>
            </w:r>
            <w:r>
              <w:t xml:space="preserve"> </w:t>
            </w:r>
            <w:r>
              <w:rPr>
                <w:spacing w:val="5"/>
              </w:rPr>
              <w:t>立对内设机构和下属单位预算与绩效挂钩机制的 ，得5分；否则酌情</w:t>
            </w:r>
            <w:r>
              <w:rPr>
                <w:spacing w:val="14"/>
                <w:w w:val="101"/>
              </w:rPr>
              <w:t xml:space="preserve"> </w:t>
            </w:r>
            <w:r>
              <w:rPr>
                <w:spacing w:val="2"/>
              </w:rPr>
              <w:t>扣分。</w:t>
            </w:r>
          </w:p>
        </w:tc>
        <w:tc>
          <w:tcPr>
            <w:tcW w:w="510" w:type="dxa"/>
            <w:vAlign w:val="center"/>
          </w:tcPr>
          <w:p w14:paraId="63D7EC0B">
            <w:pPr>
              <w:pStyle w:val="20"/>
              <w:spacing w:before="229" w:line="135" w:lineRule="exact"/>
              <w:ind w:left="236"/>
              <w:jc w:val="center"/>
            </w:pPr>
            <w:r>
              <w:t>√</w:t>
            </w:r>
          </w:p>
        </w:tc>
        <w:tc>
          <w:tcPr>
            <w:tcW w:w="420" w:type="dxa"/>
            <w:vAlign w:val="center"/>
          </w:tcPr>
          <w:p w14:paraId="21CC4371">
            <w:pPr>
              <w:jc w:val="center"/>
              <w:rPr>
                <w:rFonts w:ascii="Arial"/>
                <w:sz w:val="21"/>
              </w:rPr>
            </w:pPr>
          </w:p>
        </w:tc>
        <w:tc>
          <w:tcPr>
            <w:tcW w:w="240" w:type="dxa"/>
            <w:vAlign w:val="center"/>
          </w:tcPr>
          <w:p w14:paraId="0253259F">
            <w:pPr>
              <w:pStyle w:val="20"/>
              <w:spacing w:before="229" w:line="135" w:lineRule="exact"/>
              <w:ind w:left="288"/>
              <w:jc w:val="center"/>
            </w:pPr>
            <w:r>
              <w:t>√</w:t>
            </w:r>
          </w:p>
        </w:tc>
        <w:tc>
          <w:tcPr>
            <w:tcW w:w="675" w:type="dxa"/>
            <w:vAlign w:val="center"/>
          </w:tcPr>
          <w:p w14:paraId="3FFD2749">
            <w:pPr>
              <w:jc w:val="center"/>
              <w:rPr>
                <w:rFonts w:ascii="Arial"/>
                <w:sz w:val="21"/>
              </w:rPr>
            </w:pPr>
          </w:p>
        </w:tc>
        <w:tc>
          <w:tcPr>
            <w:tcW w:w="795" w:type="dxa"/>
            <w:shd w:val="clear" w:color="auto" w:fill="FDE9D9"/>
            <w:vAlign w:val="center"/>
          </w:tcPr>
          <w:p w14:paraId="3815FE2C">
            <w:pPr>
              <w:pStyle w:val="20"/>
              <w:spacing w:before="246" w:line="190" w:lineRule="auto"/>
              <w:ind w:left="266"/>
              <w:jc w:val="center"/>
            </w:pPr>
            <w:r>
              <w:t>9</w:t>
            </w:r>
          </w:p>
        </w:tc>
        <w:tc>
          <w:tcPr>
            <w:tcW w:w="930" w:type="dxa"/>
            <w:vAlign w:val="top"/>
          </w:tcPr>
          <w:p w14:paraId="10B860CB">
            <w:pPr>
              <w:rPr>
                <w:rFonts w:ascii="Arial"/>
                <w:sz w:val="21"/>
              </w:rPr>
            </w:pPr>
          </w:p>
        </w:tc>
      </w:tr>
      <w:tr w14:paraId="70798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39" w:type="dxa"/>
            <w:vMerge w:val="continue"/>
            <w:tcBorders>
              <w:top w:val="nil"/>
              <w:bottom w:val="nil"/>
            </w:tcBorders>
            <w:vAlign w:val="top"/>
          </w:tcPr>
          <w:p w14:paraId="7747F2E1">
            <w:pPr>
              <w:rPr>
                <w:rFonts w:ascii="Arial"/>
                <w:sz w:val="21"/>
              </w:rPr>
            </w:pPr>
          </w:p>
        </w:tc>
        <w:tc>
          <w:tcPr>
            <w:tcW w:w="535" w:type="dxa"/>
            <w:vAlign w:val="top"/>
          </w:tcPr>
          <w:p w14:paraId="2B27CE0D">
            <w:pPr>
              <w:pStyle w:val="20"/>
              <w:spacing w:before="131" w:line="237" w:lineRule="auto"/>
              <w:ind w:left="113" w:right="58" w:hanging="60"/>
            </w:pPr>
            <w:r>
              <w:rPr>
                <w:spacing w:val="4"/>
              </w:rPr>
              <w:t>信息公开</w:t>
            </w:r>
            <w:r>
              <w:rPr>
                <w:spacing w:val="1"/>
              </w:rPr>
              <w:t xml:space="preserve"> </w:t>
            </w:r>
            <w:r>
              <w:rPr>
                <w:spacing w:val="3"/>
              </w:rPr>
              <w:t>（5分</w:t>
            </w:r>
            <w:r>
              <w:rPr>
                <w:rFonts w:hint="eastAsia"/>
                <w:spacing w:val="3"/>
                <w:lang w:eastAsia="zh-CN"/>
              </w:rPr>
              <w:t>）</w:t>
            </w:r>
          </w:p>
        </w:tc>
        <w:tc>
          <w:tcPr>
            <w:tcW w:w="1595" w:type="dxa"/>
            <w:vAlign w:val="top"/>
          </w:tcPr>
          <w:p w14:paraId="4C7E4405">
            <w:pPr>
              <w:pStyle w:val="20"/>
              <w:spacing w:before="196" w:line="230" w:lineRule="auto"/>
              <w:ind w:left="600"/>
            </w:pPr>
            <w:r>
              <w:t>自评公开</w:t>
            </w:r>
          </w:p>
        </w:tc>
        <w:tc>
          <w:tcPr>
            <w:tcW w:w="559" w:type="dxa"/>
            <w:vAlign w:val="center"/>
          </w:tcPr>
          <w:p w14:paraId="6604FE31">
            <w:pPr>
              <w:pStyle w:val="20"/>
              <w:spacing w:before="212" w:line="191" w:lineRule="auto"/>
              <w:ind w:left="237"/>
              <w:jc w:val="left"/>
            </w:pPr>
            <w:r>
              <w:rPr>
                <w:spacing w:val="-4"/>
              </w:rPr>
              <w:t>10</w:t>
            </w:r>
          </w:p>
        </w:tc>
        <w:tc>
          <w:tcPr>
            <w:tcW w:w="2632" w:type="dxa"/>
            <w:vAlign w:val="top"/>
          </w:tcPr>
          <w:p w14:paraId="605B2EC5">
            <w:pPr>
              <w:pStyle w:val="20"/>
              <w:spacing w:before="131" w:line="236" w:lineRule="auto"/>
              <w:ind w:left="19" w:right="78" w:hanging="2"/>
            </w:pPr>
            <w:r>
              <w:rPr>
                <w:spacing w:val="5"/>
              </w:rPr>
              <w:t>评价部门是否按要求将部门整体绩效自评情况和自行组</w:t>
            </w:r>
            <w:r>
              <w:rPr>
                <w:spacing w:val="9"/>
              </w:rPr>
              <w:t xml:space="preserve"> </w:t>
            </w:r>
            <w:r>
              <w:rPr>
                <w:spacing w:val="4"/>
              </w:rPr>
              <w:t>织的评价情况向社会公开</w:t>
            </w:r>
            <w:r>
              <w:rPr>
                <w:spacing w:val="-17"/>
              </w:rPr>
              <w:t xml:space="preserve"> </w:t>
            </w:r>
            <w:r>
              <w:rPr>
                <w:spacing w:val="4"/>
              </w:rPr>
              <w:t>。</w:t>
            </w:r>
          </w:p>
        </w:tc>
        <w:tc>
          <w:tcPr>
            <w:tcW w:w="6109" w:type="dxa"/>
            <w:vAlign w:val="top"/>
          </w:tcPr>
          <w:p w14:paraId="4916DB35">
            <w:pPr>
              <w:pStyle w:val="20"/>
              <w:spacing w:before="195" w:line="230" w:lineRule="auto"/>
              <w:ind w:left="19"/>
            </w:pPr>
            <w:r>
              <w:rPr>
                <w:spacing w:val="5"/>
              </w:rPr>
              <w:t>按要求将相关绩效信息随同决算公开的 ，得10分，否则不得</w:t>
            </w:r>
            <w:r>
              <w:rPr>
                <w:spacing w:val="4"/>
              </w:rPr>
              <w:t>分。</w:t>
            </w:r>
          </w:p>
        </w:tc>
        <w:tc>
          <w:tcPr>
            <w:tcW w:w="510" w:type="dxa"/>
            <w:vAlign w:val="center"/>
          </w:tcPr>
          <w:p w14:paraId="1ED2C00E">
            <w:pPr>
              <w:pStyle w:val="20"/>
              <w:spacing w:before="196" w:line="134" w:lineRule="exact"/>
              <w:ind w:left="236"/>
              <w:jc w:val="center"/>
            </w:pPr>
            <w:r>
              <w:t>√</w:t>
            </w:r>
          </w:p>
        </w:tc>
        <w:tc>
          <w:tcPr>
            <w:tcW w:w="420" w:type="dxa"/>
            <w:vAlign w:val="center"/>
          </w:tcPr>
          <w:p w14:paraId="5957F1EE">
            <w:pPr>
              <w:jc w:val="center"/>
              <w:rPr>
                <w:rFonts w:ascii="Arial"/>
                <w:sz w:val="21"/>
              </w:rPr>
            </w:pPr>
          </w:p>
        </w:tc>
        <w:tc>
          <w:tcPr>
            <w:tcW w:w="240" w:type="dxa"/>
            <w:vAlign w:val="center"/>
          </w:tcPr>
          <w:p w14:paraId="03D628CE">
            <w:pPr>
              <w:pStyle w:val="20"/>
              <w:spacing w:before="196" w:line="134" w:lineRule="exact"/>
              <w:ind w:left="288"/>
              <w:jc w:val="center"/>
            </w:pPr>
            <w:r>
              <w:t>√</w:t>
            </w:r>
          </w:p>
        </w:tc>
        <w:tc>
          <w:tcPr>
            <w:tcW w:w="675" w:type="dxa"/>
            <w:vAlign w:val="center"/>
          </w:tcPr>
          <w:p w14:paraId="163AB0CE">
            <w:pPr>
              <w:jc w:val="center"/>
              <w:rPr>
                <w:rFonts w:ascii="Arial"/>
                <w:sz w:val="21"/>
              </w:rPr>
            </w:pPr>
          </w:p>
        </w:tc>
        <w:tc>
          <w:tcPr>
            <w:tcW w:w="795" w:type="dxa"/>
            <w:shd w:val="clear" w:color="auto" w:fill="FDE9D9"/>
            <w:vAlign w:val="center"/>
          </w:tcPr>
          <w:p w14:paraId="446C5F1E">
            <w:pPr>
              <w:pStyle w:val="20"/>
              <w:spacing w:before="212" w:line="191" w:lineRule="auto"/>
              <w:ind w:left="244"/>
              <w:jc w:val="center"/>
            </w:pPr>
            <w:r>
              <w:rPr>
                <w:spacing w:val="-4"/>
              </w:rPr>
              <w:t>10</w:t>
            </w:r>
          </w:p>
        </w:tc>
        <w:tc>
          <w:tcPr>
            <w:tcW w:w="930" w:type="dxa"/>
            <w:vAlign w:val="top"/>
          </w:tcPr>
          <w:p w14:paraId="00AF6BB9">
            <w:pPr>
              <w:rPr>
                <w:rFonts w:ascii="Arial"/>
                <w:sz w:val="21"/>
              </w:rPr>
            </w:pPr>
          </w:p>
        </w:tc>
      </w:tr>
      <w:tr w14:paraId="4A390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 w:hRule="atLeast"/>
        </w:trPr>
        <w:tc>
          <w:tcPr>
            <w:tcW w:w="539" w:type="dxa"/>
            <w:vMerge w:val="continue"/>
            <w:tcBorders>
              <w:top w:val="nil"/>
              <w:bottom w:val="nil"/>
            </w:tcBorders>
            <w:vAlign w:val="top"/>
          </w:tcPr>
          <w:p w14:paraId="3262D470">
            <w:pPr>
              <w:rPr>
                <w:rFonts w:ascii="Arial"/>
                <w:sz w:val="21"/>
              </w:rPr>
            </w:pPr>
          </w:p>
        </w:tc>
        <w:tc>
          <w:tcPr>
            <w:tcW w:w="535" w:type="dxa"/>
            <w:vMerge w:val="restart"/>
            <w:tcBorders>
              <w:bottom w:val="nil"/>
            </w:tcBorders>
            <w:vAlign w:val="top"/>
          </w:tcPr>
          <w:p w14:paraId="76067304">
            <w:pPr>
              <w:spacing w:line="465" w:lineRule="auto"/>
              <w:rPr>
                <w:rFonts w:ascii="Arial"/>
                <w:sz w:val="21"/>
              </w:rPr>
            </w:pPr>
          </w:p>
          <w:p w14:paraId="0F7E68F8">
            <w:pPr>
              <w:pStyle w:val="20"/>
              <w:spacing w:before="33" w:line="237" w:lineRule="auto"/>
              <w:ind w:left="58" w:right="58" w:hanging="5"/>
            </w:pPr>
            <w:r>
              <w:rPr>
                <w:spacing w:val="4"/>
              </w:rPr>
              <w:t>整改反馈</w:t>
            </w:r>
            <w:r>
              <w:t xml:space="preserve"> </w:t>
            </w:r>
            <w:r>
              <w:rPr>
                <w:spacing w:val="2"/>
              </w:rPr>
              <w:t>（10分）</w:t>
            </w:r>
          </w:p>
        </w:tc>
        <w:tc>
          <w:tcPr>
            <w:tcW w:w="1595" w:type="dxa"/>
            <w:vAlign w:val="top"/>
          </w:tcPr>
          <w:p w14:paraId="72DBF3F2">
            <w:pPr>
              <w:pStyle w:val="20"/>
              <w:spacing w:before="272" w:line="230" w:lineRule="auto"/>
              <w:ind w:left="595"/>
            </w:pPr>
            <w:r>
              <w:rPr>
                <w:spacing w:val="1"/>
              </w:rPr>
              <w:t>问题整改</w:t>
            </w:r>
          </w:p>
        </w:tc>
        <w:tc>
          <w:tcPr>
            <w:tcW w:w="559" w:type="dxa"/>
            <w:vAlign w:val="center"/>
          </w:tcPr>
          <w:p w14:paraId="3B96B851">
            <w:pPr>
              <w:spacing w:line="256" w:lineRule="auto"/>
              <w:jc w:val="left"/>
              <w:rPr>
                <w:rFonts w:ascii="Arial"/>
                <w:sz w:val="21"/>
              </w:rPr>
            </w:pPr>
          </w:p>
          <w:p w14:paraId="24AEE7F7">
            <w:pPr>
              <w:pStyle w:val="20"/>
              <w:spacing w:before="32" w:line="189" w:lineRule="auto"/>
              <w:ind w:left="257"/>
              <w:jc w:val="left"/>
            </w:pPr>
            <w:r>
              <w:t>5</w:t>
            </w:r>
          </w:p>
        </w:tc>
        <w:tc>
          <w:tcPr>
            <w:tcW w:w="2632" w:type="dxa"/>
            <w:vAlign w:val="top"/>
          </w:tcPr>
          <w:p w14:paraId="6BD1F10E">
            <w:pPr>
              <w:pStyle w:val="20"/>
              <w:spacing w:before="207" w:line="237" w:lineRule="auto"/>
              <w:ind w:left="19" w:right="25" w:hanging="2"/>
            </w:pPr>
            <w:r>
              <w:rPr>
                <w:spacing w:val="4"/>
              </w:rPr>
              <w:t>评价部门根据绩效管理结果整改问题 、完善政策</w:t>
            </w:r>
            <w:r>
              <w:rPr>
                <w:spacing w:val="-18"/>
              </w:rPr>
              <w:t xml:space="preserve"> </w:t>
            </w:r>
            <w:r>
              <w:rPr>
                <w:spacing w:val="4"/>
              </w:rPr>
              <w:t>、改进</w:t>
            </w:r>
            <w:r>
              <w:t xml:space="preserve"> </w:t>
            </w:r>
            <w:r>
              <w:rPr>
                <w:spacing w:val="3"/>
              </w:rPr>
              <w:t>管理的情况。</w:t>
            </w:r>
          </w:p>
        </w:tc>
        <w:tc>
          <w:tcPr>
            <w:tcW w:w="6109" w:type="dxa"/>
            <w:vAlign w:val="top"/>
          </w:tcPr>
          <w:p w14:paraId="16A6D33F">
            <w:pPr>
              <w:pStyle w:val="20"/>
              <w:spacing w:before="207" w:line="236" w:lineRule="auto"/>
              <w:ind w:left="21" w:right="112" w:hanging="2"/>
            </w:pPr>
            <w:r>
              <w:rPr>
                <w:spacing w:val="5"/>
              </w:rPr>
              <w:t>针对绩效管理过程中</w:t>
            </w:r>
            <w:r>
              <w:rPr>
                <w:spacing w:val="-23"/>
              </w:rPr>
              <w:t xml:space="preserve"> </w:t>
            </w:r>
            <w:r>
              <w:rPr>
                <w:spacing w:val="5"/>
              </w:rPr>
              <w:t>（包括绩效目标核查</w:t>
            </w:r>
            <w:r>
              <w:rPr>
                <w:spacing w:val="-20"/>
              </w:rPr>
              <w:t xml:space="preserve"> </w:t>
            </w:r>
            <w:r>
              <w:rPr>
                <w:spacing w:val="5"/>
              </w:rPr>
              <w:t>、绩效监控核查和重点绩</w:t>
            </w:r>
            <w:r>
              <w:t xml:space="preserve"> </w:t>
            </w:r>
            <w:r>
              <w:rPr>
                <w:spacing w:val="5"/>
              </w:rPr>
              <w:t>效评价）提出的问题进行整改</w:t>
            </w:r>
            <w:r>
              <w:rPr>
                <w:spacing w:val="-9"/>
              </w:rPr>
              <w:t xml:space="preserve"> </w:t>
            </w:r>
            <w:r>
              <w:rPr>
                <w:spacing w:val="5"/>
              </w:rPr>
              <w:t>，得5分，否则酌情扣分。</w:t>
            </w:r>
          </w:p>
        </w:tc>
        <w:tc>
          <w:tcPr>
            <w:tcW w:w="510" w:type="dxa"/>
            <w:vAlign w:val="center"/>
          </w:tcPr>
          <w:p w14:paraId="67AF90BC">
            <w:pPr>
              <w:pStyle w:val="20"/>
              <w:spacing w:before="272" w:line="135" w:lineRule="exact"/>
              <w:ind w:left="236"/>
              <w:jc w:val="center"/>
            </w:pPr>
            <w:r>
              <w:t>√</w:t>
            </w:r>
          </w:p>
        </w:tc>
        <w:tc>
          <w:tcPr>
            <w:tcW w:w="420" w:type="dxa"/>
            <w:vAlign w:val="center"/>
          </w:tcPr>
          <w:p w14:paraId="010B0B85">
            <w:pPr>
              <w:jc w:val="center"/>
              <w:rPr>
                <w:rFonts w:ascii="Arial"/>
                <w:sz w:val="21"/>
              </w:rPr>
            </w:pPr>
          </w:p>
        </w:tc>
        <w:tc>
          <w:tcPr>
            <w:tcW w:w="240" w:type="dxa"/>
            <w:vAlign w:val="center"/>
          </w:tcPr>
          <w:p w14:paraId="49FFBEE8">
            <w:pPr>
              <w:pStyle w:val="20"/>
              <w:spacing w:before="272" w:line="135" w:lineRule="exact"/>
              <w:ind w:left="288"/>
              <w:jc w:val="center"/>
            </w:pPr>
            <w:r>
              <w:t>√</w:t>
            </w:r>
          </w:p>
        </w:tc>
        <w:tc>
          <w:tcPr>
            <w:tcW w:w="675" w:type="dxa"/>
            <w:vAlign w:val="center"/>
          </w:tcPr>
          <w:p w14:paraId="705EB343">
            <w:pPr>
              <w:pStyle w:val="20"/>
              <w:spacing w:before="272" w:line="135" w:lineRule="exact"/>
              <w:ind w:left="263"/>
              <w:jc w:val="center"/>
            </w:pPr>
            <w:r>
              <w:t>√</w:t>
            </w:r>
          </w:p>
        </w:tc>
        <w:tc>
          <w:tcPr>
            <w:tcW w:w="795" w:type="dxa"/>
            <w:shd w:val="clear" w:color="auto" w:fill="FDE9D9"/>
            <w:vAlign w:val="center"/>
          </w:tcPr>
          <w:p w14:paraId="05AA98E3">
            <w:pPr>
              <w:spacing w:line="256" w:lineRule="auto"/>
              <w:jc w:val="center"/>
              <w:rPr>
                <w:rFonts w:ascii="Arial"/>
                <w:sz w:val="21"/>
              </w:rPr>
            </w:pPr>
          </w:p>
          <w:p w14:paraId="3D84344F">
            <w:pPr>
              <w:pStyle w:val="20"/>
              <w:spacing w:before="32" w:line="189" w:lineRule="auto"/>
              <w:ind w:left="268"/>
              <w:jc w:val="center"/>
            </w:pPr>
            <w:r>
              <w:t>5</w:t>
            </w:r>
          </w:p>
        </w:tc>
        <w:tc>
          <w:tcPr>
            <w:tcW w:w="930" w:type="dxa"/>
            <w:vAlign w:val="top"/>
          </w:tcPr>
          <w:p w14:paraId="6844D41C">
            <w:pPr>
              <w:rPr>
                <w:rFonts w:ascii="Arial"/>
                <w:sz w:val="21"/>
              </w:rPr>
            </w:pPr>
          </w:p>
        </w:tc>
      </w:tr>
      <w:tr w14:paraId="1D1A1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39" w:type="dxa"/>
            <w:vMerge w:val="continue"/>
            <w:tcBorders>
              <w:top w:val="nil"/>
            </w:tcBorders>
            <w:vAlign w:val="top"/>
          </w:tcPr>
          <w:p w14:paraId="067A076A">
            <w:pPr>
              <w:rPr>
                <w:rFonts w:ascii="Arial"/>
                <w:sz w:val="21"/>
              </w:rPr>
            </w:pPr>
          </w:p>
        </w:tc>
        <w:tc>
          <w:tcPr>
            <w:tcW w:w="535" w:type="dxa"/>
            <w:vMerge w:val="continue"/>
            <w:tcBorders>
              <w:top w:val="nil"/>
            </w:tcBorders>
            <w:vAlign w:val="top"/>
          </w:tcPr>
          <w:p w14:paraId="04E41164">
            <w:pPr>
              <w:rPr>
                <w:rFonts w:ascii="Arial"/>
                <w:sz w:val="21"/>
              </w:rPr>
            </w:pPr>
          </w:p>
        </w:tc>
        <w:tc>
          <w:tcPr>
            <w:tcW w:w="1595" w:type="dxa"/>
            <w:vAlign w:val="top"/>
          </w:tcPr>
          <w:p w14:paraId="2ABD3165">
            <w:pPr>
              <w:pStyle w:val="20"/>
              <w:spacing w:before="246" w:line="230" w:lineRule="auto"/>
              <w:ind w:left="583"/>
            </w:pPr>
            <w:r>
              <w:rPr>
                <w:spacing w:val="4"/>
              </w:rPr>
              <w:t>应用反馈</w:t>
            </w:r>
          </w:p>
        </w:tc>
        <w:tc>
          <w:tcPr>
            <w:tcW w:w="559" w:type="dxa"/>
            <w:vAlign w:val="top"/>
          </w:tcPr>
          <w:p w14:paraId="1B29BBCD">
            <w:pPr>
              <w:pStyle w:val="20"/>
              <w:spacing w:before="263" w:line="189" w:lineRule="auto"/>
              <w:ind w:left="257"/>
            </w:pPr>
            <w:r>
              <w:t>5</w:t>
            </w:r>
          </w:p>
        </w:tc>
        <w:tc>
          <w:tcPr>
            <w:tcW w:w="2632" w:type="dxa"/>
            <w:vAlign w:val="top"/>
          </w:tcPr>
          <w:p w14:paraId="6F065F11">
            <w:pPr>
              <w:pStyle w:val="20"/>
              <w:spacing w:before="246" w:line="228" w:lineRule="auto"/>
              <w:ind w:left="17"/>
            </w:pPr>
            <w:r>
              <w:rPr>
                <w:spacing w:val="5"/>
              </w:rPr>
              <w:t>评价部门按要求及时向财政部门反馈结果应用情况 。</w:t>
            </w:r>
          </w:p>
        </w:tc>
        <w:tc>
          <w:tcPr>
            <w:tcW w:w="6109" w:type="dxa"/>
            <w:vAlign w:val="top"/>
          </w:tcPr>
          <w:p w14:paraId="4EED2C70">
            <w:pPr>
              <w:pStyle w:val="20"/>
              <w:spacing w:before="181" w:line="234" w:lineRule="auto"/>
              <w:ind w:left="20" w:right="38"/>
            </w:pPr>
            <w:r>
              <w:rPr>
                <w:spacing w:val="5"/>
              </w:rPr>
              <w:t>部门在规定时间内向财政部门反馈应用绩效结果报告的</w:t>
            </w:r>
            <w:r>
              <w:rPr>
                <w:spacing w:val="25"/>
                <w:w w:val="101"/>
              </w:rPr>
              <w:t xml:space="preserve"> </w:t>
            </w:r>
            <w:r>
              <w:rPr>
                <w:spacing w:val="5"/>
              </w:rPr>
              <w:t>，得5分，否</w:t>
            </w:r>
            <w:r>
              <w:t xml:space="preserve"> </w:t>
            </w:r>
            <w:r>
              <w:rPr>
                <w:spacing w:val="3"/>
              </w:rPr>
              <w:t>则不得分。</w:t>
            </w:r>
          </w:p>
        </w:tc>
        <w:tc>
          <w:tcPr>
            <w:tcW w:w="510" w:type="dxa"/>
            <w:vAlign w:val="center"/>
          </w:tcPr>
          <w:p w14:paraId="528C5E87">
            <w:pPr>
              <w:pStyle w:val="20"/>
              <w:spacing w:before="246" w:line="134" w:lineRule="exact"/>
              <w:ind w:left="236"/>
              <w:jc w:val="center"/>
            </w:pPr>
            <w:r>
              <w:t>√</w:t>
            </w:r>
          </w:p>
        </w:tc>
        <w:tc>
          <w:tcPr>
            <w:tcW w:w="420" w:type="dxa"/>
            <w:vAlign w:val="center"/>
          </w:tcPr>
          <w:p w14:paraId="4E00B8FA">
            <w:pPr>
              <w:jc w:val="center"/>
              <w:rPr>
                <w:rFonts w:ascii="Arial"/>
                <w:sz w:val="21"/>
              </w:rPr>
            </w:pPr>
          </w:p>
        </w:tc>
        <w:tc>
          <w:tcPr>
            <w:tcW w:w="240" w:type="dxa"/>
            <w:vAlign w:val="center"/>
          </w:tcPr>
          <w:p w14:paraId="1D43FF42">
            <w:pPr>
              <w:pStyle w:val="20"/>
              <w:spacing w:before="246" w:line="134" w:lineRule="exact"/>
              <w:ind w:left="288"/>
              <w:jc w:val="center"/>
            </w:pPr>
            <w:r>
              <w:t>√</w:t>
            </w:r>
          </w:p>
        </w:tc>
        <w:tc>
          <w:tcPr>
            <w:tcW w:w="675" w:type="dxa"/>
            <w:vAlign w:val="center"/>
          </w:tcPr>
          <w:p w14:paraId="431C1098">
            <w:pPr>
              <w:pStyle w:val="20"/>
              <w:spacing w:before="246" w:line="134" w:lineRule="exact"/>
              <w:ind w:left="263"/>
              <w:jc w:val="center"/>
            </w:pPr>
            <w:r>
              <w:t>√</w:t>
            </w:r>
          </w:p>
        </w:tc>
        <w:tc>
          <w:tcPr>
            <w:tcW w:w="795" w:type="dxa"/>
            <w:shd w:val="clear" w:color="auto" w:fill="FDE9D9"/>
            <w:vAlign w:val="center"/>
          </w:tcPr>
          <w:p w14:paraId="41B32BA8">
            <w:pPr>
              <w:pStyle w:val="20"/>
              <w:spacing w:before="263" w:line="189" w:lineRule="auto"/>
              <w:ind w:left="268"/>
              <w:jc w:val="center"/>
            </w:pPr>
            <w:r>
              <w:t>5</w:t>
            </w:r>
          </w:p>
        </w:tc>
        <w:tc>
          <w:tcPr>
            <w:tcW w:w="930" w:type="dxa"/>
            <w:vAlign w:val="top"/>
          </w:tcPr>
          <w:p w14:paraId="626CE9AD">
            <w:pPr>
              <w:rPr>
                <w:rFonts w:ascii="Arial"/>
                <w:sz w:val="21"/>
              </w:rPr>
            </w:pPr>
          </w:p>
        </w:tc>
      </w:tr>
      <w:tr w14:paraId="0692C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669" w:type="dxa"/>
            <w:gridSpan w:val="3"/>
            <w:vAlign w:val="top"/>
          </w:tcPr>
          <w:p w14:paraId="5CED469F">
            <w:pPr>
              <w:pStyle w:val="20"/>
              <w:spacing w:before="237" w:line="230" w:lineRule="auto"/>
              <w:ind w:left="960"/>
            </w:pPr>
            <w:r>
              <w:rPr>
                <w:spacing w:val="4"/>
              </w:rPr>
              <w:t>扣分项（10分）</w:t>
            </w:r>
          </w:p>
        </w:tc>
        <w:tc>
          <w:tcPr>
            <w:tcW w:w="559" w:type="dxa"/>
            <w:vAlign w:val="top"/>
          </w:tcPr>
          <w:p w14:paraId="55E4F9EE">
            <w:pPr>
              <w:pStyle w:val="20"/>
              <w:spacing w:before="253" w:line="191" w:lineRule="auto"/>
              <w:ind w:left="237"/>
            </w:pPr>
            <w:r>
              <w:rPr>
                <w:spacing w:val="-4"/>
              </w:rPr>
              <w:t>10</w:t>
            </w:r>
          </w:p>
        </w:tc>
        <w:tc>
          <w:tcPr>
            <w:tcW w:w="2632" w:type="dxa"/>
            <w:vAlign w:val="top"/>
          </w:tcPr>
          <w:p w14:paraId="2A2A7D35">
            <w:pPr>
              <w:pStyle w:val="20"/>
              <w:spacing w:before="243" w:line="230" w:lineRule="auto"/>
              <w:ind w:left="17"/>
              <w:rPr>
                <w:sz w:val="9"/>
                <w:szCs w:val="9"/>
              </w:rPr>
            </w:pPr>
            <w:r>
              <w:rPr>
                <w:spacing w:val="6"/>
                <w:sz w:val="9"/>
                <w:szCs w:val="9"/>
              </w:rPr>
              <w:t>被评价单位配合评价工作情况</w:t>
            </w:r>
            <w:r>
              <w:rPr>
                <w:spacing w:val="-12"/>
                <w:sz w:val="9"/>
                <w:szCs w:val="9"/>
              </w:rPr>
              <w:t xml:space="preserve"> </w:t>
            </w:r>
            <w:r>
              <w:rPr>
                <w:spacing w:val="6"/>
                <w:sz w:val="9"/>
                <w:szCs w:val="9"/>
              </w:rPr>
              <w:t>。</w:t>
            </w:r>
          </w:p>
        </w:tc>
        <w:tc>
          <w:tcPr>
            <w:tcW w:w="6109" w:type="dxa"/>
            <w:vAlign w:val="top"/>
          </w:tcPr>
          <w:p w14:paraId="01366174">
            <w:pPr>
              <w:pStyle w:val="20"/>
              <w:spacing w:before="40" w:line="237" w:lineRule="auto"/>
              <w:ind w:left="19" w:right="110"/>
              <w:jc w:val="both"/>
            </w:pPr>
            <w:r>
              <w:rPr>
                <w:spacing w:val="5"/>
              </w:rPr>
              <w:t>财政重点绩效评价工作开展过程中 ，评价组发现被评价</w:t>
            </w:r>
            <w:r>
              <w:rPr>
                <w:spacing w:val="4"/>
              </w:rPr>
              <w:t>对象拖延推</w:t>
            </w:r>
            <w:r>
              <w:t xml:space="preserve"> </w:t>
            </w:r>
            <w:r>
              <w:rPr>
                <w:spacing w:val="5"/>
              </w:rPr>
              <w:t>诿、提交资料不及时等拒不配合评价工作的 ，经报财政局复核确认 后按0.5分/次予以扣分</w:t>
            </w:r>
            <w:r>
              <w:rPr>
                <w:spacing w:val="-12"/>
              </w:rPr>
              <w:t xml:space="preserve"> </w:t>
            </w:r>
            <w:r>
              <w:rPr>
                <w:spacing w:val="5"/>
              </w:rPr>
              <w:t>，最高扣10分（此为财政重点绩效评价计分</w:t>
            </w:r>
            <w:r>
              <w:t xml:space="preserve"> </w:t>
            </w:r>
            <w:r>
              <w:rPr>
                <w:spacing w:val="5"/>
              </w:rPr>
              <w:t>标准，部门参照该标准对部门及下属单位计分 ）。</w:t>
            </w:r>
          </w:p>
        </w:tc>
        <w:tc>
          <w:tcPr>
            <w:tcW w:w="510" w:type="dxa"/>
            <w:vAlign w:val="center"/>
          </w:tcPr>
          <w:p w14:paraId="2BC03A0E">
            <w:pPr>
              <w:pStyle w:val="20"/>
              <w:spacing w:before="237" w:line="134" w:lineRule="exact"/>
              <w:ind w:left="236"/>
              <w:jc w:val="center"/>
            </w:pPr>
            <w:r>
              <w:t>√</w:t>
            </w:r>
          </w:p>
        </w:tc>
        <w:tc>
          <w:tcPr>
            <w:tcW w:w="420" w:type="dxa"/>
            <w:vAlign w:val="center"/>
          </w:tcPr>
          <w:p w14:paraId="3F2D9105">
            <w:pPr>
              <w:jc w:val="center"/>
              <w:rPr>
                <w:rFonts w:ascii="Arial"/>
                <w:sz w:val="21"/>
              </w:rPr>
            </w:pPr>
          </w:p>
        </w:tc>
        <w:tc>
          <w:tcPr>
            <w:tcW w:w="240" w:type="dxa"/>
            <w:vAlign w:val="center"/>
          </w:tcPr>
          <w:p w14:paraId="14B46177">
            <w:pPr>
              <w:pStyle w:val="20"/>
              <w:spacing w:before="237" w:line="134" w:lineRule="exact"/>
              <w:ind w:left="288"/>
              <w:jc w:val="center"/>
            </w:pPr>
            <w:r>
              <w:t>√</w:t>
            </w:r>
          </w:p>
        </w:tc>
        <w:tc>
          <w:tcPr>
            <w:tcW w:w="675" w:type="dxa"/>
            <w:vAlign w:val="center"/>
          </w:tcPr>
          <w:p w14:paraId="726823BA">
            <w:pPr>
              <w:pStyle w:val="20"/>
              <w:spacing w:before="237" w:line="134" w:lineRule="exact"/>
              <w:ind w:left="263"/>
              <w:jc w:val="center"/>
            </w:pPr>
            <w:r>
              <w:t>√</w:t>
            </w:r>
          </w:p>
        </w:tc>
        <w:tc>
          <w:tcPr>
            <w:tcW w:w="795" w:type="dxa"/>
            <w:shd w:val="clear" w:color="auto" w:fill="FDE9D9"/>
            <w:vAlign w:val="center"/>
          </w:tcPr>
          <w:p w14:paraId="56387446">
            <w:pPr>
              <w:pStyle w:val="20"/>
              <w:spacing w:before="253" w:line="190" w:lineRule="auto"/>
              <w:ind w:left="266"/>
              <w:jc w:val="center"/>
            </w:pPr>
            <w:r>
              <w:t>0</w:t>
            </w:r>
          </w:p>
        </w:tc>
        <w:tc>
          <w:tcPr>
            <w:tcW w:w="930" w:type="dxa"/>
            <w:vAlign w:val="top"/>
          </w:tcPr>
          <w:p w14:paraId="20F25700">
            <w:pPr>
              <w:rPr>
                <w:rFonts w:ascii="Arial"/>
                <w:sz w:val="21"/>
              </w:rPr>
            </w:pPr>
          </w:p>
        </w:tc>
      </w:tr>
      <w:tr w14:paraId="0B970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3814" w:type="dxa"/>
            <w:gridSpan w:val="10"/>
            <w:vAlign w:val="top"/>
          </w:tcPr>
          <w:p w14:paraId="7F09E20D">
            <w:pPr>
              <w:pStyle w:val="20"/>
              <w:spacing w:before="126" w:line="230" w:lineRule="auto"/>
              <w:ind w:left="5040"/>
            </w:pPr>
            <w:r>
              <w:rPr>
                <w:b/>
                <w:bCs/>
                <w:spacing w:val="-4"/>
              </w:rPr>
              <w:t>部</w:t>
            </w:r>
            <w:r>
              <w:rPr>
                <w:spacing w:val="28"/>
              </w:rPr>
              <w:t xml:space="preserve"> </w:t>
            </w:r>
            <w:r>
              <w:rPr>
                <w:b/>
                <w:bCs/>
                <w:spacing w:val="-4"/>
              </w:rPr>
              <w:t>门</w:t>
            </w:r>
            <w:r>
              <w:rPr>
                <w:spacing w:val="12"/>
                <w:w w:val="101"/>
              </w:rPr>
              <w:t xml:space="preserve"> </w:t>
            </w:r>
            <w:r>
              <w:rPr>
                <w:b/>
                <w:bCs/>
                <w:spacing w:val="-4"/>
              </w:rPr>
              <w:t>整</w:t>
            </w:r>
            <w:r>
              <w:rPr>
                <w:spacing w:val="11"/>
              </w:rPr>
              <w:t xml:space="preserve"> </w:t>
            </w:r>
            <w:r>
              <w:rPr>
                <w:b/>
                <w:bCs/>
                <w:spacing w:val="-4"/>
              </w:rPr>
              <w:t>体</w:t>
            </w:r>
            <w:r>
              <w:rPr>
                <w:spacing w:val="29"/>
                <w:w w:val="101"/>
              </w:rPr>
              <w:t xml:space="preserve"> </w:t>
            </w:r>
            <w:r>
              <w:rPr>
                <w:b/>
                <w:bCs/>
                <w:spacing w:val="-4"/>
              </w:rPr>
              <w:t>自</w:t>
            </w:r>
            <w:r>
              <w:rPr>
                <w:spacing w:val="13"/>
                <w:w w:val="101"/>
              </w:rPr>
              <w:t xml:space="preserve"> </w:t>
            </w:r>
            <w:r>
              <w:rPr>
                <w:b/>
                <w:bCs/>
                <w:spacing w:val="-4"/>
              </w:rPr>
              <w:t>评</w:t>
            </w:r>
            <w:r>
              <w:rPr>
                <w:spacing w:val="12"/>
                <w:w w:val="101"/>
              </w:rPr>
              <w:t xml:space="preserve"> </w:t>
            </w:r>
            <w:r>
              <w:rPr>
                <w:b/>
                <w:bCs/>
                <w:spacing w:val="-4"/>
              </w:rPr>
              <w:t>得</w:t>
            </w:r>
            <w:r>
              <w:rPr>
                <w:spacing w:val="13"/>
              </w:rPr>
              <w:t xml:space="preserve"> </w:t>
            </w:r>
            <w:r>
              <w:rPr>
                <w:b/>
                <w:bCs/>
                <w:spacing w:val="-4"/>
              </w:rPr>
              <w:t>分</w:t>
            </w:r>
          </w:p>
        </w:tc>
        <w:tc>
          <w:tcPr>
            <w:tcW w:w="795" w:type="dxa"/>
            <w:shd w:val="clear" w:color="auto" w:fill="FDE9D9"/>
            <w:vAlign w:val="top"/>
          </w:tcPr>
          <w:p w14:paraId="4755E5C3">
            <w:pPr>
              <w:pStyle w:val="20"/>
              <w:spacing w:before="143" w:line="190" w:lineRule="auto"/>
              <w:ind w:left="237"/>
            </w:pPr>
            <w:r>
              <w:t>97</w:t>
            </w:r>
          </w:p>
        </w:tc>
        <w:tc>
          <w:tcPr>
            <w:tcW w:w="930" w:type="dxa"/>
            <w:vAlign w:val="top"/>
          </w:tcPr>
          <w:p w14:paraId="6EF4F739">
            <w:pPr>
              <w:rPr>
                <w:rFonts w:ascii="Arial"/>
                <w:sz w:val="21"/>
              </w:rPr>
            </w:pPr>
          </w:p>
        </w:tc>
      </w:tr>
    </w:tbl>
    <w:p w14:paraId="2F0115C1">
      <w:pPr>
        <w:rPr>
          <w:lang w:val="zh-CN"/>
        </w:rPr>
      </w:pPr>
    </w:p>
    <w:sectPr>
      <w:pgSz w:w="16838" w:h="11906" w:orient="landscape"/>
      <w:pgMar w:top="0" w:right="907" w:bottom="0" w:left="851" w:header="851" w:footer="992" w:gutter="0"/>
      <w:pgNumType w:fmt="numberInDash" w:start="12"/>
      <w:cols w:space="0" w:num="1"/>
      <w:rtlGutter w:val="0"/>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DFBBEDC-2857-4FFF-A45E-72E13DDE1AB4}"/>
  </w:font>
  <w:font w:name="黑体">
    <w:panose1 w:val="02010609060101010101"/>
    <w:charset w:val="86"/>
    <w:family w:val="auto"/>
    <w:pitch w:val="default"/>
    <w:sig w:usb0="800002BF" w:usb1="38CF7CFA" w:usb2="00000016" w:usb3="00000000" w:csb0="00040001" w:csb1="00000000"/>
    <w:embedRegular r:id="rId2" w:fontKey="{15540F1B-1971-4EEC-BCAD-C80F46566C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4B253A4A-6F02-427F-A57E-24B4F31F68D3}"/>
  </w:font>
  <w:font w:name="方正小标宋简体">
    <w:panose1 w:val="02000000000000000000"/>
    <w:charset w:val="86"/>
    <w:family w:val="script"/>
    <w:pitch w:val="default"/>
    <w:sig w:usb0="00000001" w:usb1="080E0000" w:usb2="00000000" w:usb3="00000000" w:csb0="00040000" w:csb1="00000000"/>
    <w:embedRegular r:id="rId4" w:fontKey="{19BC794C-CC63-4F52-8144-F8A1897FD33A}"/>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embedRegular r:id="rId5" w:fontKey="{F36417FD-5C6E-47CA-B77D-79D499E468C5}"/>
  </w:font>
  <w:font w:name="仿宋_GB2312">
    <w:panose1 w:val="02010609030101010101"/>
    <w:charset w:val="86"/>
    <w:family w:val="modern"/>
    <w:pitch w:val="default"/>
    <w:sig w:usb0="00000001" w:usb1="080E0000" w:usb2="00000000" w:usb3="00000000" w:csb0="00040000" w:csb1="00000000"/>
    <w:embedRegular r:id="rId6" w:fontKey="{89B91C0A-3CBD-4E6A-B430-FF99D84B84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4907">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DE42C78">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59A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16F05"/>
    <w:multiLevelType w:val="singleLevel"/>
    <w:tmpl w:val="D5316F05"/>
    <w:lvl w:ilvl="0" w:tentative="0">
      <w:start w:val="2"/>
      <w:numFmt w:val="chineseCounting"/>
      <w:suff w:val="nothing"/>
      <w:lvlText w:val="（%1）"/>
      <w:lvlJc w:val="left"/>
      <w:rPr>
        <w:rFonts w:hint="eastAsia"/>
      </w:rPr>
    </w:lvl>
  </w:abstractNum>
  <w:abstractNum w:abstractNumId="1">
    <w:nsid w:val="7F15126E"/>
    <w:multiLevelType w:val="multilevel"/>
    <w:tmpl w:val="7F15126E"/>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gutterAtTop/>
  <w:doNotTrackMoves/>
  <w:documentProtection w:enforcement="0"/>
  <w:defaultTabStop w:val="420"/>
  <w:drawingGridHorizontalSpacing w:val="160"/>
  <w:drawingGridVerticalSpacing w:val="21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 w:name="KSO_WPS_MARK_KEY" w:val="7eb70f19-d307-4259-b3e6-25d8ab3fc370"/>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7E320E"/>
    <w:rsid w:val="03946B2A"/>
    <w:rsid w:val="041D2A27"/>
    <w:rsid w:val="0DBD4932"/>
    <w:rsid w:val="10FD5DAE"/>
    <w:rsid w:val="133411D0"/>
    <w:rsid w:val="13C22CA3"/>
    <w:rsid w:val="18D17537"/>
    <w:rsid w:val="19927F78"/>
    <w:rsid w:val="1C435DEF"/>
    <w:rsid w:val="20D57EEF"/>
    <w:rsid w:val="21AE59D8"/>
    <w:rsid w:val="22196184"/>
    <w:rsid w:val="286F56EA"/>
    <w:rsid w:val="28780EB4"/>
    <w:rsid w:val="2A3542C9"/>
    <w:rsid w:val="2BAA2542"/>
    <w:rsid w:val="2D527252"/>
    <w:rsid w:val="313A1C72"/>
    <w:rsid w:val="329102D6"/>
    <w:rsid w:val="329B4993"/>
    <w:rsid w:val="350C7DCA"/>
    <w:rsid w:val="361B66A7"/>
    <w:rsid w:val="3A375750"/>
    <w:rsid w:val="3A9520B3"/>
    <w:rsid w:val="3C5059FC"/>
    <w:rsid w:val="3DE562B7"/>
    <w:rsid w:val="3E6507EA"/>
    <w:rsid w:val="3FA60B74"/>
    <w:rsid w:val="44406DA5"/>
    <w:rsid w:val="45912351"/>
    <w:rsid w:val="47226FD9"/>
    <w:rsid w:val="47550EBA"/>
    <w:rsid w:val="48D72771"/>
    <w:rsid w:val="50990D73"/>
    <w:rsid w:val="50BB3388"/>
    <w:rsid w:val="58873140"/>
    <w:rsid w:val="5CA71859"/>
    <w:rsid w:val="5CF8460C"/>
    <w:rsid w:val="5D8B36D2"/>
    <w:rsid w:val="5F9C1BC7"/>
    <w:rsid w:val="64CA7D1D"/>
    <w:rsid w:val="6636451A"/>
    <w:rsid w:val="6B7F5970"/>
    <w:rsid w:val="6BE94116"/>
    <w:rsid w:val="6E833176"/>
    <w:rsid w:val="6FD24F90"/>
    <w:rsid w:val="76051E1C"/>
    <w:rsid w:val="77456248"/>
    <w:rsid w:val="78916378"/>
    <w:rsid w:val="7BC20073"/>
    <w:rsid w:val="7C631402"/>
    <w:rsid w:val="7C792C1C"/>
    <w:rsid w:val="7DCC0F6E"/>
    <w:rsid w:val="7E140770"/>
    <w:rsid w:val="7FCA19E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link w:val="12"/>
    <w:uiPriority w:val="0"/>
    <w:rPr>
      <w:rFonts w:ascii="宋体"/>
      <w:sz w:val="18"/>
      <w:szCs w:val="18"/>
    </w:rPr>
  </w:style>
  <w:style w:type="paragraph" w:styleId="3">
    <w:name w:val="Balloon Text"/>
    <w:basedOn w:val="1"/>
    <w:link w:val="13"/>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line="700" w:lineRule="exact"/>
      <w:jc w:val="center"/>
    </w:pPr>
    <w:rPr>
      <w:rFonts w:eastAsia="方正小标宋简体"/>
      <w:color w:val="000000"/>
      <w:kern w:val="0"/>
      <w:sz w:val="44"/>
      <w:szCs w:val="4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rPr>
      <w:rFonts w:cs="Times New Roman"/>
    </w:rPr>
  </w:style>
  <w:style w:type="character" w:styleId="11">
    <w:name w:val="Emphasis"/>
    <w:basedOn w:val="9"/>
    <w:qFormat/>
    <w:uiPriority w:val="0"/>
    <w:rPr>
      <w:i/>
    </w:rPr>
  </w:style>
  <w:style w:type="character" w:customStyle="1" w:styleId="12">
    <w:name w:val="文档结构图 Char"/>
    <w:link w:val="2"/>
    <w:qFormat/>
    <w:locked/>
    <w:uiPriority w:val="99"/>
    <w:rPr>
      <w:rFonts w:ascii="宋体" w:cs="Times New Roman"/>
      <w:kern w:val="2"/>
      <w:sz w:val="18"/>
      <w:szCs w:val="18"/>
    </w:rPr>
  </w:style>
  <w:style w:type="character" w:customStyle="1" w:styleId="13">
    <w:name w:val="批注框文本 Char"/>
    <w:link w:val="3"/>
    <w:semiHidden/>
    <w:qFormat/>
    <w:locked/>
    <w:uiPriority w:val="99"/>
    <w:rPr>
      <w:rFonts w:cs="Times New Roman"/>
      <w:sz w:val="2"/>
    </w:rPr>
  </w:style>
  <w:style w:type="character" w:customStyle="1" w:styleId="14">
    <w:name w:val="页脚 Char"/>
    <w:link w:val="4"/>
    <w:qFormat/>
    <w:locked/>
    <w:uiPriority w:val="99"/>
    <w:rPr>
      <w:rFonts w:cs="Times New Roman"/>
      <w:kern w:val="2"/>
      <w:sz w:val="18"/>
      <w:szCs w:val="18"/>
    </w:rPr>
  </w:style>
  <w:style w:type="character" w:customStyle="1" w:styleId="15">
    <w:name w:val="页眉 Char"/>
    <w:link w:val="5"/>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0"/>
      <w:szCs w:val="1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12</Pages>
  <Words>7270</Words>
  <Characters>7511</Characters>
  <Lines>3</Lines>
  <Paragraphs>1</Paragraphs>
  <TotalTime>13</TotalTime>
  <ScaleCrop>false</ScaleCrop>
  <LinksUpToDate>false</LinksUpToDate>
  <CharactersWithSpaces>7688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2024-07-30T07:10:00Z</cp:lastPrinted>
  <dcterms:modified xsi:type="dcterms:W3CDTF">2024-10-25T08:07:06Z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850540BF69334729B9459FEC90A88231_13</vt:lpwstr>
  </property>
</Properties>
</file>