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eastAsia="方正黑体_GBK"/>
          <w:sz w:val="33"/>
          <w:szCs w:val="33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附件</w:t>
      </w:r>
      <w:r>
        <w:rPr>
          <w:rFonts w:hint="eastAsia" w:ascii="方正黑体_GBK" w:hAnsi="方正黑体_GBK" w:eastAsia="方正黑体_GBK" w:cs="方正黑体_GBK"/>
          <w:sz w:val="33"/>
          <w:szCs w:val="33"/>
          <w:lang w:val="en-US" w:eastAsia="zh-CN"/>
        </w:rPr>
        <w:t>7</w:t>
      </w:r>
    </w:p>
    <w:p>
      <w:pPr>
        <w:tabs>
          <w:tab w:val="left" w:pos="1440"/>
        </w:tabs>
        <w:spacing w:line="600" w:lineRule="exact"/>
        <w:rPr>
          <w:rFonts w:ascii="宋体" w:hAnsi="宋体" w:eastAsia="宋体"/>
          <w:sz w:val="30"/>
          <w:szCs w:val="30"/>
        </w:rPr>
      </w:pPr>
    </w:p>
    <w:p>
      <w:pPr>
        <w:pStyle w:val="7"/>
        <w:spacing w:line="600" w:lineRule="exact"/>
        <w:ind w:firstLine="883"/>
        <w:jc w:val="center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方正小标宋简体" w:hAnsi="宋体" w:eastAsia="方正小标宋简体"/>
          <w:sz w:val="44"/>
          <w:szCs w:val="44"/>
        </w:rPr>
        <w:t>乡镇城乡环境治理管理中队公益性岗位补贴绩效自评报告</w:t>
      </w:r>
    </w:p>
    <w:p>
      <w:pPr>
        <w:pStyle w:val="7"/>
        <w:spacing w:line="60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（一）项目基本情况。</w:t>
      </w:r>
    </w:p>
    <w:p>
      <w:pPr>
        <w:adjustRightInd w:val="0"/>
        <w:snapToGrid w:val="0"/>
        <w:spacing w:line="600" w:lineRule="exact"/>
        <w:ind w:firstLine="720"/>
        <w:rPr>
          <w:rFonts w:ascii="仿宋" w:hAnsi="仿宋" w:eastAsia="仿宋"/>
          <w:lang w:val="zh-CN"/>
        </w:rPr>
      </w:pPr>
      <w:r>
        <w:rPr>
          <w:rFonts w:hint="eastAsia" w:ascii="仿宋" w:hAnsi="仿宋" w:eastAsia="仿宋"/>
          <w:lang w:val="zh-CN"/>
        </w:rPr>
        <w:t>1．</w:t>
      </w:r>
      <w:r>
        <w:rPr>
          <w:rFonts w:ascii="仿宋" w:hAnsi="仿宋" w:eastAsia="仿宋"/>
        </w:rPr>
        <w:t>乡镇城乡环境治理管理中队公益性岗位补贴</w:t>
      </w:r>
      <w:r>
        <w:rPr>
          <w:rFonts w:hint="eastAsia" w:ascii="仿宋" w:hAnsi="仿宋" w:eastAsia="仿宋"/>
        </w:rPr>
        <w:t>，</w:t>
      </w:r>
      <w:r>
        <w:rPr>
          <w:rFonts w:hint="eastAsia" w:ascii="仿宋" w:hAnsi="仿宋" w:eastAsia="仿宋"/>
          <w:lang w:eastAsia="zh-CN"/>
        </w:rPr>
        <w:t>宜坪乡</w:t>
      </w:r>
      <w:r>
        <w:rPr>
          <w:rFonts w:hint="eastAsia" w:ascii="仿宋" w:hAnsi="仿宋" w:eastAsia="仿宋"/>
        </w:rPr>
        <w:t>城管中队人员为</w:t>
      </w:r>
      <w:r>
        <w:rPr>
          <w:rFonts w:hint="eastAsia" w:ascii="仿宋" w:hAnsi="仿宋" w:eastAsia="仿宋"/>
          <w:lang w:val="en-US" w:eastAsia="zh-CN"/>
        </w:rPr>
        <w:t>2</w:t>
      </w:r>
      <w:r>
        <w:rPr>
          <w:rFonts w:hint="eastAsia" w:ascii="仿宋" w:hAnsi="仿宋" w:eastAsia="仿宋"/>
        </w:rPr>
        <w:t>人计</w:t>
      </w:r>
      <w:r>
        <w:rPr>
          <w:rFonts w:hint="eastAsia" w:ascii="仿宋" w:hAnsi="仿宋" w:eastAsia="仿宋"/>
          <w:lang w:val="en-US" w:eastAsia="zh-CN"/>
        </w:rPr>
        <w:t>6.4</w:t>
      </w:r>
      <w:r>
        <w:rPr>
          <w:rFonts w:hint="eastAsia" w:ascii="仿宋" w:hAnsi="仿宋" w:eastAsia="仿宋"/>
        </w:rPr>
        <w:t>万</w:t>
      </w:r>
      <w:r>
        <w:rPr>
          <w:rFonts w:hint="eastAsia" w:ascii="仿宋" w:hAnsi="仿宋" w:eastAsia="仿宋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仿宋" w:hAnsi="仿宋" w:eastAsia="仿宋"/>
          <w:lang w:val="zh-CN"/>
        </w:rPr>
      </w:pPr>
      <w:r>
        <w:rPr>
          <w:rFonts w:hint="eastAsia" w:ascii="仿宋" w:hAnsi="仿宋" w:eastAsia="仿宋"/>
          <w:lang w:val="zh-CN"/>
        </w:rPr>
        <w:t>2．项目立项、资金申报的依据是</w:t>
      </w:r>
      <w:r>
        <w:rPr>
          <w:rFonts w:hint="eastAsia" w:ascii="仿宋" w:hAnsi="仿宋" w:eastAsia="仿宋"/>
        </w:rPr>
        <w:t>正常年度预算</w:t>
      </w:r>
    </w:p>
    <w:p>
      <w:pPr>
        <w:adjustRightInd w:val="0"/>
        <w:snapToGrid w:val="0"/>
        <w:spacing w:line="600" w:lineRule="exact"/>
        <w:ind w:firstLine="720"/>
        <w:rPr>
          <w:rFonts w:ascii="仿宋" w:hAnsi="仿宋" w:eastAsia="仿宋"/>
          <w:lang w:val="zh-CN"/>
        </w:rPr>
      </w:pPr>
      <w:r>
        <w:rPr>
          <w:rFonts w:hint="eastAsia" w:ascii="仿宋" w:hAnsi="仿宋" w:eastAsia="仿宋"/>
          <w:lang w:val="zh-CN"/>
        </w:rPr>
        <w:t>3．</w:t>
      </w:r>
      <w:r>
        <w:rPr>
          <w:rFonts w:ascii="仿宋" w:hAnsi="仿宋" w:eastAsia="仿宋"/>
        </w:rPr>
        <w:t>乡镇城乡环境治理管理中队公益性岗位补贴</w:t>
      </w:r>
      <w:r>
        <w:rPr>
          <w:rFonts w:hint="eastAsia" w:ascii="仿宋" w:hAnsi="仿宋" w:eastAsia="仿宋"/>
        </w:rPr>
        <w:t>月</w:t>
      </w:r>
      <w:r>
        <w:rPr>
          <w:rFonts w:hint="eastAsia" w:ascii="仿宋" w:hAnsi="仿宋" w:eastAsia="仿宋"/>
          <w:lang w:val="zh-CN"/>
        </w:rPr>
        <w:t>给与补助。</w:t>
      </w:r>
    </w:p>
    <w:p>
      <w:pPr>
        <w:adjustRightInd w:val="0"/>
        <w:snapToGrid w:val="0"/>
        <w:spacing w:line="600" w:lineRule="exact"/>
        <w:ind w:firstLine="720"/>
        <w:rPr>
          <w:rFonts w:hint="default" w:ascii="仿宋" w:hAnsi="仿宋" w:eastAsia="仿宋"/>
          <w:lang w:val="en-US" w:eastAsia="zh-CN"/>
        </w:rPr>
      </w:pPr>
      <w:r>
        <w:rPr>
          <w:rFonts w:hint="eastAsia" w:ascii="仿宋" w:hAnsi="仿宋" w:eastAsia="仿宋"/>
          <w:lang w:val="zh-CN"/>
        </w:rPr>
        <w:t>4．资金分配的原则及考虑因素。城管中队有</w:t>
      </w:r>
      <w:r>
        <w:rPr>
          <w:rFonts w:hint="eastAsia" w:ascii="仿宋" w:hAnsi="仿宋" w:eastAsia="仿宋"/>
          <w:lang w:val="en-US" w:eastAsia="zh-CN"/>
        </w:rPr>
        <w:t>2</w:t>
      </w:r>
      <w:r>
        <w:rPr>
          <w:rFonts w:hint="eastAsia" w:ascii="仿宋" w:hAnsi="仿宋" w:eastAsia="仿宋"/>
          <w:lang w:val="zh-CN"/>
        </w:rPr>
        <w:t>名人员，每人</w:t>
      </w:r>
      <w:r>
        <w:rPr>
          <w:rFonts w:hint="eastAsia" w:ascii="仿宋" w:hAnsi="仿宋" w:eastAsia="仿宋"/>
          <w:lang w:val="en-US" w:eastAsia="zh-CN"/>
        </w:rPr>
        <w:t>每年3.2万元，2人共计6.4万元。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adjustRightInd w:val="0"/>
        <w:snapToGrid w:val="0"/>
        <w:spacing w:line="600" w:lineRule="exact"/>
        <w:ind w:firstLine="720"/>
        <w:rPr>
          <w:rFonts w:ascii="仿宋" w:hAnsi="仿宋" w:eastAsia="仿宋"/>
          <w:lang w:val="zh-CN"/>
        </w:rPr>
      </w:pPr>
      <w:r>
        <w:rPr>
          <w:rFonts w:hint="eastAsia" w:ascii="仿宋" w:hAnsi="仿宋" w:eastAsia="仿宋"/>
          <w:lang w:val="zh-CN"/>
        </w:rPr>
        <w:t>1．项目主要内容是协助维护乡环境治理和乡政府交办的其他事项，岗位补贴合计</w:t>
      </w:r>
      <w:r>
        <w:rPr>
          <w:rFonts w:hint="eastAsia" w:ascii="仿宋" w:hAnsi="仿宋" w:eastAsia="仿宋"/>
          <w:lang w:val="en-US" w:eastAsia="zh-CN"/>
        </w:rPr>
        <w:t>6.4</w:t>
      </w:r>
      <w:r>
        <w:rPr>
          <w:rFonts w:hint="eastAsia" w:ascii="仿宋" w:hAnsi="仿宋" w:eastAsia="仿宋"/>
          <w:lang w:val="zh-CN"/>
        </w:rPr>
        <w:t>万元。</w:t>
      </w:r>
    </w:p>
    <w:p>
      <w:pPr>
        <w:pStyle w:val="4"/>
        <w:widowControl/>
        <w:shd w:val="clear" w:color="auto" w:fill="FFFFFF"/>
        <w:spacing w:before="0" w:beforeAutospacing="0" w:after="0" w:afterAutospacing="0" w:line="600" w:lineRule="atLeast"/>
        <w:ind w:firstLine="739" w:firstLineChars="231"/>
        <w:jc w:val="both"/>
        <w:rPr>
          <w:rFonts w:hint="eastAsia" w:ascii="仿宋" w:hAnsi="仿宋" w:eastAsia="仿宋" w:cs="Microsoft YaHei UI"/>
          <w:spacing w:val="8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zh-CN"/>
        </w:rPr>
        <w:t>2．</w:t>
      </w: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以“目标、任务、资金、权责”细化原则，围绕突出问题，提高资金使用精准度和效益，将</w:t>
      </w:r>
      <w:r>
        <w:rPr>
          <w:rFonts w:ascii="仿宋" w:hAnsi="仿宋" w:eastAsia="仿宋"/>
          <w:sz w:val="32"/>
          <w:szCs w:val="32"/>
        </w:rPr>
        <w:t>乡镇城乡环境治理管理中队公益性岗位补贴</w:t>
      </w: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切实运用到实处。改善人居环境和镇容镇貌，实现乡村振兴，促进乡风文明，切实履行</w:t>
      </w:r>
      <w:r>
        <w:rPr>
          <w:rFonts w:ascii="仿宋" w:hAnsi="仿宋" w:eastAsia="仿宋"/>
          <w:sz w:val="32"/>
          <w:szCs w:val="32"/>
        </w:rPr>
        <w:t>城乡环境治理管理中队</w:t>
      </w:r>
      <w:r>
        <w:rPr>
          <w:rFonts w:hint="eastAsia" w:ascii="仿宋" w:hAnsi="仿宋" w:eastAsia="仿宋"/>
          <w:sz w:val="32"/>
          <w:szCs w:val="32"/>
        </w:rPr>
        <w:t>职责</w:t>
      </w: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。对</w:t>
      </w:r>
      <w:r>
        <w:rPr>
          <w:rFonts w:ascii="仿宋" w:hAnsi="仿宋" w:eastAsia="仿宋"/>
          <w:sz w:val="32"/>
          <w:szCs w:val="32"/>
        </w:rPr>
        <w:t>乡镇城乡环境治理管理中队公益性岗位补贴</w:t>
      </w: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任务完成、资金管理、项目管理、项目效益、群众满意度以及其他内容进行综合评价。包括：</w:t>
      </w:r>
    </w:p>
    <w:p>
      <w:pPr>
        <w:pStyle w:val="4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" w:hAnsi="仿宋" w:eastAsia="仿宋" w:cs="Microsoft YaHei UI"/>
          <w:spacing w:val="8"/>
          <w:sz w:val="32"/>
          <w:szCs w:val="32"/>
        </w:rPr>
      </w:pP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（1）项目完成情况包括项目任务完成质量、数量情况；</w:t>
      </w:r>
    </w:p>
    <w:p>
      <w:pPr>
        <w:pStyle w:val="4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" w:hAnsi="仿宋" w:eastAsia="仿宋" w:cs="Microsoft YaHei UI"/>
          <w:spacing w:val="8"/>
          <w:sz w:val="32"/>
          <w:szCs w:val="32"/>
        </w:rPr>
      </w:pP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（2）项目管理情况包括项目的实施、项目公开公示情况、项目后续维护管理制度建设以及档案管理情况；</w:t>
      </w:r>
    </w:p>
    <w:p>
      <w:pPr>
        <w:pStyle w:val="4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" w:hAnsi="仿宋" w:eastAsia="仿宋" w:cs="Microsoft YaHei UI"/>
          <w:spacing w:val="8"/>
          <w:sz w:val="32"/>
          <w:szCs w:val="32"/>
        </w:rPr>
      </w:pP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（3）资金管理情况包括资金到位、使用情况，资金拨付是否及时、是否专款专用、是否专账管理、项目资金支付凭据是否真实、完整，项目决算资料的合法</w:t>
      </w:r>
      <w:bookmarkStart w:id="0" w:name="_GoBack"/>
      <w:bookmarkEnd w:id="0"/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、合规性；</w:t>
      </w:r>
    </w:p>
    <w:p>
      <w:pPr>
        <w:pStyle w:val="4"/>
        <w:widowControl/>
        <w:shd w:val="clear" w:color="auto" w:fill="FFFFFF"/>
        <w:spacing w:before="0" w:beforeAutospacing="0" w:after="0" w:afterAutospacing="0" w:line="600" w:lineRule="atLeast"/>
        <w:jc w:val="both"/>
        <w:rPr>
          <w:rFonts w:ascii="仿宋" w:hAnsi="仿宋" w:eastAsia="仿宋" w:cs="Microsoft YaHei UI"/>
          <w:spacing w:val="8"/>
          <w:sz w:val="32"/>
          <w:szCs w:val="32"/>
        </w:rPr>
      </w:pP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（4）项目效益包括项目完成后的效益，群众满意度情况。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3．</w:t>
      </w:r>
      <w:r>
        <w:rPr>
          <w:rFonts w:hint="eastAsia" w:ascii="仿宋" w:hAnsi="仿宋" w:eastAsia="仿宋" w:cs="Microsoft YaHei UI"/>
          <w:spacing w:val="8"/>
          <w:kern w:val="0"/>
          <w:sz w:val="32"/>
          <w:szCs w:val="32"/>
          <w:shd w:val="clear" w:color="auto" w:fill="FFFFFF"/>
          <w:lang w:val="zh-CN" w:eastAsia="zh-CN" w:bidi="ar-SA"/>
        </w:rPr>
        <w:t>改经费申报类容与实际相符申报目标合理可行。</w:t>
      </w:r>
      <w:r>
        <w:rPr>
          <w:rFonts w:hint="eastAsia" w:ascii="仿宋" w:hAnsi="仿宋" w:eastAsia="仿宋"/>
          <w:lang w:val="zh-CN"/>
        </w:rPr>
        <w:t>按时报销的原则，预算</w:t>
      </w:r>
      <w:r>
        <w:rPr>
          <w:rFonts w:hint="eastAsia" w:ascii="仿宋" w:hAnsi="仿宋" w:eastAsia="仿宋"/>
          <w:lang w:val="en-US" w:eastAsia="zh-CN"/>
        </w:rPr>
        <w:t>6.4</w:t>
      </w:r>
      <w:r>
        <w:rPr>
          <w:rFonts w:hint="eastAsia" w:ascii="仿宋" w:hAnsi="仿宋" w:eastAsia="仿宋"/>
          <w:lang w:val="zh-CN"/>
        </w:rPr>
        <w:t>万元实际支付</w:t>
      </w:r>
      <w:r>
        <w:rPr>
          <w:rFonts w:hint="eastAsia" w:ascii="仿宋" w:hAnsi="仿宋" w:eastAsia="仿宋"/>
          <w:lang w:val="en-US" w:eastAsia="zh-CN"/>
        </w:rPr>
        <w:t>6.4</w:t>
      </w:r>
      <w:r>
        <w:rPr>
          <w:rFonts w:hint="eastAsia" w:ascii="仿宋" w:hAnsi="仿宋" w:eastAsia="仿宋"/>
          <w:lang w:val="zh-CN"/>
        </w:rPr>
        <w:t>万元。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（三）项目自评步骤及方法。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" w:hAnsi="仿宋" w:eastAsia="仿宋"/>
          <w:lang w:val="zh-CN"/>
        </w:rPr>
      </w:pPr>
      <w:r>
        <w:rPr>
          <w:rFonts w:ascii="仿宋" w:hAnsi="仿宋" w:eastAsia="仿宋"/>
        </w:rPr>
        <w:t>乡镇城乡环境治理管理中队公益性岗位补贴</w:t>
      </w:r>
      <w:r>
        <w:rPr>
          <w:rFonts w:hint="eastAsia" w:ascii="仿宋" w:hAnsi="仿宋" w:eastAsia="仿宋"/>
        </w:rPr>
        <w:t>严格按照城</w:t>
      </w:r>
      <w:r>
        <w:rPr>
          <w:rFonts w:hint="eastAsia" w:ascii="仿宋" w:hAnsi="仿宋" w:eastAsia="仿宋"/>
          <w:lang w:eastAsia="zh-CN"/>
        </w:rPr>
        <w:t>要求管理</w:t>
      </w:r>
      <w:r>
        <w:rPr>
          <w:rFonts w:hint="eastAsia" w:ascii="仿宋" w:hAnsi="仿宋" w:eastAsia="仿宋"/>
        </w:rPr>
        <w:t>由</w:t>
      </w:r>
      <w:r>
        <w:rPr>
          <w:rFonts w:hint="eastAsia" w:ascii="仿宋" w:hAnsi="仿宋" w:eastAsia="仿宋"/>
          <w:lang w:eastAsia="zh-CN"/>
        </w:rPr>
        <w:t>乡</w:t>
      </w:r>
      <w:r>
        <w:rPr>
          <w:rFonts w:hint="eastAsia" w:ascii="仿宋" w:hAnsi="仿宋" w:eastAsia="仿宋"/>
        </w:rPr>
        <w:t>及时</w:t>
      </w:r>
      <w:r>
        <w:rPr>
          <w:rFonts w:hint="eastAsia" w:ascii="仿宋" w:hAnsi="仿宋" w:eastAsia="仿宋"/>
          <w:lang w:eastAsia="zh-CN"/>
        </w:rPr>
        <w:t>支付</w:t>
      </w:r>
      <w:r>
        <w:rPr>
          <w:rFonts w:hint="eastAsia" w:ascii="仿宋" w:hAnsi="仿宋" w:eastAsia="仿宋"/>
        </w:rPr>
        <w:t>资金。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二、项目资金申报及使用情况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" w:hAnsi="仿宋" w:eastAsia="仿宋"/>
          <w:color w:val="auto"/>
          <w:lang w:val="zh-CN"/>
        </w:rPr>
      </w:pPr>
      <w:r>
        <w:rPr>
          <w:rFonts w:hint="eastAsia" w:ascii="仿宋" w:hAnsi="仿宋" w:eastAsia="仿宋"/>
          <w:color w:val="auto"/>
          <w:lang w:val="zh-CN"/>
        </w:rPr>
        <w:t>此项目是正常年度预算，按年予以申报。</w:t>
      </w:r>
    </w:p>
    <w:p>
      <w:pPr>
        <w:adjustRightInd w:val="0"/>
        <w:snapToGrid w:val="0"/>
        <w:spacing w:line="600" w:lineRule="exact"/>
        <w:ind w:firstLine="720"/>
        <w:rPr>
          <w:rFonts w:ascii="仿宋" w:hAnsi="仿宋" w:eastAsia="仿宋"/>
          <w:color w:val="FF0000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（二）资金计划、到位及使用情况（可用表格形式反映）。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1．资金计划。该工作经费是正常年度预算，</w:t>
      </w:r>
      <w:r>
        <w:rPr>
          <w:rFonts w:hint="eastAsia" w:ascii="仿宋" w:hAnsi="仿宋" w:eastAsia="仿宋"/>
          <w:lang w:val="zh-CN"/>
        </w:rPr>
        <w:t>根据要求支付。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" w:hAnsi="仿宋" w:eastAsia="仿宋"/>
        </w:rPr>
      </w:pPr>
      <w:r>
        <w:rPr>
          <w:rFonts w:hint="eastAsia" w:ascii="楷体_GB2312" w:hAnsi="宋体" w:eastAsia="楷体_GB2312"/>
          <w:lang w:val="zh-CN"/>
        </w:rPr>
        <w:t>2．资金到位。</w:t>
      </w:r>
      <w:r>
        <w:rPr>
          <w:rFonts w:hint="eastAsia" w:ascii="仿宋" w:hAnsi="仿宋" w:eastAsia="仿宋"/>
          <w:lang w:val="zh-CN"/>
        </w:rPr>
        <w:t>该项目为年初预算，自治县财政局按申请给与指标下达。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3．资金使用。</w:t>
      </w:r>
      <w:r>
        <w:rPr>
          <w:rFonts w:hint="eastAsia" w:ascii="仿宋" w:hAnsi="仿宋" w:eastAsia="仿宋"/>
          <w:lang w:val="zh-CN"/>
        </w:rPr>
        <w:t>根据管理要求，每年进行支付。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（三）项目财务管理情况。</w:t>
      </w:r>
    </w:p>
    <w:p>
      <w:pPr>
        <w:adjustRightInd w:val="0"/>
        <w:snapToGrid w:val="0"/>
        <w:spacing w:line="600" w:lineRule="exact"/>
        <w:ind w:firstLine="720"/>
        <w:rPr>
          <w:rFonts w:ascii="仿宋" w:hAnsi="仿宋" w:eastAsia="仿宋"/>
          <w:lang w:val="zh-CN"/>
        </w:rPr>
      </w:pPr>
      <w:r>
        <w:rPr>
          <w:rFonts w:hint="eastAsia" w:ascii="仿宋" w:hAnsi="仿宋" w:eastAsia="仿宋"/>
          <w:lang w:val="zh-CN"/>
        </w:rPr>
        <w:t>此项目财务管理制度健全，严格执行财务管理制度，账务处理是及时，会计核算规范。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三、项目实施及管理情况</w:t>
      </w:r>
    </w:p>
    <w:p>
      <w:pPr>
        <w:adjustRightInd w:val="0"/>
        <w:snapToGrid w:val="0"/>
        <w:spacing w:line="600" w:lineRule="exact"/>
        <w:ind w:firstLine="720"/>
        <w:rPr>
          <w:rFonts w:ascii="仿宋" w:hAnsi="仿宋" w:eastAsia="仿宋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（一）项目组织架构及实施流程。</w:t>
      </w:r>
      <w:r>
        <w:rPr>
          <w:rFonts w:hint="eastAsia" w:ascii="仿宋" w:hAnsi="仿宋" w:eastAsia="仿宋"/>
          <w:lang w:val="zh-CN"/>
        </w:rPr>
        <w:t>我乡按城管中队管理办法管理队员，根据考要求支付补助。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（二）项目管理情况</w:t>
      </w:r>
      <w:r>
        <w:rPr>
          <w:rFonts w:hint="eastAsia" w:ascii="仿宋" w:hAnsi="仿宋" w:eastAsia="仿宋"/>
          <w:lang w:val="zh-CN"/>
        </w:rPr>
        <w:t>此项目乡综合执法办负责监管。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" w:hAnsi="仿宋" w:eastAsia="仿宋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（三）项目监管情况</w:t>
      </w:r>
      <w:r>
        <w:rPr>
          <w:rFonts w:hint="eastAsia" w:ascii="仿宋" w:hAnsi="仿宋" w:eastAsia="仿宋"/>
          <w:lang w:val="zh-CN"/>
        </w:rPr>
        <w:t>。由乡纪委负责监管。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四、项目绩效情况</w:t>
      </w:r>
      <w:r>
        <w:rPr>
          <w:rFonts w:hint="eastAsia" w:ascii="仿宋_GB2312" w:hAnsi="宋体"/>
          <w:lang w:val="zh-CN"/>
        </w:rPr>
        <w:tab/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" w:hAnsi="仿宋" w:eastAsia="仿宋"/>
          <w:lang w:val="zh-CN"/>
        </w:rPr>
      </w:pPr>
      <w:r>
        <w:rPr>
          <w:rFonts w:hint="eastAsia" w:ascii="仿宋" w:hAnsi="仿宋" w:eastAsia="仿宋"/>
          <w:lang w:val="zh-CN"/>
        </w:rPr>
        <w:t>根据要求于</w:t>
      </w:r>
      <w:r>
        <w:rPr>
          <w:rFonts w:hint="eastAsia" w:ascii="仿宋" w:hAnsi="仿宋" w:eastAsia="仿宋"/>
          <w:lang w:val="en-US" w:eastAsia="zh-CN"/>
        </w:rPr>
        <w:t>2022年12月31日前</w:t>
      </w:r>
      <w:r>
        <w:rPr>
          <w:rFonts w:hint="eastAsia" w:ascii="仿宋" w:hAnsi="仿宋" w:eastAsia="仿宋"/>
          <w:lang w:val="zh-CN"/>
        </w:rPr>
        <w:t>支付完补助。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</w:p>
    <w:p>
      <w:pPr>
        <w:pStyle w:val="4"/>
        <w:widowControl/>
        <w:shd w:val="clear" w:color="auto" w:fill="FFFFFF"/>
        <w:spacing w:before="0" w:beforeAutospacing="0" w:after="0" w:afterAutospacing="0" w:line="600" w:lineRule="atLeast"/>
        <w:ind w:firstLine="672" w:firstLineChars="200"/>
        <w:jc w:val="both"/>
        <w:rPr>
          <w:rFonts w:hint="eastAsia" w:ascii="仿宋" w:hAnsi="仿宋" w:eastAsia="仿宋" w:cs="Microsoft YaHei UI"/>
          <w:spacing w:val="8"/>
          <w:sz w:val="32"/>
          <w:szCs w:val="32"/>
        </w:rPr>
      </w:pP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1.经济效益</w:t>
      </w:r>
    </w:p>
    <w:p>
      <w:pPr>
        <w:pStyle w:val="4"/>
        <w:widowControl/>
        <w:shd w:val="clear" w:color="auto" w:fill="FFFFFF"/>
        <w:spacing w:before="0" w:beforeAutospacing="0" w:after="0" w:afterAutospacing="0" w:line="600" w:lineRule="atLeast"/>
        <w:ind w:firstLine="739" w:firstLineChars="231"/>
        <w:jc w:val="both"/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</w:pPr>
      <w:r>
        <w:rPr>
          <w:rFonts w:ascii="仿宋" w:hAnsi="仿宋" w:eastAsia="仿宋"/>
          <w:sz w:val="32"/>
          <w:szCs w:val="32"/>
        </w:rPr>
        <w:t>乡镇城乡环境治理管理中队公益性岗位补贴</w:t>
      </w: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实施后，极大的改善了</w:t>
      </w: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  <w:lang w:eastAsia="zh-CN"/>
        </w:rPr>
        <w:t>乡</w:t>
      </w: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交通秩序改善人居环境和村容村貌，实现乡村振兴，促进乡风文明。</w:t>
      </w:r>
    </w:p>
    <w:p>
      <w:pPr>
        <w:pStyle w:val="4"/>
        <w:widowControl/>
        <w:shd w:val="clear" w:color="auto" w:fill="FFFFFF"/>
        <w:spacing w:before="0" w:beforeAutospacing="0" w:after="0" w:afterAutospacing="0" w:line="600" w:lineRule="atLeast"/>
        <w:ind w:firstLine="672" w:firstLineChars="200"/>
        <w:jc w:val="both"/>
        <w:rPr>
          <w:rFonts w:hint="eastAsia" w:ascii="仿宋" w:hAnsi="仿宋" w:eastAsia="仿宋" w:cs="Microsoft YaHei UI"/>
          <w:spacing w:val="8"/>
          <w:sz w:val="32"/>
          <w:szCs w:val="32"/>
        </w:rPr>
      </w:pP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2.社会效益</w:t>
      </w:r>
    </w:p>
    <w:p>
      <w:pPr>
        <w:pStyle w:val="4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通过项目的实施，全</w:t>
      </w: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  <w:lang w:eastAsia="zh-CN"/>
        </w:rPr>
        <w:t>乡</w:t>
      </w: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人居环境和村容村貌得到有效改善。为实现乡村振兴，促进乡风文明打下了坚定基础。</w:t>
      </w:r>
    </w:p>
    <w:p>
      <w:pPr>
        <w:pStyle w:val="4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" w:hAnsi="仿宋" w:eastAsia="仿宋" w:cs="Microsoft YaHei UI"/>
          <w:spacing w:val="8"/>
          <w:sz w:val="32"/>
          <w:szCs w:val="32"/>
        </w:rPr>
      </w:pP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3.可持续影响</w:t>
      </w:r>
    </w:p>
    <w:p>
      <w:pPr>
        <w:pStyle w:val="4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</w:pPr>
      <w:r>
        <w:rPr>
          <w:rFonts w:ascii="仿宋" w:hAnsi="仿宋" w:eastAsia="仿宋"/>
          <w:sz w:val="32"/>
          <w:szCs w:val="32"/>
        </w:rPr>
        <w:t>乡镇城乡环境治理管理中队公益性岗位补贴</w:t>
      </w:r>
      <w:r>
        <w:rPr>
          <w:rFonts w:hint="eastAsia" w:ascii="仿宋" w:hAnsi="仿宋" w:eastAsia="仿宋"/>
          <w:sz w:val="32"/>
          <w:szCs w:val="32"/>
        </w:rPr>
        <w:t>经费</w:t>
      </w: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的实施，在使用年限内持续为我</w:t>
      </w: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  <w:lang w:eastAsia="zh-CN"/>
        </w:rPr>
        <w:t>乡</w:t>
      </w: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的乡村振兴打下坚实基础。</w:t>
      </w:r>
    </w:p>
    <w:p>
      <w:pPr>
        <w:pStyle w:val="4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" w:hAnsi="仿宋" w:eastAsia="仿宋" w:cs="Microsoft YaHei UI"/>
          <w:spacing w:val="8"/>
          <w:sz w:val="32"/>
          <w:szCs w:val="32"/>
        </w:rPr>
      </w:pP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4.群众满意度</w:t>
      </w:r>
    </w:p>
    <w:p>
      <w:pPr>
        <w:pStyle w:val="4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ascii="仿宋" w:hAnsi="仿宋" w:eastAsia="仿宋" w:cs="Microsoft YaHei UI"/>
          <w:spacing w:val="8"/>
          <w:sz w:val="32"/>
          <w:szCs w:val="32"/>
        </w:rPr>
      </w:pP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绩效评价抽查小组在</w:t>
      </w: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  <w:lang w:eastAsia="zh-CN"/>
        </w:rPr>
        <w:t>乡</w:t>
      </w: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、村委会相关人员陪同下，对确定的抽查点进行抽查，抽查方式为发放调查问卷及电话核实，抽查结果显示群众满意度较高。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五、评价结论及建议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（一）评价结论。</w:t>
      </w:r>
    </w:p>
    <w:p>
      <w:pPr>
        <w:pStyle w:val="4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" w:hAnsi="仿宋" w:eastAsia="仿宋" w:cs="Microsoft YaHei UI"/>
          <w:spacing w:val="8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乡镇城乡环境治理管理中队公益性岗位补贴</w:t>
      </w: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绩效评价工作，根据提供的资料和抽查情况、对应评分标准，得出评分如下：</w:t>
      </w:r>
    </w:p>
    <w:p>
      <w:pPr>
        <w:pStyle w:val="4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" w:hAnsi="仿宋" w:eastAsia="仿宋" w:cs="Microsoft YaHei UI"/>
          <w:spacing w:val="8"/>
          <w:sz w:val="32"/>
          <w:szCs w:val="32"/>
        </w:rPr>
      </w:pP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1．项目评价等级结果</w:t>
      </w:r>
    </w:p>
    <w:p>
      <w:pPr>
        <w:pStyle w:val="4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" w:hAnsi="仿宋" w:eastAsia="仿宋" w:cs="Microsoft YaHei UI"/>
          <w:spacing w:val="8"/>
          <w:sz w:val="32"/>
          <w:szCs w:val="32"/>
        </w:rPr>
      </w:pP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经综合汇总得出</w:t>
      </w:r>
      <w:r>
        <w:rPr>
          <w:rFonts w:ascii="仿宋" w:hAnsi="仿宋" w:eastAsia="仿宋"/>
          <w:sz w:val="32"/>
          <w:szCs w:val="32"/>
        </w:rPr>
        <w:t>乡镇城乡环境治理管理中队公益性岗位补贴</w:t>
      </w: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绩效评价等级为为优。</w:t>
      </w:r>
    </w:p>
    <w:p>
      <w:pPr>
        <w:pStyle w:val="4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ascii="仿宋" w:hAnsi="仿宋" w:eastAsia="仿宋" w:cs="Microsoft YaHei UI"/>
          <w:spacing w:val="8"/>
          <w:sz w:val="32"/>
          <w:szCs w:val="32"/>
        </w:rPr>
      </w:pP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2．</w:t>
      </w:r>
      <w:r>
        <w:rPr>
          <w:rFonts w:ascii="仿宋" w:hAnsi="仿宋" w:eastAsia="仿宋"/>
          <w:sz w:val="32"/>
          <w:szCs w:val="32"/>
        </w:rPr>
        <w:t>乡镇城乡环境治理管理中队公益性岗位补贴</w:t>
      </w:r>
      <w:r>
        <w:rPr>
          <w:rFonts w:hint="eastAsia" w:ascii="仿宋" w:hAnsi="仿宋" w:eastAsia="仿宋"/>
          <w:sz w:val="32"/>
          <w:szCs w:val="32"/>
          <w:lang w:eastAsia="zh-CN"/>
        </w:rPr>
        <w:t>绩效</w:t>
      </w: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评价总体得分及评价结果为总分100分评价得分</w:t>
      </w: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  <w:lang w:val="en-US" w:eastAsia="zh-CN"/>
        </w:rPr>
        <w:t>99</w:t>
      </w: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分。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（二）存在的问题。</w:t>
      </w:r>
    </w:p>
    <w:p>
      <w:pPr>
        <w:adjustRightInd w:val="0"/>
        <w:snapToGrid w:val="0"/>
        <w:spacing w:line="600" w:lineRule="exact"/>
        <w:ind w:firstLine="672" w:firstLineChars="200"/>
        <w:rPr>
          <w:rFonts w:ascii="仿宋" w:hAnsi="仿宋" w:eastAsia="仿宋"/>
          <w:lang w:val="zh-CN"/>
        </w:rPr>
      </w:pPr>
      <w:r>
        <w:rPr>
          <w:rFonts w:hint="eastAsia" w:ascii="仿宋" w:hAnsi="仿宋" w:eastAsia="仿宋" w:cs="Microsoft YaHei UI"/>
          <w:spacing w:val="8"/>
          <w:shd w:val="clear" w:color="auto" w:fill="FFFFFF"/>
        </w:rPr>
        <w:t>暂无</w:t>
      </w:r>
      <w:r>
        <w:rPr>
          <w:rFonts w:hint="eastAsia" w:ascii="仿宋" w:hAnsi="仿宋" w:eastAsia="仿宋"/>
          <w:lang w:val="zh-CN"/>
        </w:rPr>
        <w:tab/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（三）相关建议。</w:t>
      </w:r>
    </w:p>
    <w:p>
      <w:pPr>
        <w:adjustRightInd w:val="0"/>
        <w:snapToGrid w:val="0"/>
        <w:spacing w:line="600" w:lineRule="exact"/>
        <w:ind w:firstLine="672" w:firstLineChars="200"/>
        <w:rPr>
          <w:rFonts w:ascii="仿宋" w:hAnsi="仿宋" w:eastAsia="仿宋"/>
          <w:lang w:val="zh-CN"/>
        </w:rPr>
      </w:pPr>
      <w:r>
        <w:rPr>
          <w:rFonts w:hint="eastAsia" w:ascii="仿宋" w:hAnsi="仿宋" w:eastAsia="仿宋" w:cs="Microsoft YaHei UI"/>
          <w:spacing w:val="8"/>
          <w:shd w:val="clear" w:color="auto" w:fill="FFFFFF"/>
        </w:rPr>
        <w:t>暂无</w:t>
      </w:r>
    </w:p>
    <w:p>
      <w:pPr>
        <w:adjustRightInd w:val="0"/>
        <w:snapToGrid w:val="0"/>
        <w:spacing w:line="600" w:lineRule="exact"/>
        <w:ind w:firstLine="720"/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altName w:val="微软雅黑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E3MTg0MmFjNGY2ZmE0OTQ3OWE5OTM1MjBiMDEwODIifQ=="/>
  </w:docVars>
  <w:rsids>
    <w:rsidRoot w:val="291C455A"/>
    <w:rsid w:val="001B1813"/>
    <w:rsid w:val="002A5E78"/>
    <w:rsid w:val="003315AE"/>
    <w:rsid w:val="0049716B"/>
    <w:rsid w:val="006F6CE7"/>
    <w:rsid w:val="00C073E9"/>
    <w:rsid w:val="00E42B1E"/>
    <w:rsid w:val="06BC378E"/>
    <w:rsid w:val="0D466608"/>
    <w:rsid w:val="0D850CC5"/>
    <w:rsid w:val="10D604DA"/>
    <w:rsid w:val="19B536B9"/>
    <w:rsid w:val="291C455A"/>
    <w:rsid w:val="2A502512"/>
    <w:rsid w:val="36926D0C"/>
    <w:rsid w:val="414A628B"/>
    <w:rsid w:val="4CF57D00"/>
    <w:rsid w:val="58A71DCA"/>
    <w:rsid w:val="673E27F9"/>
    <w:rsid w:val="6EF16389"/>
    <w:rsid w:val="74276058"/>
    <w:rsid w:val="79016D9C"/>
    <w:rsid w:val="7B23700B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ascii="Calibri" w:hAnsi="Calibri" w:eastAsia="宋体"/>
      <w:kern w:val="0"/>
      <w:sz w:val="24"/>
      <w:szCs w:val="24"/>
    </w:rPr>
  </w:style>
  <w:style w:type="paragraph" w:customStyle="1" w:styleId="7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1565</Words>
  <Characters>1587</Characters>
  <Lines>9</Lines>
  <Paragraphs>2</Paragraphs>
  <TotalTime>1</TotalTime>
  <ScaleCrop>false</ScaleCrop>
  <LinksUpToDate>false</LinksUpToDate>
  <CharactersWithSpaces>1590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Administrator</cp:lastModifiedBy>
  <cp:lastPrinted>2022-03-15T02:21:00Z</cp:lastPrinted>
  <dcterms:modified xsi:type="dcterms:W3CDTF">2023-06-21T06:41:56Z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  <property fmtid="{D5CDD505-2E9C-101B-9397-08002B2CF9AE}" pid="3" name="ICV">
    <vt:lpwstr>2295F6004E7C4908A6170C90E5C595B7</vt:lpwstr>
  </property>
</Properties>
</file>