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5E051">
      <w:pPr>
        <w:rPr>
          <w:rFonts w:ascii="Times New Roman" w:hAnsi="Times New Roman"/>
        </w:rPr>
      </w:pPr>
      <w:bookmarkStart w:id="0" w:name="_Toc15396597"/>
      <w:bookmarkStart w:id="1" w:name="_Toc15377425"/>
      <w:bookmarkStart w:id="2" w:name="_Toc15306267"/>
      <w:bookmarkStart w:id="3" w:name="_Toc15378441"/>
      <w:bookmarkStart w:id="4" w:name="_Toc15377193"/>
      <w:bookmarkStart w:id="5" w:name="_Toc15396475"/>
    </w:p>
    <w:bookmarkEnd w:id="0"/>
    <w:bookmarkEnd w:id="1"/>
    <w:bookmarkEnd w:id="2"/>
    <w:bookmarkEnd w:id="3"/>
    <w:bookmarkEnd w:id="4"/>
    <w:bookmarkEnd w:id="5"/>
    <w:p w14:paraId="08B19F31">
      <w:pPr>
        <w:pStyle w:val="7"/>
        <w:jc w:val="both"/>
        <w:rPr>
          <w:rFonts w:hint="eastAsia" w:ascii="方正小标宋简体" w:hAnsi="宋体" w:eastAsia="方正小标宋简体" w:cs="Times New Roman"/>
          <w:color w:val="auto"/>
          <w:kern w:val="2"/>
          <w:sz w:val="44"/>
          <w:szCs w:val="44"/>
          <w:highlight w:val="none"/>
          <w:lang w:val="en-US" w:eastAsia="zh-CN" w:bidi="ar-SA"/>
        </w:rPr>
      </w:pPr>
    </w:p>
    <w:p w14:paraId="1987CD5E">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78442"/>
      <w:bookmarkStart w:id="7" w:name="_Toc15396598"/>
      <w:bookmarkStart w:id="8" w:name="_Toc15377426"/>
      <w:bookmarkStart w:id="9" w:name="_Toc15396476"/>
      <w:bookmarkStart w:id="10" w:name="_Toc15377194"/>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红旗镇人民政府</w:t>
      </w:r>
    </w:p>
    <w:p w14:paraId="1106F712">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407D50F2">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14:paraId="69871E24">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rPr>
        <w:t>日</w:t>
      </w:r>
    </w:p>
    <w:p w14:paraId="76C71F0B">
      <w:pPr>
        <w:rPr>
          <w:rFonts w:ascii="Times New Roman" w:hAnsi="Times New Roman"/>
          <w:color w:val="auto"/>
          <w:highlight w:val="none"/>
        </w:rPr>
      </w:pPr>
    </w:p>
    <w:p w14:paraId="6D7C6CB7">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...............................................................4</w:t>
      </w:r>
    </w:p>
    <w:p w14:paraId="790DF4C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..........4</w:t>
      </w:r>
    </w:p>
    <w:p w14:paraId="41671B6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eastAsia="仿宋_GB2312" w:cs="仿宋_GB2312"/>
          <w:color w:val="auto"/>
          <w:sz w:val="32"/>
          <w:szCs w:val="32"/>
          <w:highlight w:val="none"/>
          <w:lang w:val="en-US" w:eastAsia="zh-CN"/>
        </w:rPr>
        <w:t>....5</w:t>
      </w:r>
    </w:p>
    <w:p w14:paraId="154AF50D">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..............................6</w:t>
      </w:r>
    </w:p>
    <w:p w14:paraId="7132923C">
      <w:pPr>
        <w:pStyle w:val="14"/>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黑体" w:cs="黑体"/>
          <w:color w:val="auto"/>
          <w:sz w:val="32"/>
          <w:szCs w:val="32"/>
          <w:highlight w:val="none"/>
          <w:lang w:val="en-US" w:eastAsia="zh-CN"/>
        </w:rPr>
        <w:t>.................................6</w:t>
      </w:r>
    </w:p>
    <w:p w14:paraId="65AACE3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.................................................6</w:t>
      </w:r>
    </w:p>
    <w:p w14:paraId="5AAD803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.................................................7</w:t>
      </w:r>
    </w:p>
    <w:p w14:paraId="129786E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.................8</w:t>
      </w:r>
    </w:p>
    <w:p w14:paraId="7E22728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.........8</w:t>
      </w:r>
    </w:p>
    <w:p w14:paraId="72D0F5A3">
      <w:pPr>
        <w:pStyle w:val="16"/>
        <w:keepNext w:val="0"/>
        <w:keepLines w:val="0"/>
        <w:pageBreakBefore w:val="0"/>
        <w:widowControl w:val="0"/>
        <w:kinsoku/>
        <w:wordWrap/>
        <w:overflowPunct/>
        <w:topLinePunct w:val="0"/>
        <w:autoSpaceDE/>
        <w:autoSpaceDN/>
        <w:bidi w:val="0"/>
        <w:adjustRightInd w:val="0"/>
        <w:snapToGrid w:val="0"/>
        <w:spacing w:line="560" w:lineRule="exact"/>
        <w:ind w:left="1278" w:leftChars="304" w:hanging="640" w:hanging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............................................................................11</w:t>
      </w:r>
    </w:p>
    <w:p w14:paraId="799AE27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.......`12</w:t>
      </w:r>
    </w:p>
    <w:p w14:paraId="7B4DC7B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.....................14</w:t>
      </w:r>
    </w:p>
    <w:p w14:paraId="53CC2C1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.................14</w:t>
      </w:r>
    </w:p>
    <w:p w14:paraId="7B0FAAE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.....................................14</w:t>
      </w:r>
    </w:p>
    <w:p w14:paraId="0414AD58">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 ...............16</w:t>
      </w:r>
    </w:p>
    <w:p w14:paraId="6F2A8DE7">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.......................................................................21</w:t>
      </w:r>
    </w:p>
    <w:p w14:paraId="738CFFBD">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.......................................................................39</w:t>
      </w:r>
    </w:p>
    <w:p w14:paraId="299EBEB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.................................................39</w:t>
      </w:r>
    </w:p>
    <w:p w14:paraId="228D3CE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.............................................................39</w:t>
      </w:r>
    </w:p>
    <w:p w14:paraId="6CC667F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.............................................................39</w:t>
      </w:r>
    </w:p>
    <w:p w14:paraId="2668699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.................................39</w:t>
      </w:r>
    </w:p>
    <w:p w14:paraId="3EA0CBE2">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.....................................39</w:t>
      </w:r>
    </w:p>
    <w:p w14:paraId="03D73729">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.....................39</w:t>
      </w:r>
    </w:p>
    <w:p w14:paraId="0AA8F13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.............39</w:t>
      </w:r>
    </w:p>
    <w:p w14:paraId="61A97B20">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.....39</w:t>
      </w:r>
    </w:p>
    <w:p w14:paraId="20981C8D">
      <w:pPr>
        <w:pStyle w:val="16"/>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.............39</w:t>
      </w:r>
    </w:p>
    <w:p w14:paraId="6E16F4E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.........39</w:t>
      </w:r>
    </w:p>
    <w:p w14:paraId="60297B0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.39</w:t>
      </w:r>
    </w:p>
    <w:p w14:paraId="1D7035F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.........39</w:t>
      </w:r>
    </w:p>
    <w:p w14:paraId="7765AF7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.................39</w:t>
      </w:r>
    </w:p>
    <w:sdt>
      <w:sdtPr>
        <w:rPr>
          <w:rFonts w:ascii="宋体" w:hAnsi="宋体" w:eastAsia="宋体" w:cs="Times New Roman"/>
          <w:kern w:val="2"/>
          <w:sz w:val="21"/>
          <w:szCs w:val="24"/>
          <w:lang w:val="en-US" w:eastAsia="zh-CN" w:bidi="ar-SA"/>
        </w:rPr>
        <w:id w:val="147453534"/>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14:paraId="536A3998">
          <w:bookmarkStart w:id="12" w:name="_Toc9426"/>
          <w:bookmarkEnd w:id="12"/>
        </w:p>
        <w:p w14:paraId="03C652B3">
          <w:pPr>
            <w:pStyle w:val="2"/>
            <w:rPr>
              <w:rFonts w:hint="eastAsia" w:ascii="Times New Roman" w:hAnsi="Times New Roman" w:eastAsia="宋体" w:cs="Times New Roman"/>
              <w:kern w:val="2"/>
              <w:sz w:val="21"/>
              <w:szCs w:val="24"/>
              <w:lang w:val="en-US" w:eastAsia="zh-CN" w:bidi="ar-SA"/>
            </w:rPr>
          </w:pPr>
        </w:p>
      </w:sdtContent>
    </w:sdt>
    <w:p w14:paraId="688ACD8C">
      <w:pPr>
        <w:rPr>
          <w:rFonts w:hint="eastAsia"/>
        </w:rPr>
      </w:pPr>
    </w:p>
    <w:p w14:paraId="0C952878">
      <w:pPr>
        <w:pStyle w:val="16"/>
        <w:keepNext w:val="0"/>
        <w:keepLines w:val="0"/>
        <w:pageBreakBefore w:val="0"/>
        <w:widowControl w:val="0"/>
        <w:tabs>
          <w:tab w:val="left" w:pos="6171"/>
          <w:tab w:val="clear" w:pos="8296"/>
        </w:tabs>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eastAsia="仿宋_GB2312" w:cs="仿宋_GB2312"/>
          <w:b/>
          <w:bCs/>
          <w:color w:val="auto"/>
          <w:sz w:val="32"/>
          <w:szCs w:val="32"/>
          <w:highlight w:val="none"/>
          <w:lang w:eastAsia="zh-CN"/>
        </w:rPr>
        <w:tab/>
      </w:r>
    </w:p>
    <w:p w14:paraId="4F4A4495">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3" w:name="_Toc15377196"/>
      <w:bookmarkStart w:id="14" w:name="_Toc15396599"/>
      <w:r>
        <w:rPr>
          <w:rFonts w:hint="eastAsia" w:ascii="Times New Roman" w:hAnsi="Times New Roman" w:eastAsia="仿宋_GB2312" w:cs="仿宋_GB2312"/>
          <w:b/>
          <w:color w:val="auto"/>
          <w:sz w:val="32"/>
          <w:szCs w:val="32"/>
          <w:highlight w:val="none"/>
        </w:rPr>
        <w:br w:type="page"/>
      </w:r>
    </w:p>
    <w:p w14:paraId="43B57289">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33"/>
          <w:rFonts w:hint="eastAsia" w:ascii="Times New Roman" w:hAnsi="Times New Roman" w:eastAsia="方正小标宋简体" w:cs="方正小标宋简体"/>
          <w:b/>
          <w:bCs w:val="0"/>
          <w:color w:val="auto"/>
          <w:highlight w:val="none"/>
        </w:rPr>
      </w:pPr>
      <w:bookmarkStart w:id="15" w:name="_Toc14597"/>
      <w:bookmarkStart w:id="16" w:name="_Toc31964"/>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3"/>
          <w:rFonts w:hint="eastAsia" w:ascii="Times New Roman" w:hAnsi="Times New Roman" w:eastAsia="方正小标宋简体" w:cs="方正小标宋简体"/>
          <w:b w:val="0"/>
          <w:bCs w:val="0"/>
          <w:color w:val="auto"/>
          <w:highlight w:val="none"/>
        </w:rPr>
        <w:t>部门概况</w:t>
      </w:r>
      <w:bookmarkEnd w:id="13"/>
      <w:bookmarkEnd w:id="14"/>
      <w:bookmarkEnd w:id="15"/>
      <w:bookmarkEnd w:id="16"/>
    </w:p>
    <w:p w14:paraId="71D203F1">
      <w:pPr>
        <w:widowControl/>
        <w:spacing w:line="240" w:lineRule="auto"/>
        <w:jc w:val="left"/>
        <w:rPr>
          <w:rFonts w:ascii="Times New Roman" w:hAnsi="Times New Roman" w:eastAsia="黑体"/>
          <w:color w:val="auto"/>
          <w:sz w:val="32"/>
          <w:szCs w:val="32"/>
          <w:highlight w:val="none"/>
        </w:rPr>
      </w:pPr>
    </w:p>
    <w:p w14:paraId="116A834B">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黑体"/>
          <w:b w:val="0"/>
          <w:color w:val="auto"/>
          <w:highlight w:val="none"/>
          <w:lang w:eastAsia="zh-CN"/>
        </w:rPr>
      </w:pPr>
      <w:bookmarkStart w:id="17" w:name="_Toc23837"/>
      <w:r>
        <w:rPr>
          <w:rFonts w:hint="eastAsia" w:ascii="Times New Roman" w:hAnsi="Times New Roman" w:eastAsia="黑体"/>
          <w:b w:val="0"/>
          <w:color w:val="auto"/>
          <w:highlight w:val="none"/>
          <w:lang w:eastAsia="zh-CN"/>
        </w:rPr>
        <w:t>一、部门职责</w:t>
      </w:r>
      <w:bookmarkEnd w:id="17"/>
    </w:p>
    <w:p w14:paraId="23A63A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1.贯彻落实党的路线方针政策和国家法律法规以及上级党委、政府的决议、决定和命令，执行镇党委和镇人民代表大会的决议，加强农村基层政权建设，巩固党在农村的执政基础。</w:t>
      </w:r>
    </w:p>
    <w:p w14:paraId="6A2EC2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2.组织编制本行政区域经济社会发展规划和镇国土空间规划负责农村基础设施和各项公益事业建设，实施乡村振兴战略，加快经济社会发展，改善群众生产生活环境。</w:t>
      </w:r>
    </w:p>
    <w:p w14:paraId="6F8DF7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3.指导农村经济发展，推进农业经济结构调整，促进农村集体经济增长、农业增效、农民增收。</w:t>
      </w:r>
    </w:p>
    <w:p w14:paraId="0522DA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41197E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5.负责辖区内自然资源、生态环境保护、森林防灭火、防汛抗旱、粮食安全、供销合作社等工作。</w:t>
      </w:r>
    </w:p>
    <w:p w14:paraId="1A9ACC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6.推进基层民主法治建设，加强普法依法治理，指导村（居）民委员会工作，维护群众合法权益。</w:t>
      </w:r>
    </w:p>
    <w:p w14:paraId="162697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sectPr>
          <w:footerReference r:id="rId5" w:type="first"/>
          <w:headerReference r:id="rId3" w:type="default"/>
          <w:footerReference r:id="rId4" w:type="default"/>
          <w:pgSz w:w="11906" w:h="16838"/>
          <w:pgMar w:top="2041" w:right="1468" w:bottom="1587" w:left="1468" w:header="851" w:footer="992" w:gutter="0"/>
          <w:pgNumType w:fmt="decimal"/>
          <w:cols w:space="425" w:num="1"/>
          <w:docGrid w:type="lines" w:linePitch="312" w:charSpace="0"/>
        </w:sectPr>
      </w:pPr>
      <w:r>
        <w:rPr>
          <w:rFonts w:hint="eastAsia" w:ascii="仿宋_GB2312" w:hAnsi="仿宋_GB2312" w:eastAsia="仿宋_GB2312" w:cs="仿宋_GB2312"/>
          <w:b w:val="0"/>
          <w:bCs w:val="0"/>
          <w:sz w:val="32"/>
          <w:szCs w:val="32"/>
          <w:lang w:val="en-US" w:eastAsia="zh-CN"/>
        </w:rPr>
        <w:t>7.承担辖区内基层治理、平安建设、社会治安综合治理、安全和应急管理等有关工作。负责群众来信来访，反映社情民意，</w:t>
      </w:r>
    </w:p>
    <w:p w14:paraId="0730C951">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化解矛盾纠纷，维护社会安全稳定。</w:t>
      </w:r>
    </w:p>
    <w:p w14:paraId="3245C4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8.负责国防教育、兵役征集、民兵预备役等有关工作。</w:t>
      </w:r>
    </w:p>
    <w:p w14:paraId="5A4124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9.承担法律法规、规章规定的其他职能和上级党委、政府交办的其他工作。</w:t>
      </w:r>
    </w:p>
    <w:p w14:paraId="17689A17">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Style w:val="34"/>
          <w:rFonts w:ascii="Times New Roman" w:hAnsi="Times New Roman"/>
          <w:b w:val="0"/>
          <w:bCs w:val="0"/>
          <w:color w:val="auto"/>
          <w:highlight w:val="none"/>
        </w:rPr>
      </w:pPr>
      <w:bookmarkStart w:id="18" w:name="_Toc15396601"/>
      <w:bookmarkStart w:id="19" w:name="_Toc15377200"/>
      <w:bookmarkStart w:id="20" w:name="_Toc4842"/>
      <w:r>
        <w:rPr>
          <w:rFonts w:hint="eastAsia" w:ascii="Times New Roman" w:hAnsi="Times New Roman" w:eastAsia="黑体"/>
          <w:b w:val="0"/>
          <w:color w:val="auto"/>
          <w:highlight w:val="none"/>
        </w:rPr>
        <w:t>二、机</w:t>
      </w:r>
      <w:r>
        <w:rPr>
          <w:rStyle w:val="34"/>
          <w:rFonts w:hint="eastAsia" w:ascii="Times New Roman" w:hAnsi="Times New Roman" w:eastAsia="黑体"/>
          <w:b w:val="0"/>
          <w:bCs w:val="0"/>
          <w:color w:val="auto"/>
          <w:highlight w:val="none"/>
        </w:rPr>
        <w:t>构设置</w:t>
      </w:r>
      <w:bookmarkEnd w:id="18"/>
      <w:bookmarkEnd w:id="19"/>
      <w:bookmarkEnd w:id="20"/>
    </w:p>
    <w:p w14:paraId="17D94CBE">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峨边彝族自治县红旗镇人民政府</w:t>
      </w:r>
      <w:r>
        <w:rPr>
          <w:rFonts w:hint="eastAsia" w:ascii="仿宋_GB2312" w:hAnsi="仿宋_GB2312" w:eastAsia="仿宋_GB2312" w:cs="仿宋_GB2312"/>
          <w:color w:val="auto"/>
          <w:sz w:val="32"/>
          <w:szCs w:val="32"/>
          <w:highlight w:val="none"/>
        </w:rPr>
        <w:t>下属二级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个，其中行政单位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个，参照公务员法管理的事业单位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w:t>
      </w:r>
    </w:p>
    <w:p w14:paraId="010EFED1">
      <w:pPr>
        <w:pStyle w:val="7"/>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纳入</w:t>
      </w:r>
      <w:r>
        <w:rPr>
          <w:rFonts w:hint="eastAsia" w:ascii="仿宋_GB2312" w:hAnsi="仿宋_GB2312" w:eastAsia="仿宋_GB2312" w:cs="仿宋_GB2312"/>
          <w:color w:val="auto"/>
          <w:sz w:val="32"/>
          <w:szCs w:val="32"/>
          <w:highlight w:val="none"/>
          <w:lang w:eastAsia="zh-CN"/>
        </w:rPr>
        <w:t>峨边彝族自治县红旗镇人民政府2024年度</w:t>
      </w:r>
      <w:r>
        <w:rPr>
          <w:rFonts w:hint="eastAsia" w:ascii="仿宋_GB2312" w:hAnsi="仿宋_GB2312" w:eastAsia="仿宋_GB2312" w:cs="仿宋_GB2312"/>
          <w:color w:val="auto"/>
          <w:sz w:val="32"/>
          <w:szCs w:val="32"/>
          <w:highlight w:val="none"/>
        </w:rPr>
        <w:t>部门决算编制范围的二级预算单位</w:t>
      </w:r>
      <w:r>
        <w:rPr>
          <w:rFonts w:hint="eastAsia" w:ascii="仿宋_GB2312" w:hAnsi="仿宋_GB2312" w:eastAsia="仿宋_GB2312" w:cs="仿宋_GB2312"/>
          <w:color w:val="auto"/>
          <w:sz w:val="32"/>
          <w:szCs w:val="32"/>
          <w:highlight w:val="none"/>
          <w:lang w:val="en-US" w:eastAsia="zh-CN"/>
        </w:rPr>
        <w:t>0个。</w:t>
      </w:r>
    </w:p>
    <w:p w14:paraId="3DE3DAED">
      <w:pPr>
        <w:pageBreakBefore w:val="0"/>
        <w:widowControl/>
        <w:kinsoku/>
        <w:wordWrap/>
        <w:overflowPunct/>
        <w:topLinePunct w:val="0"/>
        <w:autoSpaceDE/>
        <w:autoSpaceDN/>
        <w:bidi w:val="0"/>
        <w:spacing w:line="600" w:lineRule="exact"/>
        <w:jc w:val="left"/>
        <w:textAlignment w:val="auto"/>
        <w:rPr>
          <w:rFonts w:hint="eastAsia" w:ascii="Times New Roman" w:hAnsi="Times New Roman" w:eastAsia="仿宋"/>
          <w:color w:val="auto"/>
          <w:kern w:val="0"/>
          <w:sz w:val="32"/>
          <w:szCs w:val="32"/>
          <w:highlight w:val="none"/>
          <w:lang w:eastAsia="zh-CN"/>
        </w:rPr>
      </w:pPr>
    </w:p>
    <w:p w14:paraId="5D344923">
      <w:pPr>
        <w:pStyle w:val="3"/>
        <w:jc w:val="center"/>
        <w:rPr>
          <w:rFonts w:hint="eastAsia" w:ascii="Times New Roman" w:hAnsi="Times New Roman" w:eastAsia="方正小标宋简体" w:cs="方正小标宋简体"/>
          <w:b w:val="0"/>
          <w:color w:val="auto"/>
          <w:highlight w:val="none"/>
        </w:rPr>
      </w:pPr>
      <w:bookmarkStart w:id="21" w:name="_Toc15396602"/>
      <w:bookmarkStart w:id="22" w:name="_Toc15377204"/>
    </w:p>
    <w:p w14:paraId="42C07FA0">
      <w:pPr>
        <w:pStyle w:val="3"/>
        <w:jc w:val="center"/>
        <w:rPr>
          <w:rFonts w:hint="eastAsia" w:ascii="Times New Roman" w:hAnsi="Times New Roman" w:eastAsia="方正小标宋简体" w:cs="方正小标宋简体"/>
          <w:b w:val="0"/>
          <w:color w:val="auto"/>
          <w:highlight w:val="none"/>
        </w:rPr>
      </w:pPr>
    </w:p>
    <w:p w14:paraId="65BF6DF2">
      <w:pPr>
        <w:pStyle w:val="3"/>
        <w:jc w:val="both"/>
        <w:rPr>
          <w:rFonts w:hint="eastAsia" w:ascii="Times New Roman" w:hAnsi="Times New Roman" w:eastAsia="方正小标宋简体" w:cs="方正小标宋简体"/>
          <w:b w:val="0"/>
          <w:color w:val="auto"/>
          <w:highlight w:val="none"/>
        </w:rPr>
      </w:pPr>
    </w:p>
    <w:p w14:paraId="305687D7">
      <w:pPr>
        <w:rPr>
          <w:rFonts w:hint="eastAsia" w:ascii="Times New Roman" w:hAnsi="Times New Roman" w:eastAsia="方正小标宋简体" w:cs="方正小标宋简体"/>
          <w:b w:val="0"/>
          <w:color w:val="auto"/>
          <w:highlight w:val="none"/>
        </w:rPr>
      </w:pPr>
    </w:p>
    <w:p w14:paraId="1623A7EA">
      <w:pPr>
        <w:pStyle w:val="2"/>
        <w:rPr>
          <w:rFonts w:hint="eastAsia" w:ascii="Times New Roman" w:hAnsi="Times New Roman" w:eastAsia="方正小标宋简体" w:cs="方正小标宋简体"/>
          <w:b w:val="0"/>
          <w:color w:val="auto"/>
          <w:highlight w:val="none"/>
        </w:rPr>
      </w:pPr>
    </w:p>
    <w:p w14:paraId="58A81F67">
      <w:pPr>
        <w:pStyle w:val="2"/>
        <w:ind w:left="0" w:leftChars="0" w:firstLine="0" w:firstLineChars="0"/>
        <w:rPr>
          <w:rFonts w:hint="eastAsia"/>
        </w:rPr>
      </w:pPr>
    </w:p>
    <w:p w14:paraId="19F0A276">
      <w:pPr>
        <w:rPr>
          <w:rFonts w:hint="eastAsia"/>
        </w:rPr>
      </w:pPr>
    </w:p>
    <w:p w14:paraId="6BAF1F37">
      <w:pPr>
        <w:rPr>
          <w:rFonts w:hint="eastAsia" w:ascii="方正小标宋简体" w:hAnsi="方正小标宋简体" w:eastAsia="方正小标宋简体" w:cs="方正小标宋简体"/>
          <w:b w:val="0"/>
          <w:color w:val="auto"/>
          <w:highlight w:val="none"/>
        </w:rPr>
      </w:pPr>
      <w:bookmarkStart w:id="23" w:name="_Toc8489"/>
      <w:bookmarkStart w:id="24" w:name="_Toc32454"/>
      <w:r>
        <w:rPr>
          <w:rFonts w:hint="eastAsia" w:ascii="方正小标宋简体" w:hAnsi="方正小标宋简体" w:eastAsia="方正小标宋简体" w:cs="方正小标宋简体"/>
          <w:b w:val="0"/>
          <w:color w:val="auto"/>
          <w:highlight w:val="none"/>
        </w:rPr>
        <w:br w:type="page"/>
      </w:r>
    </w:p>
    <w:p w14:paraId="53CE7F08">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color w:val="auto"/>
          <w:highlight w:val="none"/>
        </w:rPr>
      </w:pPr>
      <w:r>
        <w:rPr>
          <w:rFonts w:hint="eastAsia" w:ascii="方正小标宋简体" w:hAnsi="方正小标宋简体" w:eastAsia="方正小标宋简体" w:cs="方正小标宋简体"/>
          <w:b w:val="0"/>
          <w:color w:val="auto"/>
          <w:highlight w:val="none"/>
        </w:rPr>
        <w:t>第二部分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2024年度</w:t>
      </w:r>
      <w:r>
        <w:rPr>
          <w:rFonts w:hint="eastAsia" w:ascii="方正小标宋简体" w:hAnsi="方正小标宋简体" w:eastAsia="方正小标宋简体" w:cs="方正小标宋简体"/>
          <w:b w:val="0"/>
          <w:color w:val="auto"/>
          <w:highlight w:val="none"/>
        </w:rPr>
        <w:t>部门决算情况说明</w:t>
      </w:r>
      <w:bookmarkEnd w:id="21"/>
      <w:bookmarkEnd w:id="22"/>
      <w:bookmarkEnd w:id="23"/>
      <w:bookmarkEnd w:id="24"/>
    </w:p>
    <w:p w14:paraId="528E26CA">
      <w:pPr>
        <w:rPr>
          <w:rFonts w:ascii="Times New Roman" w:hAnsi="Times New Roman"/>
          <w:color w:val="auto"/>
          <w:highlight w:val="none"/>
        </w:rPr>
      </w:pPr>
    </w:p>
    <w:p w14:paraId="44638585">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4"/>
          <w:rFonts w:hint="eastAsia" w:ascii="Times New Roman" w:hAnsi="Times New Roman" w:eastAsia="黑体"/>
          <w:b w:val="0"/>
          <w:color w:val="auto"/>
          <w:highlight w:val="none"/>
        </w:rPr>
      </w:pPr>
      <w:bookmarkStart w:id="25" w:name="_Toc15377205"/>
      <w:bookmarkStart w:id="26" w:name="_Toc8348"/>
      <w:bookmarkStart w:id="27"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4"/>
          <w:rFonts w:hint="eastAsia" w:ascii="Times New Roman" w:hAnsi="Times New Roman" w:eastAsia="黑体"/>
          <w:b w:val="0"/>
          <w:color w:val="auto"/>
          <w:highlight w:val="none"/>
        </w:rPr>
        <w:t>入支出决算总体情况说明</w:t>
      </w:r>
      <w:bookmarkEnd w:id="25"/>
      <w:bookmarkEnd w:id="26"/>
      <w:bookmarkEnd w:id="27"/>
    </w:p>
    <w:p w14:paraId="49B4E3E8">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bookmarkStart w:id="28" w:name="_Toc9031"/>
      <w:r>
        <w:rPr>
          <w:rFonts w:hint="eastAsia" w:ascii="仿宋_GB2312" w:hAnsi="仿宋_GB2312" w:eastAsia="仿宋_GB2312" w:cs="仿宋_GB2312"/>
          <w:color w:val="auto"/>
          <w:sz w:val="32"/>
          <w:szCs w:val="32"/>
          <w:highlight w:val="none"/>
          <w:lang w:eastAsia="zh-CN"/>
        </w:rPr>
        <w:t>2024年度收入、支出总计均为1,156.58万元。与202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年度相比，收入、支出总计各减少</w:t>
      </w:r>
      <w:r>
        <w:rPr>
          <w:rFonts w:hint="eastAsia" w:ascii="仿宋_GB2312" w:hAnsi="仿宋_GB2312" w:eastAsia="仿宋_GB2312" w:cs="仿宋_GB2312"/>
          <w:color w:val="auto"/>
          <w:sz w:val="32"/>
          <w:szCs w:val="32"/>
          <w:highlight w:val="none"/>
          <w:lang w:val="en-US" w:eastAsia="zh-CN"/>
        </w:rPr>
        <w:t>60.17</w:t>
      </w:r>
      <w:r>
        <w:rPr>
          <w:rFonts w:hint="eastAsia" w:ascii="仿宋_GB2312" w:hAnsi="仿宋_GB2312" w:eastAsia="仿宋_GB2312" w:cs="仿宋_GB2312"/>
          <w:color w:val="auto"/>
          <w:sz w:val="32"/>
          <w:szCs w:val="32"/>
          <w:highlight w:val="none"/>
          <w:lang w:eastAsia="zh-CN"/>
        </w:rPr>
        <w:t>万元，下降</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%。主要变动原因是人员减少、项目减少。</w:t>
      </w:r>
      <w:bookmarkEnd w:id="28"/>
    </w:p>
    <w:p w14:paraId="065124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决算总计变动情况图</w:t>
      </w:r>
    </w:p>
    <w:p w14:paraId="5A842CED">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9" w:name="_Toc22894"/>
      <w:bookmarkStart w:id="30" w:name="_Toc15377206"/>
      <w:bookmarkStart w:id="31" w:name="_Toc15396604"/>
    </w:p>
    <w:p w14:paraId="2EB99162">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7CBCFDF4">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5149DC3C">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7A4A7DE1">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23ECFA1B">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3E68E6A5">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19D39529">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411480</wp:posOffset>
            </wp:positionH>
            <wp:positionV relativeFrom="paragraph">
              <wp:posOffset>-2693035</wp:posOffset>
            </wp:positionV>
            <wp:extent cx="5256530" cy="2988310"/>
            <wp:effectExtent l="5080" t="4445" r="11430" b="952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200C70B">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9"/>
      <w:bookmarkEnd w:id="30"/>
      <w:bookmarkEnd w:id="31"/>
    </w:p>
    <w:p w14:paraId="596BED91">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yellow"/>
          <w:lang w:eastAsia="zh-CN"/>
        </w:rPr>
      </w:pPr>
      <w:bookmarkStart w:id="32" w:name="_Toc22647"/>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1156.58</w:t>
      </w:r>
      <w:r>
        <w:rPr>
          <w:rFonts w:hint="eastAsia" w:ascii="仿宋_GB2312" w:hAnsi="仿宋_GB2312" w:eastAsia="仿宋_GB2312" w:cs="仿宋_GB2312"/>
          <w:color w:val="auto"/>
          <w:sz w:val="32"/>
          <w:szCs w:val="32"/>
          <w:highlight w:val="none"/>
          <w:lang w:eastAsia="zh-CN"/>
        </w:rPr>
        <w:t>万元，其中：一般公共预算财政拨款收入1109.64万元，占</w:t>
      </w:r>
      <w:r>
        <w:rPr>
          <w:rFonts w:hint="eastAsia" w:ascii="仿宋_GB2312" w:hAnsi="仿宋_GB2312" w:eastAsia="仿宋_GB2312" w:cs="仿宋_GB2312"/>
          <w:color w:val="auto"/>
          <w:sz w:val="32"/>
          <w:szCs w:val="32"/>
          <w:highlight w:val="none"/>
          <w:lang w:val="en-US" w:eastAsia="zh-CN"/>
        </w:rPr>
        <w:t>95.93</w:t>
      </w:r>
      <w:r>
        <w:rPr>
          <w:rFonts w:hint="eastAsia" w:ascii="仿宋_GB2312" w:hAnsi="仿宋_GB2312" w:eastAsia="仿宋_GB2312" w:cs="仿宋_GB2312"/>
          <w:color w:val="auto"/>
          <w:sz w:val="32"/>
          <w:szCs w:val="32"/>
          <w:highlight w:val="none"/>
          <w:lang w:eastAsia="zh-CN"/>
        </w:rPr>
        <w:t>%；政府性基金预算财政拨款收入46.94万元，占</w:t>
      </w:r>
      <w:r>
        <w:rPr>
          <w:rFonts w:hint="eastAsia" w:ascii="仿宋_GB2312" w:hAnsi="仿宋_GB2312" w:eastAsia="仿宋_GB2312" w:cs="仿宋_GB2312"/>
          <w:color w:val="auto"/>
          <w:sz w:val="32"/>
          <w:szCs w:val="32"/>
          <w:highlight w:val="none"/>
          <w:lang w:val="en-US" w:eastAsia="zh-CN"/>
        </w:rPr>
        <w:t>4.07</w:t>
      </w:r>
      <w:r>
        <w:rPr>
          <w:rFonts w:hint="eastAsia" w:ascii="仿宋_GB2312" w:hAnsi="仿宋_GB2312" w:eastAsia="仿宋_GB2312" w:cs="仿宋_GB2312"/>
          <w:color w:val="auto"/>
          <w:sz w:val="32"/>
          <w:szCs w:val="32"/>
          <w:highlight w:val="none"/>
          <w:lang w:eastAsia="zh-CN"/>
        </w:rPr>
        <w:t>%</w:t>
      </w:r>
      <w:bookmarkEnd w:id="32"/>
      <w:r>
        <w:rPr>
          <w:rFonts w:hint="eastAsia" w:ascii="仿宋_GB2312" w:hAnsi="仿宋_GB2312" w:eastAsia="仿宋_GB2312" w:cs="仿宋_GB2312"/>
          <w:color w:val="auto"/>
          <w:sz w:val="32"/>
          <w:szCs w:val="32"/>
          <w:highlight w:val="none"/>
          <w:lang w:eastAsia="zh-CN"/>
        </w:rPr>
        <w:t>。</w:t>
      </w:r>
    </w:p>
    <w:p w14:paraId="162A9EAA">
      <w:pPr>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（图2：收入决算结构图）（饼状图）</w:t>
      </w:r>
    </w:p>
    <w:p w14:paraId="117B2499">
      <w:pPr>
        <w:ind w:firstLine="800" w:firstLineChars="250"/>
        <w:rPr>
          <w:rFonts w:hint="eastAsia" w:ascii="Times New Roman" w:hAnsi="Times New Roman" w:eastAsia="黑体"/>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33" w:name="_Toc15377207"/>
      <w:bookmarkStart w:id="34" w:name="_Toc15396605"/>
    </w:p>
    <w:p w14:paraId="3C2D3D77">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4"/>
          <w:rFonts w:hint="eastAsia" w:ascii="Times New Roman" w:hAnsi="Times New Roman" w:eastAsia="黑体"/>
          <w:b w:val="0"/>
          <w:color w:val="auto"/>
          <w:highlight w:val="none"/>
        </w:rPr>
      </w:pPr>
      <w:bookmarkStart w:id="35" w:name="_Toc8980"/>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4"/>
          <w:rFonts w:hint="eastAsia" w:ascii="Times New Roman" w:hAnsi="Times New Roman" w:eastAsia="黑体"/>
          <w:b w:val="0"/>
          <w:color w:val="auto"/>
          <w:highlight w:val="none"/>
        </w:rPr>
        <w:t>出决算情况说明</w:t>
      </w:r>
      <w:bookmarkEnd w:id="33"/>
      <w:bookmarkEnd w:id="34"/>
      <w:bookmarkEnd w:id="35"/>
    </w:p>
    <w:p w14:paraId="73A1C412">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yellow"/>
          <w:lang w:eastAsia="zh-CN"/>
        </w:rPr>
      </w:pPr>
      <w:bookmarkStart w:id="36" w:name="_Toc10116"/>
      <w:r>
        <w:rPr>
          <w:rFonts w:hint="eastAsia" w:ascii="仿宋_GB2312" w:hAnsi="仿宋_GB2312" w:eastAsia="仿宋_GB2312" w:cs="仿宋_GB2312"/>
          <w:color w:val="auto"/>
          <w:sz w:val="32"/>
          <w:szCs w:val="32"/>
          <w:highlight w:val="none"/>
          <w:lang w:eastAsia="zh-CN"/>
        </w:rPr>
        <w:t>2024年度本年支出合计1,156.58万元，其中：基本支出1019.55万元，占</w:t>
      </w:r>
      <w:r>
        <w:rPr>
          <w:rFonts w:hint="eastAsia" w:ascii="仿宋_GB2312" w:hAnsi="仿宋_GB2312" w:eastAsia="仿宋_GB2312" w:cs="仿宋_GB2312"/>
          <w:color w:val="auto"/>
          <w:sz w:val="32"/>
          <w:szCs w:val="32"/>
          <w:highlight w:val="none"/>
          <w:lang w:val="en-US" w:eastAsia="zh-CN"/>
        </w:rPr>
        <w:t>88.15</w:t>
      </w:r>
      <w:r>
        <w:rPr>
          <w:rFonts w:hint="eastAsia" w:ascii="仿宋_GB2312" w:hAnsi="仿宋_GB2312" w:eastAsia="仿宋_GB2312" w:cs="仿宋_GB2312"/>
          <w:color w:val="auto"/>
          <w:sz w:val="32"/>
          <w:szCs w:val="32"/>
          <w:highlight w:val="none"/>
          <w:lang w:eastAsia="zh-CN"/>
        </w:rPr>
        <w:t>%；项目支出137.03万元，占</w:t>
      </w:r>
      <w:r>
        <w:rPr>
          <w:rFonts w:hint="eastAsia" w:ascii="仿宋_GB2312" w:hAnsi="仿宋_GB2312" w:eastAsia="仿宋_GB2312" w:cs="仿宋_GB2312"/>
          <w:color w:val="auto"/>
          <w:sz w:val="32"/>
          <w:szCs w:val="32"/>
          <w:highlight w:val="none"/>
          <w:lang w:val="en-US" w:eastAsia="zh-CN"/>
        </w:rPr>
        <w:t>11.85</w:t>
      </w:r>
      <w:r>
        <w:rPr>
          <w:rFonts w:hint="eastAsia" w:ascii="仿宋_GB2312" w:hAnsi="仿宋_GB2312" w:eastAsia="仿宋_GB2312" w:cs="仿宋_GB2312"/>
          <w:color w:val="auto"/>
          <w:sz w:val="32"/>
          <w:szCs w:val="32"/>
          <w:highlight w:val="none"/>
          <w:lang w:eastAsia="zh-CN"/>
        </w:rPr>
        <w:t>%。</w:t>
      </w:r>
      <w:bookmarkEnd w:id="36"/>
    </w:p>
    <w:p w14:paraId="5169423E">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E27A8B5">
      <w:pP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61B4FF">
      <w:pPr>
        <w:rPr>
          <w:rFonts w:hint="eastAsia" w:ascii="Times New Roman" w:hAnsi="Times New Roman" w:eastAsia="仿宋_GB2312" w:cs="仿宋_GB2312"/>
          <w:color w:val="auto"/>
          <w:sz w:val="32"/>
          <w:szCs w:val="32"/>
          <w:highlight w:val="none"/>
          <w:lang w:eastAsia="zh-CN"/>
        </w:rPr>
      </w:pPr>
    </w:p>
    <w:p w14:paraId="220BF407">
      <w:pPr>
        <w:spacing w:line="600" w:lineRule="exact"/>
        <w:ind w:firstLine="640" w:firstLineChars="200"/>
        <w:outlineLvl w:val="1"/>
        <w:rPr>
          <w:rStyle w:val="34"/>
          <w:rFonts w:ascii="Times New Roman" w:hAnsi="Times New Roman" w:eastAsia="黑体"/>
          <w:b w:val="0"/>
          <w:color w:val="auto"/>
          <w:highlight w:val="none"/>
        </w:rPr>
      </w:pPr>
      <w:bookmarkStart w:id="37" w:name="_Toc15377208"/>
      <w:bookmarkStart w:id="38" w:name="_Toc15396606"/>
      <w:bookmarkStart w:id="39" w:name="_Toc31501"/>
      <w:r>
        <w:rPr>
          <w:rFonts w:hint="eastAsia" w:ascii="Times New Roman" w:hAnsi="Times New Roman" w:eastAsia="黑体"/>
          <w:color w:val="auto"/>
          <w:sz w:val="32"/>
          <w:szCs w:val="32"/>
          <w:highlight w:val="none"/>
        </w:rPr>
        <w:t>四、财</w:t>
      </w:r>
      <w:r>
        <w:rPr>
          <w:rStyle w:val="34"/>
          <w:rFonts w:hint="eastAsia" w:ascii="Times New Roman" w:hAnsi="Times New Roman" w:eastAsia="黑体"/>
          <w:b w:val="0"/>
          <w:color w:val="auto"/>
          <w:highlight w:val="none"/>
        </w:rPr>
        <w:t>政拨款收入支出决算总体情况说明</w:t>
      </w:r>
      <w:bookmarkEnd w:id="37"/>
      <w:bookmarkEnd w:id="38"/>
      <w:bookmarkEnd w:id="39"/>
    </w:p>
    <w:p w14:paraId="067660EE">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bookmarkStart w:id="40" w:name="_Toc29911"/>
      <w:r>
        <w:rPr>
          <w:rFonts w:hint="eastAsia" w:ascii="仿宋_GB2312" w:hAnsi="仿宋_GB2312"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color w:val="auto"/>
          <w:sz w:val="32"/>
          <w:szCs w:val="32"/>
          <w:highlight w:val="none"/>
          <w:lang w:eastAsia="zh-CN"/>
        </w:rPr>
        <w:t>1,156.58万元</w:t>
      </w:r>
      <w:r>
        <w:rPr>
          <w:rFonts w:hint="eastAsia" w:ascii="仿宋_GB2312" w:hAnsi="仿宋_GB2312" w:eastAsia="仿宋_GB2312" w:cs="仿宋_GB2312"/>
          <w:color w:val="auto"/>
          <w:kern w:val="2"/>
          <w:sz w:val="32"/>
          <w:szCs w:val="32"/>
          <w:highlight w:val="none"/>
          <w:lang w:val="en-US" w:eastAsia="zh-CN" w:bidi="ar-SA"/>
        </w:rPr>
        <w:t>。与2023年度相比，财政拨款收入总计、支出总计各</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60.17</w:t>
      </w:r>
      <w:r>
        <w:rPr>
          <w:rFonts w:hint="eastAsia" w:ascii="仿宋_GB2312" w:hAnsi="仿宋_GB2312" w:eastAsia="仿宋_GB2312" w:cs="仿宋_GB2312"/>
          <w:color w:val="auto"/>
          <w:sz w:val="32"/>
          <w:szCs w:val="32"/>
          <w:highlight w:val="none"/>
          <w:lang w:eastAsia="zh-CN"/>
        </w:rPr>
        <w:t>万元，下降</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%。主要变动原因是人员减少、项目减少。</w:t>
      </w:r>
      <w:bookmarkEnd w:id="40"/>
    </w:p>
    <w:p w14:paraId="18C18E59">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（图4：财政拨款收、支决算总计变动情况）（柱状图）</w:t>
      </w:r>
    </w:p>
    <w:p w14:paraId="50261AED">
      <w:pPr>
        <w:spacing w:line="600" w:lineRule="exact"/>
        <w:ind w:firstLine="640" w:firstLineChars="200"/>
        <w:outlineLvl w:val="1"/>
        <w:rPr>
          <w:rFonts w:hint="eastAsia" w:ascii="Times New Roman" w:hAnsi="Times New Roman" w:eastAsia="黑体"/>
          <w:color w:val="auto"/>
          <w:sz w:val="32"/>
          <w:szCs w:val="32"/>
          <w:highlight w:val="none"/>
          <w:lang w:eastAsia="zh-CN"/>
        </w:rPr>
      </w:pPr>
      <w:bookmarkStart w:id="41" w:name="_Toc15377209"/>
      <w:bookmarkStart w:id="42" w:name="_Toc15396607"/>
    </w:p>
    <w:p w14:paraId="0A05CCD2">
      <w:pPr>
        <w:spacing w:line="600" w:lineRule="exact"/>
        <w:ind w:firstLine="640" w:firstLineChars="200"/>
        <w:outlineLvl w:val="1"/>
        <w:rPr>
          <w:rFonts w:hint="eastAsia" w:ascii="Times New Roman" w:hAnsi="Times New Roman" w:eastAsia="黑体"/>
          <w:color w:val="auto"/>
          <w:sz w:val="32"/>
          <w:szCs w:val="32"/>
          <w:highlight w:val="none"/>
          <w:lang w:eastAsia="zh-CN"/>
        </w:rPr>
      </w:pPr>
    </w:p>
    <w:p w14:paraId="2FD8FB54">
      <w:pPr>
        <w:spacing w:line="600" w:lineRule="exact"/>
        <w:ind w:firstLine="640" w:firstLineChars="200"/>
        <w:outlineLvl w:val="1"/>
        <w:rPr>
          <w:rFonts w:hint="eastAsia" w:ascii="Times New Roman" w:hAnsi="Times New Roman" w:eastAsia="黑体"/>
          <w:color w:val="auto"/>
          <w:sz w:val="32"/>
          <w:szCs w:val="32"/>
          <w:highlight w:val="none"/>
          <w:lang w:eastAsia="zh-CN"/>
        </w:rPr>
      </w:pPr>
    </w:p>
    <w:p w14:paraId="5B3272D8">
      <w:pPr>
        <w:spacing w:line="600" w:lineRule="exact"/>
        <w:outlineLvl w:val="1"/>
        <w:rPr>
          <w:rFonts w:hint="eastAsia" w:ascii="Times New Roman" w:hAnsi="Times New Roman" w:eastAsia="黑体"/>
          <w:color w:val="auto"/>
          <w:sz w:val="32"/>
          <w:szCs w:val="32"/>
          <w:highlight w:val="none"/>
          <w:lang w:eastAsia="zh-CN"/>
        </w:rPr>
      </w:pPr>
    </w:p>
    <w:p w14:paraId="6510CA43">
      <w:pPr>
        <w:spacing w:line="600" w:lineRule="exact"/>
        <w:ind w:firstLine="640" w:firstLineChars="200"/>
        <w:outlineLvl w:val="1"/>
        <w:rPr>
          <w:rFonts w:hint="eastAsia" w:ascii="Times New Roman" w:hAnsi="Times New Roman" w:eastAsia="黑体"/>
          <w:color w:val="auto"/>
          <w:sz w:val="32"/>
          <w:szCs w:val="32"/>
          <w:highlight w:val="none"/>
          <w:lang w:eastAsia="zh-CN"/>
        </w:rPr>
      </w:pPr>
    </w:p>
    <w:p w14:paraId="367DF429">
      <w:pPr>
        <w:spacing w:line="600" w:lineRule="exact"/>
        <w:ind w:firstLine="640" w:firstLineChars="200"/>
        <w:outlineLvl w:val="1"/>
        <w:rPr>
          <w:rFonts w:hint="eastAsia" w:ascii="Times New Roman" w:hAnsi="Times New Roman" w:eastAsia="黑体"/>
          <w:color w:val="auto"/>
          <w:sz w:val="32"/>
          <w:szCs w:val="32"/>
          <w:highlight w:val="none"/>
        </w:rPr>
      </w:pPr>
    </w:p>
    <w:p w14:paraId="71DF3439">
      <w:pPr>
        <w:spacing w:line="600" w:lineRule="exact"/>
        <w:ind w:firstLine="640" w:firstLineChars="200"/>
        <w:outlineLvl w:val="1"/>
        <w:rPr>
          <w:rFonts w:hint="eastAsia" w:ascii="Times New Roman" w:hAnsi="Times New Roman" w:eastAsia="黑体"/>
          <w:color w:val="auto"/>
          <w:sz w:val="32"/>
          <w:szCs w:val="32"/>
          <w:highlight w:val="none"/>
        </w:rPr>
      </w:pPr>
    </w:p>
    <w:p w14:paraId="006F02E1">
      <w:pPr>
        <w:spacing w:line="600" w:lineRule="exact"/>
        <w:ind w:firstLine="640" w:firstLineChars="200"/>
        <w:outlineLvl w:val="1"/>
        <w:rPr>
          <w:rFonts w:hint="eastAsia" w:ascii="Times New Roman" w:hAnsi="Times New Roman" w:eastAsia="黑体"/>
          <w:color w:val="auto"/>
          <w:sz w:val="32"/>
          <w:szCs w:val="32"/>
          <w:highlight w:val="none"/>
        </w:rPr>
      </w:pPr>
    </w:p>
    <w:p w14:paraId="2C876020">
      <w:pPr>
        <w:spacing w:line="600" w:lineRule="exact"/>
        <w:ind w:firstLine="640" w:firstLineChars="200"/>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411480</wp:posOffset>
            </wp:positionH>
            <wp:positionV relativeFrom="paragraph">
              <wp:posOffset>-2700655</wp:posOffset>
            </wp:positionV>
            <wp:extent cx="5256530" cy="2988310"/>
            <wp:effectExtent l="5080" t="4445" r="15240" b="17145"/>
            <wp:wrapSquare wrapText="bothSides"/>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21586D3">
      <w:pPr>
        <w:rPr>
          <w:rFonts w:hint="eastAsia"/>
        </w:rPr>
      </w:pPr>
    </w:p>
    <w:p w14:paraId="0B590877">
      <w:pPr>
        <w:spacing w:line="600" w:lineRule="exact"/>
        <w:ind w:firstLine="640" w:firstLineChars="200"/>
        <w:outlineLvl w:val="1"/>
        <w:rPr>
          <w:rStyle w:val="34"/>
          <w:rFonts w:ascii="Times New Roman" w:hAnsi="Times New Roman" w:eastAsia="黑体"/>
          <w:b w:val="0"/>
          <w:color w:val="auto"/>
          <w:highlight w:val="none"/>
        </w:rPr>
      </w:pPr>
      <w:bookmarkStart w:id="43" w:name="_Toc2050"/>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般公共预算财政拨款支出决算情况说明</w:t>
      </w:r>
      <w:bookmarkEnd w:id="41"/>
      <w:bookmarkEnd w:id="42"/>
      <w:bookmarkEnd w:id="43"/>
    </w:p>
    <w:p w14:paraId="246EBB9E">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44" w:name="_Toc22479"/>
      <w:bookmarkStart w:id="45" w:name="_Toc15377210"/>
      <w:r>
        <w:rPr>
          <w:rFonts w:hint="eastAsia" w:ascii="Times New Roman" w:hAnsi="Times New Roman" w:eastAsia="楷体_GB2312" w:cs="楷体_GB2312"/>
          <w:b w:val="0"/>
          <w:bCs/>
          <w:color w:val="auto"/>
          <w:sz w:val="32"/>
          <w:szCs w:val="32"/>
          <w:highlight w:val="none"/>
        </w:rPr>
        <w:t>（一）一般公共预算财政拨款支出决算总体情况</w:t>
      </w:r>
      <w:bookmarkEnd w:id="44"/>
      <w:bookmarkEnd w:id="45"/>
    </w:p>
    <w:p w14:paraId="04A1781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2024年度一般公共预算财政拨款支出1109.64万元，占本年支出合计的95.94%。与2023年度相比，一般公共预算财政拨款支出减少68.53万元，下降6%。主要变动原因是人员减少。</w:t>
      </w:r>
    </w:p>
    <w:p w14:paraId="3DBA1EF2">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E2912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FB8D97">
      <w:pPr>
        <w:spacing w:line="600" w:lineRule="exact"/>
        <w:ind w:firstLine="640"/>
        <w:rPr>
          <w:rFonts w:hint="eastAsia" w:ascii="Times New Roman" w:hAnsi="Times New Roman" w:eastAsia="楷体_GB2312" w:cs="楷体_GB2312"/>
          <w:b w:val="0"/>
          <w:bCs/>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174625</wp:posOffset>
            </wp:positionH>
            <wp:positionV relativeFrom="paragraph">
              <wp:posOffset>-177800</wp:posOffset>
            </wp:positionV>
            <wp:extent cx="5256530" cy="2988310"/>
            <wp:effectExtent l="5080" t="4445" r="15240" b="17145"/>
            <wp:wrapSquare wrapText="bothSides"/>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46" w:name="_Toc15377211"/>
      <w:bookmarkStart w:id="47" w:name="_Toc17440"/>
      <w:r>
        <w:rPr>
          <w:rFonts w:hint="eastAsia" w:ascii="Times New Roman" w:hAnsi="Times New Roman" w:eastAsia="楷体_GB2312" w:cs="楷体_GB2312"/>
          <w:b w:val="0"/>
          <w:bCs/>
          <w:color w:val="auto"/>
          <w:sz w:val="32"/>
          <w:szCs w:val="32"/>
          <w:highlight w:val="none"/>
        </w:rPr>
        <w:t>（二）一般公共预算财政拨款支出决算结构情况</w:t>
      </w:r>
      <w:bookmarkEnd w:id="46"/>
      <w:bookmarkEnd w:id="47"/>
    </w:p>
    <w:p w14:paraId="1F98C00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1109.64万元，主要用于以下方面：一般公共服务支出685.64万元，占61.79%；社会保障和就业支出119.46万元，占10.77%；卫生健康支出19.03万元，占1.71%；住房保障支出57.94万元，占5.22%；农林水支出227.56，占20.51%。</w:t>
      </w:r>
    </w:p>
    <w:p w14:paraId="6E59C60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5408" behindDoc="0" locked="0" layoutInCell="1" allowOverlap="1">
            <wp:simplePos x="0" y="0"/>
            <wp:positionH relativeFrom="column">
              <wp:posOffset>295275</wp:posOffset>
            </wp:positionH>
            <wp:positionV relativeFrom="paragraph">
              <wp:posOffset>338455</wp:posOffset>
            </wp:positionV>
            <wp:extent cx="5272405" cy="2734945"/>
            <wp:effectExtent l="0" t="0" r="635" b="8255"/>
            <wp:wrapNone/>
            <wp:docPr id="5" name="图片 5" descr="0e0033e0-e08b-4871-a023-8df4733f9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e0033e0-e08b-4871-a023-8df4733f94a8"/>
                    <pic:cNvPicPr>
                      <a:picLocks noChangeAspect="1"/>
                    </pic:cNvPicPr>
                  </pic:nvPicPr>
                  <pic:blipFill>
                    <a:blip r:embed="rId12"/>
                    <a:stretch>
                      <a:fillRect/>
                    </a:stretch>
                  </pic:blipFill>
                  <pic:spPr>
                    <a:xfrm>
                      <a:off x="0" y="0"/>
                      <a:ext cx="5272405" cy="2734945"/>
                    </a:xfrm>
                    <a:prstGeom prst="rect">
                      <a:avLst/>
                    </a:prstGeom>
                  </pic:spPr>
                </pic:pic>
              </a:graphicData>
            </a:graphic>
          </wp:anchor>
        </w:drawing>
      </w:r>
      <w:r>
        <w:rPr>
          <w:rFonts w:hint="eastAsia" w:ascii="仿宋_GB2312" w:hAnsi="仿宋_GB2312" w:eastAsia="仿宋_GB2312" w:cs="仿宋_GB2312"/>
          <w:color w:val="auto"/>
          <w:kern w:val="2"/>
          <w:sz w:val="32"/>
          <w:szCs w:val="32"/>
          <w:highlight w:val="none"/>
          <w:lang w:val="en-US" w:eastAsia="zh-CN" w:bidi="ar-SA"/>
        </w:rPr>
        <w:t>（图6：一般公共预算财政拨款支出决算结构）（饼状图）</w:t>
      </w:r>
    </w:p>
    <w:p w14:paraId="03A29A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C823848">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47EA691">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11EA1F8">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E53741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175B81E">
      <w:pPr>
        <w:spacing w:line="240" w:lineRule="auto"/>
        <w:rPr>
          <w:rFonts w:hint="eastAsia" w:ascii="Times New Roman" w:hAnsi="Times New Roman" w:eastAsia="仿宋_GB2312" w:cs="仿宋_GB2312"/>
          <w:color w:val="auto"/>
          <w:kern w:val="2"/>
          <w:sz w:val="32"/>
          <w:szCs w:val="32"/>
          <w:highlight w:val="none"/>
          <w:lang w:val="en-US" w:eastAsia="zh-CN" w:bidi="ar-SA"/>
        </w:rPr>
      </w:pPr>
    </w:p>
    <w:p w14:paraId="689735CC">
      <w:pPr>
        <w:spacing w:line="600" w:lineRule="exact"/>
        <w:outlineLvl w:val="2"/>
        <w:rPr>
          <w:rFonts w:hint="eastAsia" w:ascii="Times New Roman" w:hAnsi="Times New Roman" w:eastAsia="楷体_GB2312" w:cs="楷体_GB2312"/>
          <w:b/>
          <w:color w:val="auto"/>
          <w:sz w:val="32"/>
          <w:szCs w:val="32"/>
          <w:highlight w:val="none"/>
        </w:rPr>
      </w:pPr>
      <w:bookmarkStart w:id="48" w:name="_Toc15377212"/>
    </w:p>
    <w:p w14:paraId="41578745">
      <w:pPr>
        <w:pStyle w:val="2"/>
        <w:rPr>
          <w:rFonts w:hint="eastAsia"/>
        </w:rPr>
      </w:pPr>
    </w:p>
    <w:p w14:paraId="0B3BDB69">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49" w:name="_Toc26162"/>
      <w:r>
        <w:rPr>
          <w:rFonts w:hint="eastAsia" w:eastAsia="楷体_GB2312" w:cs="楷体_GB2312"/>
          <w:b w:val="0"/>
          <w:bCs/>
          <w:color w:val="auto"/>
          <w:sz w:val="32"/>
          <w:szCs w:val="32"/>
          <w:highlight w:val="none"/>
          <w:lang w:eastAsia="zh-CN"/>
        </w:rPr>
        <w:t>（三）一</w:t>
      </w:r>
      <w:r>
        <w:rPr>
          <w:rFonts w:hint="eastAsia" w:ascii="Times New Roman" w:hAnsi="Times New Roman" w:eastAsia="楷体_GB2312" w:cs="楷体_GB2312"/>
          <w:b w:val="0"/>
          <w:bCs/>
          <w:color w:val="auto"/>
          <w:sz w:val="32"/>
          <w:szCs w:val="32"/>
          <w:highlight w:val="none"/>
        </w:rPr>
        <w:t>般公共预算财政拨款支出决算具体情况</w:t>
      </w:r>
      <w:bookmarkEnd w:id="48"/>
      <w:bookmarkEnd w:id="49"/>
    </w:p>
    <w:p w14:paraId="59D3550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0" w:name="_Toc15378460"/>
      <w:bookmarkStart w:id="51" w:name="_Toc15377444"/>
      <w:bookmarkStart w:id="52" w:name="_Toc15377213"/>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2024年度一般公共预算财政拨款支出决算数为1109.64</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，完成预算100%。其中：</w:t>
      </w:r>
      <w:bookmarkEnd w:id="50"/>
      <w:bookmarkEnd w:id="51"/>
      <w:bookmarkEnd w:id="52"/>
    </w:p>
    <w:p w14:paraId="233C8F78">
      <w:pPr>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textAlignment w:val="auto"/>
        <w:outlineLvl w:val="9"/>
        <w:rPr>
          <w:rStyle w:val="21"/>
          <w:rFonts w:hint="eastAsia" w:ascii="仿宋_GB2312" w:hAnsi="仿宋_GB2312" w:eastAsia="仿宋_GB2312" w:cs="仿宋_GB2312"/>
          <w:b w:val="0"/>
          <w:bCs w:val="0"/>
          <w:color w:val="auto"/>
          <w:sz w:val="32"/>
          <w:szCs w:val="32"/>
          <w:highlight w:val="none"/>
        </w:rPr>
      </w:pPr>
      <w:r>
        <w:rPr>
          <w:rStyle w:val="21"/>
          <w:rFonts w:hint="eastAsia" w:ascii="仿宋_GB2312" w:hAnsi="仿宋_GB2312" w:eastAsia="仿宋_GB2312" w:cs="仿宋_GB2312"/>
          <w:b w:val="0"/>
          <w:bCs w:val="0"/>
          <w:color w:val="auto"/>
          <w:sz w:val="32"/>
          <w:szCs w:val="32"/>
          <w:highlight w:val="none"/>
          <w:lang w:val="en-US" w:eastAsia="zh-CN"/>
        </w:rPr>
        <w:t>1.</w:t>
      </w:r>
      <w:r>
        <w:rPr>
          <w:rStyle w:val="21"/>
          <w:rFonts w:hint="eastAsia" w:ascii="仿宋_GB2312" w:hAnsi="仿宋_GB2312" w:eastAsia="仿宋_GB2312" w:cs="仿宋_GB2312"/>
          <w:b w:val="0"/>
          <w:bCs w:val="0"/>
          <w:color w:val="auto"/>
          <w:sz w:val="32"/>
          <w:szCs w:val="32"/>
          <w:highlight w:val="none"/>
        </w:rPr>
        <w:t>一般公共服务（类）</w:t>
      </w:r>
      <w:r>
        <w:rPr>
          <w:rStyle w:val="21"/>
          <w:rFonts w:hint="eastAsia" w:ascii="仿宋_GB2312" w:hAnsi="仿宋_GB2312" w:eastAsia="仿宋_GB2312" w:cs="仿宋_GB2312"/>
          <w:b w:val="0"/>
          <w:bCs w:val="0"/>
          <w:color w:val="auto"/>
          <w:kern w:val="2"/>
          <w:sz w:val="32"/>
          <w:szCs w:val="32"/>
          <w:highlight w:val="none"/>
          <w:lang w:val="en-US" w:eastAsia="zh-CN" w:bidi="ar-SA"/>
        </w:rPr>
        <w:t>政府办公厅及相关机构事务</w:t>
      </w:r>
      <w:r>
        <w:rPr>
          <w:rStyle w:val="21"/>
          <w:rFonts w:hint="eastAsia" w:ascii="仿宋_GB2312" w:hAnsi="仿宋_GB2312" w:eastAsia="仿宋_GB2312" w:cs="仿宋_GB2312"/>
          <w:b w:val="0"/>
          <w:bCs w:val="0"/>
          <w:color w:val="auto"/>
          <w:sz w:val="32"/>
          <w:szCs w:val="32"/>
          <w:highlight w:val="none"/>
        </w:rPr>
        <w:t>（款）</w:t>
      </w:r>
      <w:r>
        <w:rPr>
          <w:rStyle w:val="21"/>
          <w:rFonts w:hint="eastAsia" w:ascii="仿宋_GB2312" w:hAnsi="仿宋_GB2312" w:eastAsia="仿宋_GB2312" w:cs="仿宋_GB2312"/>
          <w:b w:val="0"/>
          <w:bCs w:val="0"/>
          <w:color w:val="auto"/>
          <w:kern w:val="2"/>
          <w:sz w:val="32"/>
          <w:szCs w:val="32"/>
          <w:highlight w:val="none"/>
          <w:lang w:val="en-US" w:eastAsia="zh-CN" w:bidi="ar-SA"/>
        </w:rPr>
        <w:t>行政运行</w:t>
      </w:r>
      <w:r>
        <w:rPr>
          <w:rStyle w:val="21"/>
          <w:rFonts w:hint="eastAsia" w:ascii="仿宋_GB2312" w:hAnsi="仿宋_GB2312" w:eastAsia="仿宋_GB2312" w:cs="仿宋_GB2312"/>
          <w:b w:val="0"/>
          <w:bCs w:val="0"/>
          <w:color w:val="auto"/>
          <w:sz w:val="32"/>
          <w:szCs w:val="32"/>
          <w:highlight w:val="none"/>
        </w:rPr>
        <w:t>（项）</w:t>
      </w:r>
      <w:r>
        <w:rPr>
          <w:rStyle w:val="21"/>
          <w:rFonts w:hint="eastAsia" w:ascii="仿宋_GB2312" w:hAnsi="仿宋_GB2312" w:eastAsia="仿宋_GB2312" w:cs="仿宋_GB2312"/>
          <w:b w:val="0"/>
          <w:bCs w:val="0"/>
          <w:color w:val="auto"/>
          <w:sz w:val="32"/>
          <w:szCs w:val="32"/>
          <w:highlight w:val="none"/>
          <w:lang w:eastAsia="zh-CN"/>
        </w:rPr>
        <w:t>：</w:t>
      </w:r>
      <w:r>
        <w:rPr>
          <w:rStyle w:val="21"/>
          <w:rFonts w:hint="eastAsia" w:ascii="仿宋_GB2312" w:hAnsi="仿宋_GB2312" w:eastAsia="仿宋_GB2312" w:cs="仿宋_GB2312"/>
          <w:b w:val="0"/>
          <w:bCs w:val="0"/>
          <w:color w:val="auto"/>
          <w:sz w:val="32"/>
          <w:szCs w:val="32"/>
          <w:highlight w:val="none"/>
        </w:rPr>
        <w:t>支出决算为</w:t>
      </w:r>
      <w:r>
        <w:rPr>
          <w:rStyle w:val="21"/>
          <w:rFonts w:hint="eastAsia" w:ascii="仿宋_GB2312" w:hAnsi="仿宋_GB2312" w:eastAsia="仿宋_GB2312" w:cs="仿宋_GB2312"/>
          <w:b w:val="0"/>
          <w:bCs w:val="0"/>
          <w:color w:val="auto"/>
          <w:sz w:val="32"/>
          <w:szCs w:val="32"/>
          <w:highlight w:val="none"/>
          <w:lang w:val="en-US" w:eastAsia="zh-CN"/>
        </w:rPr>
        <w:t>428.46</w:t>
      </w:r>
      <w:r>
        <w:rPr>
          <w:rStyle w:val="21"/>
          <w:rFonts w:hint="eastAsia" w:ascii="仿宋_GB2312" w:hAnsi="仿宋_GB2312" w:eastAsia="仿宋_GB2312" w:cs="仿宋_GB2312"/>
          <w:b w:val="0"/>
          <w:bCs w:val="0"/>
          <w:color w:val="auto"/>
          <w:sz w:val="32"/>
          <w:szCs w:val="32"/>
          <w:highlight w:val="none"/>
        </w:rPr>
        <w:t>万元，完成预算</w:t>
      </w:r>
      <w:r>
        <w:rPr>
          <w:rStyle w:val="21"/>
          <w:rFonts w:hint="eastAsia" w:ascii="仿宋_GB2312" w:hAnsi="仿宋_GB2312" w:eastAsia="仿宋_GB2312" w:cs="仿宋_GB2312"/>
          <w:b w:val="0"/>
          <w:bCs w:val="0"/>
          <w:color w:val="auto"/>
          <w:sz w:val="32"/>
          <w:szCs w:val="32"/>
          <w:highlight w:val="none"/>
          <w:lang w:val="en-US" w:eastAsia="zh-CN"/>
        </w:rPr>
        <w:t>100</w:t>
      </w:r>
      <w:r>
        <w:rPr>
          <w:rStyle w:val="21"/>
          <w:rFonts w:hint="eastAsia" w:ascii="仿宋_GB2312" w:hAnsi="仿宋_GB2312" w:eastAsia="仿宋_GB2312" w:cs="仿宋_GB2312"/>
          <w:b w:val="0"/>
          <w:bCs w:val="0"/>
          <w:color w:val="auto"/>
          <w:sz w:val="32"/>
          <w:szCs w:val="32"/>
          <w:highlight w:val="none"/>
        </w:rPr>
        <w:t>%</w:t>
      </w:r>
      <w:r>
        <w:rPr>
          <w:rStyle w:val="21"/>
          <w:rFonts w:hint="eastAsia" w:ascii="仿宋_GB2312" w:hAnsi="仿宋_GB2312" w:eastAsia="仿宋_GB2312" w:cs="仿宋_GB2312"/>
          <w:b w:val="0"/>
          <w:bCs w:val="0"/>
          <w:color w:val="auto"/>
          <w:sz w:val="32"/>
          <w:szCs w:val="32"/>
          <w:highlight w:val="none"/>
          <w:lang w:eastAsia="zh-CN"/>
        </w:rPr>
        <w:t>。</w:t>
      </w:r>
    </w:p>
    <w:p w14:paraId="4A683111">
      <w:pPr>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textAlignment w:val="auto"/>
        <w:outlineLvl w:val="9"/>
        <w:rPr>
          <w:rStyle w:val="21"/>
          <w:rFonts w:hint="eastAsia" w:ascii="仿宋_GB2312" w:hAnsi="仿宋_GB2312" w:eastAsia="仿宋_GB2312" w:cs="仿宋_GB2312"/>
          <w:b w:val="0"/>
          <w:bCs w:val="0"/>
          <w:color w:val="auto"/>
          <w:sz w:val="32"/>
          <w:szCs w:val="32"/>
          <w:highlight w:val="none"/>
        </w:rPr>
      </w:pPr>
      <w:r>
        <w:rPr>
          <w:rStyle w:val="21"/>
          <w:rFonts w:hint="eastAsia" w:ascii="仿宋_GB2312" w:hAnsi="仿宋_GB2312" w:eastAsia="仿宋_GB2312" w:cs="仿宋_GB2312"/>
          <w:b w:val="0"/>
          <w:bCs w:val="0"/>
          <w:color w:val="auto"/>
          <w:sz w:val="32"/>
          <w:szCs w:val="32"/>
          <w:highlight w:val="none"/>
          <w:lang w:val="en-US" w:eastAsia="zh-CN"/>
        </w:rPr>
        <w:t>2.</w:t>
      </w:r>
      <w:r>
        <w:rPr>
          <w:rStyle w:val="21"/>
          <w:rFonts w:hint="eastAsia" w:ascii="仿宋_GB2312" w:hAnsi="仿宋_GB2312" w:eastAsia="仿宋_GB2312" w:cs="仿宋_GB2312"/>
          <w:b w:val="0"/>
          <w:bCs w:val="0"/>
          <w:color w:val="auto"/>
          <w:sz w:val="32"/>
          <w:szCs w:val="32"/>
          <w:highlight w:val="none"/>
        </w:rPr>
        <w:t>一般公共服务（类）</w:t>
      </w:r>
      <w:r>
        <w:rPr>
          <w:rStyle w:val="21"/>
          <w:rFonts w:hint="eastAsia" w:ascii="仿宋_GB2312" w:hAnsi="仿宋_GB2312" w:eastAsia="仿宋_GB2312" w:cs="仿宋_GB2312"/>
          <w:b w:val="0"/>
          <w:bCs w:val="0"/>
          <w:color w:val="auto"/>
          <w:kern w:val="2"/>
          <w:sz w:val="32"/>
          <w:szCs w:val="32"/>
          <w:highlight w:val="none"/>
          <w:lang w:val="en-US" w:eastAsia="zh-CN" w:bidi="ar-SA"/>
        </w:rPr>
        <w:t>政府办公厅及相关机构事务</w:t>
      </w:r>
      <w:r>
        <w:rPr>
          <w:rStyle w:val="21"/>
          <w:rFonts w:hint="eastAsia" w:ascii="仿宋_GB2312" w:hAnsi="仿宋_GB2312" w:eastAsia="仿宋_GB2312" w:cs="仿宋_GB2312"/>
          <w:b w:val="0"/>
          <w:bCs w:val="0"/>
          <w:color w:val="auto"/>
          <w:sz w:val="32"/>
          <w:szCs w:val="32"/>
          <w:highlight w:val="none"/>
        </w:rPr>
        <w:t>（款）</w:t>
      </w:r>
      <w:r>
        <w:rPr>
          <w:rStyle w:val="21"/>
          <w:rFonts w:hint="eastAsia" w:ascii="仿宋_GB2312" w:hAnsi="仿宋_GB2312" w:eastAsia="仿宋_GB2312" w:cs="仿宋_GB2312"/>
          <w:b w:val="0"/>
          <w:bCs w:val="0"/>
          <w:color w:val="auto"/>
          <w:kern w:val="2"/>
          <w:sz w:val="32"/>
          <w:szCs w:val="32"/>
          <w:highlight w:val="none"/>
          <w:lang w:val="en-US" w:eastAsia="zh-CN" w:bidi="ar-SA"/>
        </w:rPr>
        <w:t>事业运行</w:t>
      </w:r>
      <w:r>
        <w:rPr>
          <w:rStyle w:val="21"/>
          <w:rFonts w:hint="eastAsia" w:ascii="仿宋_GB2312" w:hAnsi="仿宋_GB2312" w:eastAsia="仿宋_GB2312" w:cs="仿宋_GB2312"/>
          <w:b w:val="0"/>
          <w:bCs w:val="0"/>
          <w:color w:val="auto"/>
          <w:sz w:val="32"/>
          <w:szCs w:val="32"/>
          <w:highlight w:val="none"/>
        </w:rPr>
        <w:t>（项）</w:t>
      </w:r>
      <w:r>
        <w:rPr>
          <w:rStyle w:val="21"/>
          <w:rFonts w:hint="eastAsia" w:ascii="仿宋_GB2312" w:hAnsi="仿宋_GB2312" w:eastAsia="仿宋_GB2312" w:cs="仿宋_GB2312"/>
          <w:b w:val="0"/>
          <w:bCs w:val="0"/>
          <w:color w:val="auto"/>
          <w:sz w:val="32"/>
          <w:szCs w:val="32"/>
          <w:highlight w:val="none"/>
          <w:lang w:eastAsia="zh-CN"/>
        </w:rPr>
        <w:t>：</w:t>
      </w:r>
      <w:r>
        <w:rPr>
          <w:rStyle w:val="21"/>
          <w:rFonts w:hint="eastAsia" w:ascii="仿宋_GB2312" w:hAnsi="仿宋_GB2312" w:eastAsia="仿宋_GB2312" w:cs="仿宋_GB2312"/>
          <w:b w:val="0"/>
          <w:bCs w:val="0"/>
          <w:color w:val="auto"/>
          <w:sz w:val="32"/>
          <w:szCs w:val="32"/>
          <w:highlight w:val="none"/>
        </w:rPr>
        <w:t>支出决算为</w:t>
      </w:r>
      <w:r>
        <w:rPr>
          <w:rStyle w:val="21"/>
          <w:rFonts w:hint="eastAsia" w:ascii="仿宋_GB2312" w:hAnsi="仿宋_GB2312" w:eastAsia="仿宋_GB2312" w:cs="仿宋_GB2312"/>
          <w:b w:val="0"/>
          <w:bCs w:val="0"/>
          <w:color w:val="auto"/>
          <w:sz w:val="32"/>
          <w:szCs w:val="32"/>
          <w:highlight w:val="none"/>
          <w:lang w:val="en-US" w:eastAsia="zh-CN"/>
        </w:rPr>
        <w:t>257.18</w:t>
      </w:r>
      <w:r>
        <w:rPr>
          <w:rStyle w:val="21"/>
          <w:rFonts w:hint="eastAsia" w:ascii="仿宋_GB2312" w:hAnsi="仿宋_GB2312" w:eastAsia="仿宋_GB2312" w:cs="仿宋_GB2312"/>
          <w:b w:val="0"/>
          <w:bCs w:val="0"/>
          <w:color w:val="auto"/>
          <w:sz w:val="32"/>
          <w:szCs w:val="32"/>
          <w:highlight w:val="none"/>
        </w:rPr>
        <w:t>万元，完成预算</w:t>
      </w:r>
      <w:r>
        <w:rPr>
          <w:rStyle w:val="21"/>
          <w:rFonts w:hint="eastAsia" w:ascii="仿宋_GB2312" w:hAnsi="仿宋_GB2312" w:eastAsia="仿宋_GB2312" w:cs="仿宋_GB2312"/>
          <w:b w:val="0"/>
          <w:bCs w:val="0"/>
          <w:color w:val="auto"/>
          <w:sz w:val="32"/>
          <w:szCs w:val="32"/>
          <w:highlight w:val="none"/>
          <w:lang w:val="en-US" w:eastAsia="zh-CN"/>
        </w:rPr>
        <w:t>100</w:t>
      </w:r>
      <w:r>
        <w:rPr>
          <w:rStyle w:val="21"/>
          <w:rFonts w:hint="eastAsia" w:ascii="仿宋_GB2312" w:hAnsi="仿宋_GB2312" w:eastAsia="仿宋_GB2312" w:cs="仿宋_GB2312"/>
          <w:b w:val="0"/>
          <w:bCs w:val="0"/>
          <w:color w:val="auto"/>
          <w:sz w:val="32"/>
          <w:szCs w:val="32"/>
          <w:highlight w:val="none"/>
        </w:rPr>
        <w:t>%</w:t>
      </w:r>
      <w:r>
        <w:rPr>
          <w:rStyle w:val="21"/>
          <w:rFonts w:hint="eastAsia" w:ascii="仿宋_GB2312" w:hAnsi="仿宋_GB2312" w:eastAsia="仿宋_GB2312" w:cs="仿宋_GB2312"/>
          <w:b w:val="0"/>
          <w:bCs w:val="0"/>
          <w:color w:val="auto"/>
          <w:sz w:val="32"/>
          <w:szCs w:val="32"/>
          <w:highlight w:val="none"/>
          <w:lang w:eastAsia="zh-CN"/>
        </w:rPr>
        <w:t>。</w:t>
      </w:r>
    </w:p>
    <w:p w14:paraId="1CC564DE">
      <w:pPr>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textAlignment w:val="auto"/>
        <w:outlineLvl w:val="9"/>
        <w:rPr>
          <w:rFonts w:hint="eastAsia" w:ascii="仿宋_GB2312" w:hAnsi="仿宋_GB2312" w:eastAsia="仿宋_GB2312" w:cs="仿宋_GB2312"/>
          <w:b w:val="0"/>
          <w:bCs w:val="0"/>
          <w:sz w:val="32"/>
          <w:szCs w:val="32"/>
        </w:rPr>
      </w:pPr>
      <w:r>
        <w:rPr>
          <w:rStyle w:val="21"/>
          <w:rFonts w:hint="eastAsia" w:ascii="仿宋_GB2312" w:hAnsi="仿宋_GB2312" w:eastAsia="仿宋_GB2312" w:cs="仿宋_GB2312"/>
          <w:b w:val="0"/>
          <w:bCs w:val="0"/>
          <w:color w:val="auto"/>
          <w:sz w:val="32"/>
          <w:szCs w:val="32"/>
          <w:highlight w:val="none"/>
          <w:lang w:val="en-US" w:eastAsia="zh-CN"/>
        </w:rPr>
        <w:t>3</w:t>
      </w:r>
      <w:r>
        <w:rPr>
          <w:rStyle w:val="21"/>
          <w:rFonts w:hint="eastAsia" w:ascii="仿宋_GB2312" w:hAnsi="仿宋_GB2312" w:eastAsia="仿宋_GB2312" w:cs="仿宋_GB2312"/>
          <w:b w:val="0"/>
          <w:bCs w:val="0"/>
          <w:color w:val="auto"/>
          <w:sz w:val="32"/>
          <w:szCs w:val="32"/>
          <w:highlight w:val="none"/>
        </w:rPr>
        <w:t>.社会保障和就业（类）行政事业单位养老支出（款）机关事业单位基本养老保险缴费支出（项）</w:t>
      </w:r>
      <w:r>
        <w:rPr>
          <w:rStyle w:val="21"/>
          <w:rFonts w:hint="eastAsia" w:ascii="仿宋_GB2312" w:hAnsi="仿宋_GB2312" w:eastAsia="仿宋_GB2312" w:cs="仿宋_GB2312"/>
          <w:b w:val="0"/>
          <w:bCs w:val="0"/>
          <w:color w:val="auto"/>
          <w:sz w:val="32"/>
          <w:szCs w:val="32"/>
          <w:highlight w:val="none"/>
          <w:lang w:eastAsia="zh-CN"/>
        </w:rPr>
        <w:t>：</w:t>
      </w:r>
      <w:r>
        <w:rPr>
          <w:rStyle w:val="21"/>
          <w:rFonts w:hint="eastAsia" w:ascii="仿宋_GB2312" w:hAnsi="仿宋_GB2312" w:eastAsia="仿宋_GB2312" w:cs="仿宋_GB2312"/>
          <w:b w:val="0"/>
          <w:bCs w:val="0"/>
          <w:color w:val="auto"/>
          <w:sz w:val="32"/>
          <w:szCs w:val="32"/>
          <w:highlight w:val="none"/>
        </w:rPr>
        <w:t xml:space="preserve"> 支出决算为</w:t>
      </w:r>
      <w:r>
        <w:rPr>
          <w:rStyle w:val="21"/>
          <w:rFonts w:hint="eastAsia" w:ascii="仿宋_GB2312" w:hAnsi="仿宋_GB2312" w:eastAsia="仿宋_GB2312" w:cs="仿宋_GB2312"/>
          <w:b w:val="0"/>
          <w:bCs w:val="0"/>
          <w:color w:val="auto"/>
          <w:sz w:val="32"/>
          <w:szCs w:val="32"/>
          <w:highlight w:val="none"/>
          <w:lang w:val="en-US" w:eastAsia="zh-CN"/>
        </w:rPr>
        <w:t>67.43</w:t>
      </w:r>
      <w:r>
        <w:rPr>
          <w:rStyle w:val="21"/>
          <w:rFonts w:hint="eastAsia" w:ascii="仿宋_GB2312" w:hAnsi="仿宋_GB2312" w:eastAsia="仿宋_GB2312" w:cs="仿宋_GB2312"/>
          <w:b w:val="0"/>
          <w:bCs w:val="0"/>
          <w:color w:val="auto"/>
          <w:sz w:val="32"/>
          <w:szCs w:val="32"/>
          <w:highlight w:val="none"/>
        </w:rPr>
        <w:t>万元，完成预算</w:t>
      </w:r>
      <w:r>
        <w:rPr>
          <w:rStyle w:val="21"/>
          <w:rFonts w:hint="eastAsia" w:ascii="仿宋_GB2312" w:hAnsi="仿宋_GB2312" w:eastAsia="仿宋_GB2312" w:cs="仿宋_GB2312"/>
          <w:b w:val="0"/>
          <w:bCs w:val="0"/>
          <w:color w:val="auto"/>
          <w:sz w:val="32"/>
          <w:szCs w:val="32"/>
          <w:highlight w:val="none"/>
          <w:lang w:val="en-US" w:eastAsia="zh-CN"/>
        </w:rPr>
        <w:t>100</w:t>
      </w:r>
      <w:r>
        <w:rPr>
          <w:rStyle w:val="21"/>
          <w:rFonts w:hint="eastAsia" w:ascii="仿宋_GB2312" w:hAnsi="仿宋_GB2312" w:eastAsia="仿宋_GB2312" w:cs="仿宋_GB2312"/>
          <w:b w:val="0"/>
          <w:bCs w:val="0"/>
          <w:color w:val="auto"/>
          <w:sz w:val="32"/>
          <w:szCs w:val="32"/>
          <w:highlight w:val="none"/>
        </w:rPr>
        <w:t>%</w:t>
      </w:r>
      <w:r>
        <w:rPr>
          <w:rStyle w:val="21"/>
          <w:rFonts w:hint="eastAsia" w:ascii="仿宋_GB2312" w:hAnsi="仿宋_GB2312" w:eastAsia="仿宋_GB2312" w:cs="仿宋_GB2312"/>
          <w:b w:val="0"/>
          <w:bCs w:val="0"/>
          <w:color w:val="auto"/>
          <w:sz w:val="32"/>
          <w:szCs w:val="32"/>
          <w:highlight w:val="none"/>
          <w:lang w:eastAsia="zh-CN"/>
        </w:rPr>
        <w:t>。</w:t>
      </w:r>
    </w:p>
    <w:p w14:paraId="20933E69">
      <w:pPr>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textAlignment w:val="auto"/>
        <w:outlineLvl w:val="9"/>
        <w:rPr>
          <w:rStyle w:val="21"/>
          <w:rFonts w:hint="eastAsia" w:ascii="仿宋_GB2312" w:hAnsi="仿宋_GB2312" w:eastAsia="仿宋_GB2312" w:cs="仿宋_GB2312"/>
          <w:b w:val="0"/>
          <w:bCs w:val="0"/>
          <w:color w:val="auto"/>
          <w:sz w:val="32"/>
          <w:szCs w:val="32"/>
          <w:highlight w:val="none"/>
          <w:lang w:eastAsia="zh-CN"/>
        </w:rPr>
      </w:pPr>
      <w:r>
        <w:rPr>
          <w:rStyle w:val="21"/>
          <w:rFonts w:hint="eastAsia" w:ascii="仿宋_GB2312" w:hAnsi="仿宋_GB2312" w:eastAsia="仿宋_GB2312" w:cs="仿宋_GB2312"/>
          <w:b w:val="0"/>
          <w:bCs w:val="0"/>
          <w:color w:val="auto"/>
          <w:sz w:val="32"/>
          <w:szCs w:val="32"/>
          <w:highlight w:val="none"/>
          <w:lang w:val="en-US" w:eastAsia="zh-CN"/>
        </w:rPr>
        <w:t>4</w:t>
      </w:r>
      <w:r>
        <w:rPr>
          <w:rStyle w:val="21"/>
          <w:rFonts w:hint="eastAsia" w:ascii="仿宋_GB2312" w:hAnsi="仿宋_GB2312" w:eastAsia="仿宋_GB2312" w:cs="仿宋_GB2312"/>
          <w:b w:val="0"/>
          <w:bCs w:val="0"/>
          <w:color w:val="auto"/>
          <w:sz w:val="32"/>
          <w:szCs w:val="32"/>
          <w:highlight w:val="none"/>
        </w:rPr>
        <w:t>.社会保障和就业（类）行政事业单位养老支出（款）机关事业单位职业年金缴费支出（项）</w:t>
      </w:r>
      <w:r>
        <w:rPr>
          <w:rStyle w:val="21"/>
          <w:rFonts w:hint="eastAsia" w:ascii="仿宋_GB2312" w:hAnsi="仿宋_GB2312" w:eastAsia="仿宋_GB2312" w:cs="仿宋_GB2312"/>
          <w:b w:val="0"/>
          <w:bCs w:val="0"/>
          <w:color w:val="auto"/>
          <w:sz w:val="32"/>
          <w:szCs w:val="32"/>
          <w:highlight w:val="none"/>
          <w:lang w:eastAsia="zh-CN"/>
        </w:rPr>
        <w:t>：</w:t>
      </w:r>
      <w:r>
        <w:rPr>
          <w:rStyle w:val="21"/>
          <w:rFonts w:hint="eastAsia" w:ascii="仿宋_GB2312" w:hAnsi="仿宋_GB2312" w:eastAsia="仿宋_GB2312" w:cs="仿宋_GB2312"/>
          <w:b w:val="0"/>
          <w:bCs w:val="0"/>
          <w:color w:val="auto"/>
          <w:sz w:val="32"/>
          <w:szCs w:val="32"/>
          <w:highlight w:val="none"/>
        </w:rPr>
        <w:t>支出决算为</w:t>
      </w:r>
      <w:r>
        <w:rPr>
          <w:rStyle w:val="21"/>
          <w:rFonts w:hint="eastAsia" w:ascii="仿宋_GB2312" w:hAnsi="仿宋_GB2312" w:eastAsia="仿宋_GB2312" w:cs="仿宋_GB2312"/>
          <w:b w:val="0"/>
          <w:bCs w:val="0"/>
          <w:color w:val="auto"/>
          <w:sz w:val="32"/>
          <w:szCs w:val="32"/>
          <w:highlight w:val="none"/>
          <w:lang w:val="en-US" w:eastAsia="zh-CN"/>
        </w:rPr>
        <w:t>33.71</w:t>
      </w:r>
      <w:r>
        <w:rPr>
          <w:rStyle w:val="21"/>
          <w:rFonts w:hint="eastAsia" w:ascii="仿宋_GB2312" w:hAnsi="仿宋_GB2312" w:eastAsia="仿宋_GB2312" w:cs="仿宋_GB2312"/>
          <w:b w:val="0"/>
          <w:bCs w:val="0"/>
          <w:color w:val="auto"/>
          <w:sz w:val="32"/>
          <w:szCs w:val="32"/>
          <w:highlight w:val="none"/>
        </w:rPr>
        <w:t>万元，完成预算</w:t>
      </w:r>
      <w:r>
        <w:rPr>
          <w:rStyle w:val="21"/>
          <w:rFonts w:hint="eastAsia" w:ascii="仿宋_GB2312" w:hAnsi="仿宋_GB2312" w:eastAsia="仿宋_GB2312" w:cs="仿宋_GB2312"/>
          <w:b w:val="0"/>
          <w:bCs w:val="0"/>
          <w:color w:val="auto"/>
          <w:sz w:val="32"/>
          <w:szCs w:val="32"/>
          <w:highlight w:val="none"/>
          <w:lang w:val="en-US" w:eastAsia="zh-CN"/>
        </w:rPr>
        <w:t>100</w:t>
      </w:r>
      <w:r>
        <w:rPr>
          <w:rStyle w:val="21"/>
          <w:rFonts w:hint="eastAsia" w:ascii="仿宋_GB2312" w:hAnsi="仿宋_GB2312" w:eastAsia="仿宋_GB2312" w:cs="仿宋_GB2312"/>
          <w:b w:val="0"/>
          <w:bCs w:val="0"/>
          <w:color w:val="auto"/>
          <w:sz w:val="32"/>
          <w:szCs w:val="32"/>
          <w:highlight w:val="none"/>
        </w:rPr>
        <w:t>%</w:t>
      </w:r>
      <w:r>
        <w:rPr>
          <w:rStyle w:val="21"/>
          <w:rFonts w:hint="eastAsia" w:ascii="仿宋_GB2312" w:hAnsi="仿宋_GB2312" w:eastAsia="仿宋_GB2312" w:cs="仿宋_GB2312"/>
          <w:b w:val="0"/>
          <w:bCs w:val="0"/>
          <w:color w:val="auto"/>
          <w:sz w:val="32"/>
          <w:szCs w:val="32"/>
          <w:highlight w:val="none"/>
          <w:lang w:eastAsia="zh-CN"/>
        </w:rPr>
        <w:t>。</w:t>
      </w:r>
    </w:p>
    <w:p w14:paraId="28B73981">
      <w:pPr>
        <w:pStyle w:val="18"/>
        <w:keepNext w:val="0"/>
        <w:keepLines w:val="0"/>
        <w:pageBreakBefore w:val="0"/>
        <w:widowControl w:val="0"/>
        <w:kinsoku/>
        <w:wordWrap/>
        <w:overflowPunct/>
        <w:topLinePunct w:val="0"/>
        <w:autoSpaceDE/>
        <w:autoSpaceDN/>
        <w:bidi w:val="0"/>
        <w:adjustRightInd/>
        <w:spacing w:line="600" w:lineRule="exact"/>
        <w:ind w:leftChars="0" w:firstLine="640" w:firstLineChars="200"/>
        <w:jc w:val="both"/>
        <w:textAlignment w:val="auto"/>
        <w:outlineLvl w:val="9"/>
        <w:rPr>
          <w:rFonts w:hint="eastAsia" w:ascii="仿宋_GB2312" w:hAnsi="仿宋_GB2312" w:eastAsia="仿宋_GB2312" w:cs="仿宋_GB2312"/>
          <w:b w:val="0"/>
          <w:bCs w:val="0"/>
          <w:sz w:val="32"/>
          <w:szCs w:val="32"/>
        </w:rPr>
      </w:pPr>
      <w:r>
        <w:rPr>
          <w:rStyle w:val="21"/>
          <w:rFonts w:hint="eastAsia" w:ascii="仿宋_GB2312" w:hAnsi="仿宋_GB2312" w:eastAsia="仿宋_GB2312" w:cs="仿宋_GB2312"/>
          <w:b w:val="0"/>
          <w:bCs w:val="0"/>
          <w:color w:val="auto"/>
          <w:sz w:val="32"/>
          <w:szCs w:val="32"/>
          <w:highlight w:val="none"/>
          <w:lang w:val="en-US" w:eastAsia="zh-CN"/>
        </w:rPr>
        <w:t>5</w:t>
      </w:r>
      <w:r>
        <w:rPr>
          <w:rStyle w:val="21"/>
          <w:rFonts w:hint="eastAsia" w:ascii="仿宋_GB2312" w:hAnsi="仿宋_GB2312" w:eastAsia="仿宋_GB2312" w:cs="仿宋_GB2312"/>
          <w:b w:val="0"/>
          <w:bCs w:val="0"/>
          <w:color w:val="auto"/>
          <w:sz w:val="32"/>
          <w:szCs w:val="32"/>
          <w:highlight w:val="none"/>
        </w:rPr>
        <w:t>.社会保障和就业（类）其他社会保障和就业支出（款）其他社会保障和就业支出（项）</w:t>
      </w:r>
      <w:r>
        <w:rPr>
          <w:rStyle w:val="21"/>
          <w:rFonts w:hint="eastAsia" w:ascii="仿宋_GB2312" w:hAnsi="仿宋_GB2312" w:eastAsia="仿宋_GB2312" w:cs="仿宋_GB2312"/>
          <w:b w:val="0"/>
          <w:bCs w:val="0"/>
          <w:color w:val="auto"/>
          <w:sz w:val="32"/>
          <w:szCs w:val="32"/>
          <w:highlight w:val="none"/>
          <w:lang w:eastAsia="zh-CN"/>
        </w:rPr>
        <w:t>：</w:t>
      </w:r>
      <w:r>
        <w:rPr>
          <w:rStyle w:val="21"/>
          <w:rFonts w:hint="eastAsia" w:ascii="仿宋_GB2312" w:hAnsi="仿宋_GB2312" w:eastAsia="仿宋_GB2312" w:cs="仿宋_GB2312"/>
          <w:b w:val="0"/>
          <w:bCs w:val="0"/>
          <w:color w:val="auto"/>
          <w:sz w:val="32"/>
          <w:szCs w:val="32"/>
          <w:highlight w:val="none"/>
        </w:rPr>
        <w:t xml:space="preserve"> 支出</w:t>
      </w:r>
      <w:r>
        <w:rPr>
          <w:rStyle w:val="21"/>
          <w:rFonts w:hint="eastAsia" w:ascii="仿宋_GB2312" w:hAnsi="仿宋_GB2312" w:eastAsia="仿宋_GB2312" w:cs="仿宋_GB2312"/>
          <w:b w:val="0"/>
          <w:bCs w:val="0"/>
          <w:color w:val="auto"/>
          <w:kern w:val="2"/>
          <w:sz w:val="32"/>
          <w:szCs w:val="32"/>
          <w:highlight w:val="none"/>
          <w:lang w:val="en-US" w:eastAsia="zh-CN" w:bidi="ar-SA"/>
        </w:rPr>
        <w:t>决算为18.32万元，完成预算100%</w:t>
      </w:r>
      <w:r>
        <w:rPr>
          <w:rStyle w:val="21"/>
          <w:rFonts w:hint="eastAsia" w:ascii="仿宋_GB2312" w:hAnsi="仿宋_GB2312" w:eastAsia="仿宋_GB2312" w:cs="仿宋_GB2312"/>
          <w:b w:val="0"/>
          <w:bCs w:val="0"/>
          <w:color w:val="auto"/>
          <w:sz w:val="32"/>
          <w:szCs w:val="32"/>
          <w:highlight w:val="none"/>
        </w:rPr>
        <w:t>。</w:t>
      </w:r>
    </w:p>
    <w:p w14:paraId="5F4F8565">
      <w:pPr>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textAlignment w:val="auto"/>
        <w:outlineLvl w:val="9"/>
        <w:rPr>
          <w:rStyle w:val="21"/>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卫生健康</w:t>
      </w:r>
      <w:r>
        <w:rPr>
          <w:rStyle w:val="21"/>
          <w:rFonts w:hint="eastAsia" w:ascii="仿宋_GB2312" w:hAnsi="仿宋_GB2312" w:eastAsia="仿宋_GB2312" w:cs="仿宋_GB2312"/>
          <w:b w:val="0"/>
          <w:bCs w:val="0"/>
          <w:color w:val="auto"/>
          <w:sz w:val="32"/>
          <w:szCs w:val="32"/>
          <w:highlight w:val="none"/>
        </w:rPr>
        <w:t>（类）</w:t>
      </w:r>
      <w:r>
        <w:rPr>
          <w:rStyle w:val="21"/>
          <w:rFonts w:hint="eastAsia" w:ascii="仿宋_GB2312" w:hAnsi="仿宋_GB2312" w:eastAsia="仿宋_GB2312" w:cs="仿宋_GB2312"/>
          <w:b w:val="0"/>
          <w:bCs w:val="0"/>
          <w:color w:val="auto"/>
          <w:kern w:val="0"/>
          <w:sz w:val="32"/>
          <w:szCs w:val="32"/>
          <w:highlight w:val="none"/>
          <w:lang w:val="en-US" w:eastAsia="zh-CN" w:bidi="ar-SA"/>
        </w:rPr>
        <w:t>行政事业单位医疗（款）行政单位医疗（项）：</w:t>
      </w:r>
      <w:r>
        <w:rPr>
          <w:rStyle w:val="21"/>
          <w:rFonts w:hint="eastAsia" w:ascii="仿宋_GB2312" w:hAnsi="仿宋_GB2312" w:eastAsia="仿宋_GB2312" w:cs="仿宋_GB2312"/>
          <w:b w:val="0"/>
          <w:bCs w:val="0"/>
          <w:color w:val="auto"/>
          <w:sz w:val="32"/>
          <w:szCs w:val="32"/>
          <w:highlight w:val="none"/>
        </w:rPr>
        <w:t>支出决算为</w:t>
      </w:r>
      <w:r>
        <w:rPr>
          <w:rStyle w:val="21"/>
          <w:rFonts w:hint="eastAsia" w:ascii="仿宋_GB2312" w:hAnsi="仿宋_GB2312" w:eastAsia="仿宋_GB2312" w:cs="仿宋_GB2312"/>
          <w:b w:val="0"/>
          <w:bCs w:val="0"/>
          <w:color w:val="auto"/>
          <w:sz w:val="32"/>
          <w:szCs w:val="32"/>
          <w:highlight w:val="none"/>
          <w:lang w:val="en-US" w:eastAsia="zh-CN"/>
        </w:rPr>
        <w:t>19.03</w:t>
      </w:r>
      <w:r>
        <w:rPr>
          <w:rStyle w:val="21"/>
          <w:rFonts w:hint="eastAsia" w:ascii="仿宋_GB2312" w:hAnsi="仿宋_GB2312" w:eastAsia="仿宋_GB2312" w:cs="仿宋_GB2312"/>
          <w:b w:val="0"/>
          <w:bCs w:val="0"/>
          <w:color w:val="auto"/>
          <w:sz w:val="32"/>
          <w:szCs w:val="32"/>
          <w:highlight w:val="none"/>
        </w:rPr>
        <w:t>万元，完成预算</w:t>
      </w:r>
      <w:r>
        <w:rPr>
          <w:rStyle w:val="21"/>
          <w:rFonts w:hint="eastAsia" w:ascii="仿宋_GB2312" w:hAnsi="仿宋_GB2312" w:eastAsia="仿宋_GB2312" w:cs="仿宋_GB2312"/>
          <w:b w:val="0"/>
          <w:bCs w:val="0"/>
          <w:color w:val="auto"/>
          <w:sz w:val="32"/>
          <w:szCs w:val="32"/>
          <w:highlight w:val="none"/>
          <w:lang w:val="en-US" w:eastAsia="zh-CN"/>
        </w:rPr>
        <w:t>100</w:t>
      </w:r>
      <w:r>
        <w:rPr>
          <w:rStyle w:val="21"/>
          <w:rFonts w:hint="eastAsia" w:ascii="仿宋_GB2312" w:hAnsi="仿宋_GB2312" w:eastAsia="仿宋_GB2312" w:cs="仿宋_GB2312"/>
          <w:b w:val="0"/>
          <w:bCs w:val="0"/>
          <w:color w:val="auto"/>
          <w:sz w:val="32"/>
          <w:szCs w:val="32"/>
          <w:highlight w:val="none"/>
        </w:rPr>
        <w:t>%。</w:t>
      </w:r>
    </w:p>
    <w:p w14:paraId="574D5E64">
      <w:pPr>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0"/>
          <w:sz w:val="32"/>
          <w:szCs w:val="32"/>
          <w:highlight w:val="none"/>
          <w:lang w:val="en-US" w:eastAsia="zh-CN" w:bidi="ar-SA"/>
        </w:rPr>
        <w:t>7.城乡社区（类）国有土地使用权出让收入安排的支出（款）农村基础设施建设支出（项）：</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支出决算为</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35.6</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万元，完成预算</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100</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w:t>
      </w:r>
      <w:r>
        <w:rPr>
          <w:rStyle w:val="21"/>
          <w:rFonts w:hint="eastAsia" w:ascii="仿宋_GB2312" w:hAnsi="仿宋_GB2312" w:eastAsia="仿宋_GB2312" w:cs="仿宋_GB2312"/>
          <w:b w:val="0"/>
          <w:bCs w:val="0"/>
          <w:color w:val="auto"/>
          <w:sz w:val="32"/>
          <w:szCs w:val="32"/>
          <w:highlight w:val="none"/>
        </w:rPr>
        <w:t>。</w:t>
      </w:r>
    </w:p>
    <w:p w14:paraId="0994C3DB">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8.城乡社区（类）国有土地使用权出让收入安排的支出（款）农业生产发展支出（项）：</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支出决算为</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11.34</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万元，完成预算</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100</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w:t>
      </w:r>
      <w:r>
        <w:rPr>
          <w:rStyle w:val="21"/>
          <w:rFonts w:hint="eastAsia" w:ascii="仿宋_GB2312" w:hAnsi="仿宋_GB2312" w:eastAsia="仿宋_GB2312" w:cs="仿宋_GB2312"/>
          <w:b w:val="0"/>
          <w:bCs w:val="0"/>
          <w:color w:val="auto"/>
          <w:sz w:val="32"/>
          <w:szCs w:val="32"/>
          <w:highlight w:val="none"/>
        </w:rPr>
        <w:t>。</w:t>
      </w:r>
    </w:p>
    <w:p w14:paraId="42917958">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9.农林水支出（类）巩固脱贫攻坚成果衔接乡村振兴（款）一般行政管理事务（项）：</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支出决算为</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3</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万元，完成预算</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100</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p>
    <w:p w14:paraId="32CEEAC2">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9"/>
        <w:rPr>
          <w:rStyle w:val="22"/>
          <w:rFonts w:hint="eastAsia" w:ascii="仿宋_GB2312" w:hAnsi="仿宋_GB2312" w:eastAsia="仿宋_GB2312" w:cs="仿宋_GB2312"/>
          <w:b w:val="0"/>
          <w:bCs w:val="0"/>
          <w:i w:val="0"/>
          <w:iCs w:val="0"/>
          <w:caps w:val="0"/>
          <w:color w:val="000000"/>
          <w:spacing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highlight w:val="none"/>
          <w:lang w:val="en-US" w:eastAsia="zh-CN" w:bidi="ar-SA"/>
        </w:rPr>
        <w:t>10.农林水支出（类）巩固脱贫攻坚成果衔接乡村振兴（款）其他巩固脱贫攻坚成果衔接乡村振兴支出（项）：</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支出决算</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25.27</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万元，完成预算</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100</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p>
    <w:p w14:paraId="6EEF0F39">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9"/>
        <w:rPr>
          <w:rStyle w:val="22"/>
          <w:rFonts w:hint="eastAsia" w:ascii="仿宋_GB2312" w:hAnsi="仿宋_GB2312" w:eastAsia="仿宋_GB2312" w:cs="仿宋_GB2312"/>
          <w:b w:val="0"/>
          <w:bCs w:val="0"/>
          <w:i w:val="0"/>
          <w:iCs w:val="0"/>
          <w:caps w:val="0"/>
          <w:color w:val="000000"/>
          <w:spacing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highlight w:val="none"/>
          <w:lang w:val="en-US" w:eastAsia="zh-CN" w:bidi="ar-SA"/>
        </w:rPr>
        <w:t>11.农林水支出（类）农村综合改革（款）对村民委员会和村党支部的补助（项）：</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支出决算</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115.86</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万元，完成预算</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100</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p>
    <w:p w14:paraId="05F8B21D">
      <w:pPr>
        <w:keepNext w:val="0"/>
        <w:keepLines w:val="0"/>
        <w:pageBreakBefore w:val="0"/>
        <w:widowControl w:val="0"/>
        <w:kinsoku/>
        <w:wordWrap/>
        <w:overflowPunct/>
        <w:topLinePunct w:val="0"/>
        <w:autoSpaceDE/>
        <w:autoSpaceDN/>
        <w:bidi w:val="0"/>
        <w:adjustRightInd/>
        <w:spacing w:line="600" w:lineRule="exact"/>
        <w:ind w:leftChars="0" w:firstLine="640" w:firstLineChars="200"/>
        <w:textAlignment w:val="auto"/>
        <w:outlineLvl w:val="9"/>
        <w:rPr>
          <w:rStyle w:val="22"/>
          <w:rFonts w:hint="eastAsia" w:ascii="仿宋_GB2312" w:hAnsi="仿宋_GB2312" w:eastAsia="仿宋_GB2312" w:cs="仿宋_GB2312"/>
          <w:b w:val="0"/>
          <w:bCs w:val="0"/>
          <w:i w:val="0"/>
          <w:iCs w:val="0"/>
          <w:caps w:val="0"/>
          <w:color w:val="000000"/>
          <w:spacing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highlight w:val="none"/>
          <w:lang w:val="en-US" w:eastAsia="zh-CN" w:bidi="ar-SA"/>
        </w:rPr>
        <w:t>12.农林水支出（类）农村综合改革（款）农村综合改革示范试点补助（项）：</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支出决算</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83.43</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万元，完成预算</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100</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p>
    <w:p w14:paraId="6FC0EE22">
      <w:pPr>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textAlignment w:val="auto"/>
        <w:outlineLvl w:val="9"/>
        <w:rPr>
          <w:rFonts w:hint="eastAsia"/>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13.住房保障支出（类）住房改革支出（款）住房公积金（项）：</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支出决算为</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57.94</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万元，完成预算</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100</w:t>
      </w:r>
      <w:r>
        <w:rPr>
          <w:rStyle w:val="22"/>
          <w:rFonts w:hint="eastAsia" w:ascii="仿宋_GB2312" w:hAnsi="仿宋_GB2312" w:eastAsia="仿宋_GB2312" w:cs="仿宋_GB2312"/>
          <w:b w:val="0"/>
          <w:bCs w:val="0"/>
          <w:i w:val="0"/>
          <w:iCs w:val="0"/>
          <w:caps w:val="0"/>
          <w:color w:val="000000"/>
          <w:spacing w:val="0"/>
          <w:sz w:val="32"/>
          <w:szCs w:val="32"/>
          <w:shd w:val="clear" w:color="auto" w:fill="FFFFFF"/>
        </w:rPr>
        <w:t>%</w:t>
      </w:r>
      <w:r>
        <w:rPr>
          <w:rStyle w:val="22"/>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p>
    <w:p w14:paraId="105E3656">
      <w:pPr>
        <w:tabs>
          <w:tab w:val="right" w:pos="8306"/>
        </w:tabs>
        <w:spacing w:line="600" w:lineRule="exact"/>
        <w:ind w:firstLine="640"/>
        <w:outlineLvl w:val="1"/>
        <w:rPr>
          <w:rStyle w:val="34"/>
          <w:rFonts w:ascii="Times New Roman" w:hAnsi="Times New Roman"/>
          <w:color w:val="auto"/>
          <w:highlight w:val="none"/>
        </w:rPr>
      </w:pPr>
      <w:bookmarkStart w:id="53" w:name="_Toc15396608"/>
      <w:bookmarkStart w:id="54" w:name="_Toc15377214"/>
      <w:bookmarkStart w:id="55" w:name="_Toc7261"/>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般公共预算财政拨款基本支出决算情况说明</w:t>
      </w:r>
      <w:bookmarkEnd w:id="53"/>
      <w:bookmarkEnd w:id="54"/>
      <w:bookmarkEnd w:id="55"/>
      <w:r>
        <w:rPr>
          <w:rStyle w:val="34"/>
          <w:rFonts w:ascii="Times New Roman" w:hAnsi="Times New Roman" w:eastAsia="黑体"/>
          <w:b w:val="0"/>
          <w:color w:val="auto"/>
          <w:highlight w:val="none"/>
        </w:rPr>
        <w:tab/>
      </w:r>
    </w:p>
    <w:p w14:paraId="77DA0A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年度一般公共预算财政拨款基本支出</w:t>
      </w:r>
      <w:r>
        <w:rPr>
          <w:rFonts w:hint="eastAsia" w:ascii="仿宋_GB2312" w:hAnsi="仿宋_GB2312" w:eastAsia="仿宋_GB2312" w:cs="仿宋_GB2312"/>
          <w:color w:val="auto"/>
          <w:kern w:val="2"/>
          <w:sz w:val="32"/>
          <w:szCs w:val="32"/>
          <w:highlight w:val="none"/>
          <w:lang w:val="en-US" w:eastAsia="zh-CN" w:bidi="ar-SA"/>
        </w:rPr>
        <w:t>1019.55万</w:t>
      </w:r>
      <w:r>
        <w:rPr>
          <w:rFonts w:hint="eastAsia" w:ascii="Times New Roman" w:hAnsi="Times New Roman" w:eastAsia="仿宋_GB2312" w:cs="仿宋_GB2312"/>
          <w:color w:val="auto"/>
          <w:kern w:val="2"/>
          <w:sz w:val="32"/>
          <w:szCs w:val="32"/>
          <w:highlight w:val="none"/>
          <w:lang w:val="en-US" w:eastAsia="zh-CN" w:bidi="ar-SA"/>
        </w:rPr>
        <w:t>元，其中：</w:t>
      </w:r>
    </w:p>
    <w:p w14:paraId="5F9162E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color w:val="auto"/>
          <w:sz w:val="32"/>
          <w:szCs w:val="32"/>
          <w:highlight w:val="none"/>
          <w:lang w:val="en-US" w:eastAsia="zh-CN"/>
        </w:rPr>
        <w:t>878.66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w:t>
      </w:r>
      <w:r>
        <w:rPr>
          <w:rFonts w:hint="eastAsia" w:ascii="仿宋_GB2312" w:hAnsi="仿宋_GB2312" w:eastAsia="仿宋_GB2312" w:cs="仿宋_GB2312"/>
          <w:color w:val="auto"/>
          <w:kern w:val="2"/>
          <w:sz w:val="32"/>
          <w:szCs w:val="32"/>
          <w:highlight w:val="none"/>
          <w:lang w:val="en-US" w:eastAsia="zh-CN" w:bidi="ar-SA"/>
        </w:rPr>
        <w:t>退休费、抚恤金、生活补助、医疗费补助、奖励金、住房公积金、其他对个人和家庭的补助支出等。</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color w:val="auto"/>
          <w:sz w:val="32"/>
          <w:szCs w:val="32"/>
          <w:highlight w:val="none"/>
          <w:lang w:val="en-US" w:eastAsia="zh-CN"/>
        </w:rPr>
        <w:t>140.89</w:t>
      </w:r>
      <w:r>
        <w:rPr>
          <w:rFonts w:hint="eastAsia" w:ascii="仿宋_GB2312" w:hAnsi="仿宋_GB2312" w:eastAsia="仿宋_GB2312" w:cs="仿宋_GB2312"/>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A3C6F19">
      <w:pPr>
        <w:spacing w:line="600" w:lineRule="exact"/>
        <w:ind w:firstLine="640"/>
        <w:outlineLvl w:val="1"/>
        <w:rPr>
          <w:rStyle w:val="34"/>
          <w:rFonts w:ascii="Times New Roman" w:hAnsi="Times New Roman" w:eastAsia="黑体"/>
          <w:b w:val="0"/>
          <w:color w:val="auto"/>
          <w:highlight w:val="none"/>
        </w:rPr>
      </w:pPr>
      <w:bookmarkStart w:id="56" w:name="_Toc15396609"/>
      <w:bookmarkStart w:id="57" w:name="_Toc28782"/>
      <w:bookmarkStart w:id="58" w:name="_Toc15377215"/>
      <w:r>
        <w:rPr>
          <w:rFonts w:hint="eastAsia" w:ascii="Times New Roman" w:hAnsi="Times New Roman" w:eastAsia="黑体"/>
          <w:color w:val="auto"/>
          <w:sz w:val="32"/>
          <w:szCs w:val="32"/>
          <w:highlight w:val="none"/>
        </w:rPr>
        <w:t>七、</w:t>
      </w:r>
      <w:r>
        <w:rPr>
          <w:rStyle w:val="34"/>
          <w:rFonts w:hint="eastAsia" w:ascii="Times New Roman" w:hAnsi="Times New Roman" w:eastAsia="黑体"/>
          <w:b w:val="0"/>
          <w:color w:val="auto"/>
          <w:highlight w:val="none"/>
        </w:rPr>
        <w:t>财政拨款</w:t>
      </w:r>
      <w:r>
        <w:rPr>
          <w:rStyle w:val="34"/>
          <w:rFonts w:hint="eastAsia" w:ascii="Times New Roman" w:hAnsi="Times New Roman" w:eastAsia="黑体"/>
          <w:color w:val="auto"/>
          <w:highlight w:val="none"/>
        </w:rPr>
        <w:t>“</w:t>
      </w:r>
      <w:r>
        <w:rPr>
          <w:rStyle w:val="34"/>
          <w:rFonts w:hint="eastAsia" w:ascii="Times New Roman" w:hAnsi="Times New Roman" w:eastAsia="黑体"/>
          <w:b w:val="0"/>
          <w:color w:val="auto"/>
          <w:highlight w:val="none"/>
        </w:rPr>
        <w:t>三公”经费支出决算情况说明</w:t>
      </w:r>
      <w:bookmarkEnd w:id="56"/>
      <w:bookmarkEnd w:id="57"/>
      <w:bookmarkEnd w:id="58"/>
    </w:p>
    <w:p w14:paraId="20E44C60">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59" w:name="_Toc15377216"/>
      <w:bookmarkStart w:id="60" w:name="_Toc28019"/>
      <w:r>
        <w:rPr>
          <w:rFonts w:hint="eastAsia" w:ascii="Times New Roman" w:hAnsi="Times New Roman" w:eastAsia="楷体_GB2312" w:cs="楷体_GB2312"/>
          <w:b w:val="0"/>
          <w:bCs/>
          <w:color w:val="auto"/>
          <w:sz w:val="32"/>
          <w:szCs w:val="32"/>
          <w:highlight w:val="none"/>
        </w:rPr>
        <w:t>（一）“三公”经费财政拨款支出决算总体情况说明</w:t>
      </w:r>
      <w:bookmarkEnd w:id="59"/>
      <w:bookmarkEnd w:id="60"/>
    </w:p>
    <w:p w14:paraId="329F602D">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年度“三公”经费财政拨款支出决算为</w:t>
      </w:r>
      <w:r>
        <w:rPr>
          <w:rFonts w:hint="eastAsia" w:ascii="仿宋_GB2312" w:hAnsi="仿宋_GB2312" w:eastAsia="仿宋_GB2312" w:cs="仿宋_GB2312"/>
          <w:color w:val="auto"/>
          <w:sz w:val="32"/>
          <w:szCs w:val="32"/>
          <w:highlight w:val="none"/>
          <w:lang w:val="en-US" w:eastAsia="zh-CN"/>
        </w:rPr>
        <w:t>13.53</w:t>
      </w:r>
      <w:r>
        <w:rPr>
          <w:rFonts w:hint="eastAsia" w:ascii="仿宋_GB2312" w:hAnsi="仿宋_GB2312" w:eastAsia="仿宋_GB2312" w:cs="仿宋_GB2312"/>
          <w:color w:val="auto"/>
          <w:kern w:val="2"/>
          <w:sz w:val="32"/>
          <w:szCs w:val="32"/>
          <w:highlight w:val="none"/>
          <w:lang w:val="en-US" w:eastAsia="zh-CN" w:bidi="ar-SA"/>
        </w:rPr>
        <w:t>万元，完成预算100%，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ascii="仿宋_GB2312" w:hAnsi="仿宋_GB2312" w:eastAsia="仿宋_GB2312" w:cs="仿宋_GB2312"/>
          <w:color w:val="auto"/>
          <w:kern w:val="2"/>
          <w:sz w:val="32"/>
          <w:szCs w:val="32"/>
          <w:highlight w:val="none"/>
          <w:lang w:val="en-US" w:eastAsia="zh-CN" w:bidi="ar-SA"/>
        </w:rPr>
        <w:t>2.29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ascii="仿宋_GB2312" w:hAnsi="仿宋_GB2312" w:eastAsia="仿宋_GB2312" w:cs="仿宋_GB2312"/>
          <w:color w:val="auto"/>
          <w:kern w:val="2"/>
          <w:sz w:val="32"/>
          <w:szCs w:val="32"/>
          <w:highlight w:val="none"/>
          <w:lang w:val="en-US" w:eastAsia="zh-CN" w:bidi="ar-SA"/>
        </w:rPr>
        <w:t>16.93%</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ascii="仿宋_GB2312" w:hAnsi="仿宋_GB2312" w:eastAsia="仿宋_GB2312" w:cs="仿宋_GB2312"/>
          <w:color w:val="auto"/>
          <w:sz w:val="32"/>
          <w:szCs w:val="32"/>
          <w:highlight w:val="none"/>
          <w:lang w:eastAsia="zh-CN"/>
        </w:rPr>
        <w:t>公务接待费支出减少。</w:t>
      </w:r>
    </w:p>
    <w:p w14:paraId="1224A651">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61" w:name="_Toc15377217"/>
      <w:bookmarkStart w:id="62" w:name="_Toc13289"/>
      <w:r>
        <w:rPr>
          <w:rFonts w:hint="eastAsia" w:ascii="Times New Roman" w:hAnsi="Times New Roman" w:eastAsia="楷体_GB2312" w:cs="楷体_GB2312"/>
          <w:b w:val="0"/>
          <w:bCs/>
          <w:color w:val="auto"/>
          <w:sz w:val="32"/>
          <w:szCs w:val="32"/>
          <w:highlight w:val="none"/>
        </w:rPr>
        <w:t>（二）“三公”经费财政拨款支出决算具体情况说明</w:t>
      </w:r>
      <w:bookmarkEnd w:id="61"/>
      <w:bookmarkEnd w:id="62"/>
    </w:p>
    <w:p w14:paraId="5B88B7F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ascii="仿宋_GB2312" w:hAnsi="仿宋_GB2312" w:eastAsia="仿宋_GB2312" w:cs="仿宋_GB2312"/>
          <w:color w:val="auto"/>
          <w:sz w:val="32"/>
          <w:szCs w:val="32"/>
          <w:highlight w:val="none"/>
          <w:lang w:val="en-US" w:eastAsia="zh-CN"/>
        </w:rPr>
        <w:t>4.99</w:t>
      </w:r>
      <w:r>
        <w:rPr>
          <w:rFonts w:hint="eastAsia" w:ascii="仿宋_GB2312" w:hAnsi="仿宋_GB2312" w:eastAsia="仿宋_GB2312" w:cs="仿宋_GB2312"/>
          <w:color w:val="auto"/>
          <w:kern w:val="2"/>
          <w:sz w:val="32"/>
          <w:szCs w:val="32"/>
          <w:highlight w:val="none"/>
          <w:lang w:val="en-US" w:eastAsia="zh-CN" w:bidi="ar-SA"/>
        </w:rPr>
        <w:t>万元，占36.88%；公务接待费支出决算</w:t>
      </w:r>
      <w:r>
        <w:rPr>
          <w:rFonts w:hint="eastAsia" w:ascii="仿宋_GB2312" w:hAnsi="仿宋_GB2312" w:eastAsia="仿宋_GB2312" w:cs="仿宋_GB2312"/>
          <w:color w:val="auto"/>
          <w:sz w:val="32"/>
          <w:szCs w:val="32"/>
          <w:highlight w:val="none"/>
          <w:lang w:val="en-US" w:eastAsia="zh-CN"/>
        </w:rPr>
        <w:t>8.54</w:t>
      </w:r>
      <w:r>
        <w:rPr>
          <w:rFonts w:hint="eastAsia" w:ascii="仿宋_GB2312" w:hAnsi="仿宋_GB2312" w:eastAsia="仿宋_GB2312" w:cs="仿宋_GB2312"/>
          <w:color w:val="auto"/>
          <w:kern w:val="2"/>
          <w:sz w:val="32"/>
          <w:szCs w:val="32"/>
          <w:highlight w:val="none"/>
          <w:lang w:val="en-US" w:eastAsia="zh-CN" w:bidi="ar-SA"/>
        </w:rPr>
        <w:t>万元，占63.12%。具体情况如下：</w:t>
      </w:r>
    </w:p>
    <w:p w14:paraId="27FD6B1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（图7：“三公”经费财政拨款支出结构）（饼状图）</w:t>
      </w:r>
    </w:p>
    <w:p w14:paraId="0D034F68">
      <w:pPr>
        <w:pStyle w:val="2"/>
        <w:rPr>
          <w:rFonts w:hint="eastAsia"/>
          <w:lang w:val="en-US" w:eastAsia="zh-CN"/>
        </w:rPr>
      </w:pPr>
    </w:p>
    <w:p w14:paraId="01AB1071">
      <w:pPr>
        <w:pStyle w:val="2"/>
        <w:rPr>
          <w:rFonts w:hint="eastAsia"/>
          <w:lang w:val="en-US" w:eastAsia="zh-CN"/>
        </w:rPr>
      </w:pPr>
      <w:r>
        <w:rPr>
          <w:rFonts w:hint="eastAsia"/>
          <w:lang w:val="en-US" w:eastAsia="zh-CN"/>
        </w:rPr>
        <w:drawing>
          <wp:anchor distT="0" distB="0" distL="114300" distR="114300" simplePos="0" relativeHeight="251661312" behindDoc="0" locked="0" layoutInCell="1" allowOverlap="1">
            <wp:simplePos x="0" y="0"/>
            <wp:positionH relativeFrom="column">
              <wp:posOffset>271780</wp:posOffset>
            </wp:positionH>
            <wp:positionV relativeFrom="paragraph">
              <wp:posOffset>84455</wp:posOffset>
            </wp:positionV>
            <wp:extent cx="5256530" cy="2988310"/>
            <wp:effectExtent l="5080" t="4445" r="15240" b="1714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A383B4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全年安排因公出国（境）团组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人。因公出国（境）支出决算比2023年增加/减少0万元，增长/下降0%。</w:t>
      </w:r>
    </w:p>
    <w:p w14:paraId="086FFFA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4.99</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公务用车购置及运行维护费支出决算比2023年度减少0.01万元，下降0.2%。主要原因是厉行节约。</w:t>
      </w:r>
    </w:p>
    <w:p w14:paraId="5ADA0BF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1辆，其中：轿车0辆、越野车1辆、载客汽车0辆。</w:t>
      </w:r>
    </w:p>
    <w:p w14:paraId="46E5A40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公务用车运行维护费支出4.99万元。主要用于日常工作、信访维稳、乡村振兴、项目推进（具体工作）等所需的公务用车燃料费、维修费、过路过桥费、保险费等支出。</w:t>
      </w:r>
    </w:p>
    <w:p w14:paraId="5720498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8.54</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公务接待费支出决算比2023年度减少2.28万元，下降26.7%。主要原因是上级考察接待增加。其中：</w:t>
      </w:r>
    </w:p>
    <w:p w14:paraId="778B033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国内公务接待支出</w:t>
      </w:r>
      <w:r>
        <w:rPr>
          <w:rFonts w:hint="eastAsia" w:ascii="仿宋_GB2312" w:hAnsi="仿宋_GB2312" w:eastAsia="仿宋_GB2312" w:cs="仿宋_GB2312"/>
          <w:color w:val="auto"/>
          <w:sz w:val="32"/>
          <w:szCs w:val="32"/>
          <w:highlight w:val="none"/>
          <w:lang w:val="en-US" w:eastAsia="zh-CN"/>
        </w:rPr>
        <w:t>8.54</w:t>
      </w:r>
      <w:r>
        <w:rPr>
          <w:rFonts w:hint="eastAsia" w:ascii="仿宋_GB2312" w:hAnsi="仿宋_GB2312" w:eastAsia="仿宋_GB2312" w:cs="仿宋_GB2312"/>
          <w:color w:val="auto"/>
          <w:kern w:val="2"/>
          <w:sz w:val="32"/>
          <w:szCs w:val="32"/>
          <w:highlight w:val="none"/>
          <w:lang w:val="en-US" w:eastAsia="zh-CN" w:bidi="ar-SA"/>
        </w:rPr>
        <w:t>万元，主要用于执行公务、开展业务活动开支的用餐费。国内公务接待</w:t>
      </w:r>
      <w:r>
        <w:rPr>
          <w:rFonts w:hint="eastAsia" w:ascii="仿宋_GB2312" w:hAnsi="仿宋_GB2312" w:eastAsia="仿宋_GB2312" w:cs="仿宋_GB2312"/>
          <w:color w:val="auto"/>
          <w:sz w:val="32"/>
          <w:szCs w:val="32"/>
          <w:highlight w:val="none"/>
          <w:lang w:val="en-US" w:eastAsia="zh-CN"/>
        </w:rPr>
        <w:t>108</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highlight w:val="none"/>
          <w:lang w:val="en-US" w:eastAsia="zh-CN"/>
        </w:rPr>
        <w:t>1068</w:t>
      </w:r>
      <w:r>
        <w:rPr>
          <w:rFonts w:hint="eastAsia" w:ascii="仿宋_GB2312" w:hAnsi="仿宋_GB2312" w:eastAsia="仿宋_GB2312" w:cs="仿宋_GB2312"/>
          <w:color w:val="auto"/>
          <w:kern w:val="2"/>
          <w:sz w:val="32"/>
          <w:szCs w:val="32"/>
          <w:highlight w:val="none"/>
          <w:lang w:val="en-US" w:eastAsia="zh-CN" w:bidi="ar-SA"/>
        </w:rPr>
        <w:t>人次（不包括陪同人员），共计支出8.54万元，具体内容包括：上级指导产业振兴、基层治理、园区建设、人居环境、产业发展等。</w:t>
      </w:r>
    </w:p>
    <w:p w14:paraId="54A7DFF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bookmarkStart w:id="63" w:name="_Toc15396610"/>
      <w:bookmarkStart w:id="64" w:name="_Toc15377218"/>
    </w:p>
    <w:p w14:paraId="365F3AD7">
      <w:pPr>
        <w:spacing w:line="600" w:lineRule="exact"/>
        <w:ind w:firstLine="640"/>
        <w:outlineLvl w:val="1"/>
        <w:rPr>
          <w:rStyle w:val="34"/>
          <w:rFonts w:ascii="Times New Roman" w:hAnsi="Times New Roman" w:eastAsia="黑体"/>
          <w:color w:val="auto"/>
          <w:highlight w:val="none"/>
        </w:rPr>
      </w:pPr>
      <w:bookmarkStart w:id="65" w:name="_Toc27749"/>
      <w:r>
        <w:rPr>
          <w:rFonts w:hint="eastAsia" w:ascii="Times New Roman" w:hAnsi="Times New Roman" w:eastAsia="黑体"/>
          <w:color w:val="auto"/>
          <w:sz w:val="32"/>
          <w:szCs w:val="32"/>
          <w:highlight w:val="none"/>
        </w:rPr>
        <w:t>八、</w:t>
      </w:r>
      <w:r>
        <w:rPr>
          <w:rStyle w:val="34"/>
          <w:rFonts w:hint="eastAsia" w:ascii="Times New Roman" w:hAnsi="Times New Roman" w:eastAsia="黑体"/>
          <w:b w:val="0"/>
          <w:color w:val="auto"/>
          <w:highlight w:val="none"/>
        </w:rPr>
        <w:t>政府性基金预算支出决算情况说明</w:t>
      </w:r>
      <w:bookmarkEnd w:id="63"/>
      <w:bookmarkEnd w:id="64"/>
      <w:bookmarkEnd w:id="65"/>
    </w:p>
    <w:p w14:paraId="660AB72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2024年度政府性基金预算财政拨款支出46.94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，占本年支出合计的4.06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。与2023年度相比，政府性基金预算财政拨款支出增加11.09万元，增长23.63%。主要变动原因是项目支出增加。</w:t>
      </w:r>
    </w:p>
    <w:p w14:paraId="046F3901">
      <w:pPr>
        <w:numPr>
          <w:ilvl w:val="0"/>
          <w:numId w:val="0"/>
        </w:numPr>
        <w:spacing w:line="600" w:lineRule="exact"/>
        <w:ind w:left="630" w:leftChars="0"/>
        <w:outlineLvl w:val="1"/>
        <w:rPr>
          <w:rStyle w:val="34"/>
          <w:rFonts w:ascii="Times New Roman" w:hAnsi="Times New Roman" w:eastAsia="黑体"/>
          <w:b w:val="0"/>
          <w:color w:val="auto"/>
          <w:highlight w:val="none"/>
        </w:rPr>
      </w:pPr>
      <w:bookmarkStart w:id="66" w:name="_Toc15377219"/>
      <w:bookmarkStart w:id="67" w:name="_Toc15396611"/>
      <w:bookmarkStart w:id="68" w:name="_Toc4618"/>
      <w:r>
        <w:rPr>
          <w:rStyle w:val="34"/>
          <w:rFonts w:hint="eastAsia" w:ascii="Times New Roman" w:hAnsi="Times New Roman" w:eastAsia="黑体"/>
          <w:b w:val="0"/>
          <w:color w:val="auto"/>
          <w:highlight w:val="none"/>
          <w:lang w:eastAsia="zh-CN"/>
        </w:rPr>
        <w:t>九、</w:t>
      </w:r>
      <w:r>
        <w:rPr>
          <w:rStyle w:val="34"/>
          <w:rFonts w:hint="eastAsia" w:ascii="Times New Roman" w:hAnsi="Times New Roman" w:eastAsia="黑体"/>
          <w:b w:val="0"/>
          <w:color w:val="auto"/>
          <w:highlight w:val="none"/>
        </w:rPr>
        <w:t>国有资本经营预算支出决算情况说明</w:t>
      </w:r>
      <w:bookmarkEnd w:id="66"/>
      <w:bookmarkEnd w:id="67"/>
      <w:bookmarkEnd w:id="68"/>
    </w:p>
    <w:p w14:paraId="638AE00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%。与2023年度相比，国有资本经营预算财政拨款支出增加/减少0万元，增长/下降0%。</w:t>
      </w:r>
    </w:p>
    <w:p w14:paraId="4AC20AFD">
      <w:pPr>
        <w:numPr>
          <w:ilvl w:val="0"/>
          <w:numId w:val="0"/>
        </w:numPr>
        <w:spacing w:line="600" w:lineRule="exact"/>
        <w:ind w:left="630" w:leftChars="0"/>
        <w:outlineLvl w:val="1"/>
        <w:rPr>
          <w:rStyle w:val="34"/>
          <w:rFonts w:hint="eastAsia" w:ascii="Times New Roman" w:hAnsi="Times New Roman" w:eastAsia="黑体"/>
          <w:b w:val="0"/>
          <w:color w:val="auto"/>
          <w:highlight w:val="none"/>
        </w:rPr>
      </w:pPr>
      <w:bookmarkStart w:id="69" w:name="_Toc15396612"/>
      <w:bookmarkStart w:id="70" w:name="_Toc15377221"/>
      <w:bookmarkStart w:id="71" w:name="_Toc7103"/>
      <w:r>
        <w:rPr>
          <w:rStyle w:val="34"/>
          <w:rFonts w:hint="eastAsia" w:ascii="Times New Roman" w:hAnsi="Times New Roman" w:eastAsia="黑体"/>
          <w:b w:val="0"/>
          <w:color w:val="auto"/>
          <w:highlight w:val="none"/>
          <w:lang w:eastAsia="zh-CN"/>
        </w:rPr>
        <w:t>十、</w:t>
      </w:r>
      <w:r>
        <w:rPr>
          <w:rStyle w:val="34"/>
          <w:rFonts w:hint="eastAsia" w:ascii="Times New Roman" w:hAnsi="Times New Roman" w:eastAsia="黑体"/>
          <w:b w:val="0"/>
          <w:color w:val="auto"/>
          <w:highlight w:val="none"/>
        </w:rPr>
        <w:t>其他重要事项的情况说明</w:t>
      </w:r>
      <w:bookmarkEnd w:id="69"/>
      <w:bookmarkEnd w:id="70"/>
      <w:bookmarkEnd w:id="71"/>
    </w:p>
    <w:p w14:paraId="69FECBFF">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72" w:name="_Toc5858"/>
      <w:bookmarkStart w:id="73" w:name="_Toc15377222"/>
      <w:r>
        <w:rPr>
          <w:rFonts w:hint="eastAsia" w:ascii="Times New Roman" w:hAnsi="Times New Roman" w:eastAsia="楷体_GB2312" w:cs="楷体_GB2312"/>
          <w:b w:val="0"/>
          <w:bCs/>
          <w:color w:val="auto"/>
          <w:sz w:val="32"/>
          <w:szCs w:val="32"/>
          <w:highlight w:val="none"/>
        </w:rPr>
        <w:t>（一）机关运行经费支出情况</w:t>
      </w:r>
      <w:bookmarkEnd w:id="72"/>
      <w:bookmarkEnd w:id="73"/>
    </w:p>
    <w:p w14:paraId="073E5E9C">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2024年度，机关运行经费支出</w:t>
      </w:r>
      <w:r>
        <w:rPr>
          <w:rFonts w:hint="eastAsia" w:ascii="仿宋_GB2312" w:hAnsi="仿宋_GB2312" w:eastAsia="仿宋_GB2312" w:cs="仿宋_GB2312"/>
          <w:color w:val="auto"/>
          <w:sz w:val="32"/>
          <w:szCs w:val="32"/>
          <w:highlight w:val="none"/>
          <w:lang w:val="en-US" w:eastAsia="zh-CN"/>
        </w:rPr>
        <w:t>138.96</w:t>
      </w:r>
      <w:r>
        <w:rPr>
          <w:rFonts w:hint="eastAsia" w:ascii="仿宋_GB2312" w:hAnsi="仿宋_GB2312" w:eastAsia="仿宋_GB2312" w:cs="仿宋_GB2312"/>
          <w:color w:val="auto"/>
          <w:kern w:val="2"/>
          <w:sz w:val="32"/>
          <w:szCs w:val="32"/>
          <w:highlight w:val="none"/>
          <w:lang w:val="en-US" w:eastAsia="zh-CN" w:bidi="ar-SA"/>
        </w:rPr>
        <w:t>万元，比2023年度减少17.76万元，下降12.78%。主要原因是</w:t>
      </w:r>
      <w:r>
        <w:rPr>
          <w:rFonts w:hint="eastAsia" w:ascii="仿宋_GB2312" w:hAnsi="仿宋_GB2312" w:eastAsia="仿宋_GB2312" w:cs="仿宋_GB2312"/>
          <w:color w:val="auto"/>
          <w:sz w:val="32"/>
          <w:szCs w:val="32"/>
          <w:highlight w:val="none"/>
          <w:lang w:eastAsia="zh-CN"/>
        </w:rPr>
        <w:t>厉行节约，开支减少。</w:t>
      </w:r>
    </w:p>
    <w:p w14:paraId="091F323A">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74" w:name="_Toc15377223"/>
      <w:bookmarkStart w:id="75" w:name="_Toc1058"/>
      <w:r>
        <w:rPr>
          <w:rFonts w:hint="eastAsia" w:ascii="Times New Roman" w:hAnsi="Times New Roman" w:eastAsia="楷体_GB2312" w:cs="楷体_GB2312"/>
          <w:b w:val="0"/>
          <w:bCs/>
          <w:color w:val="auto"/>
          <w:sz w:val="32"/>
          <w:szCs w:val="32"/>
          <w:highlight w:val="none"/>
        </w:rPr>
        <w:t>（二）政府采购支出情况</w:t>
      </w:r>
      <w:bookmarkEnd w:id="74"/>
      <w:bookmarkEnd w:id="75"/>
    </w:p>
    <w:p w14:paraId="4461A52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0EA0C39F">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76" w:name="_Toc27166"/>
      <w:bookmarkStart w:id="77" w:name="_Toc15377224"/>
      <w:r>
        <w:rPr>
          <w:rFonts w:hint="eastAsia" w:ascii="Times New Roman" w:hAnsi="Times New Roman" w:eastAsia="楷体_GB2312" w:cs="楷体_GB2312"/>
          <w:b w:val="0"/>
          <w:bCs/>
          <w:color w:val="auto"/>
          <w:sz w:val="32"/>
          <w:szCs w:val="32"/>
          <w:highlight w:val="none"/>
        </w:rPr>
        <w:t>（三）国有资产占有使用情况</w:t>
      </w:r>
      <w:bookmarkEnd w:id="76"/>
      <w:bookmarkEnd w:id="77"/>
    </w:p>
    <w:p w14:paraId="31AF9FA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hAnsi="仿宋_GB2312" w:eastAsia="仿宋_GB2312" w:cs="仿宋_GB2312"/>
          <w:color w:val="auto"/>
          <w:sz w:val="32"/>
          <w:szCs w:val="32"/>
          <w:highlight w:val="none"/>
          <w:lang w:eastAsia="zh-CN"/>
        </w:rPr>
        <w:t>公务保障</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p>
    <w:p w14:paraId="76E238AF">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78" w:name="_Toc4581"/>
      <w:r>
        <w:rPr>
          <w:rFonts w:hint="eastAsia" w:ascii="Times New Roman" w:hAnsi="Times New Roman" w:eastAsia="楷体_GB2312" w:cs="楷体_GB2312"/>
          <w:b w:val="0"/>
          <w:bCs/>
          <w:color w:val="auto"/>
          <w:sz w:val="32"/>
          <w:szCs w:val="32"/>
          <w:highlight w:val="none"/>
        </w:rPr>
        <w:t>（四）预算绩效管理情况</w:t>
      </w:r>
      <w:bookmarkEnd w:id="78"/>
    </w:p>
    <w:p w14:paraId="789BDDD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根据预算绩效管理要求，红旗镇人民政府在2024年度预算编制阶段，组织对0（项目名称）等0个项目开展了预算事前绩效评估，对4个项目编制了绩效目标，在预算执行过程中，选取4个项目开展绩效监控。</w:t>
      </w:r>
    </w:p>
    <w:p w14:paraId="768E8D6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红旗镇人民政府部门整体（含部门预算项目）绩效自评报告。其中，红旗镇人民政府部门整体（含部门预算项目）绩效自评得分为97分，绩效自评综述完成良好。绩效自评报告详见附件。</w:t>
      </w:r>
    </w:p>
    <w:p w14:paraId="51CCF4C1">
      <w:pPr>
        <w:rPr>
          <w:rFonts w:hint="eastAsia" w:ascii="Times New Roman" w:hAnsi="Times New Roman" w:eastAsia="黑体"/>
          <w:color w:val="auto"/>
          <w:sz w:val="44"/>
          <w:szCs w:val="44"/>
          <w:highlight w:val="none"/>
        </w:rPr>
      </w:pPr>
      <w:bookmarkStart w:id="79" w:name="_Toc7255"/>
      <w:bookmarkStart w:id="80" w:name="_Toc15396613"/>
      <w:bookmarkStart w:id="81" w:name="_Toc15377225"/>
      <w:bookmarkStart w:id="82" w:name="_Toc9355"/>
    </w:p>
    <w:p w14:paraId="32319418">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79"/>
      <w:bookmarkEnd w:id="80"/>
      <w:bookmarkEnd w:id="81"/>
      <w:bookmarkEnd w:id="82"/>
    </w:p>
    <w:p w14:paraId="7527CA2D">
      <w:pPr>
        <w:spacing w:line="600" w:lineRule="exact"/>
        <w:jc w:val="left"/>
        <w:rPr>
          <w:rFonts w:ascii="Times New Roman" w:hAnsi="Times New Roman"/>
          <w:b/>
          <w:color w:val="auto"/>
          <w:sz w:val="44"/>
          <w:szCs w:val="44"/>
          <w:highlight w:val="none"/>
        </w:rPr>
      </w:pPr>
    </w:p>
    <w:p w14:paraId="4FFD5905">
      <w:pPr>
        <w:pStyle w:val="31"/>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highlight w:val="none"/>
        </w:rPr>
      </w:pPr>
      <w:bookmarkStart w:id="83" w:name="_Toc18709"/>
      <w:bookmarkStart w:id="84" w:name="_Toc17262"/>
      <w:bookmarkStart w:id="85" w:name="_Toc9688"/>
      <w:bookmarkStart w:id="86"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财政拨款收入：指单位从同级财政部门取得的财政预算资金。</w:t>
      </w:r>
      <w:bookmarkEnd w:id="83"/>
      <w:bookmarkEnd w:id="84"/>
      <w:bookmarkEnd w:id="85"/>
    </w:p>
    <w:p w14:paraId="69198165">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w:t>
      </w:r>
      <w:r>
        <w:rPr>
          <w:rFonts w:hint="eastAsia" w:ascii="仿宋_GB2312" w:hAnsi="仿宋_GB2312" w:eastAsia="仿宋_GB2312"/>
          <w:kern w:val="2"/>
          <w:sz w:val="32"/>
          <w:szCs w:val="32"/>
        </w:rPr>
        <w:t>一般公共服务支出</w:t>
      </w:r>
      <w:r>
        <w:rPr>
          <w:rFonts w:hint="eastAsia" w:ascii="仿宋_GB2312" w:eastAsia="仿宋_GB2312"/>
          <w:color w:val="auto"/>
          <w:sz w:val="32"/>
          <w:szCs w:val="32"/>
        </w:rPr>
        <w:t>一般公共服务（类）人大事务（款）行政运行（项）：指反映行政单位（包括实行公务员管理的事业单位）的基本支出。</w:t>
      </w:r>
    </w:p>
    <w:p w14:paraId="0991A51F">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color w:val="auto"/>
          <w:sz w:val="32"/>
          <w:szCs w:val="32"/>
        </w:rPr>
      </w:pPr>
      <w:r>
        <w:rPr>
          <w:rFonts w:hint="eastAsia" w:ascii="仿宋_GB2312" w:hAnsi="Calibri" w:eastAsia="仿宋_GB2312" w:cs="仿宋"/>
          <w:color w:val="auto"/>
          <w:kern w:val="0"/>
          <w:sz w:val="32"/>
          <w:szCs w:val="32"/>
          <w:highlight w:val="none"/>
          <w:lang w:val="en-US" w:eastAsia="zh-CN" w:bidi="ar-SA"/>
        </w:rPr>
        <w:t>3.</w:t>
      </w:r>
      <w:r>
        <w:rPr>
          <w:rFonts w:hint="eastAsia" w:ascii="仿宋_GB2312" w:hAnsi="Times New Roman" w:eastAsia="仿宋_GB2312"/>
          <w:color w:val="auto"/>
          <w:sz w:val="32"/>
          <w:szCs w:val="32"/>
        </w:rPr>
        <w:t>一般公共服务（类）人大事务（款）代表工作（项）：指反映人大代表开展各类视察等方面的支出。</w:t>
      </w:r>
    </w:p>
    <w:p w14:paraId="4442F554">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hAnsi="Calibri" w:eastAsia="仿宋_GB2312" w:cs="仿宋"/>
          <w:color w:val="auto"/>
          <w:kern w:val="0"/>
          <w:sz w:val="32"/>
          <w:szCs w:val="32"/>
          <w:highlight w:val="none"/>
          <w:lang w:val="en-US" w:eastAsia="zh-CN" w:bidi="ar-SA"/>
        </w:rPr>
        <w:t>4</w:t>
      </w:r>
      <w:r>
        <w:rPr>
          <w:rFonts w:hint="eastAsia" w:ascii="仿宋_GB2312" w:eastAsia="仿宋_GB2312" w:cs="仿宋"/>
          <w:color w:val="auto"/>
          <w:kern w:val="0"/>
          <w:sz w:val="32"/>
          <w:szCs w:val="32"/>
          <w:highlight w:val="none"/>
          <w:lang w:val="en-US" w:eastAsia="zh-CN" w:bidi="ar-SA"/>
        </w:rPr>
        <w:t>.</w:t>
      </w:r>
      <w:r>
        <w:rPr>
          <w:rFonts w:hint="eastAsia" w:ascii="仿宋_GB2312" w:eastAsia="仿宋_GB2312"/>
          <w:color w:val="auto"/>
          <w:sz w:val="32"/>
          <w:szCs w:val="32"/>
        </w:rPr>
        <w:t>一般公共服务（类）政府办公厅（室）及相关机构事务（款）行政运行（项）：指反映行政单位（包括实行公务员管理的事业单位）的基本支出。</w:t>
      </w:r>
    </w:p>
    <w:p w14:paraId="3544E80E">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hAnsi="Calibri" w:eastAsia="仿宋_GB2312" w:cs="仿宋"/>
          <w:color w:val="auto"/>
          <w:kern w:val="0"/>
          <w:sz w:val="32"/>
          <w:szCs w:val="32"/>
          <w:highlight w:val="none"/>
          <w:lang w:val="en-US" w:eastAsia="zh-CN" w:bidi="ar-SA"/>
        </w:rPr>
        <w:t>5</w:t>
      </w:r>
      <w:r>
        <w:rPr>
          <w:rFonts w:hint="eastAsia" w:ascii="仿宋_GB2312" w:eastAsia="仿宋_GB2312" w:cs="仿宋"/>
          <w:color w:val="auto"/>
          <w:kern w:val="0"/>
          <w:sz w:val="32"/>
          <w:szCs w:val="32"/>
          <w:highlight w:val="none"/>
          <w:lang w:val="en-US" w:eastAsia="zh-CN" w:bidi="ar-SA"/>
        </w:rPr>
        <w:t>.</w:t>
      </w:r>
      <w:r>
        <w:rPr>
          <w:rFonts w:hint="eastAsia" w:ascii="仿宋_GB2312" w:eastAsia="仿宋_GB2312"/>
          <w:color w:val="auto"/>
          <w:sz w:val="32"/>
          <w:szCs w:val="32"/>
        </w:rPr>
        <w:t>一般公共服务（类）政府办公厅（室）及相关机构事务（款）一般行政管理事务（项）：指反映行政单位（包括实行公务员管理的事业单位）的未单独设置项级科目的其他项目支出。</w:t>
      </w:r>
    </w:p>
    <w:p w14:paraId="256A943E">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hAnsi="Calibri" w:eastAsia="仿宋_GB2312" w:cs="仿宋"/>
          <w:color w:val="auto"/>
          <w:kern w:val="0"/>
          <w:sz w:val="32"/>
          <w:szCs w:val="32"/>
          <w:highlight w:val="none"/>
          <w:lang w:val="en-US" w:eastAsia="zh-CN" w:bidi="ar-SA"/>
        </w:rPr>
        <w:t>6</w:t>
      </w:r>
      <w:r>
        <w:rPr>
          <w:rFonts w:hint="eastAsia" w:ascii="仿宋_GB2312" w:eastAsia="仿宋_GB2312" w:cs="仿宋"/>
          <w:color w:val="auto"/>
          <w:kern w:val="0"/>
          <w:sz w:val="32"/>
          <w:szCs w:val="32"/>
          <w:highlight w:val="none"/>
          <w:lang w:val="en-US" w:eastAsia="zh-CN" w:bidi="ar-SA"/>
        </w:rPr>
        <w:t>.</w:t>
      </w:r>
      <w:r>
        <w:rPr>
          <w:rFonts w:hint="eastAsia" w:ascii="仿宋_GB2312" w:eastAsia="仿宋_GB2312"/>
          <w:color w:val="auto"/>
          <w:sz w:val="32"/>
          <w:szCs w:val="32"/>
        </w:rPr>
        <w:t>一般公共服务（类）政府办公厅（室）及相关机构事务（款）事业运行（项）：指反映事业单位的基本支出不包括行政单位（包括实行公务员管理的事业单位）后勤服务中心、医务室等附属事业单位。</w:t>
      </w:r>
    </w:p>
    <w:p w14:paraId="06B94953">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一般公共服务（类）政府办公厅（室）及相关机构事务（款）其他政府办公厅（室）及相关机构事务支出（项）：指反映行政单位（包括实行公务员管理的事业单位）的未单独设置项级科目的其他项目支出。</w:t>
      </w:r>
    </w:p>
    <w:p w14:paraId="180673A2">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一般公共服务（类）党委办公厅（室）及相关事务机构（款）一般行政管理事务（项）：反映行政单位（包括实行公务员管理的事业单位）未单独设置项级科目的其他项目支出。</w:t>
      </w:r>
    </w:p>
    <w:p w14:paraId="4911E244">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一般公共服务（类）其他共产党事务支出（款）一般行政管理事务（项）：反映行政单位（包括实行公务员管理的事业单位）未单独设置项级科目的其他项目支出。</w:t>
      </w:r>
    </w:p>
    <w:p w14:paraId="5C2769D1">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社会保障和就业（类）行政事业单位养老支出（款）机关事业单位基本养老保险缴费支出（项）：指反映机关事业单位实施养老保险制度由单位缴纳的基本养老保险费支出。</w:t>
      </w:r>
    </w:p>
    <w:p w14:paraId="467834C2">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社会保障和就业（类）行政事业单位养老支出（款）机关事业单位职业年金缴费支出（项）：指反映机关事业单位实施养老保险制度由单位实际缴纳的职业年金支出。</w:t>
      </w:r>
    </w:p>
    <w:p w14:paraId="42756687">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社会保障和就业（类）其他社会保障和就业支出（款）其他社会保障和就业支出（项）：指反映除上述项目以外其他用于社会保障和就业方面的支出。</w:t>
      </w:r>
    </w:p>
    <w:p w14:paraId="534DA6FB">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卫生健康（类）行政事业单位医疗（款）行政单位医疗（项）：指反映财政部门安排的行政单位（包括实行公务员管理的事业单位）基本医疗保险缴费经费，未参加医疗保险的行政单位的公费医疗经费，按国家规定享受离休人员待遇的医疗经费。</w:t>
      </w:r>
    </w:p>
    <w:p w14:paraId="49C770D3">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城乡社区（类）城乡社区环境卫生（款）城乡社区环境卫生（项）：反映城乡社区道路清扫、垃圾清运与处理、公厕建设与维护、园林绿化等方面的支出。</w:t>
      </w:r>
    </w:p>
    <w:p w14:paraId="765EAD8C">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城乡社区（类）其他城乡社区支出（款）其他城乡社区支出（项）：</w:t>
      </w:r>
      <w:r>
        <w:rPr>
          <w:rFonts w:hint="eastAsia" w:ascii="仿宋_GB2312" w:eastAsia="仿宋_GB2312"/>
          <w:color w:val="auto"/>
          <w:sz w:val="32"/>
          <w:szCs w:val="32"/>
          <w:lang w:eastAsia="zh-CN"/>
        </w:rPr>
        <w:t>指</w:t>
      </w:r>
      <w:r>
        <w:rPr>
          <w:rFonts w:hint="eastAsia" w:ascii="仿宋_GB2312" w:eastAsia="仿宋_GB2312"/>
          <w:color w:val="auto"/>
          <w:sz w:val="32"/>
          <w:szCs w:val="32"/>
        </w:rPr>
        <w:t>反映除上述项目以外其他用于城乡社区方面的支出。</w:t>
      </w:r>
    </w:p>
    <w:p w14:paraId="5BB3E6C2">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农林水支出（类）扶贫（款）其他扶贫支出（项）：支用于农村的其他用于扶贫方面的支出。</w:t>
      </w:r>
    </w:p>
    <w:p w14:paraId="4758503E">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农林水支出（类）农村综合改革（款）对村民委员会和村党支部的补助（项）：指各级财政对村民委员会和村党支部的补助支出，以及支持建立县级基本财力保障机制安排的村级组织运转奖补资金。</w:t>
      </w:r>
    </w:p>
    <w:p w14:paraId="68286397">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农林水支出（类）农村综合改革（款）农村综合改革示范试点补助（项）：指各级财政对农村综合改革示范试点、新型农村社会化服务体系建设等补助支出。</w:t>
      </w:r>
    </w:p>
    <w:p w14:paraId="37E98417">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住房保障支出（类）住房改革支出（款）住房公积金（项）：指行政事业单位</w:t>
      </w:r>
      <w:r>
        <w:rPr>
          <w:rFonts w:hint="eastAsia" w:ascii="仿宋_GB2312" w:eastAsia="仿宋_GB2312"/>
          <w:color w:val="auto"/>
          <w:sz w:val="32"/>
          <w:szCs w:val="32"/>
          <w:lang w:eastAsia="zh-CN"/>
        </w:rPr>
        <w:t>按</w:t>
      </w:r>
      <w:r>
        <w:rPr>
          <w:rFonts w:hint="eastAsia" w:ascii="仿宋_GB2312" w:eastAsia="仿宋_GB2312"/>
          <w:color w:val="auto"/>
          <w:sz w:val="32"/>
          <w:szCs w:val="32"/>
        </w:rPr>
        <w:t>人力资源和社会保障部、财政部规定的基本工资和津贴补贴以及规定</w:t>
      </w:r>
      <w:r>
        <w:rPr>
          <w:rFonts w:hint="eastAsia" w:ascii="仿宋_GB2312" w:eastAsia="仿宋_GB2312"/>
          <w:color w:val="auto"/>
          <w:sz w:val="32"/>
          <w:szCs w:val="32"/>
          <w:lang w:eastAsia="zh-CN"/>
        </w:rPr>
        <w:t>比例</w:t>
      </w:r>
      <w:r>
        <w:rPr>
          <w:rFonts w:hint="eastAsia" w:ascii="仿宋_GB2312" w:eastAsia="仿宋_GB2312"/>
          <w:color w:val="auto"/>
          <w:sz w:val="32"/>
          <w:szCs w:val="32"/>
        </w:rPr>
        <w:t>为职工缴纳的住房公积金。</w:t>
      </w:r>
    </w:p>
    <w:p w14:paraId="628ADDDA">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交通运输支出（类）公路水路运输（款）公路和运输安全（项）：反映公路和运输安全支出。</w:t>
      </w:r>
    </w:p>
    <w:p w14:paraId="06E1B0B2">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000000"/>
          <w:kern w:val="2"/>
          <w:sz w:val="32"/>
          <w:szCs w:val="32"/>
          <w:lang w:val="en-US"/>
        </w:rPr>
      </w:pPr>
      <w:r>
        <w:rPr>
          <w:rFonts w:hint="eastAsia" w:ascii="仿宋_GB2312" w:eastAsia="仿宋_GB2312"/>
          <w:color w:val="auto"/>
          <w:sz w:val="32"/>
          <w:szCs w:val="32"/>
          <w:lang w:val="en-US" w:eastAsia="zh-CN"/>
        </w:rPr>
        <w:t>21.</w:t>
      </w:r>
      <w:r>
        <w:rPr>
          <w:rFonts w:hint="eastAsia" w:ascii="仿宋_GB2312" w:hAnsi="仿宋_GB2312" w:eastAsia="仿宋_GB2312"/>
          <w:color w:val="000000"/>
          <w:kern w:val="2"/>
          <w:sz w:val="32"/>
          <w:szCs w:val="32"/>
          <w:lang w:val="en-US"/>
        </w:rPr>
        <w:t>基本支出：指为保障机构正常运转、完成日常工作任务而发生的人员支出和公用支出。</w:t>
      </w:r>
    </w:p>
    <w:p w14:paraId="79870485">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000000"/>
          <w:kern w:val="2"/>
          <w:sz w:val="32"/>
          <w:szCs w:val="32"/>
          <w:lang w:val="en-US"/>
        </w:rPr>
      </w:pPr>
      <w:r>
        <w:rPr>
          <w:rFonts w:hint="eastAsia" w:ascii="仿宋_GB2312" w:hAnsi="仿宋_GB2312" w:eastAsia="仿宋_GB2312"/>
          <w:color w:val="000000"/>
          <w:kern w:val="2"/>
          <w:sz w:val="32"/>
          <w:szCs w:val="32"/>
          <w:lang w:val="en-US" w:eastAsia="zh-CN"/>
        </w:rPr>
        <w:t>22.</w:t>
      </w:r>
      <w:r>
        <w:rPr>
          <w:rFonts w:hint="eastAsia" w:ascii="仿宋_GB2312" w:hAnsi="仿宋_GB2312" w:eastAsia="仿宋_GB2312"/>
          <w:color w:val="000000"/>
          <w:kern w:val="2"/>
          <w:sz w:val="32"/>
          <w:szCs w:val="32"/>
          <w:lang w:val="en-US"/>
        </w:rPr>
        <w:t xml:space="preserve">项目支出：指在基本支出之外为完成特定行政任务和事业发展目标所发生的支出。 </w:t>
      </w:r>
    </w:p>
    <w:p w14:paraId="7E479BFE">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eastAsia="zh-CN"/>
        </w:rPr>
        <w:t>23.</w:t>
      </w:r>
      <w:r>
        <w:rPr>
          <w:rFonts w:hint="eastAsia" w:ascii="仿宋_GB2312" w:hAnsi="仿宋_GB2312" w:eastAsia="仿宋_GB2312"/>
          <w:color w:val="000000"/>
          <w:sz w:val="32"/>
          <w:szCs w:val="32"/>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F0B0A6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olor w:val="auto"/>
          <w:kern w:val="44"/>
          <w:sz w:val="32"/>
          <w:szCs w:val="32"/>
          <w:lang w:val="zh-CN"/>
        </w:rPr>
      </w:pPr>
      <w:r>
        <w:rPr>
          <w:rFonts w:hint="eastAsia" w:ascii="仿宋_GB2312" w:hAnsi="仿宋_GB2312" w:eastAsia="仿宋_GB2312"/>
          <w:color w:val="000000"/>
          <w:sz w:val="32"/>
          <w:szCs w:val="32"/>
          <w:lang w:val="en-US" w:eastAsia="zh-CN"/>
        </w:rPr>
        <w:t>24</w:t>
      </w:r>
      <w:r>
        <w:rPr>
          <w:rFonts w:hint="eastAsia" w:ascii="仿宋_GB2312" w:hAnsi="仿宋_GB2312" w:eastAsia="仿宋_GB2312"/>
          <w:color w:val="000000"/>
          <w:sz w:val="32"/>
          <w:szCs w:val="32"/>
          <w:lang w:val="en-US"/>
        </w:rPr>
        <w:t>.机关运行经费：</w:t>
      </w:r>
      <w:r>
        <w:rPr>
          <w:rFonts w:hint="eastAsia" w:ascii="仿宋_GB2312" w:hAnsi="仿宋_GB2312" w:eastAsia="仿宋_GB2312"/>
          <w:color w:val="auto"/>
          <w:sz w:val="32"/>
          <w:szCs w:val="32"/>
          <w:lang w:val="en-US"/>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DA9285">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35AA7643">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784B66E">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6C21E8E">
      <w:pPr>
        <w:pStyle w:val="31"/>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68D215"/>
    <w:p w14:paraId="32E21F27">
      <w:pPr>
        <w:widowControl/>
        <w:ind w:firstLine="643" w:firstLineChars="200"/>
        <w:jc w:val="left"/>
        <w:rPr>
          <w:rFonts w:ascii="仿宋_GB2312" w:eastAsia="仿宋_GB2312"/>
          <w:b/>
          <w:color w:val="auto"/>
          <w:sz w:val="32"/>
          <w:szCs w:val="32"/>
          <w:highlight w:val="none"/>
        </w:rPr>
      </w:pPr>
    </w:p>
    <w:p w14:paraId="25B58114"/>
    <w:p w14:paraId="506814FB">
      <w:pPr>
        <w:numPr>
          <w:ilvl w:val="0"/>
          <w:numId w:val="0"/>
        </w:numPr>
        <w:ind w:leftChars="0"/>
        <w:jc w:val="left"/>
        <w:rPr>
          <w:rFonts w:hint="default" w:ascii="方正小标宋简体" w:hAnsi="宋体" w:eastAsia="方正小标宋简体"/>
          <w:color w:val="auto"/>
          <w:sz w:val="32"/>
          <w:szCs w:val="32"/>
          <w:highlight w:val="yellow"/>
          <w:lang w:val="en-US" w:eastAsia="zh-CN"/>
        </w:rPr>
      </w:pPr>
    </w:p>
    <w:p w14:paraId="73B76692">
      <w:pPr>
        <w:pStyle w:val="2"/>
        <w:rPr>
          <w:rFonts w:hint="default" w:ascii="方正小标宋简体" w:hAnsi="宋体" w:eastAsia="方正小标宋简体"/>
          <w:color w:val="auto"/>
          <w:sz w:val="32"/>
          <w:szCs w:val="32"/>
          <w:highlight w:val="yellow"/>
          <w:lang w:val="en-US" w:eastAsia="zh-CN"/>
        </w:rPr>
      </w:pPr>
    </w:p>
    <w:p w14:paraId="0BA380D7">
      <w:pPr>
        <w:spacing w:line="600" w:lineRule="exact"/>
        <w:jc w:val="center"/>
        <w:rPr>
          <w:rStyle w:val="33"/>
          <w:rFonts w:hint="eastAsia" w:ascii="方正小标宋简体" w:hAnsi="方正小标宋简体" w:eastAsia="方正小标宋简体" w:cs="方正小标宋简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87" w:name="_Toc15396614"/>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87"/>
    </w:p>
    <w:p w14:paraId="6ED8793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BB07FB4">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bookmarkStart w:id="88" w:name="_Toc5811"/>
      <w:bookmarkStart w:id="89" w:name="_Toc9325"/>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88"/>
      <w:bookmarkEnd w:id="89"/>
    </w:p>
    <w:p w14:paraId="3A3E3F6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550B519">
      <w:pPr>
        <w:keepNext w:val="0"/>
        <w:keepLines w:val="0"/>
        <w:pageBreakBefore w:val="0"/>
        <w:widowControl/>
        <w:numPr>
          <w:ilvl w:val="0"/>
          <w:numId w:val="0"/>
        </w:numPr>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5B8D2508">
      <w:pPr>
        <w:keepNext w:val="0"/>
        <w:keepLines w:val="0"/>
        <w:pageBreakBefore w:val="0"/>
        <w:widowControl/>
        <w:numPr>
          <w:ilvl w:val="0"/>
          <w:numId w:val="0"/>
        </w:numPr>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cs="Times New Roman"/>
          <w:sz w:val="44"/>
          <w:szCs w:val="44"/>
          <w:shd w:val="clear" w:color="auto" w:fill="FFFFFF"/>
          <w:lang w:eastAsia="zh-CN"/>
        </w:rPr>
      </w:pPr>
      <w:r>
        <w:rPr>
          <w:rFonts w:hint="eastAsia" w:ascii="方正小标宋简体" w:hAnsi="宋体" w:eastAsia="方正小标宋简体" w:cs="Times New Roman"/>
          <w:sz w:val="44"/>
          <w:szCs w:val="44"/>
          <w:shd w:val="clear" w:color="auto" w:fill="FFFFFF"/>
          <w:lang w:eastAsia="zh-CN"/>
        </w:rPr>
        <w:t>（报告范围包括机关和下属单位）</w:t>
      </w:r>
    </w:p>
    <w:p w14:paraId="37A900E7">
      <w:pPr>
        <w:widowControl/>
        <w:numPr>
          <w:ilvl w:val="0"/>
          <w:numId w:val="0"/>
        </w:numPr>
        <w:spacing w:line="580" w:lineRule="exact"/>
        <w:contextualSpacing/>
        <w:jc w:val="center"/>
        <w:rPr>
          <w:rFonts w:hint="eastAsia" w:ascii="方正小标宋简体" w:hAnsi="宋体" w:eastAsia="方正小标宋简体" w:cs="Times New Roman"/>
          <w:sz w:val="44"/>
          <w:szCs w:val="44"/>
          <w:shd w:val="clear" w:color="auto" w:fill="FFFFFF"/>
          <w:lang w:eastAsia="zh-CN"/>
        </w:rPr>
      </w:pPr>
    </w:p>
    <w:p w14:paraId="25462907">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63AEF78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14:paraId="4D0FE6F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Style w:val="22"/>
          <w:rFonts w:hint="eastAsia" w:ascii="仿宋_GB2312" w:hAnsi="宋体" w:eastAsia="仿宋_GB2312" w:cs="仿宋_GB2312"/>
          <w:b w:val="0"/>
          <w:bCs w:val="0"/>
          <w:i w:val="0"/>
          <w:iCs w:val="0"/>
          <w:caps w:val="0"/>
          <w:color w:val="000000"/>
          <w:spacing w:val="0"/>
          <w:sz w:val="32"/>
          <w:szCs w:val="32"/>
          <w:shd w:val="clear" w:fill="FFFFFF"/>
          <w:lang w:eastAsia="zh-CN"/>
        </w:rPr>
        <w:t>红旗镇</w:t>
      </w:r>
      <w:r>
        <w:rPr>
          <w:rStyle w:val="22"/>
          <w:rFonts w:ascii="仿宋_GB2312" w:hAnsi="宋体" w:eastAsia="仿宋_GB2312" w:cs="仿宋_GB2312"/>
          <w:b w:val="0"/>
          <w:bCs w:val="0"/>
          <w:i w:val="0"/>
          <w:iCs w:val="0"/>
          <w:caps w:val="0"/>
          <w:color w:val="000000"/>
          <w:spacing w:val="0"/>
          <w:sz w:val="32"/>
          <w:szCs w:val="32"/>
          <w:shd w:val="clear" w:fill="FFFFFF"/>
        </w:rPr>
        <w:t>人民政府属行政单位，</w:t>
      </w:r>
      <w:r>
        <w:rPr>
          <w:rStyle w:val="22"/>
          <w:rFonts w:hint="default" w:ascii="仿宋_GB2312" w:hAnsi="宋体" w:eastAsia="仿宋_GB2312" w:cs="仿宋_GB2312"/>
          <w:b w:val="0"/>
          <w:bCs w:val="0"/>
          <w:i w:val="0"/>
          <w:iCs w:val="0"/>
          <w:caps w:val="0"/>
          <w:color w:val="000000"/>
          <w:spacing w:val="0"/>
          <w:sz w:val="32"/>
          <w:szCs w:val="32"/>
          <w:shd w:val="clear" w:fill="FFFFFF"/>
        </w:rPr>
        <w:t>内设</w:t>
      </w:r>
      <w:r>
        <w:rPr>
          <w:rStyle w:val="22"/>
          <w:rFonts w:hint="eastAsia" w:ascii="仿宋_GB2312" w:hAnsi="宋体" w:eastAsia="仿宋_GB2312" w:cs="仿宋_GB2312"/>
          <w:b w:val="0"/>
          <w:bCs w:val="0"/>
          <w:i w:val="0"/>
          <w:iCs w:val="0"/>
          <w:caps w:val="0"/>
          <w:color w:val="000000"/>
          <w:spacing w:val="0"/>
          <w:sz w:val="32"/>
          <w:szCs w:val="32"/>
          <w:shd w:val="clear" w:fill="FFFFFF"/>
          <w:lang w:eastAsia="zh-CN"/>
        </w:rPr>
        <w:t>六个</w:t>
      </w:r>
      <w:r>
        <w:rPr>
          <w:rStyle w:val="22"/>
          <w:rFonts w:hint="default" w:ascii="仿宋_GB2312" w:hAnsi="宋体" w:eastAsia="仿宋_GB2312" w:cs="仿宋_GB2312"/>
          <w:b w:val="0"/>
          <w:bCs w:val="0"/>
          <w:i w:val="0"/>
          <w:iCs w:val="0"/>
          <w:caps w:val="0"/>
          <w:color w:val="000000"/>
          <w:spacing w:val="0"/>
          <w:sz w:val="32"/>
          <w:szCs w:val="32"/>
          <w:shd w:val="clear" w:fill="FFFFFF"/>
        </w:rPr>
        <w:t>中心。包括党政办、党建办公室、社会事务</w:t>
      </w:r>
      <w:r>
        <w:rPr>
          <w:rStyle w:val="22"/>
          <w:rFonts w:hint="eastAsia" w:ascii="仿宋_GB2312" w:hAnsi="宋体" w:eastAsia="仿宋_GB2312" w:cs="仿宋_GB2312"/>
          <w:b w:val="0"/>
          <w:bCs w:val="0"/>
          <w:i w:val="0"/>
          <w:iCs w:val="0"/>
          <w:caps w:val="0"/>
          <w:color w:val="000000"/>
          <w:spacing w:val="0"/>
          <w:sz w:val="32"/>
          <w:szCs w:val="32"/>
          <w:shd w:val="clear" w:fill="FFFFFF"/>
          <w:lang w:eastAsia="zh-CN"/>
        </w:rPr>
        <w:t>和社会治理</w:t>
      </w:r>
      <w:r>
        <w:rPr>
          <w:rStyle w:val="22"/>
          <w:rFonts w:hint="default" w:ascii="仿宋_GB2312" w:hAnsi="宋体" w:eastAsia="仿宋_GB2312" w:cs="仿宋_GB2312"/>
          <w:b w:val="0"/>
          <w:bCs w:val="0"/>
          <w:i w:val="0"/>
          <w:iCs w:val="0"/>
          <w:caps w:val="0"/>
          <w:color w:val="000000"/>
          <w:spacing w:val="0"/>
          <w:sz w:val="32"/>
          <w:szCs w:val="32"/>
          <w:shd w:val="clear" w:fill="FFFFFF"/>
        </w:rPr>
        <w:t>办公室、</w:t>
      </w:r>
      <w:r>
        <w:rPr>
          <w:rStyle w:val="22"/>
          <w:rFonts w:hint="eastAsia" w:ascii="仿宋_GB2312" w:hAnsi="宋体" w:eastAsia="仿宋_GB2312" w:cs="仿宋_GB2312"/>
          <w:b w:val="0"/>
          <w:bCs w:val="0"/>
          <w:i w:val="0"/>
          <w:iCs w:val="0"/>
          <w:caps w:val="0"/>
          <w:color w:val="000000"/>
          <w:spacing w:val="0"/>
          <w:sz w:val="32"/>
          <w:szCs w:val="32"/>
          <w:shd w:val="clear" w:fill="FFFFFF"/>
          <w:lang w:eastAsia="zh-CN"/>
        </w:rPr>
        <w:t>经济发展和</w:t>
      </w:r>
      <w:r>
        <w:rPr>
          <w:rStyle w:val="22"/>
          <w:rFonts w:hint="default" w:ascii="仿宋_GB2312" w:hAnsi="宋体" w:eastAsia="仿宋_GB2312" w:cs="仿宋_GB2312"/>
          <w:b w:val="0"/>
          <w:bCs w:val="0"/>
          <w:i w:val="0"/>
          <w:iCs w:val="0"/>
          <w:caps w:val="0"/>
          <w:color w:val="000000"/>
          <w:spacing w:val="0"/>
          <w:sz w:val="32"/>
          <w:szCs w:val="32"/>
          <w:shd w:val="clear" w:fill="FFFFFF"/>
        </w:rPr>
        <w:t>规划建设办公室、综合执法办公室、</w:t>
      </w:r>
      <w:r>
        <w:rPr>
          <w:rStyle w:val="22"/>
          <w:rFonts w:hint="eastAsia" w:ascii="仿宋_GB2312" w:hAnsi="宋体" w:eastAsia="仿宋_GB2312" w:cs="仿宋_GB2312"/>
          <w:b w:val="0"/>
          <w:bCs w:val="0"/>
          <w:i w:val="0"/>
          <w:iCs w:val="0"/>
          <w:caps w:val="0"/>
          <w:color w:val="000000"/>
          <w:spacing w:val="0"/>
          <w:sz w:val="32"/>
          <w:szCs w:val="32"/>
          <w:shd w:val="clear" w:fill="FFFFFF"/>
          <w:lang w:eastAsia="zh-CN"/>
        </w:rPr>
        <w:t>应急管理办公室、</w:t>
      </w:r>
      <w:r>
        <w:rPr>
          <w:rStyle w:val="22"/>
          <w:rFonts w:hint="default" w:ascii="仿宋_GB2312" w:hAnsi="宋体" w:eastAsia="仿宋_GB2312" w:cs="仿宋_GB2312"/>
          <w:b w:val="0"/>
          <w:bCs w:val="0"/>
          <w:i w:val="0"/>
          <w:iCs w:val="0"/>
          <w:caps w:val="0"/>
          <w:color w:val="000000"/>
          <w:spacing w:val="0"/>
          <w:sz w:val="32"/>
          <w:szCs w:val="32"/>
          <w:shd w:val="clear" w:fill="FFFFFF"/>
        </w:rPr>
        <w:t>便民服务中心、农业综合服务中心。</w:t>
      </w:r>
    </w:p>
    <w:p w14:paraId="3DEC794B">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机构职能和人员概况</w:t>
      </w:r>
    </w:p>
    <w:p w14:paraId="052CBD3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1.贯彻落实党的路线方针政策和国家法律法规以及上级党委、政府的决议、决定和命令，执行镇党委和镇人民代表大会的决议，加强农村基层政权建设，巩固党在农村的执政基础。</w:t>
      </w:r>
    </w:p>
    <w:p w14:paraId="033CDD0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2.组织编制本行政区域经济社会发展规划和镇国土空间规划负责农村基础设施和各项公益事业建设，实施乡村振兴战略，加快经济社会发展，改善群众生产生活环境。</w:t>
      </w:r>
    </w:p>
    <w:p w14:paraId="13BF521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3.指导农村经济发展，推进农业经济结构调整，促进农村集体经济增长、农业增效、农民增收。</w:t>
      </w:r>
    </w:p>
    <w:p w14:paraId="11D506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722160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5.负责辖区内自然资源、生态环境保护、森林防灭火、防汛抗旱、粮食安全、供销合作社等工作。</w:t>
      </w:r>
    </w:p>
    <w:p w14:paraId="60226A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6.推进基层民主法治建设，加强普法依法治理，指导村（居）民委员会工作，维护群众合法权益。</w:t>
      </w:r>
    </w:p>
    <w:p w14:paraId="3BF45C7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7.承担辖区内基层治理、平安建设、社会治安综合治理、安全和应急管理等有关工作。负责群众来信来访，反映社情民意，化解矛盾纠纷，维护社会安全稳定。</w:t>
      </w:r>
    </w:p>
    <w:p w14:paraId="27BB64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8.负责国防教育、兵役征集、民兵预备役等有关工作。</w:t>
      </w:r>
    </w:p>
    <w:p w14:paraId="1E480C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9.承担法律法规、规章规定的其他职能和上级党委、政府交办的其他工作。</w:t>
      </w:r>
    </w:p>
    <w:p w14:paraId="44AD0CB5">
      <w:pPr>
        <w:widowControl/>
        <w:numPr>
          <w:ilvl w:val="0"/>
          <w:numId w:val="0"/>
        </w:numPr>
        <w:tabs>
          <w:tab w:val="left" w:pos="3840"/>
        </w:tabs>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Style w:val="22"/>
          <w:rFonts w:hint="eastAsia" w:ascii="仿宋_GB2312" w:hAnsi="宋体" w:eastAsia="仿宋_GB2312" w:cs="仿宋_GB2312"/>
          <w:b w:val="0"/>
          <w:bCs w:val="0"/>
          <w:i w:val="0"/>
          <w:iCs w:val="0"/>
          <w:caps w:val="0"/>
          <w:color w:val="auto"/>
          <w:spacing w:val="0"/>
          <w:sz w:val="32"/>
          <w:szCs w:val="32"/>
          <w:lang w:eastAsia="zh-CN"/>
        </w:rPr>
        <w:t>红旗镇</w:t>
      </w:r>
      <w:r>
        <w:rPr>
          <w:rStyle w:val="22"/>
          <w:rFonts w:ascii="仿宋_GB2312" w:hAnsi="宋体" w:eastAsia="仿宋_GB2312" w:cs="仿宋_GB2312"/>
          <w:b w:val="0"/>
          <w:bCs w:val="0"/>
          <w:i w:val="0"/>
          <w:iCs w:val="0"/>
          <w:caps w:val="0"/>
          <w:color w:val="auto"/>
          <w:spacing w:val="0"/>
          <w:sz w:val="32"/>
          <w:szCs w:val="32"/>
        </w:rPr>
        <w:t>总编制</w:t>
      </w:r>
      <w:r>
        <w:rPr>
          <w:rStyle w:val="22"/>
          <w:rFonts w:hint="eastAsia" w:ascii="仿宋_GB2312" w:hAnsi="宋体" w:eastAsia="仿宋_GB2312" w:cs="仿宋_GB2312"/>
          <w:b w:val="0"/>
          <w:bCs w:val="0"/>
          <w:i w:val="0"/>
          <w:iCs w:val="0"/>
          <w:caps w:val="0"/>
          <w:color w:val="auto"/>
          <w:spacing w:val="0"/>
          <w:sz w:val="32"/>
          <w:szCs w:val="32"/>
          <w:lang w:val="en-US" w:eastAsia="zh-CN"/>
        </w:rPr>
        <w:t>41</w:t>
      </w:r>
      <w:r>
        <w:rPr>
          <w:rStyle w:val="22"/>
          <w:rFonts w:hint="default" w:ascii="仿宋_GB2312" w:hAnsi="宋体" w:eastAsia="仿宋_GB2312" w:cs="仿宋_GB2312"/>
          <w:b w:val="0"/>
          <w:bCs w:val="0"/>
          <w:i w:val="0"/>
          <w:iCs w:val="0"/>
          <w:caps w:val="0"/>
          <w:color w:val="auto"/>
          <w:spacing w:val="0"/>
          <w:sz w:val="32"/>
          <w:szCs w:val="32"/>
        </w:rPr>
        <w:t>名，其中：行政编制</w:t>
      </w:r>
      <w:r>
        <w:rPr>
          <w:rStyle w:val="22"/>
          <w:rFonts w:hint="eastAsia" w:ascii="仿宋_GB2312" w:hAnsi="宋体" w:eastAsia="仿宋_GB2312" w:cs="仿宋_GB2312"/>
          <w:b w:val="0"/>
          <w:bCs w:val="0"/>
          <w:i w:val="0"/>
          <w:iCs w:val="0"/>
          <w:caps w:val="0"/>
          <w:color w:val="auto"/>
          <w:spacing w:val="0"/>
          <w:sz w:val="32"/>
          <w:szCs w:val="32"/>
          <w:lang w:val="en-US" w:eastAsia="zh-CN"/>
        </w:rPr>
        <w:t>20</w:t>
      </w:r>
      <w:r>
        <w:rPr>
          <w:rStyle w:val="22"/>
          <w:rFonts w:hint="default" w:ascii="仿宋_GB2312" w:hAnsi="宋体" w:eastAsia="仿宋_GB2312" w:cs="仿宋_GB2312"/>
          <w:b w:val="0"/>
          <w:bCs w:val="0"/>
          <w:i w:val="0"/>
          <w:iCs w:val="0"/>
          <w:caps w:val="0"/>
          <w:color w:val="auto"/>
          <w:spacing w:val="0"/>
          <w:sz w:val="32"/>
          <w:szCs w:val="32"/>
        </w:rPr>
        <w:t>名，工勤编制0名，事业编制</w:t>
      </w:r>
      <w:r>
        <w:rPr>
          <w:rStyle w:val="22"/>
          <w:rFonts w:hint="eastAsia" w:ascii="仿宋_GB2312" w:hAnsi="宋体" w:eastAsia="仿宋_GB2312" w:cs="仿宋_GB2312"/>
          <w:b w:val="0"/>
          <w:bCs w:val="0"/>
          <w:i w:val="0"/>
          <w:iCs w:val="0"/>
          <w:caps w:val="0"/>
          <w:color w:val="auto"/>
          <w:spacing w:val="0"/>
          <w:sz w:val="32"/>
          <w:szCs w:val="32"/>
          <w:lang w:val="en-US" w:eastAsia="zh-CN"/>
        </w:rPr>
        <w:t>21</w:t>
      </w:r>
      <w:r>
        <w:rPr>
          <w:rStyle w:val="22"/>
          <w:rFonts w:hint="default" w:ascii="仿宋_GB2312" w:hAnsi="宋体" w:eastAsia="仿宋_GB2312" w:cs="仿宋_GB2312"/>
          <w:b w:val="0"/>
          <w:bCs w:val="0"/>
          <w:i w:val="0"/>
          <w:iCs w:val="0"/>
          <w:caps w:val="0"/>
          <w:color w:val="auto"/>
          <w:spacing w:val="0"/>
          <w:sz w:val="32"/>
          <w:szCs w:val="32"/>
        </w:rPr>
        <w:t>名。在职人员总数</w:t>
      </w:r>
      <w:r>
        <w:rPr>
          <w:rStyle w:val="22"/>
          <w:rFonts w:hint="eastAsia" w:ascii="仿宋_GB2312" w:hAnsi="宋体" w:eastAsia="仿宋_GB2312" w:cs="仿宋_GB2312"/>
          <w:b w:val="0"/>
          <w:bCs w:val="0"/>
          <w:i w:val="0"/>
          <w:iCs w:val="0"/>
          <w:caps w:val="0"/>
          <w:color w:val="auto"/>
          <w:spacing w:val="0"/>
          <w:sz w:val="32"/>
          <w:szCs w:val="32"/>
          <w:lang w:val="en-US" w:eastAsia="zh-CN"/>
        </w:rPr>
        <w:t>35</w:t>
      </w:r>
      <w:r>
        <w:rPr>
          <w:rStyle w:val="22"/>
          <w:rFonts w:hint="default" w:ascii="仿宋_GB2312" w:hAnsi="宋体" w:eastAsia="仿宋_GB2312" w:cs="仿宋_GB2312"/>
          <w:b w:val="0"/>
          <w:bCs w:val="0"/>
          <w:i w:val="0"/>
          <w:iCs w:val="0"/>
          <w:caps w:val="0"/>
          <w:color w:val="auto"/>
          <w:spacing w:val="0"/>
          <w:sz w:val="32"/>
          <w:szCs w:val="32"/>
        </w:rPr>
        <w:t>名，其中：行政</w:t>
      </w:r>
      <w:r>
        <w:rPr>
          <w:rStyle w:val="22"/>
          <w:rFonts w:hint="eastAsia" w:ascii="仿宋_GB2312" w:hAnsi="宋体" w:eastAsia="仿宋_GB2312" w:cs="仿宋_GB2312"/>
          <w:b w:val="0"/>
          <w:bCs w:val="0"/>
          <w:i w:val="0"/>
          <w:iCs w:val="0"/>
          <w:caps w:val="0"/>
          <w:color w:val="auto"/>
          <w:spacing w:val="0"/>
          <w:sz w:val="32"/>
          <w:szCs w:val="32"/>
          <w:lang w:val="en-US" w:eastAsia="zh-CN"/>
        </w:rPr>
        <w:t>18</w:t>
      </w:r>
      <w:r>
        <w:rPr>
          <w:rStyle w:val="22"/>
          <w:rFonts w:hint="default" w:ascii="仿宋_GB2312" w:hAnsi="宋体" w:eastAsia="仿宋_GB2312" w:cs="仿宋_GB2312"/>
          <w:b w:val="0"/>
          <w:bCs w:val="0"/>
          <w:i w:val="0"/>
          <w:iCs w:val="0"/>
          <w:caps w:val="0"/>
          <w:color w:val="auto"/>
          <w:spacing w:val="0"/>
          <w:sz w:val="32"/>
          <w:szCs w:val="32"/>
        </w:rPr>
        <w:t>名，工勤</w:t>
      </w:r>
      <w:r>
        <w:rPr>
          <w:rStyle w:val="22"/>
          <w:rFonts w:hint="eastAsia" w:ascii="仿宋_GB2312" w:hAnsi="宋体" w:eastAsia="仿宋_GB2312" w:cs="仿宋_GB2312"/>
          <w:b w:val="0"/>
          <w:bCs w:val="0"/>
          <w:i w:val="0"/>
          <w:iCs w:val="0"/>
          <w:caps w:val="0"/>
          <w:color w:val="auto"/>
          <w:spacing w:val="0"/>
          <w:sz w:val="32"/>
          <w:szCs w:val="32"/>
          <w:lang w:val="en-US" w:eastAsia="zh-CN"/>
        </w:rPr>
        <w:t>0</w:t>
      </w:r>
      <w:r>
        <w:rPr>
          <w:rStyle w:val="22"/>
          <w:rFonts w:hint="default" w:ascii="仿宋_GB2312" w:hAnsi="宋体" w:eastAsia="仿宋_GB2312" w:cs="仿宋_GB2312"/>
          <w:b w:val="0"/>
          <w:bCs w:val="0"/>
          <w:i w:val="0"/>
          <w:iCs w:val="0"/>
          <w:caps w:val="0"/>
          <w:color w:val="auto"/>
          <w:spacing w:val="0"/>
          <w:sz w:val="32"/>
          <w:szCs w:val="32"/>
        </w:rPr>
        <w:t>名，事业</w:t>
      </w:r>
      <w:r>
        <w:rPr>
          <w:rStyle w:val="22"/>
          <w:rFonts w:hint="eastAsia" w:ascii="仿宋_GB2312" w:hAnsi="宋体" w:eastAsia="仿宋_GB2312" w:cs="仿宋_GB2312"/>
          <w:b w:val="0"/>
          <w:bCs w:val="0"/>
          <w:i w:val="0"/>
          <w:iCs w:val="0"/>
          <w:caps w:val="0"/>
          <w:color w:val="auto"/>
          <w:spacing w:val="0"/>
          <w:sz w:val="32"/>
          <w:szCs w:val="32"/>
          <w:lang w:val="en-US" w:eastAsia="zh-CN"/>
        </w:rPr>
        <w:t>17</w:t>
      </w:r>
      <w:r>
        <w:rPr>
          <w:rStyle w:val="22"/>
          <w:rFonts w:hint="default" w:ascii="仿宋_GB2312" w:hAnsi="宋体" w:eastAsia="仿宋_GB2312" w:cs="仿宋_GB2312"/>
          <w:b w:val="0"/>
          <w:bCs w:val="0"/>
          <w:i w:val="0"/>
          <w:iCs w:val="0"/>
          <w:caps w:val="0"/>
          <w:color w:val="auto"/>
          <w:spacing w:val="0"/>
          <w:sz w:val="32"/>
          <w:szCs w:val="32"/>
        </w:rPr>
        <w:t>名。离休0名。</w:t>
      </w:r>
    </w:p>
    <w:p w14:paraId="1953432D">
      <w:pPr>
        <w:widowControl/>
        <w:numPr>
          <w:ilvl w:val="0"/>
          <w:numId w:val="1"/>
        </w:numPr>
        <w:adjustRightInd w:val="0"/>
        <w:snapToGrid w:val="0"/>
        <w:spacing w:line="580" w:lineRule="exact"/>
        <w:ind w:left="0" w:leftChars="0" w:firstLine="640" w:firstLineChars="200"/>
        <w:contextualSpacing/>
        <w:jc w:val="left"/>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pPr>
      <w:r>
        <w:rPr>
          <w:rFonts w:hint="eastAsia" w:ascii="楷体_GB2312" w:hAnsi="宋体" w:eastAsia="楷体_GB2312" w:cs="宋体"/>
          <w:color w:val="000000"/>
          <w:kern w:val="0"/>
          <w:sz w:val="32"/>
          <w:szCs w:val="32"/>
          <w:shd w:val="clear" w:color="auto" w:fill="FFFFFF"/>
          <w:lang w:val="zh-CN"/>
        </w:rPr>
        <w:t>年度主要工作任务</w:t>
      </w:r>
    </w:p>
    <w:p w14:paraId="7B6BFEDC">
      <w:pPr>
        <w:widowControl/>
        <w:numPr>
          <w:ilvl w:val="0"/>
          <w:numId w:val="0"/>
        </w:numPr>
        <w:adjustRightInd w:val="0"/>
        <w:snapToGrid w:val="0"/>
        <w:spacing w:line="580" w:lineRule="exact"/>
        <w:ind w:firstLine="640" w:firstLineChars="200"/>
        <w:contextualSpacing/>
        <w:jc w:val="left"/>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pPr>
      <w:r>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t>过去一年，我们坚定以习近平新时代中国特色社会主义思想为指导，深入学习贯彻落实党的二十届三中全会精神，认真贯彻落实县委九届八次九次全会精神，在镇党委正确领导下，更好统筹发展和安全，团结全镇各族干部群众砥砺奋进、攻坚克难，镇域经济社会发展取得了新进展，收获了四川省第三批省级便民服务中心、乐山市深化“天府科技云”服务工作成效突出基层单位、乐山市“嘉州微创园”等殊荣，赶超发展的基础更加殷实，更加坚定了我们在新时代新征程大迈步赶超发展的决心和信心。</w:t>
      </w:r>
    </w:p>
    <w:p w14:paraId="6EDAECA2">
      <w:pPr>
        <w:widowControl/>
        <w:numPr>
          <w:ilvl w:val="0"/>
          <w:numId w:val="0"/>
        </w:numPr>
        <w:adjustRightInd w:val="0"/>
        <w:snapToGrid w:val="0"/>
        <w:spacing w:line="580" w:lineRule="exact"/>
        <w:ind w:firstLine="640" w:firstLineChars="200"/>
        <w:contextualSpacing/>
        <w:jc w:val="left"/>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pPr>
      <w:r>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t>1.脱贫攻坚成果得到巩固拓展。全面巩固拓展脱贫攻坚成果，接续奋斗乡村振兴，加强监测帮扶，严格落实“五方会审”，新增监测帮扶2户5人，达标消除监测户7户28人，动态增减人员94人。加强就业帮扶，转移输出劳动力800余人，公益性岗位安置152个，“雨露计划＋”就业10人，兑现就业交通补贴36万元，50个残疾人家庭实现居家灵活就业。加强产业帮扶，因人因户发展到户产业，兑现到户产业奖补资金246万元，蔬菜大棚发放灵活就业务工费40余万元。加强基础帮扶，落实“先诊疗、后付费”68人，争取社会资本安装村级道路太阳能路灯81盏，动态消除三保障和饮水安全风险，脱贫成效越来越凸显。</w:t>
      </w:r>
    </w:p>
    <w:p w14:paraId="431C38EE">
      <w:pPr>
        <w:widowControl/>
        <w:numPr>
          <w:ilvl w:val="0"/>
          <w:numId w:val="0"/>
        </w:numPr>
        <w:adjustRightInd w:val="0"/>
        <w:snapToGrid w:val="0"/>
        <w:spacing w:line="580" w:lineRule="exact"/>
        <w:ind w:firstLine="640" w:firstLineChars="200"/>
        <w:contextualSpacing/>
        <w:jc w:val="left"/>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pPr>
      <w:r>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t>2.特色产业发展量质齐驱。大力发展特色优势产业，推动一二三产业融合发展，农业产业实现丰收，八月笋产量突破800吨，生猪、禽畜等稳定生产，50亩试种生姜效益明显，“粮渔”园区分拣中心和装卸平台、水肥一体化灌溉建成投用，粮食播种面积和产量双双实现增长。工业产业稳步发展，市场经营主体自主初加工、精深加工意愿更加强烈，酒坊、榨油坊、手工坊等精深加工作坊规范管理，“田间车间餐间”联系更加紧密。服务业提质发展，持续打造乡村特色美食品牌，红旗“脆臊面”“腊膀蹄”“鲜鱼汤”深受游客青睐，产业发展越来越兴旺。</w:t>
      </w:r>
    </w:p>
    <w:p w14:paraId="0B3C6239">
      <w:pPr>
        <w:widowControl/>
        <w:numPr>
          <w:ilvl w:val="0"/>
          <w:numId w:val="0"/>
        </w:numPr>
        <w:adjustRightInd w:val="0"/>
        <w:snapToGrid w:val="0"/>
        <w:spacing w:line="580" w:lineRule="exact"/>
        <w:ind w:firstLine="640" w:firstLineChars="200"/>
        <w:contextualSpacing/>
        <w:jc w:val="left"/>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pPr>
      <w:r>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t>3.群众生活迈向幸福美好。积极顺应群众美好生活向往，持续改善民生福祉，稳步改善人居环境，完成场镇至粮渔园区2公里道路沥青铺设，四坪村“人工湿地”建成投用，粮渔园区完成雨污分离，人居综合环境大幅改善。提升民生服务供给，办结四坪部分饮水管网提升、为觉部分生活污水管网提升等6件民生实事，举办“油菜花节”“我们的村晚”等系列文旅活动，倡导全民阅读，群众文娱生活获得感、幸福感明显增强。优化便民利企措施，主动联系和服务群众，招商引进喜玛高科公司入驻兴业，发放低保救助金98万元，提供严重困难残疾人托养服务30人次，“帮帮团”主动上门解决群众急难愁盼问题172个，群众生活越来越红火。</w:t>
      </w:r>
    </w:p>
    <w:p w14:paraId="623568FA">
      <w:pPr>
        <w:widowControl/>
        <w:numPr>
          <w:ilvl w:val="0"/>
          <w:numId w:val="0"/>
        </w:numPr>
        <w:adjustRightInd w:val="0"/>
        <w:snapToGrid w:val="0"/>
        <w:spacing w:line="580" w:lineRule="exact"/>
        <w:ind w:firstLine="640" w:firstLineChars="200"/>
        <w:contextualSpacing/>
        <w:jc w:val="left"/>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pPr>
      <w:r>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t>4.乡村治理共建共治共享。突出群众主体地位，积极构建完善自治、法治、德治相结合的乡村治理体系，创新乡村社会治理，落实“峨边汇治理”九条措施，“亲情工作法”持续巩固深化，“微网格”治理成效逐步显现，弘扬“六尺巷”传统美德促进邻里和睦谦让。化解调处矛盾纠纷，落实“八五”普法，分级分类化解了一批信访积案，成功调处矛盾纠纷52起，引领更多群众依法维权、依法解决矛盾纠纷，严厉打击盗采砂石资源等违法行为。积极发展基层民主，拓宽基层各类群体有序参与基层治理渠道，依法管理公共事务和公益事业，依法起诉清至食品厂维权，革新乡村不正之风，乡村治理越来越精细。</w:t>
      </w:r>
    </w:p>
    <w:p w14:paraId="4EAE14C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pPr>
      <w:r>
        <w:rPr>
          <w:rStyle w:val="22"/>
          <w:rFonts w:hint="eastAsia" w:ascii="仿宋_GB2312" w:hAnsi="宋体" w:eastAsia="仿宋_GB2312" w:cs="仿宋_GB2312"/>
          <w:b w:val="0"/>
          <w:bCs w:val="0"/>
          <w:i w:val="0"/>
          <w:iCs w:val="0"/>
          <w:caps w:val="0"/>
          <w:color w:val="auto"/>
          <w:spacing w:val="0"/>
          <w:kern w:val="2"/>
          <w:sz w:val="32"/>
          <w:szCs w:val="32"/>
          <w:lang w:val="en-US" w:eastAsia="zh-CN" w:bidi="ar-SA"/>
        </w:rPr>
        <w:t>5.安全风险有效防范化解。树牢底线思维和红线意识，全力防范化解各类安全风险，压紧压实各方安全责任，督促干部履行“三管三必须”责任，指导企业履行主体责任，提升从业人员履行个人安全责任能力，推动安全责任一线发力、终端见效。加强重点领域排查整治，加强有限空间作业、森林防灭火、自建房等重点领域安全治理，排查整治安全隐患22个。提升识灾避灾救灾能力，加强安全生产法律法规和应急避险能力宣传教育，开展应急演练10场次，增强群众个人安全防护意识，争取国债项目资金实施地灾搬迁107户，汛期果断转移安置受威胁群众268人次，未发生安全事故，安全基础越来越牢固。同时，保密、地方志、统计、老龄、慈善、气象、水文、红十字、工会、青年、妇女等事业取得了新进展。</w:t>
      </w:r>
    </w:p>
    <w:p w14:paraId="7F6F0D6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（四）部门整体支出绩效目标</w:t>
      </w:r>
    </w:p>
    <w:p w14:paraId="5FDACF0D">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保障镇机关运行，保障村干部缴纳养老保险、村组干部缴纳意外保险，保障为群众办实事、做好事、解难事等支出。</w:t>
      </w:r>
    </w:p>
    <w:p w14:paraId="4E2208AC">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598245CE">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（一）部门财政资金收入情况</w:t>
      </w:r>
    </w:p>
    <w:p w14:paraId="741FCC7C">
      <w:pPr>
        <w:pStyle w:val="2"/>
        <w:ind w:left="0" w:leftChars="0" w:firstLine="640" w:firstLineChars="200"/>
        <w:rPr>
          <w:lang w:val="zh-CN"/>
        </w:rPr>
      </w:pPr>
      <w:r>
        <w:rPr>
          <w:rFonts w:hint="eastAsia" w:ascii="仿宋_GB2312" w:hAnsi="仿宋_GB2312" w:eastAsia="仿宋_GB2312" w:cs="仿宋_GB2312"/>
          <w:kern w:val="2"/>
          <w:sz w:val="32"/>
          <w:szCs w:val="40"/>
          <w:lang w:val="en-US" w:eastAsia="zh-CN" w:bidi="ar-SA"/>
        </w:rPr>
        <w:t>2024年度财政拨款收入1156.58万元，其中：上年结转为0万元，一般公共预算拨款收入1109.64万元，政府性基金预算拨款收入46.94万元。</w:t>
      </w:r>
    </w:p>
    <w:p w14:paraId="1581DC8E">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部门财政资金支出情况</w:t>
      </w:r>
    </w:p>
    <w:p w14:paraId="3F36DC1D">
      <w:pPr>
        <w:pStyle w:val="2"/>
        <w:ind w:left="0" w:leftChars="0" w:firstLine="640" w:firstLineChars="200"/>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2024年度财政资金支出1156.58万元，其中：基本支出1019.55万元；项目支出137.03万元。</w:t>
      </w:r>
    </w:p>
    <w:p w14:paraId="64C7A94D">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部门财政资金结转结余情况</w:t>
      </w:r>
    </w:p>
    <w:p w14:paraId="548159E1">
      <w:pPr>
        <w:pStyle w:val="2"/>
        <w:ind w:left="0" w:leftChars="0" w:firstLine="640" w:firstLineChars="200"/>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2024年财政资金结转结余0万元。</w:t>
      </w:r>
    </w:p>
    <w:p w14:paraId="2645749A">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w:t>
      </w:r>
    </w:p>
    <w:p w14:paraId="37E3B99E">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5036C4E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楷体_GB2312" w:hAnsi="宋体" w:eastAsia="楷体_GB2312" w:cs="宋体"/>
          <w:color w:val="000000"/>
          <w:kern w:val="0"/>
          <w:szCs w:val="32"/>
          <w:shd w:val="clear" w:color="auto" w:fill="FFFFFF"/>
          <w:lang w:val="zh-CN"/>
        </w:rPr>
      </w:pPr>
      <w:r>
        <w:rPr>
          <w:rStyle w:val="22"/>
          <w:rFonts w:hint="eastAsia" w:ascii="仿宋_GB2312" w:eastAsia="仿宋_GB2312" w:cs="仿宋_GB2312"/>
          <w:b w:val="0"/>
          <w:bCs w:val="0"/>
          <w:i w:val="0"/>
          <w:iCs w:val="0"/>
          <w:caps w:val="0"/>
          <w:color w:val="000000"/>
          <w:spacing w:val="0"/>
          <w:sz w:val="32"/>
          <w:szCs w:val="32"/>
          <w:shd w:val="clear" w:fill="FFFFFF"/>
          <w:lang w:eastAsia="zh-CN"/>
        </w:rPr>
        <w:t>红旗镇</w:t>
      </w:r>
      <w:r>
        <w:rPr>
          <w:rStyle w:val="22"/>
          <w:rFonts w:hint="default" w:ascii="仿宋_GB2312" w:hAnsi="Times New Roman" w:eastAsia="仿宋_GB2312" w:cs="仿宋_GB2312"/>
          <w:b w:val="0"/>
          <w:bCs w:val="0"/>
          <w:i w:val="0"/>
          <w:iCs w:val="0"/>
          <w:caps w:val="0"/>
          <w:color w:val="000000"/>
          <w:spacing w:val="0"/>
          <w:sz w:val="32"/>
          <w:szCs w:val="32"/>
          <w:shd w:val="clear" w:fill="FFFFFF"/>
        </w:rPr>
        <w:t>人民政府绩效目标按要求向社会公开，部门整体绩效自评情况和自行组织的评价情况向社会公开，及时整改了绩效管理发现问题，向财政部门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w:t>
      </w:r>
      <w:r>
        <w:rPr>
          <w:rStyle w:val="22"/>
          <w:rFonts w:hint="eastAsia" w:ascii="仿宋_GB2312" w:eastAsia="仿宋_GB2312" w:cs="仿宋_GB2312"/>
          <w:b w:val="0"/>
          <w:bCs w:val="0"/>
          <w:i w:val="0"/>
          <w:iCs w:val="0"/>
          <w:caps w:val="0"/>
          <w:color w:val="000000"/>
          <w:spacing w:val="0"/>
          <w:sz w:val="32"/>
          <w:szCs w:val="32"/>
          <w:shd w:val="clear" w:fill="FFFFFF"/>
          <w:lang w:eastAsia="zh-CN"/>
        </w:rPr>
        <w:t>等</w:t>
      </w:r>
      <w:r>
        <w:rPr>
          <w:rStyle w:val="22"/>
          <w:rFonts w:hint="default" w:ascii="仿宋_GB2312" w:hAnsi="Times New Roman" w:eastAsia="仿宋_GB2312" w:cs="仿宋_GB2312"/>
          <w:b w:val="0"/>
          <w:bCs w:val="0"/>
          <w:i w:val="0"/>
          <w:iCs w:val="0"/>
          <w:caps w:val="0"/>
          <w:color w:val="000000"/>
          <w:spacing w:val="0"/>
          <w:sz w:val="32"/>
          <w:szCs w:val="32"/>
          <w:shd w:val="clear" w:fill="FFFFFF"/>
        </w:rPr>
        <w:t>各方面的良好评价。</w:t>
      </w:r>
    </w:p>
    <w:p w14:paraId="5663DFD6">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特定目标类项目绩效分析</w:t>
      </w:r>
    </w:p>
    <w:p w14:paraId="215F158D">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整体情况</w:t>
      </w:r>
    </w:p>
    <w:p w14:paraId="1F47E620">
      <w:pPr>
        <w:widowControl/>
        <w:adjustRightInd w:val="0"/>
        <w:snapToGrid w:val="0"/>
        <w:spacing w:line="580" w:lineRule="exact"/>
        <w:ind w:firstLine="640" w:firstLineChars="200"/>
        <w:contextualSpacing/>
        <w:jc w:val="left"/>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红旗镇项目具体为：乡镇交管办劝导员工资1.8万元；交通安全工作经费3万元；拖欠企业账款清偿项目35.6万元；2024年基层组织和农村公共服务运行费85.29万元</w:t>
      </w:r>
      <w:r>
        <w:rPr>
          <w:rStyle w:val="22"/>
          <w:rFonts w:hint="eastAsia" w:ascii="仿宋_GB2312" w:eastAsia="仿宋_GB2312" w:cs="仿宋_GB2312"/>
          <w:b w:val="0"/>
          <w:bCs w:val="0"/>
          <w:i w:val="0"/>
          <w:iCs w:val="0"/>
          <w:caps w:val="0"/>
          <w:color w:val="000000"/>
          <w:spacing w:val="0"/>
          <w:kern w:val="0"/>
          <w:sz w:val="32"/>
          <w:szCs w:val="32"/>
          <w:shd w:val="clear" w:fill="FFFFFF"/>
          <w:lang w:val="en-US" w:eastAsia="zh-CN" w:bidi="ar"/>
        </w:rPr>
        <w:t>；</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城乡融合重大项目前期工作经费11.34万元。</w:t>
      </w:r>
    </w:p>
    <w:p w14:paraId="3850372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2.100万以上项目：无。</w:t>
      </w:r>
    </w:p>
    <w:p w14:paraId="39AEB1BB">
      <w:pPr>
        <w:widowControl/>
        <w:numPr>
          <w:ilvl w:val="0"/>
          <w:numId w:val="3"/>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部门预算项目支出情况分析</w:t>
      </w:r>
    </w:p>
    <w:p w14:paraId="16BEFA8F">
      <w:pPr>
        <w:widowControl/>
        <w:adjustRightInd w:val="0"/>
        <w:snapToGrid w:val="0"/>
        <w:spacing w:line="580" w:lineRule="exact"/>
        <w:ind w:firstLine="640" w:firstLineChars="200"/>
        <w:contextualSpacing/>
        <w:jc w:val="left"/>
        <w:rPr>
          <w:rStyle w:val="22"/>
          <w:rFonts w:hint="default" w:ascii="仿宋_GB2312" w:hAnsi="Times New Roman" w:eastAsia="仿宋_GB2312" w:cs="仿宋_GB2312"/>
          <w:b w:val="0"/>
          <w:bCs w:val="0"/>
          <w:i w:val="0"/>
          <w:iCs w:val="0"/>
          <w:caps w:val="0"/>
          <w:color w:val="000000"/>
          <w:spacing w:val="0"/>
          <w:kern w:val="0"/>
          <w:sz w:val="30"/>
          <w:szCs w:val="30"/>
          <w:shd w:val="clear" w:fill="FFFFFF"/>
          <w:lang w:val="en-US" w:eastAsia="zh-CN" w:bidi="ar"/>
        </w:rPr>
      </w:pP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乡镇交管办劝导员补贴及乡镇交管办工作经费项目，红旗镇共计预算1.8万</w:t>
      </w:r>
      <w:r>
        <w:rPr>
          <w:rStyle w:val="22"/>
          <w:rFonts w:hint="eastAsia" w:ascii="仿宋_GB2312" w:hAnsi="Times New Roman" w:eastAsia="仿宋_GB2312" w:cs="仿宋_GB2312"/>
          <w:b w:val="0"/>
          <w:bCs w:val="0"/>
          <w:i w:val="0"/>
          <w:iCs w:val="0"/>
          <w:caps w:val="0"/>
          <w:color w:val="000000"/>
          <w:spacing w:val="0"/>
          <w:kern w:val="0"/>
          <w:sz w:val="30"/>
          <w:szCs w:val="30"/>
          <w:shd w:val="clear" w:fill="FFFFFF"/>
          <w:lang w:val="zh-CN" w:eastAsia="zh-CN" w:bidi="ar"/>
        </w:rPr>
        <w:t>元，实际支付1.8万元，预算执行率</w:t>
      </w:r>
      <w:r>
        <w:rPr>
          <w:rStyle w:val="22"/>
          <w:rFonts w:hint="eastAsia" w:ascii="仿宋_GB2312" w:hAnsi="Times New Roman" w:eastAsia="仿宋_GB2312" w:cs="仿宋_GB2312"/>
          <w:b w:val="0"/>
          <w:bCs w:val="0"/>
          <w:i w:val="0"/>
          <w:iCs w:val="0"/>
          <w:caps w:val="0"/>
          <w:color w:val="000000"/>
          <w:spacing w:val="0"/>
          <w:kern w:val="0"/>
          <w:sz w:val="30"/>
          <w:szCs w:val="30"/>
          <w:shd w:val="clear" w:fill="FFFFFF"/>
          <w:lang w:val="en-US" w:eastAsia="zh-CN" w:bidi="ar"/>
        </w:rPr>
        <w:t>100%。</w:t>
      </w:r>
    </w:p>
    <w:p w14:paraId="5805D388">
      <w:pPr>
        <w:widowControl/>
        <w:adjustRightInd w:val="0"/>
        <w:snapToGrid w:val="0"/>
        <w:spacing w:line="580" w:lineRule="exact"/>
        <w:ind w:firstLine="640" w:firstLineChars="200"/>
        <w:contextualSpacing/>
        <w:jc w:val="left"/>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pP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2.交通安全工作经费红旗镇</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共计预算</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万元，实际支付</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万元，预算执行率</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p>
    <w:p w14:paraId="7711410F">
      <w:pPr>
        <w:widowControl/>
        <w:adjustRightInd w:val="0"/>
        <w:snapToGrid w:val="0"/>
        <w:spacing w:line="580" w:lineRule="exact"/>
        <w:ind w:firstLine="640" w:firstLineChars="200"/>
        <w:contextualSpacing/>
        <w:jc w:val="left"/>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3.拖欠企业账款清偿项目红旗镇共计预算35.6万元，实际支付35.6万元</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，预算执行率</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p>
    <w:p w14:paraId="07034EEA">
      <w:pPr>
        <w:widowControl/>
        <w:adjustRightInd w:val="0"/>
        <w:snapToGrid w:val="0"/>
        <w:spacing w:line="580" w:lineRule="exact"/>
        <w:ind w:firstLine="640" w:firstLineChars="200"/>
        <w:contextualSpacing/>
        <w:jc w:val="left"/>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4.2024年基层组织和农村公共服务运行费红旗旗共计预算85.29万元，实际支付85.29万元</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，预算执行率</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p>
    <w:p w14:paraId="0CF642DE">
      <w:pPr>
        <w:widowControl/>
        <w:numPr>
          <w:ilvl w:val="0"/>
          <w:numId w:val="0"/>
        </w:numPr>
        <w:adjustRightInd w:val="0"/>
        <w:snapToGrid w:val="0"/>
        <w:spacing w:line="580" w:lineRule="exact"/>
        <w:ind w:firstLine="640" w:firstLineChars="200"/>
        <w:contextualSpacing/>
        <w:jc w:val="left"/>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Style w:val="22"/>
          <w:rFonts w:hint="eastAsia" w:ascii="仿宋_GB2312" w:eastAsia="仿宋_GB2312" w:cs="仿宋_GB2312"/>
          <w:b w:val="0"/>
          <w:bCs w:val="0"/>
          <w:i w:val="0"/>
          <w:iCs w:val="0"/>
          <w:caps w:val="0"/>
          <w:color w:val="000000"/>
          <w:spacing w:val="0"/>
          <w:kern w:val="0"/>
          <w:sz w:val="32"/>
          <w:szCs w:val="32"/>
          <w:shd w:val="clear" w:fill="FFFFFF"/>
          <w:lang w:val="en-US" w:eastAsia="zh-CN" w:bidi="ar"/>
        </w:rPr>
        <w:t>5.</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城乡融合重大项目前期工作经费红旗镇共计预算11.34万元，实际支付11.34万元</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，预算执行率</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p>
    <w:p w14:paraId="3474114E">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（四）结果应用情况</w:t>
      </w:r>
    </w:p>
    <w:p w14:paraId="7B37954C">
      <w:pPr>
        <w:pStyle w:val="2"/>
        <w:ind w:left="0" w:leftChars="0" w:firstLine="640" w:firstLineChars="200"/>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pP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预算执行情况为</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，较好地完成了</w:t>
      </w:r>
      <w:r>
        <w:rPr>
          <w:rStyle w:val="22"/>
          <w:rFonts w:hint="eastAsia" w:ascii="仿宋_GB2312" w:eastAsia="仿宋_GB2312" w:cs="仿宋_GB2312"/>
          <w:b w:val="0"/>
          <w:bCs w:val="0"/>
          <w:i w:val="0"/>
          <w:iCs w:val="0"/>
          <w:caps w:val="0"/>
          <w:color w:val="000000"/>
          <w:spacing w:val="0"/>
          <w:kern w:val="0"/>
          <w:sz w:val="32"/>
          <w:szCs w:val="32"/>
          <w:shd w:val="clear" w:fill="FFFFFF"/>
          <w:lang w:val="zh-CN" w:eastAsia="zh-CN" w:bidi="ar"/>
        </w:rPr>
        <w:t>县委、县政府</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下达的目标任务，部门支出自评质量高，绩效目标及时公开，社会反映良好。</w:t>
      </w:r>
    </w:p>
    <w:p w14:paraId="6E67CB97">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lang w:eastAsia="zh-CN"/>
        </w:rPr>
        <w:t>五</w:t>
      </w:r>
      <w:r>
        <w:rPr>
          <w:rFonts w:hint="eastAsia" w:ascii="黑体" w:hAnsi="黑体" w:eastAsia="黑体" w:cs="宋体"/>
          <w:color w:val="000000"/>
          <w:kern w:val="0"/>
          <w:sz w:val="32"/>
          <w:szCs w:val="32"/>
          <w:shd w:val="clear" w:color="auto" w:fill="FFFFFF"/>
        </w:rPr>
        <w:t>、评价结论及建议</w:t>
      </w:r>
    </w:p>
    <w:p w14:paraId="4927E959">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14:paraId="647C9088">
      <w:pPr>
        <w:widowControl/>
        <w:adjustRightInd w:val="0"/>
        <w:snapToGrid w:val="0"/>
        <w:spacing w:line="580" w:lineRule="exact"/>
        <w:ind w:firstLine="640" w:firstLineChars="200"/>
        <w:contextualSpacing/>
        <w:jc w:val="left"/>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pP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根据《峨边彝族自治县财政局关于开展202</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年部门整体、项目和政策支出绩效评价工作的通知</w:t>
      </w:r>
      <w:r>
        <w:rPr>
          <w:rStyle w:val="22"/>
          <w:rFonts w:hint="default" w:ascii="仿宋_GB2312" w:hAnsi="Times New Roman" w:eastAsia="仿宋_GB2312" w:cs="仿宋_GB2312"/>
          <w:b w:val="0"/>
          <w:bCs w:val="0"/>
          <w:i w:val="0"/>
          <w:iCs w:val="0"/>
          <w:caps w:val="0"/>
          <w:color w:val="000000"/>
          <w:spacing w:val="0"/>
          <w:kern w:val="0"/>
          <w:sz w:val="32"/>
          <w:szCs w:val="32"/>
          <w:shd w:val="clear" w:fill="FFFFFF"/>
          <w:lang w:val="zh-CN" w:eastAsia="zh-CN" w:bidi="ar"/>
        </w:rPr>
        <w:t>》文件精神，</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红旗</w:t>
      </w:r>
      <w:r>
        <w:rPr>
          <w:rStyle w:val="22"/>
          <w:rFonts w:hint="eastAsia" w:ascii="仿宋_GB2312" w:eastAsia="仿宋_GB2312" w:cs="仿宋_GB2312"/>
          <w:b w:val="0"/>
          <w:bCs w:val="0"/>
          <w:i w:val="0"/>
          <w:iCs w:val="0"/>
          <w:caps w:val="0"/>
          <w:color w:val="000000"/>
          <w:spacing w:val="0"/>
          <w:kern w:val="0"/>
          <w:sz w:val="32"/>
          <w:szCs w:val="32"/>
          <w:shd w:val="clear" w:fill="FFFFFF"/>
          <w:lang w:val="zh-CN" w:eastAsia="zh-CN" w:bidi="ar"/>
        </w:rPr>
        <w:t>镇</w:t>
      </w:r>
      <w:r>
        <w:rPr>
          <w:rStyle w:val="22"/>
          <w:rFonts w:hint="default" w:ascii="仿宋_GB2312" w:hAnsi="Times New Roman" w:eastAsia="仿宋_GB2312" w:cs="仿宋_GB2312"/>
          <w:b w:val="0"/>
          <w:bCs w:val="0"/>
          <w:i w:val="0"/>
          <w:iCs w:val="0"/>
          <w:caps w:val="0"/>
          <w:color w:val="000000"/>
          <w:spacing w:val="0"/>
          <w:kern w:val="0"/>
          <w:sz w:val="32"/>
          <w:szCs w:val="32"/>
          <w:shd w:val="clear" w:fill="FFFFFF"/>
          <w:lang w:val="zh-CN" w:eastAsia="zh-CN" w:bidi="ar"/>
        </w:rPr>
        <w:t>人民政府认真组织开展了部门整体支出绩效评价工作，绩效评价得分：</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97</w:t>
      </w:r>
      <w:r>
        <w:rPr>
          <w:rStyle w:val="22"/>
          <w:rFonts w:hint="default" w:ascii="仿宋_GB2312" w:hAnsi="Times New Roman" w:eastAsia="仿宋_GB2312" w:cs="仿宋_GB2312"/>
          <w:b w:val="0"/>
          <w:bCs w:val="0"/>
          <w:i w:val="0"/>
          <w:iCs w:val="0"/>
          <w:caps w:val="0"/>
          <w:color w:val="000000"/>
          <w:spacing w:val="0"/>
          <w:kern w:val="0"/>
          <w:sz w:val="32"/>
          <w:szCs w:val="32"/>
          <w:shd w:val="clear" w:fill="FFFFFF"/>
          <w:lang w:val="zh-CN" w:eastAsia="zh-CN" w:bidi="ar"/>
        </w:rPr>
        <w:t>分。</w:t>
      </w:r>
    </w:p>
    <w:p w14:paraId="30E95EB2">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（二）存在问题</w:t>
      </w:r>
    </w:p>
    <w:p w14:paraId="0A00B736">
      <w:pPr>
        <w:widowControl/>
        <w:numPr>
          <w:ilvl w:val="0"/>
          <w:numId w:val="0"/>
        </w:numPr>
        <w:adjustRightInd w:val="0"/>
        <w:snapToGrid w:val="0"/>
        <w:spacing w:line="580" w:lineRule="exact"/>
        <w:ind w:firstLine="640" w:firstLineChars="200"/>
        <w:contextualSpacing/>
        <w:jc w:val="left"/>
        <w:rPr>
          <w:lang w:val="zh-CN"/>
        </w:rPr>
      </w:pPr>
      <w:r>
        <w:rPr>
          <w:rStyle w:val="22"/>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t>在资金管理过程中，还存在部分</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村级</w:t>
      </w:r>
      <w:r>
        <w:rPr>
          <w:rStyle w:val="22"/>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t>财务管理制度</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还</w:t>
      </w:r>
      <w:r>
        <w:rPr>
          <w:rStyle w:val="22"/>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t>不够健全，财务人员业务水平还需</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提升</w:t>
      </w:r>
      <w:r>
        <w:rPr>
          <w:rStyle w:val="22"/>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t>等问题。</w:t>
      </w:r>
    </w:p>
    <w:p w14:paraId="5FEF2EAC">
      <w:pPr>
        <w:widowControl/>
        <w:numPr>
          <w:ilvl w:val="0"/>
          <w:numId w:val="0"/>
        </w:numPr>
        <w:adjustRightInd w:val="0"/>
        <w:snapToGrid w:val="0"/>
        <w:spacing w:line="580" w:lineRule="exact"/>
        <w:ind w:leftChars="200" w:firstLine="320" w:firstLineChars="1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（三）改进建议</w:t>
      </w:r>
    </w:p>
    <w:p w14:paraId="38E12F4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333333"/>
          <w:spacing w:val="0"/>
          <w:sz w:val="32"/>
          <w:szCs w:val="32"/>
        </w:rPr>
      </w:pPr>
      <w:r>
        <w:rPr>
          <w:rStyle w:val="22"/>
          <w:rFonts w:ascii="仿宋_GB2312" w:hAnsi="Times New Roman" w:eastAsia="仿宋_GB2312" w:cs="仿宋_GB2312"/>
          <w:b w:val="0"/>
          <w:bCs w:val="0"/>
          <w:i w:val="0"/>
          <w:iCs w:val="0"/>
          <w:caps w:val="0"/>
          <w:color w:val="000000"/>
          <w:spacing w:val="0"/>
          <w:sz w:val="32"/>
          <w:szCs w:val="32"/>
          <w:shd w:val="clear" w:fill="FFFFFF"/>
        </w:rPr>
        <w:t>1.</w:t>
      </w:r>
      <w:r>
        <w:rPr>
          <w:rStyle w:val="22"/>
          <w:rFonts w:hint="default" w:ascii="仿宋_GB2312" w:hAnsi="Times New Roman" w:eastAsia="仿宋_GB2312" w:cs="仿宋_GB2312"/>
          <w:b w:val="0"/>
          <w:bCs w:val="0"/>
          <w:i w:val="0"/>
          <w:iCs w:val="0"/>
          <w:caps w:val="0"/>
          <w:color w:val="000000"/>
          <w:spacing w:val="0"/>
          <w:sz w:val="32"/>
          <w:szCs w:val="32"/>
          <w:shd w:val="clear" w:fill="FFFFFF"/>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5211D5E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333333"/>
          <w:spacing w:val="0"/>
          <w:sz w:val="32"/>
          <w:szCs w:val="32"/>
        </w:rPr>
      </w:pPr>
      <w:r>
        <w:rPr>
          <w:rStyle w:val="22"/>
          <w:rFonts w:hint="default" w:ascii="仿宋_GB2312" w:hAnsi="Times New Roman" w:eastAsia="仿宋_GB2312" w:cs="仿宋_GB2312"/>
          <w:b w:val="0"/>
          <w:bCs w:val="0"/>
          <w:i w:val="0"/>
          <w:iCs w:val="0"/>
          <w:caps w:val="0"/>
          <w:color w:val="000000"/>
          <w:spacing w:val="0"/>
          <w:sz w:val="32"/>
          <w:szCs w:val="32"/>
          <w:shd w:val="clear" w:fill="FFFFFF"/>
        </w:rPr>
        <w:t>2</w:t>
      </w:r>
      <w:r>
        <w:rPr>
          <w:rStyle w:val="22"/>
          <w:rFonts w:hint="eastAsia" w:ascii="仿宋_GB2312" w:eastAsia="仿宋_GB2312" w:cs="仿宋_GB2312"/>
          <w:b w:val="0"/>
          <w:bCs w:val="0"/>
          <w:i w:val="0"/>
          <w:iCs w:val="0"/>
          <w:caps w:val="0"/>
          <w:color w:val="000000"/>
          <w:spacing w:val="0"/>
          <w:sz w:val="32"/>
          <w:szCs w:val="32"/>
          <w:shd w:val="clear" w:fill="FFFFFF"/>
          <w:lang w:eastAsia="zh-CN"/>
        </w:rPr>
        <w:t>.</w:t>
      </w:r>
      <w:r>
        <w:rPr>
          <w:rStyle w:val="22"/>
          <w:rFonts w:hint="default" w:ascii="仿宋_GB2312" w:hAnsi="Times New Roman" w:eastAsia="仿宋_GB2312" w:cs="仿宋_GB2312"/>
          <w:b w:val="0"/>
          <w:bCs w:val="0"/>
          <w:i w:val="0"/>
          <w:iCs w:val="0"/>
          <w:caps w:val="0"/>
          <w:color w:val="000000"/>
          <w:spacing w:val="0"/>
          <w:sz w:val="32"/>
          <w:szCs w:val="32"/>
          <w:shd w:val="clear" w:fill="FFFFFF"/>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1CC286A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lang w:val="zh-CN"/>
        </w:rPr>
      </w:pPr>
      <w:r>
        <w:rPr>
          <w:rStyle w:val="22"/>
          <w:rFonts w:hint="default" w:ascii="仿宋_GB2312" w:hAnsi="Times New Roman" w:eastAsia="仿宋_GB2312" w:cs="仿宋_GB2312"/>
          <w:b w:val="0"/>
          <w:bCs w:val="0"/>
          <w:i w:val="0"/>
          <w:iCs w:val="0"/>
          <w:caps w:val="0"/>
          <w:color w:val="000000"/>
          <w:spacing w:val="0"/>
          <w:sz w:val="32"/>
          <w:szCs w:val="32"/>
          <w:shd w:val="clear" w:fill="FFFFFF"/>
        </w:rPr>
        <w:t>3</w:t>
      </w:r>
      <w:r>
        <w:rPr>
          <w:rStyle w:val="22"/>
          <w:rFonts w:hint="eastAsia" w:ascii="仿宋_GB2312" w:eastAsia="仿宋_GB2312" w:cs="仿宋_GB2312"/>
          <w:b w:val="0"/>
          <w:bCs w:val="0"/>
          <w:i w:val="0"/>
          <w:iCs w:val="0"/>
          <w:caps w:val="0"/>
          <w:color w:val="000000"/>
          <w:spacing w:val="0"/>
          <w:sz w:val="32"/>
          <w:szCs w:val="32"/>
          <w:shd w:val="clear" w:fill="FFFFFF"/>
          <w:lang w:eastAsia="zh-CN"/>
        </w:rPr>
        <w:t>.</w:t>
      </w:r>
      <w:r>
        <w:rPr>
          <w:rStyle w:val="22"/>
          <w:rFonts w:hint="default" w:ascii="仿宋_GB2312" w:hAnsi="Times New Roman" w:eastAsia="仿宋_GB2312" w:cs="仿宋_GB2312"/>
          <w:b w:val="0"/>
          <w:bCs w:val="0"/>
          <w:i w:val="0"/>
          <w:iCs w:val="0"/>
          <w:caps w:val="0"/>
          <w:color w:val="000000"/>
          <w:spacing w:val="0"/>
          <w:sz w:val="32"/>
          <w:szCs w:val="32"/>
          <w:shd w:val="clear" w:fill="FFFFFF"/>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w:t>
      </w:r>
      <w:r>
        <w:rPr>
          <w:rStyle w:val="22"/>
          <w:rFonts w:hint="eastAsia" w:ascii="仿宋_GB2312" w:eastAsia="仿宋_GB2312" w:cs="仿宋_GB2312"/>
          <w:b w:val="0"/>
          <w:bCs w:val="0"/>
          <w:i w:val="0"/>
          <w:iCs w:val="0"/>
          <w:caps w:val="0"/>
          <w:color w:val="000000"/>
          <w:spacing w:val="0"/>
          <w:sz w:val="32"/>
          <w:szCs w:val="32"/>
          <w:shd w:val="clear" w:fill="FFFFFF"/>
          <w:lang w:eastAsia="zh-CN"/>
        </w:rPr>
        <w:t>，全面严肃财经纪律，坚决过紧日子，把钱用在刀刃上、用在关键处。</w:t>
      </w:r>
    </w:p>
    <w:p w14:paraId="1A335390">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0690FD6">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0F499F4A">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04C2FC0">
      <w:pPr>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object>
          <v:shape id="_x0000_i1025" o:spt="75" type="#_x0000_t75" style="height:382.4pt;width:415.15pt;" o:ole="t" filled="f" o:preferrelative="t" stroked="f" coordsize="21600,21600">
            <v:path/>
            <v:fill on="f" focussize="0,0"/>
            <v:stroke on="f"/>
            <v:imagedata r:id="rId15" o:title=""/>
            <o:lock v:ext="edit" aspectratio="f"/>
            <w10:wrap type="none"/>
            <w10:anchorlock/>
          </v:shape>
          <o:OLEObject Type="Embed" ProgID="Excel.Sheet.12" ShapeID="_x0000_i1025" DrawAspect="Content" ObjectID="_1468075725" r:id="rId14">
            <o:LockedField>false</o:LockedField>
          </o:OLEObject>
        </w:object>
      </w:r>
    </w:p>
    <w:p w14:paraId="48EE864A">
      <w:pPr>
        <w:pStyle w:val="2"/>
        <w:rPr>
          <w:rFonts w:hint="eastAsia" w:ascii="仿宋_GB2312" w:hAnsi="Calibri" w:eastAsia="仿宋_GB2312" w:cs="仿宋"/>
          <w:color w:val="auto"/>
          <w:kern w:val="0"/>
          <w:sz w:val="32"/>
          <w:szCs w:val="32"/>
          <w:highlight w:val="none"/>
          <w:lang w:val="en-US" w:eastAsia="zh-CN" w:bidi="ar-SA"/>
        </w:rPr>
      </w:pPr>
    </w:p>
    <w:p w14:paraId="7C11E115">
      <w:pPr>
        <w:rPr>
          <w:rFonts w:hint="eastAsia" w:ascii="仿宋_GB2312" w:hAnsi="Calibri" w:eastAsia="仿宋_GB2312" w:cs="仿宋"/>
          <w:color w:val="auto"/>
          <w:kern w:val="0"/>
          <w:sz w:val="32"/>
          <w:szCs w:val="32"/>
          <w:highlight w:val="none"/>
          <w:lang w:val="en-US" w:eastAsia="zh-CN" w:bidi="ar-SA"/>
        </w:rPr>
      </w:pPr>
    </w:p>
    <w:p w14:paraId="3D0151F0">
      <w:pPr>
        <w:pStyle w:val="2"/>
        <w:rPr>
          <w:rFonts w:hint="eastAsia" w:ascii="仿宋_GB2312" w:hAnsi="Calibri" w:eastAsia="仿宋_GB2312" w:cs="仿宋"/>
          <w:color w:val="auto"/>
          <w:kern w:val="0"/>
          <w:sz w:val="32"/>
          <w:szCs w:val="32"/>
          <w:highlight w:val="none"/>
          <w:lang w:val="en-US" w:eastAsia="zh-CN" w:bidi="ar-SA"/>
        </w:rPr>
      </w:pPr>
    </w:p>
    <w:p w14:paraId="0C5B82AF">
      <w:pPr>
        <w:rPr>
          <w:rFonts w:hint="eastAsia" w:ascii="仿宋_GB2312" w:hAnsi="Calibri" w:eastAsia="仿宋_GB2312" w:cs="仿宋"/>
          <w:color w:val="auto"/>
          <w:kern w:val="0"/>
          <w:sz w:val="32"/>
          <w:szCs w:val="32"/>
          <w:highlight w:val="none"/>
          <w:lang w:val="en-US" w:eastAsia="zh-CN" w:bidi="ar-SA"/>
        </w:rPr>
      </w:pPr>
    </w:p>
    <w:p w14:paraId="27DCD825">
      <w:pPr>
        <w:pStyle w:val="2"/>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object>
          <v:shape id="_x0000_i1026" o:spt="75" type="#_x0000_t75" style="height:318.75pt;width:415.15pt;" o:ole="t" filled="f" o:preferrelative="t" stroked="f" coordsize="21600,21600">
            <v:path/>
            <v:fill on="f" focussize="0,0"/>
            <v:stroke on="f"/>
            <v:imagedata r:id="rId17" o:title=""/>
            <o:lock v:ext="edit" aspectratio="f"/>
            <w10:wrap type="none"/>
            <w10:anchorlock/>
          </v:shape>
          <o:OLEObject Type="Embed" ProgID="Excel.Sheet.12" ShapeID="_x0000_i1026" DrawAspect="Content" ObjectID="_1468075726" r:id="rId16">
            <o:LockedField>false</o:LockedField>
          </o:OLEObject>
        </w:object>
      </w:r>
      <w:r>
        <w:rPr>
          <w:rFonts w:hint="eastAsia" w:ascii="黑体" w:hAnsi="黑体" w:eastAsia="黑体"/>
          <w:color w:val="auto"/>
          <w:sz w:val="44"/>
          <w:szCs w:val="44"/>
          <w:highlight w:val="none"/>
        </w:rPr>
        <w:object>
          <v:shape id="_x0000_i1027" o:spt="75" type="#_x0000_t75" style="height:305.1pt;width:415.15pt;" o:ole="t" filled="f" o:preferrelative="t" stroked="f" coordsize="21600,21600">
            <v:path/>
            <v:fill on="f" focussize="0,0"/>
            <v:stroke on="f"/>
            <v:imagedata r:id="rId19" o:title=""/>
            <o:lock v:ext="edit" aspectratio="f"/>
            <w10:wrap type="none"/>
            <w10:anchorlock/>
          </v:shape>
          <o:OLEObject Type="Embed" ProgID="Excel.Sheet.12" ShapeID="_x0000_i1027" DrawAspect="Content" ObjectID="_1468075727" r:id="rId18">
            <o:LockedField>false</o:LockedField>
          </o:OLEObject>
        </w:object>
      </w:r>
    </w:p>
    <w:p w14:paraId="6EA3F046">
      <w:pPr>
        <w:rPr>
          <w:rFonts w:hint="eastAsia" w:ascii="仿宋_GB2312" w:hAnsi="Calibri" w:eastAsia="仿宋_GB2312" w:cs="仿宋"/>
          <w:color w:val="auto"/>
          <w:kern w:val="0"/>
          <w:sz w:val="32"/>
          <w:szCs w:val="32"/>
          <w:highlight w:val="none"/>
          <w:lang w:val="en-US" w:eastAsia="zh-CN" w:bidi="ar-SA"/>
        </w:rPr>
      </w:pPr>
    </w:p>
    <w:p w14:paraId="1A87EF70">
      <w:pPr>
        <w:pStyle w:val="2"/>
        <w:rPr>
          <w:rFonts w:hint="eastAsia" w:ascii="仿宋_GB2312" w:hAnsi="Calibri" w:eastAsia="仿宋_GB2312" w:cs="仿宋"/>
          <w:color w:val="auto"/>
          <w:kern w:val="0"/>
          <w:sz w:val="32"/>
          <w:szCs w:val="32"/>
          <w:highlight w:val="none"/>
          <w:lang w:val="en-US" w:eastAsia="zh-CN" w:bidi="ar-SA"/>
        </w:rPr>
      </w:pPr>
    </w:p>
    <w:p w14:paraId="5948E7F4">
      <w:pPr>
        <w:rPr>
          <w:rFonts w:hint="eastAsia" w:ascii="仿宋_GB2312" w:hAnsi="Calibri" w:eastAsia="仿宋_GB2312" w:cs="仿宋"/>
          <w:color w:val="auto"/>
          <w:kern w:val="0"/>
          <w:sz w:val="32"/>
          <w:szCs w:val="32"/>
          <w:highlight w:val="none"/>
          <w:lang w:val="en-US" w:eastAsia="zh-CN" w:bidi="ar-SA"/>
        </w:rPr>
      </w:pPr>
      <w:r>
        <w:rPr>
          <w:rFonts w:hint="eastAsia" w:ascii="黑体" w:hAnsi="黑体" w:eastAsia="黑体"/>
          <w:color w:val="auto"/>
          <w:sz w:val="44"/>
          <w:szCs w:val="44"/>
          <w:highlight w:val="none"/>
        </w:rPr>
        <w:object>
          <v:shape id="_x0000_i1028" o:spt="75" type="#_x0000_t75" style="height:302.55pt;width:415.15pt;" o:ole="t" filled="f" o:preferrelative="t" stroked="f" coordsize="21600,21600">
            <v:path/>
            <v:fill on="f" focussize="0,0"/>
            <v:stroke on="f"/>
            <v:imagedata r:id="rId21" o:title=""/>
            <o:lock v:ext="edit" aspectratio="f"/>
            <w10:wrap type="none"/>
            <w10:anchorlock/>
          </v:shape>
          <o:OLEObject Type="Embed" ProgID="Excel.Sheet.12" ShapeID="_x0000_i1028" DrawAspect="Content" ObjectID="_1468075728" r:id="rId20">
            <o:LockedField>false</o:LockedField>
          </o:OLEObject>
        </w:object>
      </w:r>
    </w:p>
    <w:p w14:paraId="3291A92E">
      <w:pPr>
        <w:pStyle w:val="2"/>
        <w:rPr>
          <w:rFonts w:hint="eastAsia" w:ascii="仿宋_GB2312" w:hAnsi="Calibri" w:eastAsia="仿宋_GB2312" w:cs="仿宋"/>
          <w:color w:val="auto"/>
          <w:kern w:val="0"/>
          <w:sz w:val="32"/>
          <w:szCs w:val="32"/>
          <w:highlight w:val="none"/>
          <w:lang w:val="en-US" w:eastAsia="zh-CN" w:bidi="ar-SA"/>
        </w:rPr>
      </w:pPr>
    </w:p>
    <w:p w14:paraId="48A33C65">
      <w:pPr>
        <w:rPr>
          <w:rFonts w:hint="eastAsia" w:ascii="仿宋_GB2312" w:hAnsi="Calibri" w:eastAsia="仿宋_GB2312" w:cs="仿宋"/>
          <w:color w:val="auto"/>
          <w:kern w:val="0"/>
          <w:sz w:val="32"/>
          <w:szCs w:val="32"/>
          <w:highlight w:val="none"/>
          <w:lang w:val="en-US" w:eastAsia="zh-CN" w:bidi="ar-SA"/>
        </w:rPr>
      </w:pPr>
    </w:p>
    <w:p w14:paraId="27347274">
      <w:pPr>
        <w:pStyle w:val="2"/>
        <w:rPr>
          <w:rFonts w:hint="eastAsia" w:ascii="仿宋_GB2312" w:hAnsi="Calibri" w:eastAsia="仿宋_GB2312" w:cs="仿宋"/>
          <w:color w:val="auto"/>
          <w:kern w:val="0"/>
          <w:sz w:val="32"/>
          <w:szCs w:val="32"/>
          <w:highlight w:val="none"/>
          <w:lang w:val="en-US" w:eastAsia="zh-CN" w:bidi="ar-SA"/>
        </w:rPr>
      </w:pPr>
    </w:p>
    <w:p w14:paraId="1A32F32D">
      <w:pPr>
        <w:rPr>
          <w:rFonts w:hint="eastAsia" w:ascii="仿宋_GB2312" w:hAnsi="Calibri" w:eastAsia="仿宋_GB2312" w:cs="仿宋"/>
          <w:color w:val="auto"/>
          <w:kern w:val="0"/>
          <w:sz w:val="32"/>
          <w:szCs w:val="32"/>
          <w:highlight w:val="none"/>
          <w:lang w:val="en-US" w:eastAsia="zh-CN" w:bidi="ar-SA"/>
        </w:rPr>
      </w:pPr>
    </w:p>
    <w:p w14:paraId="217B26C2">
      <w:pPr>
        <w:bidi w:val="0"/>
        <w:rPr>
          <w:rFonts w:hint="eastAsia" w:ascii="Times New Roman" w:hAnsi="Times New Roman" w:eastAsia="宋体" w:cs="Times New Roman"/>
          <w:kern w:val="2"/>
          <w:sz w:val="21"/>
          <w:szCs w:val="24"/>
          <w:lang w:val="en-US" w:eastAsia="zh-CN" w:bidi="ar-SA"/>
        </w:rPr>
      </w:pPr>
    </w:p>
    <w:p w14:paraId="061BBD53">
      <w:pPr>
        <w:bidi w:val="0"/>
        <w:rPr>
          <w:rFonts w:hint="eastAsia"/>
          <w:lang w:val="en-US" w:eastAsia="zh-CN"/>
        </w:rPr>
      </w:pPr>
    </w:p>
    <w:p w14:paraId="14B40382">
      <w:pPr>
        <w:bidi w:val="0"/>
        <w:rPr>
          <w:rFonts w:hint="eastAsia"/>
          <w:lang w:val="en-US" w:eastAsia="zh-CN"/>
        </w:rPr>
      </w:pPr>
    </w:p>
    <w:p w14:paraId="383CD886">
      <w:pPr>
        <w:bidi w:val="0"/>
        <w:rPr>
          <w:rFonts w:hint="eastAsia"/>
          <w:lang w:val="en-US" w:eastAsia="zh-CN"/>
        </w:rPr>
      </w:pPr>
    </w:p>
    <w:p w14:paraId="2F712F81">
      <w:pPr>
        <w:bidi w:val="0"/>
        <w:rPr>
          <w:rFonts w:hint="eastAsia"/>
          <w:lang w:val="en-US" w:eastAsia="zh-CN"/>
        </w:rPr>
      </w:pPr>
    </w:p>
    <w:p w14:paraId="4FBC39CE">
      <w:pPr>
        <w:bidi w:val="0"/>
        <w:rPr>
          <w:rFonts w:hint="eastAsia"/>
          <w:lang w:val="en-US" w:eastAsia="zh-CN"/>
        </w:rPr>
      </w:pPr>
    </w:p>
    <w:p w14:paraId="1E79C38A">
      <w:pPr>
        <w:bidi w:val="0"/>
        <w:rPr>
          <w:rFonts w:hint="eastAsia"/>
          <w:lang w:val="en-US" w:eastAsia="zh-CN"/>
        </w:rPr>
      </w:pPr>
    </w:p>
    <w:p w14:paraId="3084209B">
      <w:pPr>
        <w:bidi w:val="0"/>
        <w:rPr>
          <w:rFonts w:hint="eastAsia"/>
          <w:lang w:val="en-US" w:eastAsia="zh-CN"/>
        </w:rPr>
      </w:pPr>
    </w:p>
    <w:p w14:paraId="54C90626">
      <w:pPr>
        <w:bidi w:val="0"/>
        <w:rPr>
          <w:rFonts w:hint="eastAsia"/>
          <w:lang w:val="en-US" w:eastAsia="zh-CN"/>
        </w:rPr>
      </w:pPr>
    </w:p>
    <w:p w14:paraId="5241FE07">
      <w:pPr>
        <w:bidi w:val="0"/>
        <w:rPr>
          <w:rFonts w:hint="eastAsia"/>
          <w:lang w:val="en-US" w:eastAsia="zh-CN"/>
        </w:rPr>
      </w:pPr>
    </w:p>
    <w:p w14:paraId="7AC0A2C9">
      <w:pPr>
        <w:bidi w:val="0"/>
        <w:rPr>
          <w:rFonts w:hint="eastAsia"/>
          <w:lang w:val="en-US" w:eastAsia="zh-CN"/>
        </w:rPr>
      </w:pPr>
    </w:p>
    <w:p w14:paraId="796384FA">
      <w:pPr>
        <w:bidi w:val="0"/>
        <w:rPr>
          <w:rFonts w:hint="eastAsia"/>
          <w:lang w:val="en-US" w:eastAsia="zh-CN"/>
        </w:rPr>
      </w:pPr>
    </w:p>
    <w:p w14:paraId="76F5D66E">
      <w:pPr>
        <w:bidi w:val="0"/>
        <w:rPr>
          <w:rFonts w:hint="eastAsia"/>
          <w:lang w:val="en-US" w:eastAsia="zh-CN"/>
        </w:rPr>
      </w:pPr>
    </w:p>
    <w:p w14:paraId="14EC6566">
      <w:pPr>
        <w:tabs>
          <w:tab w:val="left" w:pos="7178"/>
        </w:tabs>
        <w:bidi w:val="0"/>
        <w:jc w:val="left"/>
        <w:rPr>
          <w:rFonts w:hint="eastAsia"/>
          <w:lang w:val="en-US" w:eastAsia="zh-CN"/>
        </w:rPr>
      </w:pPr>
      <w:r>
        <w:rPr>
          <w:rFonts w:hint="eastAsia"/>
          <w:lang w:val="en-US" w:eastAsia="zh-CN"/>
        </w:rPr>
        <w:tab/>
      </w:r>
    </w:p>
    <w:p w14:paraId="74F315AE">
      <w:pPr>
        <w:pStyle w:val="2"/>
        <w:rPr>
          <w:rFonts w:hint="eastAsia" w:ascii="仿宋_GB2312" w:hAnsi="Calibri" w:eastAsia="仿宋_GB2312" w:cs="仿宋"/>
          <w:color w:val="auto"/>
          <w:kern w:val="0"/>
          <w:sz w:val="32"/>
          <w:szCs w:val="32"/>
          <w:highlight w:val="none"/>
          <w:lang w:val="en-US" w:eastAsia="zh-CN" w:bidi="ar-SA"/>
        </w:rPr>
      </w:pPr>
      <w:r>
        <w:rPr>
          <w:rFonts w:hint="eastAsia"/>
        </w:rPr>
        <w:object>
          <v:shape id="_x0000_i1029" o:spt="75" type="#_x0000_t75" style="height:313pt;width:415.15pt;" o:ole="t" filled="f" o:preferrelative="t" stroked="f" coordsize="21600,21600">
            <v:path/>
            <v:fill on="f" focussize="0,0"/>
            <v:stroke on="f"/>
            <v:imagedata r:id="rId23" o:title=""/>
            <o:lock v:ext="edit" aspectratio="f"/>
            <w10:wrap type="none"/>
            <w10:anchorlock/>
          </v:shape>
          <o:OLEObject Type="Embed" ProgID="Excel.Sheet.12" ShapeID="_x0000_i1029" DrawAspect="Content" ObjectID="_1468075729" r:id="rId22">
            <o:LockedField>false</o:LockedField>
          </o:OLEObject>
        </w:object>
      </w:r>
      <w:r>
        <w:rPr>
          <w:rFonts w:hint="eastAsia"/>
        </w:rPr>
        <w:object>
          <v:shape id="_x0000_i1030" o:spt="75" type="#_x0000_t75" style="height:326.25pt;width:415.15pt;" o:ole="t" filled="f" o:preferrelative="t" stroked="f" coordsize="21600,21600">
            <v:path/>
            <v:fill on="f" focussize="0,0"/>
            <v:stroke on="f"/>
            <v:imagedata r:id="rId25" o:title=""/>
            <o:lock v:ext="edit" aspectratio="f"/>
            <w10:wrap type="none"/>
            <w10:anchorlock/>
          </v:shape>
          <o:OLEObject Type="Embed" ProgID="Excel.Sheet.12" ShapeID="_x0000_i1030" DrawAspect="Content" ObjectID="_1468075730" r:id="rId24">
            <o:LockedField>false</o:LockedField>
          </o:OLEObject>
        </w:object>
      </w:r>
    </w:p>
    <w:p w14:paraId="2B8EEAAB">
      <w:pPr>
        <w:pStyle w:val="2"/>
        <w:ind w:left="0" w:leftChars="0" w:firstLine="0" w:firstLineChars="0"/>
        <w:rPr>
          <w:rFonts w:hint="eastAsia" w:ascii="仿宋_GB2312" w:hAnsi="Calibri" w:eastAsia="仿宋_GB2312" w:cs="仿宋"/>
          <w:color w:val="auto"/>
          <w:kern w:val="0"/>
          <w:sz w:val="32"/>
          <w:szCs w:val="32"/>
          <w:highlight w:val="none"/>
          <w:lang w:val="en-US" w:eastAsia="zh-CN" w:bidi="ar-SA"/>
        </w:rPr>
      </w:pPr>
    </w:p>
    <w:p w14:paraId="602424A0">
      <w:pPr>
        <w:pStyle w:val="2"/>
        <w:ind w:left="0" w:leftChars="0" w:firstLine="0" w:firstLineChars="0"/>
        <w:rPr>
          <w:rFonts w:hint="eastAsia"/>
          <w:lang w:val="zh-CN"/>
        </w:rPr>
      </w:pPr>
    </w:p>
    <w:p w14:paraId="4BD7FC0D">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68B2BAF2">
      <w:pPr>
        <w:pStyle w:val="7"/>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65CFFC35">
      <w:pPr>
        <w:pStyle w:val="3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334C11E3">
      <w:pPr>
        <w:pStyle w:val="39"/>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基层组织和农村公共服务运行项目支出</w:t>
      </w:r>
      <w:r>
        <w:rPr>
          <w:rFonts w:hint="eastAsia" w:ascii="方正小标宋简体" w:hAnsi="宋体" w:eastAsia="方正小标宋简体"/>
          <w:sz w:val="44"/>
          <w:szCs w:val="44"/>
          <w:lang w:val="en-US" w:eastAsia="zh-CN"/>
        </w:rPr>
        <w:t xml:space="preserve">     </w:t>
      </w:r>
      <w:r>
        <w:rPr>
          <w:rFonts w:hint="eastAsia" w:ascii="方正小标宋简体" w:hAnsi="宋体" w:eastAsia="方正小标宋简体"/>
          <w:sz w:val="44"/>
          <w:szCs w:val="44"/>
        </w:rPr>
        <w:t>绩效自评报告</w:t>
      </w:r>
    </w:p>
    <w:p w14:paraId="3462C41A">
      <w:pPr>
        <w:pStyle w:val="39"/>
        <w:keepNext w:val="0"/>
        <w:keepLines w:val="0"/>
        <w:pageBreakBefore w:val="0"/>
        <w:widowControl w:val="0"/>
        <w:kinsoku/>
        <w:wordWrap/>
        <w:overflowPunct/>
        <w:topLinePunct w:val="0"/>
        <w:autoSpaceDE/>
        <w:autoSpaceDN/>
        <w:bidi w:val="0"/>
        <w:spacing w:line="600" w:lineRule="exact"/>
        <w:ind w:firstLine="640" w:firstLineChars="200"/>
        <w:jc w:val="center"/>
        <w:textAlignment w:val="auto"/>
        <w:rPr>
          <w:rFonts w:hint="eastAsia" w:ascii="仿宋_GB2312" w:hAnsi="仿宋_GB2312" w:eastAsia="仿宋_GB2312" w:cs="仿宋_GB2312"/>
          <w:color w:val="auto"/>
          <w:kern w:val="2"/>
          <w:sz w:val="32"/>
          <w:szCs w:val="32"/>
        </w:rPr>
      </w:pPr>
    </w:p>
    <w:p w14:paraId="1F831F3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294751A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b w:val="0"/>
          <w:bCs/>
          <w:sz w:val="32"/>
          <w:szCs w:val="32"/>
          <w:lang w:val="zh-CN"/>
        </w:rPr>
      </w:pPr>
      <w:r>
        <w:rPr>
          <w:rFonts w:hint="eastAsia" w:ascii="Times New Roman" w:hAnsi="Times New Roman" w:eastAsia="楷体_GB2312"/>
          <w:b w:val="0"/>
          <w:bCs/>
          <w:color w:val="auto"/>
          <w:sz w:val="32"/>
          <w:szCs w:val="32"/>
          <w:highlight w:val="none"/>
          <w:u w:val="none"/>
          <w:lang w:val="zh-CN"/>
        </w:rPr>
        <w:t>（一）设立背景及基本情况</w:t>
      </w:r>
      <w:bookmarkStart w:id="104" w:name="_GoBack"/>
      <w:bookmarkEnd w:id="104"/>
    </w:p>
    <w:p w14:paraId="5E0893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农村公共服务设施运行维护项目是为实现公共财政覆盖农村，促进城乡基本公共服务均等化的一项重大制度创新，是深化农村综合改革的重要抓手和加强基层民主政治建设的助推器。我镇</w:t>
      </w:r>
      <w:r>
        <w:rPr>
          <w:rFonts w:hint="eastAsia" w:ascii="仿宋_GB2312" w:hAnsi="仿宋_GB2312" w:eastAsia="仿宋_GB2312" w:cs="仿宋_GB2312"/>
          <w:kern w:val="2"/>
          <w:sz w:val="32"/>
          <w:szCs w:val="32"/>
          <w:lang w:val="en-US" w:eastAsia="zh-CN" w:bidi="ar-SA"/>
        </w:rPr>
        <w:t>2024年</w:t>
      </w:r>
      <w:r>
        <w:rPr>
          <w:rFonts w:hint="eastAsia" w:ascii="仿宋_GB2312" w:hAnsi="仿宋_GB2312" w:eastAsia="仿宋_GB2312" w:cs="仿宋_GB2312"/>
          <w:kern w:val="2"/>
          <w:sz w:val="32"/>
          <w:szCs w:val="32"/>
          <w:lang w:val="zh-CN" w:eastAsia="zh-CN" w:bidi="ar-SA"/>
        </w:rPr>
        <w:t>农村公共服务运行维护项目涉及</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zh-CN" w:eastAsia="zh-CN" w:bidi="ar-SA"/>
        </w:rPr>
        <w:t>个村，分别是：上云村、四坪村、大坪村、觉莫村、为觉村。</w:t>
      </w: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zh-CN" w:eastAsia="zh-CN" w:bidi="ar-SA"/>
        </w:rPr>
        <w:t>个村</w:t>
      </w:r>
      <w:r>
        <w:rPr>
          <w:rFonts w:hint="eastAsia" w:ascii="仿宋_GB2312" w:hAnsi="仿宋_GB2312" w:eastAsia="仿宋_GB2312" w:cs="仿宋_GB2312"/>
          <w:kern w:val="2"/>
          <w:sz w:val="32"/>
          <w:szCs w:val="32"/>
          <w:lang w:val="en-US" w:eastAsia="zh-CN" w:bidi="ar-SA"/>
        </w:rPr>
        <w:t>农村公共服务运行费项目总资金85.29万元，其中：上级</w:t>
      </w:r>
      <w:r>
        <w:rPr>
          <w:rFonts w:hint="eastAsia" w:ascii="仿宋_GB2312" w:hAnsi="仿宋_GB2312" w:eastAsia="仿宋_GB2312" w:cs="仿宋_GB2312"/>
          <w:kern w:val="2"/>
          <w:sz w:val="32"/>
          <w:szCs w:val="32"/>
          <w:lang w:val="zh-CN" w:eastAsia="zh-CN" w:bidi="ar-SA"/>
        </w:rPr>
        <w:t>专项拨款资金</w:t>
      </w:r>
      <w:r>
        <w:rPr>
          <w:rFonts w:hint="eastAsia" w:ascii="仿宋_GB2312" w:hAnsi="仿宋_GB2312" w:eastAsia="仿宋_GB2312" w:cs="仿宋_GB2312"/>
          <w:kern w:val="2"/>
          <w:sz w:val="32"/>
          <w:szCs w:val="32"/>
          <w:lang w:val="en-US" w:eastAsia="zh-CN" w:bidi="ar-SA"/>
        </w:rPr>
        <w:t>56.86</w:t>
      </w:r>
      <w:r>
        <w:rPr>
          <w:rFonts w:hint="eastAsia" w:ascii="仿宋_GB2312" w:hAnsi="仿宋_GB2312" w:eastAsia="仿宋_GB2312" w:cs="仿宋_GB2312"/>
          <w:kern w:val="2"/>
          <w:sz w:val="32"/>
          <w:szCs w:val="32"/>
          <w:lang w:val="zh-CN" w:eastAsia="zh-CN" w:bidi="ar-SA"/>
        </w:rPr>
        <w:t>万元，</w:t>
      </w:r>
      <w:r>
        <w:rPr>
          <w:rFonts w:hint="eastAsia" w:ascii="仿宋_GB2312" w:hAnsi="仿宋_GB2312" w:eastAsia="仿宋_GB2312" w:cs="仿宋_GB2312"/>
          <w:kern w:val="2"/>
          <w:sz w:val="32"/>
          <w:szCs w:val="32"/>
          <w:lang w:val="en-US" w:eastAsia="zh-CN" w:bidi="ar-SA"/>
        </w:rPr>
        <w:t>县级拨款</w:t>
      </w:r>
      <w:r>
        <w:rPr>
          <w:rFonts w:hint="eastAsia" w:ascii="仿宋_GB2312" w:hAnsi="仿宋_GB2312" w:eastAsia="仿宋_GB2312" w:cs="仿宋_GB2312"/>
          <w:kern w:val="2"/>
          <w:sz w:val="32"/>
          <w:szCs w:val="32"/>
          <w:lang w:val="zh-CN" w:eastAsia="zh-CN" w:bidi="ar-SA"/>
        </w:rPr>
        <w:t>资金</w:t>
      </w:r>
      <w:r>
        <w:rPr>
          <w:rFonts w:hint="eastAsia" w:ascii="仿宋_GB2312" w:hAnsi="仿宋_GB2312" w:eastAsia="仿宋_GB2312" w:cs="仿宋_GB2312"/>
          <w:kern w:val="2"/>
          <w:sz w:val="32"/>
          <w:szCs w:val="32"/>
          <w:lang w:val="en-US" w:eastAsia="zh-CN" w:bidi="ar-SA"/>
        </w:rPr>
        <w:t>28.43</w:t>
      </w:r>
      <w:r>
        <w:rPr>
          <w:rFonts w:hint="eastAsia" w:ascii="仿宋_GB2312" w:hAnsi="仿宋_GB2312" w:eastAsia="仿宋_GB2312" w:cs="仿宋_GB2312"/>
          <w:kern w:val="2"/>
          <w:sz w:val="32"/>
          <w:szCs w:val="32"/>
          <w:lang w:val="zh-CN" w:eastAsia="zh-CN" w:bidi="ar-SA"/>
        </w:rPr>
        <w:t>万元</w:t>
      </w:r>
      <w:r>
        <w:rPr>
          <w:rFonts w:hint="eastAsia" w:ascii="仿宋_GB2312" w:hAnsi="仿宋_GB2312" w:eastAsia="仿宋_GB2312" w:cs="仿宋_GB2312"/>
          <w:kern w:val="2"/>
          <w:sz w:val="32"/>
          <w:szCs w:val="32"/>
          <w:lang w:val="en-US" w:eastAsia="zh-CN" w:bidi="ar-SA"/>
        </w:rPr>
        <w:t>。</w:t>
      </w:r>
    </w:p>
    <w:p w14:paraId="09CC029B">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640" w:firstLineChars="200"/>
        <w:textAlignment w:val="auto"/>
        <w:rPr>
          <w:rFonts w:hint="eastAsia" w:eastAsia="楷体_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实施目的及支持方向</w:t>
      </w:r>
    </w:p>
    <w:p w14:paraId="4589434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Times New Roman" w:hAnsi="Times New Roman" w:eastAsia="仿宋_GB2312" w:cs="仿宋_GB2312"/>
          <w:b w:val="0"/>
          <w:bCs w:val="0"/>
          <w:kern w:val="0"/>
          <w:position w:val="0"/>
          <w:sz w:val="32"/>
          <w:szCs w:val="32"/>
          <w:highlight w:val="none"/>
          <w:lang w:val="en-US" w:eastAsia="zh-CN" w:bidi="ar-SA"/>
        </w:rPr>
        <w:t>通过专项经费保障全镇5个村移风易俗、环境卫生、民生保障、日常办公各项工作正常开展，提高群众满意度。</w:t>
      </w:r>
    </w:p>
    <w:p w14:paraId="5B1BBDE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rPr>
          <w:rFonts w:hint="eastAsia" w:ascii="Times New Roman" w:hAnsi="Times New Roman" w:eastAsia="楷体_GB2312" w:cs="Times New Roman"/>
          <w:b w:val="0"/>
          <w:bCs/>
          <w:color w:val="auto"/>
          <w:sz w:val="32"/>
          <w:szCs w:val="32"/>
          <w:highlight w:val="none"/>
          <w:u w:val="none"/>
          <w:lang w:val="zh-CN" w:eastAsia="zh-CN"/>
        </w:rPr>
      </w:pPr>
      <w:r>
        <w:rPr>
          <w:rFonts w:hint="eastAsia" w:eastAsia="楷体_GB2312" w:cs="Times New Roman"/>
          <w:b w:val="0"/>
          <w:bCs/>
          <w:color w:val="auto"/>
          <w:sz w:val="32"/>
          <w:szCs w:val="32"/>
          <w:highlight w:val="none"/>
          <w:u w:val="none"/>
          <w:lang w:val="en-US" w:eastAsia="zh-CN"/>
        </w:rPr>
        <w:t>（三）</w:t>
      </w:r>
      <w:r>
        <w:rPr>
          <w:rFonts w:hint="default" w:ascii="Times New Roman" w:hAnsi="Times New Roman" w:eastAsia="楷体_GB2312" w:cs="Times New Roman"/>
          <w:b w:val="0"/>
          <w:bCs/>
          <w:color w:val="auto"/>
          <w:sz w:val="32"/>
          <w:szCs w:val="32"/>
          <w:highlight w:val="none"/>
          <w:u w:val="none"/>
          <w:lang w:val="en-US" w:eastAsia="zh-CN"/>
        </w:rPr>
        <w:t>预算安排及分配管理</w:t>
      </w:r>
    </w:p>
    <w:p w14:paraId="2121CB72">
      <w:pPr>
        <w:pStyle w:val="2"/>
        <w:numPr>
          <w:ilvl w:val="0"/>
          <w:numId w:val="0"/>
        </w:numPr>
        <w:ind w:firstLine="640" w:firstLineChars="200"/>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根据各村基础数据以及重点工作进行资金分配，用于农村道路维护维修、堰渠维护维修、饮水管道维护维修、人居环境卫生整治等方面、各村日常办公经费支出。</w:t>
      </w:r>
    </w:p>
    <w:p w14:paraId="219E08F8">
      <w:pPr>
        <w:keepNext w:val="0"/>
        <w:keepLines w:val="0"/>
        <w:pageBreakBefore w:val="0"/>
        <w:numPr>
          <w:ilvl w:val="0"/>
          <w:numId w:val="3"/>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楷体_GB2312" w:cs="Times New Roman"/>
          <w:b w:val="0"/>
          <w:bCs/>
          <w:color w:val="auto"/>
          <w:sz w:val="32"/>
          <w:szCs w:val="32"/>
          <w:highlight w:val="none"/>
          <w:u w:val="none"/>
          <w:lang w:val="zh-CN" w:eastAsia="zh-CN"/>
        </w:rPr>
      </w:pPr>
      <w:r>
        <w:rPr>
          <w:rFonts w:hint="eastAsia" w:ascii="Times New Roman" w:hAnsi="Times New Roman" w:eastAsia="楷体_GB2312" w:cs="Times New Roman"/>
          <w:b w:val="0"/>
          <w:bCs/>
          <w:color w:val="auto"/>
          <w:sz w:val="32"/>
          <w:szCs w:val="32"/>
          <w:highlight w:val="none"/>
          <w:u w:val="none"/>
          <w:lang w:val="zh-CN" w:eastAsia="zh-CN"/>
        </w:rPr>
        <w:t>项目绩效目标设置</w:t>
      </w:r>
    </w:p>
    <w:p w14:paraId="4086ABFA">
      <w:pPr>
        <w:pStyle w:val="2"/>
        <w:numPr>
          <w:ilvl w:val="0"/>
          <w:numId w:val="0"/>
        </w:numPr>
        <w:ind w:firstLine="640" w:firstLineChars="200"/>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2024年基层组织和农村公共服务运行费运行经费红旗镇共计预算</w:t>
      </w:r>
      <w:r>
        <w:rPr>
          <w:rFonts w:hint="eastAsia" w:eastAsia="仿宋_GB2312" w:cs="仿宋_GB2312"/>
          <w:b w:val="0"/>
          <w:bCs w:val="0"/>
          <w:kern w:val="0"/>
          <w:position w:val="0"/>
          <w:sz w:val="32"/>
          <w:szCs w:val="32"/>
          <w:highlight w:val="none"/>
          <w:lang w:val="en-US" w:eastAsia="zh-CN" w:bidi="ar-SA"/>
        </w:rPr>
        <w:t>85.29</w:t>
      </w:r>
      <w:r>
        <w:rPr>
          <w:rFonts w:hint="default" w:ascii="Times New Roman" w:hAnsi="Times New Roman" w:eastAsia="仿宋_GB2312" w:cs="仿宋_GB2312"/>
          <w:b w:val="0"/>
          <w:bCs w:val="0"/>
          <w:kern w:val="0"/>
          <w:position w:val="0"/>
          <w:sz w:val="32"/>
          <w:szCs w:val="32"/>
          <w:highlight w:val="none"/>
          <w:lang w:val="zh-CN" w:eastAsia="zh-CN" w:bidi="ar-SA"/>
        </w:rPr>
        <w:t>万元，实际支付</w:t>
      </w:r>
      <w:r>
        <w:rPr>
          <w:rFonts w:hint="eastAsia" w:eastAsia="仿宋_GB2312" w:cs="仿宋_GB2312"/>
          <w:b w:val="0"/>
          <w:bCs w:val="0"/>
          <w:kern w:val="0"/>
          <w:position w:val="0"/>
          <w:sz w:val="32"/>
          <w:szCs w:val="32"/>
          <w:highlight w:val="none"/>
          <w:lang w:val="en-US" w:eastAsia="zh-CN" w:bidi="ar-SA"/>
        </w:rPr>
        <w:t>85.29</w:t>
      </w:r>
      <w:r>
        <w:rPr>
          <w:rFonts w:hint="default" w:ascii="Times New Roman" w:hAnsi="Times New Roman" w:eastAsia="仿宋_GB2312" w:cs="仿宋_GB2312"/>
          <w:b w:val="0"/>
          <w:bCs w:val="0"/>
          <w:kern w:val="0"/>
          <w:position w:val="0"/>
          <w:sz w:val="32"/>
          <w:szCs w:val="32"/>
          <w:highlight w:val="none"/>
          <w:lang w:val="zh-CN" w:eastAsia="zh-CN" w:bidi="ar-SA"/>
        </w:rPr>
        <w:t>万元。</w:t>
      </w:r>
    </w:p>
    <w:p w14:paraId="2438C7C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0" w:firstLineChars="200"/>
        <w:textAlignment w:val="auto"/>
        <w:outlineLvl w:val="9"/>
        <w:rPr>
          <w:rFonts w:hint="eastAsia" w:ascii="Times New Roman" w:hAnsi="Times New Roman" w:eastAsia="黑体"/>
          <w:sz w:val="32"/>
          <w:szCs w:val="32"/>
          <w:highlight w:val="none"/>
          <w:lang w:eastAsia="zh-CN"/>
        </w:rPr>
      </w:pPr>
      <w:r>
        <w:rPr>
          <w:rFonts w:hint="eastAsia" w:eastAsia="黑体"/>
          <w:sz w:val="32"/>
          <w:szCs w:val="32"/>
          <w:highlight w:val="none"/>
          <w:lang w:val="en-US" w:eastAsia="zh-CN"/>
        </w:rPr>
        <w:t>二、</w:t>
      </w:r>
      <w:r>
        <w:rPr>
          <w:rFonts w:hint="eastAsia" w:ascii="Times New Roman" w:hAnsi="Times New Roman" w:eastAsia="黑体"/>
          <w:sz w:val="32"/>
          <w:szCs w:val="32"/>
          <w:highlight w:val="none"/>
          <w:lang w:eastAsia="zh-CN"/>
        </w:rPr>
        <w:t>评价实施</w:t>
      </w:r>
    </w:p>
    <w:p w14:paraId="44BB99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2024年县财政局下达上级</w:t>
      </w:r>
      <w:r>
        <w:rPr>
          <w:rFonts w:hint="eastAsia" w:ascii="仿宋_GB2312" w:hAnsi="仿宋_GB2312" w:eastAsia="仿宋_GB2312" w:cs="仿宋_GB2312"/>
          <w:kern w:val="2"/>
          <w:sz w:val="32"/>
          <w:szCs w:val="32"/>
          <w:lang w:val="zh-CN" w:eastAsia="zh-CN" w:bidi="ar-SA"/>
        </w:rPr>
        <w:t>专项拨款资金</w:t>
      </w:r>
      <w:r>
        <w:rPr>
          <w:rFonts w:hint="eastAsia" w:ascii="仿宋_GB2312" w:hAnsi="仿宋_GB2312" w:eastAsia="仿宋_GB2312" w:cs="仿宋_GB2312"/>
          <w:kern w:val="2"/>
          <w:sz w:val="32"/>
          <w:szCs w:val="32"/>
          <w:lang w:val="en-US" w:eastAsia="zh-CN" w:bidi="ar-SA"/>
        </w:rPr>
        <w:t>56.86</w:t>
      </w:r>
      <w:r>
        <w:rPr>
          <w:rFonts w:hint="eastAsia" w:ascii="仿宋_GB2312" w:hAnsi="仿宋_GB2312" w:eastAsia="仿宋_GB2312" w:cs="仿宋_GB2312"/>
          <w:kern w:val="2"/>
          <w:sz w:val="32"/>
          <w:szCs w:val="32"/>
          <w:lang w:val="zh-CN" w:eastAsia="zh-CN" w:bidi="ar-SA"/>
        </w:rPr>
        <w:t>万元，</w:t>
      </w:r>
      <w:r>
        <w:rPr>
          <w:rFonts w:hint="eastAsia" w:ascii="仿宋_GB2312" w:hAnsi="仿宋_GB2312" w:eastAsia="仿宋_GB2312" w:cs="仿宋_GB2312"/>
          <w:kern w:val="2"/>
          <w:sz w:val="32"/>
          <w:szCs w:val="32"/>
          <w:lang w:val="en-US" w:eastAsia="zh-CN" w:bidi="ar-SA"/>
        </w:rPr>
        <w:t>县级拨款</w:t>
      </w:r>
      <w:r>
        <w:rPr>
          <w:rFonts w:hint="eastAsia" w:ascii="仿宋_GB2312" w:hAnsi="仿宋_GB2312" w:eastAsia="仿宋_GB2312" w:cs="仿宋_GB2312"/>
          <w:kern w:val="2"/>
          <w:sz w:val="32"/>
          <w:szCs w:val="32"/>
          <w:lang w:val="zh-CN" w:eastAsia="zh-CN" w:bidi="ar-SA"/>
        </w:rPr>
        <w:t>资金</w:t>
      </w:r>
      <w:r>
        <w:rPr>
          <w:rFonts w:hint="eastAsia" w:ascii="仿宋_GB2312" w:hAnsi="仿宋_GB2312" w:eastAsia="仿宋_GB2312" w:cs="仿宋_GB2312"/>
          <w:kern w:val="2"/>
          <w:sz w:val="32"/>
          <w:szCs w:val="32"/>
          <w:lang w:val="en-US" w:eastAsia="zh-CN" w:bidi="ar-SA"/>
        </w:rPr>
        <w:t>28.43</w:t>
      </w:r>
      <w:r>
        <w:rPr>
          <w:rFonts w:hint="eastAsia" w:ascii="仿宋_GB2312" w:hAnsi="仿宋_GB2312" w:eastAsia="仿宋_GB2312" w:cs="仿宋_GB2312"/>
          <w:kern w:val="2"/>
          <w:sz w:val="32"/>
          <w:szCs w:val="32"/>
          <w:lang w:val="zh-CN" w:eastAsia="zh-CN" w:bidi="ar-SA"/>
        </w:rPr>
        <w:t>万元，合计</w:t>
      </w:r>
      <w:r>
        <w:rPr>
          <w:rFonts w:hint="eastAsia" w:ascii="仿宋_GB2312" w:hAnsi="仿宋_GB2312" w:eastAsia="仿宋_GB2312" w:cs="仿宋_GB2312"/>
          <w:kern w:val="2"/>
          <w:sz w:val="32"/>
          <w:szCs w:val="32"/>
          <w:lang w:val="en-US" w:eastAsia="zh-CN" w:bidi="ar-SA"/>
        </w:rPr>
        <w:t>85.29万元，资金到位及时。</w:t>
      </w:r>
      <w:r>
        <w:rPr>
          <w:rFonts w:hint="eastAsia" w:ascii="仿宋_GB2312" w:hAnsi="仿宋_GB2312" w:eastAsia="仿宋_GB2312" w:cs="仿宋_GB2312"/>
          <w:kern w:val="2"/>
          <w:sz w:val="32"/>
          <w:szCs w:val="32"/>
          <w:lang w:val="zh-CN" w:eastAsia="zh-CN" w:bidi="ar-SA"/>
        </w:rPr>
        <w:t>我镇农村公共服务运行项目资金使用符合国家财经法规和财务管理制度及有关专项资金管理办法规定；资金拨付有完整的审批程序和手续；符合项目预算批复或合同规定用途；不存在截留、挤占、挪用、虚列支出等情况。</w:t>
      </w:r>
    </w:p>
    <w:p w14:paraId="629EB6DE">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0" w:firstLine="640" w:firstLineChars="200"/>
        <w:textAlignment w:val="auto"/>
        <w:rPr>
          <w:rFonts w:hint="eastAsia" w:ascii="Times New Roman" w:hAnsi="Times New Roman"/>
          <w:color w:val="auto"/>
          <w:sz w:val="32"/>
          <w:szCs w:val="32"/>
          <w:highlight w:val="none"/>
          <w:u w:val="none"/>
          <w:lang w:val="zh-CN"/>
        </w:rPr>
      </w:pPr>
      <w:r>
        <w:rPr>
          <w:rFonts w:hint="eastAsia" w:eastAsia="黑体"/>
          <w:color w:val="auto"/>
          <w:sz w:val="32"/>
          <w:szCs w:val="32"/>
          <w:highlight w:val="none"/>
          <w:u w:val="none"/>
          <w:lang w:eastAsia="zh-CN"/>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7CC3F50D">
      <w:pPr>
        <w:pStyle w:val="2"/>
        <w:numPr>
          <w:ilvl w:val="0"/>
          <w:numId w:val="0"/>
        </w:numPr>
        <w:ind w:leftChars="0" w:firstLine="640" w:firstLineChars="200"/>
        <w:rPr>
          <w:lang w:val="zh-CN"/>
        </w:rPr>
      </w:pPr>
      <w:r>
        <w:rPr>
          <w:rFonts w:hint="eastAsia" w:ascii="仿宋_GB2312" w:hAnsi="仿宋_GB2312" w:eastAsia="仿宋_GB2312" w:cs="仿宋_GB2312"/>
          <w:kern w:val="2"/>
          <w:sz w:val="32"/>
          <w:szCs w:val="32"/>
          <w:lang w:val="en-US" w:eastAsia="zh-CN" w:bidi="ar-SA"/>
        </w:rPr>
        <w:t>2024年我镇农村公共服务运行项目资金总计划85.29万元，其中项目总体完成质量较高，在规定的时限内按照相关要求进行报账，成本控制在预算之内。</w:t>
      </w:r>
    </w:p>
    <w:p w14:paraId="4438EC3D">
      <w:pPr>
        <w:keepNext w:val="0"/>
        <w:keepLines w:val="0"/>
        <w:pageBreakBefore w:val="0"/>
        <w:widowControl w:val="0"/>
        <w:numPr>
          <w:ilvl w:val="0"/>
          <w:numId w:val="5"/>
        </w:numPr>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评价结论</w:t>
      </w:r>
    </w:p>
    <w:p w14:paraId="6095B7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zh-CN" w:eastAsia="zh-CN" w:bidi="ar-SA"/>
        </w:rPr>
        <w:t>项目资金按时拨付，保障了村民的基本生活，农村公共服务设施运行维护项目的长效实施改善了群众的生产生活条件，提高了群众生活质量，完善了农村基础设施功能，该项目取得了较好的社会效益。</w:t>
      </w:r>
    </w:p>
    <w:p w14:paraId="1487A52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240BAD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kern w:val="2"/>
          <w:sz w:val="32"/>
          <w:szCs w:val="32"/>
          <w:lang w:val="en-US" w:eastAsia="zh-CN" w:bidi="ar-SA"/>
        </w:rPr>
        <w:t>各村资金拨付进度相对滞后，存在年底一次性报账情况。</w:t>
      </w:r>
    </w:p>
    <w:p w14:paraId="58134FD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6F2741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财政下达资金后，及时与各村对接，尽量按季度报账，杜绝年底一次性报账的现象。</w:t>
      </w:r>
    </w:p>
    <w:p w14:paraId="25E97E9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C6CCEAA">
      <w:pPr>
        <w:pStyle w:val="39"/>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zh-CN" w:eastAsia="zh-CN"/>
        </w:rPr>
        <w:t>乡镇交管办劝导员补贴及乡镇交管办工作</w:t>
      </w:r>
      <w:r>
        <w:rPr>
          <w:rFonts w:hint="eastAsia" w:ascii="方正小标宋简体" w:hAnsi="宋体" w:eastAsia="方正小标宋简体"/>
          <w:sz w:val="44"/>
          <w:szCs w:val="44"/>
        </w:rPr>
        <w:t>支出绩效自评报告</w:t>
      </w:r>
    </w:p>
    <w:p w14:paraId="70ED7411">
      <w:pPr>
        <w:pStyle w:val="39"/>
        <w:keepNext w:val="0"/>
        <w:keepLines w:val="0"/>
        <w:pageBreakBefore w:val="0"/>
        <w:widowControl w:val="0"/>
        <w:kinsoku/>
        <w:wordWrap/>
        <w:overflowPunct/>
        <w:topLinePunct w:val="0"/>
        <w:autoSpaceDE/>
        <w:autoSpaceDN/>
        <w:bidi w:val="0"/>
        <w:spacing w:line="600" w:lineRule="exact"/>
        <w:ind w:firstLine="640" w:firstLineChars="200"/>
        <w:jc w:val="center"/>
        <w:textAlignment w:val="auto"/>
        <w:rPr>
          <w:rFonts w:hint="eastAsia" w:ascii="仿宋_GB2312" w:hAnsi="仿宋_GB2312" w:eastAsia="仿宋_GB2312" w:cs="仿宋_GB2312"/>
          <w:color w:val="auto"/>
          <w:kern w:val="2"/>
          <w:sz w:val="32"/>
          <w:szCs w:val="32"/>
        </w:rPr>
      </w:pPr>
    </w:p>
    <w:p w14:paraId="46F6A2A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7007B83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b w:val="0"/>
          <w:bCs/>
          <w:sz w:val="32"/>
          <w:szCs w:val="32"/>
          <w:lang w:val="zh-CN"/>
        </w:rPr>
      </w:pPr>
      <w:r>
        <w:rPr>
          <w:rFonts w:hint="eastAsia" w:ascii="Times New Roman" w:hAnsi="Times New Roman" w:eastAsia="楷体_GB2312"/>
          <w:b w:val="0"/>
          <w:bCs/>
          <w:color w:val="auto"/>
          <w:sz w:val="32"/>
          <w:szCs w:val="32"/>
          <w:highlight w:val="none"/>
          <w:u w:val="none"/>
          <w:lang w:val="zh-CN"/>
        </w:rPr>
        <w:t>（一）基本情况</w:t>
      </w:r>
    </w:p>
    <w:p w14:paraId="3C85B684">
      <w:pPr>
        <w:widowControl/>
        <w:adjustRightInd w:val="0"/>
        <w:snapToGrid w:val="0"/>
        <w:spacing w:line="580" w:lineRule="exact"/>
        <w:ind w:firstLine="640" w:firstLineChars="200"/>
        <w:contextualSpacing/>
        <w:jc w:val="left"/>
        <w:rPr>
          <w:rStyle w:val="22"/>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乡镇交管办劝导员补贴及乡镇交管办工作经费项目，红旗镇共计预算1.8万元，实际支付1.8万元，预算执行率</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100%。</w:t>
      </w:r>
    </w:p>
    <w:p w14:paraId="2A8040F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楷体_GB2312"/>
          <w:b w:val="0"/>
          <w:bCs/>
          <w:color w:val="auto"/>
          <w:sz w:val="32"/>
          <w:szCs w:val="32"/>
          <w:highlight w:val="none"/>
          <w:u w:val="none"/>
          <w:lang w:val="en-US" w:eastAsia="zh-CN"/>
        </w:rPr>
      </w:pPr>
      <w:r>
        <w:rPr>
          <w:rFonts w:hint="eastAsia" w:ascii="Times New Roman" w:hAnsi="Times New Roman" w:eastAsia="楷体_GB2312"/>
          <w:b w:val="0"/>
          <w:bCs/>
          <w:color w:val="auto"/>
          <w:sz w:val="32"/>
          <w:szCs w:val="32"/>
          <w:highlight w:val="none"/>
          <w:u w:val="none"/>
          <w:lang w:val="en-US" w:eastAsia="zh-CN"/>
        </w:rPr>
        <w:t>（二）</w:t>
      </w:r>
      <w:r>
        <w:rPr>
          <w:rFonts w:hint="default" w:ascii="Times New Roman" w:hAnsi="Times New Roman" w:eastAsia="楷体_GB2312"/>
          <w:b w:val="0"/>
          <w:bCs/>
          <w:color w:val="auto"/>
          <w:sz w:val="32"/>
          <w:szCs w:val="32"/>
          <w:highlight w:val="none"/>
          <w:u w:val="none"/>
          <w:lang w:val="en-US" w:eastAsia="zh-CN"/>
        </w:rPr>
        <w:t>实施目的及支持方向</w:t>
      </w:r>
    </w:p>
    <w:p w14:paraId="3513F83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宋体" w:eastAsia="仿宋_GB2312" w:cs="Times New Roman"/>
          <w:b w:val="0"/>
          <w:bCs w:val="0"/>
          <w:kern w:val="2"/>
          <w:sz w:val="32"/>
          <w:szCs w:val="32"/>
          <w:lang w:val="zh-CN" w:eastAsia="zh-CN" w:bidi="ar-SA"/>
        </w:rPr>
        <w:t>项目主要内容是</w:t>
      </w:r>
      <w:r>
        <w:rPr>
          <w:rFonts w:hint="eastAsia" w:ascii="仿宋_GB2312" w:hAnsi="宋体" w:eastAsia="仿宋_GB2312" w:cs="Times New Roman"/>
          <w:b w:val="0"/>
          <w:bCs w:val="0"/>
          <w:kern w:val="2"/>
          <w:sz w:val="32"/>
          <w:szCs w:val="32"/>
          <w:lang w:val="en-US" w:eastAsia="zh-CN" w:bidi="ar-SA"/>
        </w:rPr>
        <w:t>用于保障全镇5个行政村道路交通及安全生产等。</w:t>
      </w:r>
    </w:p>
    <w:p w14:paraId="59F48D6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楷体_GB2312"/>
          <w:b w:val="0"/>
          <w:bCs/>
          <w:color w:val="auto"/>
          <w:sz w:val="32"/>
          <w:szCs w:val="32"/>
          <w:highlight w:val="none"/>
          <w:u w:val="none"/>
          <w:lang w:val="zh-CN" w:eastAsia="zh-CN"/>
        </w:rPr>
      </w:pPr>
      <w:r>
        <w:rPr>
          <w:rFonts w:hint="eastAsia" w:eastAsia="楷体_GB2312"/>
          <w:b w:val="0"/>
          <w:bCs/>
          <w:color w:val="auto"/>
          <w:sz w:val="32"/>
          <w:szCs w:val="32"/>
          <w:highlight w:val="none"/>
          <w:u w:val="none"/>
          <w:lang w:val="en-US" w:eastAsia="zh-CN"/>
        </w:rPr>
        <w:t>（三）</w:t>
      </w:r>
      <w:r>
        <w:rPr>
          <w:rFonts w:hint="default" w:ascii="Times New Roman" w:hAnsi="Times New Roman" w:eastAsia="楷体_GB2312"/>
          <w:b w:val="0"/>
          <w:bCs/>
          <w:color w:val="auto"/>
          <w:sz w:val="32"/>
          <w:szCs w:val="32"/>
          <w:highlight w:val="none"/>
          <w:u w:val="none"/>
          <w:lang w:val="en-US" w:eastAsia="zh-CN"/>
        </w:rPr>
        <w:t>预算安排及分配管理</w:t>
      </w:r>
    </w:p>
    <w:p w14:paraId="37ECCF4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Times New Roman"/>
          <w:b w:val="0"/>
          <w:bCs w:val="0"/>
          <w:kern w:val="2"/>
          <w:sz w:val="32"/>
          <w:szCs w:val="32"/>
          <w:lang w:val="en-US" w:eastAsia="zh-CN" w:bidi="ar-SA"/>
        </w:rPr>
      </w:pPr>
      <w:r>
        <w:rPr>
          <w:rFonts w:hint="eastAsia" w:ascii="仿宋_GB2312" w:hAnsi="宋体" w:eastAsia="仿宋_GB2312" w:cs="Times New Roman"/>
          <w:b w:val="0"/>
          <w:bCs w:val="0"/>
          <w:kern w:val="2"/>
          <w:sz w:val="32"/>
          <w:szCs w:val="32"/>
          <w:lang w:val="zh-CN" w:eastAsia="zh-CN" w:bidi="ar-SA"/>
        </w:rPr>
        <w:t>项目于</w:t>
      </w:r>
      <w:r>
        <w:rPr>
          <w:rFonts w:hint="eastAsia" w:ascii="仿宋_GB2312" w:hAnsi="宋体" w:eastAsia="仿宋_GB2312" w:cs="Times New Roman"/>
          <w:b w:val="0"/>
          <w:bCs w:val="0"/>
          <w:kern w:val="2"/>
          <w:sz w:val="32"/>
          <w:szCs w:val="32"/>
          <w:lang w:val="en-US" w:eastAsia="zh-CN" w:bidi="ar-SA"/>
        </w:rPr>
        <w:t>2024年12月31日前完成</w:t>
      </w:r>
      <w:r>
        <w:rPr>
          <w:rFonts w:hint="eastAsia" w:ascii="仿宋_GB2312" w:hAnsi="宋体" w:eastAsia="仿宋_GB2312" w:cs="Times New Roman"/>
          <w:b w:val="0"/>
          <w:bCs w:val="0"/>
          <w:kern w:val="2"/>
          <w:sz w:val="32"/>
          <w:szCs w:val="32"/>
          <w:lang w:val="zh-CN" w:eastAsia="zh-CN" w:bidi="ar-SA"/>
        </w:rPr>
        <w:t>乡镇交管办劝导员生活补贴</w:t>
      </w:r>
      <w:r>
        <w:rPr>
          <w:rFonts w:hint="eastAsia" w:ascii="仿宋_GB2312" w:hAnsi="宋体" w:eastAsia="仿宋_GB2312" w:cs="Times New Roman"/>
          <w:b w:val="0"/>
          <w:bCs w:val="0"/>
          <w:kern w:val="2"/>
          <w:sz w:val="32"/>
          <w:szCs w:val="32"/>
          <w:lang w:val="en-US" w:eastAsia="zh-CN" w:bidi="ar-SA"/>
        </w:rPr>
        <w:t>发放及</w:t>
      </w:r>
      <w:r>
        <w:rPr>
          <w:rFonts w:hint="eastAsia" w:ascii="仿宋_GB2312" w:hAnsi="宋体" w:eastAsia="仿宋_GB2312" w:cs="Times New Roman"/>
          <w:b w:val="0"/>
          <w:bCs w:val="0"/>
          <w:kern w:val="2"/>
          <w:sz w:val="32"/>
          <w:szCs w:val="32"/>
          <w:lang w:val="zh-CN" w:eastAsia="zh-CN" w:bidi="ar-SA"/>
        </w:rPr>
        <w:t>乡镇交管办工作经费</w:t>
      </w:r>
      <w:r>
        <w:rPr>
          <w:rFonts w:hint="eastAsia" w:ascii="仿宋_GB2312" w:hAnsi="宋体" w:eastAsia="仿宋_GB2312" w:cs="Times New Roman"/>
          <w:b w:val="0"/>
          <w:bCs w:val="0"/>
          <w:kern w:val="2"/>
          <w:sz w:val="32"/>
          <w:szCs w:val="32"/>
          <w:lang w:val="en-US" w:eastAsia="zh-CN" w:bidi="ar-SA"/>
        </w:rPr>
        <w:t>支付，群众满意度100%。</w:t>
      </w:r>
    </w:p>
    <w:p w14:paraId="7DBB9AB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楷体_GB2312" w:cs="Times New Roman"/>
          <w:b w:val="0"/>
          <w:bCs/>
          <w:color w:val="auto"/>
          <w:sz w:val="32"/>
          <w:szCs w:val="32"/>
          <w:highlight w:val="none"/>
          <w:u w:val="none"/>
          <w:lang w:val="zh-CN" w:eastAsia="zh-CN"/>
        </w:rPr>
      </w:pPr>
      <w:r>
        <w:rPr>
          <w:rFonts w:hint="eastAsia" w:eastAsia="楷体_GB2312" w:cs="Times New Roman"/>
          <w:b w:val="0"/>
          <w:bCs/>
          <w:color w:val="auto"/>
          <w:sz w:val="32"/>
          <w:szCs w:val="32"/>
          <w:highlight w:val="none"/>
          <w:u w:val="none"/>
          <w:lang w:val="zh-CN" w:eastAsia="zh-CN"/>
        </w:rPr>
        <w:t>（四）</w:t>
      </w:r>
      <w:r>
        <w:rPr>
          <w:rFonts w:hint="eastAsia" w:ascii="Times New Roman" w:hAnsi="Times New Roman" w:eastAsia="楷体_GB2312" w:cs="Times New Roman"/>
          <w:b w:val="0"/>
          <w:bCs/>
          <w:color w:val="auto"/>
          <w:sz w:val="32"/>
          <w:szCs w:val="32"/>
          <w:highlight w:val="none"/>
          <w:u w:val="none"/>
          <w:lang w:val="zh-CN" w:eastAsia="zh-CN"/>
        </w:rPr>
        <w:t>项目绩效目标设置</w:t>
      </w:r>
    </w:p>
    <w:p w14:paraId="6C441AA7">
      <w:pPr>
        <w:pStyle w:val="2"/>
        <w:numPr>
          <w:ilvl w:val="0"/>
          <w:numId w:val="0"/>
        </w:numPr>
        <w:ind w:firstLine="640" w:firstLineChars="200"/>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2024年</w:t>
      </w:r>
      <w:r>
        <w:rPr>
          <w:rStyle w:val="22"/>
          <w:rFonts w:hint="eastAsia" w:ascii="仿宋_GB2312" w:hAnsi="Times New Roman" w:eastAsia="仿宋_GB2312" w:cs="仿宋_GB2312"/>
          <w:b w:val="0"/>
          <w:bCs w:val="0"/>
          <w:i w:val="0"/>
          <w:iCs w:val="0"/>
          <w:caps w:val="0"/>
          <w:color w:val="000000"/>
          <w:spacing w:val="0"/>
          <w:kern w:val="0"/>
          <w:sz w:val="32"/>
          <w:szCs w:val="32"/>
          <w:shd w:val="clear" w:fill="FFFFFF"/>
          <w:lang w:val="zh-CN" w:eastAsia="zh-CN" w:bidi="ar"/>
        </w:rPr>
        <w:t>乡镇交管办劝导员补贴及乡镇交管办工作经费</w:t>
      </w:r>
      <w:r>
        <w:rPr>
          <w:rFonts w:hint="default" w:ascii="Times New Roman" w:hAnsi="Times New Roman" w:eastAsia="仿宋_GB2312" w:cs="仿宋_GB2312"/>
          <w:b w:val="0"/>
          <w:bCs w:val="0"/>
          <w:kern w:val="0"/>
          <w:position w:val="0"/>
          <w:sz w:val="32"/>
          <w:szCs w:val="32"/>
          <w:highlight w:val="none"/>
          <w:lang w:val="zh-CN" w:eastAsia="zh-CN" w:bidi="ar-SA"/>
        </w:rPr>
        <w:t>红旗镇共计预算</w:t>
      </w:r>
      <w:r>
        <w:rPr>
          <w:rFonts w:hint="eastAsia" w:eastAsia="仿宋_GB2312" w:cs="仿宋_GB2312"/>
          <w:b w:val="0"/>
          <w:bCs w:val="0"/>
          <w:kern w:val="0"/>
          <w:position w:val="0"/>
          <w:sz w:val="32"/>
          <w:szCs w:val="32"/>
          <w:highlight w:val="none"/>
          <w:lang w:val="en-US" w:eastAsia="zh-CN" w:bidi="ar-SA"/>
        </w:rPr>
        <w:t>1.8</w:t>
      </w:r>
      <w:r>
        <w:rPr>
          <w:rFonts w:hint="default" w:ascii="Times New Roman" w:hAnsi="Times New Roman" w:eastAsia="仿宋_GB2312" w:cs="仿宋_GB2312"/>
          <w:b w:val="0"/>
          <w:bCs w:val="0"/>
          <w:kern w:val="0"/>
          <w:position w:val="0"/>
          <w:sz w:val="32"/>
          <w:szCs w:val="32"/>
          <w:highlight w:val="none"/>
          <w:lang w:val="zh-CN" w:eastAsia="zh-CN" w:bidi="ar-SA"/>
        </w:rPr>
        <w:t>万元，实际支付</w:t>
      </w:r>
      <w:r>
        <w:rPr>
          <w:rFonts w:hint="eastAsia" w:eastAsia="仿宋_GB2312" w:cs="仿宋_GB2312"/>
          <w:b w:val="0"/>
          <w:bCs w:val="0"/>
          <w:kern w:val="0"/>
          <w:position w:val="0"/>
          <w:sz w:val="32"/>
          <w:szCs w:val="32"/>
          <w:highlight w:val="none"/>
          <w:lang w:val="en-US" w:eastAsia="zh-CN" w:bidi="ar-SA"/>
        </w:rPr>
        <w:t>1.8</w:t>
      </w:r>
      <w:r>
        <w:rPr>
          <w:rFonts w:hint="default" w:ascii="Times New Roman" w:hAnsi="Times New Roman" w:eastAsia="仿宋_GB2312" w:cs="仿宋_GB2312"/>
          <w:b w:val="0"/>
          <w:bCs w:val="0"/>
          <w:kern w:val="0"/>
          <w:position w:val="0"/>
          <w:sz w:val="32"/>
          <w:szCs w:val="32"/>
          <w:highlight w:val="none"/>
          <w:lang w:val="zh-CN" w:eastAsia="zh-CN" w:bidi="ar-SA"/>
        </w:rPr>
        <w:t>万元。</w:t>
      </w:r>
    </w:p>
    <w:p w14:paraId="3CC8EE5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0" w:firstLineChars="200"/>
        <w:textAlignment w:val="auto"/>
        <w:outlineLvl w:val="9"/>
        <w:rPr>
          <w:rFonts w:hint="eastAsia" w:ascii="Times New Roman" w:hAnsi="Times New Roman" w:eastAsia="黑体"/>
          <w:sz w:val="32"/>
          <w:szCs w:val="32"/>
          <w:highlight w:val="none"/>
          <w:lang w:eastAsia="zh-CN"/>
        </w:rPr>
      </w:pPr>
      <w:r>
        <w:rPr>
          <w:rFonts w:hint="eastAsia" w:eastAsia="黑体"/>
          <w:sz w:val="32"/>
          <w:szCs w:val="32"/>
          <w:highlight w:val="none"/>
          <w:lang w:val="en-US" w:eastAsia="zh-CN"/>
        </w:rPr>
        <w:t>二、</w:t>
      </w:r>
      <w:r>
        <w:rPr>
          <w:rFonts w:hint="eastAsia" w:ascii="Times New Roman" w:hAnsi="Times New Roman" w:eastAsia="黑体"/>
          <w:sz w:val="32"/>
          <w:szCs w:val="32"/>
          <w:highlight w:val="none"/>
          <w:lang w:eastAsia="zh-CN"/>
        </w:rPr>
        <w:t>评价实施</w:t>
      </w:r>
    </w:p>
    <w:p w14:paraId="1FCFF9A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en-US" w:eastAsia="zh-CN" w:bidi="ar-SA"/>
        </w:rPr>
        <w:t>按</w:t>
      </w:r>
      <w:r>
        <w:rPr>
          <w:rFonts w:hint="eastAsia" w:ascii="仿宋_GB2312" w:hAnsi="宋体" w:eastAsia="仿宋_GB2312" w:cs="Times New Roman"/>
          <w:b w:val="0"/>
          <w:bCs w:val="0"/>
          <w:kern w:val="2"/>
          <w:sz w:val="32"/>
          <w:szCs w:val="32"/>
          <w:lang w:val="zh-CN" w:eastAsia="zh-CN" w:bidi="ar-SA"/>
        </w:rPr>
        <w:t>《</w:t>
      </w:r>
      <w:r>
        <w:rPr>
          <w:rFonts w:hint="eastAsia" w:ascii="仿宋_GB2312" w:hAnsi="宋体" w:eastAsia="仿宋_GB2312" w:cs="Times New Roman"/>
          <w:b w:val="0"/>
          <w:bCs w:val="0"/>
          <w:kern w:val="2"/>
          <w:sz w:val="32"/>
          <w:szCs w:val="32"/>
          <w:lang w:val="en-US" w:eastAsia="zh-CN" w:bidi="ar-SA"/>
        </w:rPr>
        <w:t>四川省人民政府办公厅关于印发建立健全全省农村道路交通安全管理工作机制实施方案的通知》的文件精神，</w:t>
      </w:r>
      <w:r>
        <w:rPr>
          <w:rFonts w:hint="eastAsia" w:ascii="仿宋_GB2312" w:hAnsi="宋体" w:eastAsia="仿宋_GB2312" w:cs="Times New Roman"/>
          <w:b w:val="0"/>
          <w:bCs w:val="0"/>
          <w:kern w:val="2"/>
          <w:sz w:val="32"/>
          <w:szCs w:val="32"/>
          <w:lang w:val="zh-CN" w:eastAsia="zh-CN" w:bidi="ar-SA"/>
        </w:rPr>
        <w:t>此项目预算资金</w:t>
      </w:r>
      <w:r>
        <w:rPr>
          <w:rFonts w:hint="eastAsia" w:ascii="仿宋_GB2312" w:hAnsi="宋体" w:eastAsia="仿宋_GB2312" w:cs="Times New Roman"/>
          <w:b w:val="0"/>
          <w:bCs w:val="0"/>
          <w:kern w:val="2"/>
          <w:sz w:val="32"/>
          <w:szCs w:val="32"/>
          <w:lang w:val="en-US" w:eastAsia="zh-CN" w:bidi="ar-SA"/>
        </w:rPr>
        <w:t>1.8万</w:t>
      </w:r>
      <w:r>
        <w:rPr>
          <w:rFonts w:hint="eastAsia" w:ascii="仿宋_GB2312" w:hAnsi="宋体" w:eastAsia="仿宋_GB2312" w:cs="Times New Roman"/>
          <w:b w:val="0"/>
          <w:bCs w:val="0"/>
          <w:kern w:val="2"/>
          <w:sz w:val="32"/>
          <w:szCs w:val="32"/>
          <w:lang w:val="zh-CN" w:eastAsia="zh-CN" w:bidi="ar-SA"/>
        </w:rPr>
        <w:t>元按照</w:t>
      </w:r>
      <w:r>
        <w:rPr>
          <w:rFonts w:hint="eastAsia" w:ascii="仿宋_GB2312" w:hAnsi="宋体" w:eastAsia="仿宋_GB2312" w:cs="Times New Roman"/>
          <w:b w:val="0"/>
          <w:bCs w:val="0"/>
          <w:kern w:val="2"/>
          <w:sz w:val="32"/>
          <w:szCs w:val="32"/>
          <w:lang w:val="en-US" w:eastAsia="zh-CN" w:bidi="ar-SA"/>
        </w:rPr>
        <w:t>文件要求完成</w:t>
      </w:r>
      <w:r>
        <w:rPr>
          <w:rFonts w:hint="eastAsia" w:ascii="仿宋_GB2312" w:hAnsi="宋体" w:eastAsia="仿宋_GB2312" w:cs="Times New Roman"/>
          <w:b w:val="0"/>
          <w:bCs w:val="0"/>
          <w:kern w:val="2"/>
          <w:sz w:val="32"/>
          <w:szCs w:val="32"/>
          <w:lang w:val="zh-CN" w:eastAsia="zh-CN" w:bidi="ar-SA"/>
        </w:rPr>
        <w:t>乡镇交管办劝导员补贴</w:t>
      </w:r>
      <w:r>
        <w:rPr>
          <w:rFonts w:hint="eastAsia" w:ascii="仿宋_GB2312" w:hAnsi="宋体" w:eastAsia="仿宋_GB2312" w:cs="Times New Roman"/>
          <w:b w:val="0"/>
          <w:bCs w:val="0"/>
          <w:kern w:val="2"/>
          <w:sz w:val="32"/>
          <w:szCs w:val="32"/>
          <w:lang w:val="en-US" w:eastAsia="zh-CN" w:bidi="ar-SA"/>
        </w:rPr>
        <w:t>发放及</w:t>
      </w:r>
      <w:r>
        <w:rPr>
          <w:rFonts w:hint="eastAsia" w:ascii="仿宋_GB2312" w:hAnsi="宋体" w:eastAsia="仿宋_GB2312" w:cs="Times New Roman"/>
          <w:b w:val="0"/>
          <w:bCs w:val="0"/>
          <w:kern w:val="2"/>
          <w:sz w:val="32"/>
          <w:szCs w:val="32"/>
          <w:lang w:val="zh-CN" w:eastAsia="zh-CN" w:bidi="ar-SA"/>
        </w:rPr>
        <w:t>乡镇交管办工作经费</w:t>
      </w:r>
      <w:r>
        <w:rPr>
          <w:rFonts w:hint="eastAsia" w:ascii="仿宋_GB2312" w:hAnsi="宋体" w:eastAsia="仿宋_GB2312" w:cs="Times New Roman"/>
          <w:b w:val="0"/>
          <w:bCs w:val="0"/>
          <w:kern w:val="2"/>
          <w:sz w:val="32"/>
          <w:szCs w:val="32"/>
          <w:lang w:val="en-US" w:eastAsia="zh-CN" w:bidi="ar-SA"/>
        </w:rPr>
        <w:t>支付，主要用于乡镇交管办劝导员生活补贴的发放、交管办劝导员的服装、工具、标识标牌广告制作等，支付依据合规合法，资金支付与预算相符。</w:t>
      </w:r>
    </w:p>
    <w:p w14:paraId="7488E23D">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0" w:firstLine="640" w:firstLineChars="200"/>
        <w:textAlignment w:val="auto"/>
        <w:rPr>
          <w:rFonts w:hint="eastAsia" w:ascii="Times New Roman" w:hAnsi="Times New Roman"/>
          <w:color w:val="auto"/>
          <w:sz w:val="32"/>
          <w:szCs w:val="32"/>
          <w:highlight w:val="none"/>
          <w:u w:val="none"/>
          <w:lang w:val="zh-CN"/>
        </w:rPr>
      </w:pPr>
      <w:r>
        <w:rPr>
          <w:rFonts w:hint="eastAsia" w:eastAsia="黑体"/>
          <w:color w:val="auto"/>
          <w:sz w:val="32"/>
          <w:szCs w:val="32"/>
          <w:highlight w:val="none"/>
          <w:u w:val="none"/>
          <w:lang w:eastAsia="zh-CN"/>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52059BF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lang w:val="zh-CN"/>
        </w:rPr>
      </w:pPr>
      <w:r>
        <w:rPr>
          <w:rFonts w:hint="eastAsia" w:ascii="仿宋_GB2312" w:hAnsi="宋体" w:eastAsia="仿宋_GB2312" w:cs="Times New Roman"/>
          <w:b w:val="0"/>
          <w:bCs w:val="0"/>
          <w:kern w:val="2"/>
          <w:sz w:val="32"/>
          <w:szCs w:val="32"/>
          <w:lang w:val="zh-CN" w:eastAsia="zh-CN" w:bidi="ar-SA"/>
        </w:rPr>
        <w:t>该项目</w:t>
      </w:r>
      <w:r>
        <w:rPr>
          <w:rFonts w:hint="eastAsia" w:ascii="仿宋_GB2312" w:hAnsi="宋体" w:eastAsia="仿宋_GB2312" w:cs="Times New Roman"/>
          <w:b w:val="0"/>
          <w:bCs w:val="0"/>
          <w:kern w:val="2"/>
          <w:sz w:val="32"/>
          <w:szCs w:val="32"/>
          <w:lang w:val="en-US" w:eastAsia="zh-CN" w:bidi="ar-SA"/>
        </w:rPr>
        <w:t>全面保障</w:t>
      </w:r>
      <w:r>
        <w:rPr>
          <w:rFonts w:hint="eastAsia" w:ascii="仿宋_GB2312" w:hAnsi="宋体" w:eastAsia="仿宋_GB2312" w:cs="Times New Roman"/>
          <w:b w:val="0"/>
          <w:bCs w:val="0"/>
          <w:kern w:val="2"/>
          <w:sz w:val="32"/>
          <w:szCs w:val="32"/>
          <w:lang w:val="zh-CN" w:eastAsia="zh-CN" w:bidi="ar-SA"/>
        </w:rPr>
        <w:t>镇交管办安全工作的正常运行，镇交管办</w:t>
      </w:r>
      <w:r>
        <w:rPr>
          <w:rFonts w:hint="eastAsia" w:ascii="仿宋_GB2312" w:hAnsi="宋体" w:eastAsia="仿宋_GB2312" w:cs="Times New Roman"/>
          <w:b w:val="0"/>
          <w:bCs w:val="0"/>
          <w:kern w:val="2"/>
          <w:sz w:val="32"/>
          <w:szCs w:val="32"/>
          <w:lang w:val="en-US" w:eastAsia="zh-CN" w:bidi="ar-SA"/>
        </w:rPr>
        <w:t>每月定期开展道路隐患排查；入学校、入企业、入医院宣传道路交通安全。项目资金</w:t>
      </w:r>
      <w:r>
        <w:rPr>
          <w:rFonts w:hint="eastAsia" w:ascii="仿宋_GB2312" w:hAnsi="仿宋_GB2312" w:eastAsia="仿宋_GB2312" w:cs="仿宋_GB2312"/>
          <w:kern w:val="2"/>
          <w:sz w:val="32"/>
          <w:szCs w:val="32"/>
          <w:lang w:val="en-US" w:eastAsia="zh-CN" w:bidi="ar-SA"/>
        </w:rPr>
        <w:t>在规定的时限内按照相关要求进行报账，成本控制在预算之内。</w:t>
      </w:r>
    </w:p>
    <w:p w14:paraId="46083926">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0BEF5A2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lang w:val="en-US" w:eastAsia="zh-CN"/>
        </w:rPr>
      </w:pPr>
      <w:r>
        <w:rPr>
          <w:rFonts w:hint="eastAsia" w:ascii="仿宋_GB2312" w:hAnsi="宋体" w:eastAsia="仿宋_GB2312" w:cs="Times New Roman"/>
          <w:b w:val="0"/>
          <w:bCs w:val="0"/>
          <w:kern w:val="2"/>
          <w:sz w:val="32"/>
          <w:szCs w:val="32"/>
          <w:lang w:val="zh-CN" w:eastAsia="zh-CN" w:bidi="ar-SA"/>
        </w:rPr>
        <w:t>通过项目的实施，全镇</w:t>
      </w:r>
      <w:r>
        <w:rPr>
          <w:rFonts w:hint="eastAsia" w:ascii="仿宋_GB2312" w:hAnsi="宋体" w:eastAsia="仿宋_GB2312" w:cs="Times New Roman"/>
          <w:b w:val="0"/>
          <w:bCs w:val="0"/>
          <w:kern w:val="2"/>
          <w:sz w:val="32"/>
          <w:szCs w:val="32"/>
          <w:lang w:val="en-US" w:eastAsia="zh-CN" w:bidi="ar-SA"/>
        </w:rPr>
        <w:t>道路交通安全及安全生产等各方面得到了</w:t>
      </w:r>
      <w:r>
        <w:rPr>
          <w:rFonts w:hint="eastAsia" w:ascii="仿宋_GB2312" w:hAnsi="宋体" w:eastAsia="仿宋_GB2312" w:cs="Times New Roman"/>
          <w:b w:val="0"/>
          <w:bCs w:val="0"/>
          <w:kern w:val="2"/>
          <w:sz w:val="32"/>
          <w:szCs w:val="32"/>
          <w:lang w:val="zh-CN" w:eastAsia="zh-CN" w:bidi="ar-SA"/>
        </w:rPr>
        <w:t>改善，</w:t>
      </w:r>
      <w:r>
        <w:rPr>
          <w:rFonts w:hint="eastAsia" w:ascii="仿宋_GB2312" w:hAnsi="宋体" w:eastAsia="仿宋_GB2312" w:cs="Times New Roman"/>
          <w:b w:val="0"/>
          <w:bCs w:val="0"/>
          <w:kern w:val="2"/>
          <w:sz w:val="32"/>
          <w:szCs w:val="32"/>
          <w:lang w:val="en-US" w:eastAsia="zh-CN" w:bidi="ar-SA"/>
        </w:rPr>
        <w:t>有效地保障了群众及各驻镇企事业单位的生命财产安全</w:t>
      </w:r>
      <w:r>
        <w:rPr>
          <w:rFonts w:hint="eastAsia" w:ascii="仿宋_GB2312" w:hAnsi="宋体" w:eastAsia="仿宋_GB2312" w:cs="Times New Roman"/>
          <w:b w:val="0"/>
          <w:bCs w:val="0"/>
          <w:kern w:val="2"/>
          <w:sz w:val="32"/>
          <w:szCs w:val="32"/>
          <w:lang w:val="zh-CN" w:eastAsia="zh-CN" w:bidi="ar-SA"/>
        </w:rPr>
        <w:t>。</w:t>
      </w:r>
    </w:p>
    <w:p w14:paraId="7971A77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27FD811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14:paraId="3DC92AD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31264D3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黑体" w:cs="黑体"/>
          <w:color w:val="auto"/>
          <w:kern w:val="0"/>
          <w:sz w:val="32"/>
          <w:szCs w:val="32"/>
          <w:highlight w:val="none"/>
          <w:shd w:val="clear" w:color="auto" w:fill="FFFFFF"/>
          <w:lang w:val="zh-CN"/>
        </w:rPr>
      </w:pPr>
      <w:r>
        <w:rPr>
          <w:rFonts w:hint="eastAsia" w:ascii="仿宋_GB2312" w:hAnsi="仿宋_GB2312" w:eastAsia="仿宋_GB2312" w:cs="仿宋_GB2312"/>
          <w:kern w:val="2"/>
          <w:sz w:val="32"/>
          <w:szCs w:val="32"/>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2B6E6C8">
      <w:pPr>
        <w:widowControl/>
        <w:jc w:val="center"/>
        <w:rPr>
          <w:rFonts w:hint="eastAsia" w:ascii="方正小标宋简体" w:hAnsi="方正小标宋简体" w:eastAsia="方正小标宋简体" w:cs="方正小标宋简体"/>
          <w:b w:val="0"/>
          <w:color w:val="auto"/>
          <w:sz w:val="44"/>
          <w:szCs w:val="44"/>
          <w:highlight w:val="none"/>
        </w:rPr>
      </w:pPr>
      <w:bookmarkStart w:id="90" w:name="_Toc15396618"/>
      <w:r>
        <w:rPr>
          <w:rFonts w:hint="eastAsia" w:ascii="方正小标宋简体" w:hAnsi="方正小标宋简体" w:eastAsia="方正小标宋简体" w:cs="方正小标宋简体"/>
          <w:color w:val="auto"/>
          <w:sz w:val="44"/>
          <w:szCs w:val="44"/>
          <w:highlight w:val="none"/>
        </w:rPr>
        <w:t>第</w:t>
      </w:r>
      <w:r>
        <w:rPr>
          <w:rStyle w:val="33"/>
          <w:rFonts w:hint="eastAsia" w:ascii="方正小标宋简体" w:hAnsi="方正小标宋简体" w:eastAsia="方正小标宋简体" w:cs="方正小标宋简体"/>
          <w:b w:val="0"/>
          <w:color w:val="auto"/>
          <w:sz w:val="44"/>
          <w:szCs w:val="44"/>
          <w:highlight w:val="none"/>
        </w:rPr>
        <w:t>五部分 附表</w:t>
      </w:r>
      <w:bookmarkEnd w:id="86"/>
      <w:bookmarkEnd w:id="90"/>
      <w:bookmarkStart w:id="91" w:name="_Toc15396619"/>
    </w:p>
    <w:p w14:paraId="1E150E9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DC72F7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91"/>
    </w:p>
    <w:p w14:paraId="6C33DA2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2" w:name="_Toc15396620"/>
      <w:r>
        <w:rPr>
          <w:rFonts w:hint="eastAsia" w:ascii="Times New Roman" w:hAnsi="Times New Roman" w:eastAsia="仿宋_GB2312" w:cs="仿宋_GB2312"/>
          <w:color w:val="auto"/>
          <w:sz w:val="32"/>
          <w:szCs w:val="32"/>
          <w:highlight w:val="none"/>
        </w:rPr>
        <w:t>二、收入决算表</w:t>
      </w:r>
      <w:bookmarkEnd w:id="92"/>
    </w:p>
    <w:p w14:paraId="58E9A63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3" w:name="_Toc15396621"/>
      <w:r>
        <w:rPr>
          <w:rFonts w:hint="eastAsia" w:ascii="Times New Roman" w:hAnsi="Times New Roman" w:eastAsia="仿宋_GB2312" w:cs="仿宋_GB2312"/>
          <w:color w:val="auto"/>
          <w:sz w:val="32"/>
          <w:szCs w:val="32"/>
          <w:highlight w:val="none"/>
        </w:rPr>
        <w:t>三、支出决算表</w:t>
      </w:r>
      <w:bookmarkEnd w:id="93"/>
    </w:p>
    <w:p w14:paraId="4F9585C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4" w:name="_Toc15396622"/>
      <w:r>
        <w:rPr>
          <w:rFonts w:hint="eastAsia" w:ascii="Times New Roman" w:hAnsi="Times New Roman" w:eastAsia="仿宋_GB2312" w:cs="仿宋_GB2312"/>
          <w:color w:val="auto"/>
          <w:sz w:val="32"/>
          <w:szCs w:val="32"/>
          <w:highlight w:val="none"/>
        </w:rPr>
        <w:t>四、财政拨款收入支出决算总表</w:t>
      </w:r>
      <w:bookmarkEnd w:id="94"/>
    </w:p>
    <w:p w14:paraId="01911B4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5" w:name="_Toc15396623"/>
      <w:r>
        <w:rPr>
          <w:rFonts w:hint="eastAsia" w:ascii="Times New Roman" w:hAnsi="Times New Roman" w:eastAsia="仿宋_GB2312" w:cs="仿宋_GB2312"/>
          <w:color w:val="auto"/>
          <w:sz w:val="32"/>
          <w:szCs w:val="32"/>
          <w:highlight w:val="none"/>
        </w:rPr>
        <w:t>五、财政拨款支出决算明细表</w:t>
      </w:r>
      <w:bookmarkEnd w:id="95"/>
      <w:bookmarkStart w:id="96" w:name="_Toc15396624"/>
    </w:p>
    <w:p w14:paraId="104F363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96"/>
    </w:p>
    <w:p w14:paraId="3C75563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7" w:name="_Toc15396625"/>
      <w:r>
        <w:rPr>
          <w:rFonts w:hint="eastAsia" w:ascii="Times New Roman" w:hAnsi="Times New Roman" w:eastAsia="仿宋_GB2312" w:cs="仿宋_GB2312"/>
          <w:color w:val="auto"/>
          <w:sz w:val="32"/>
          <w:szCs w:val="32"/>
          <w:highlight w:val="none"/>
        </w:rPr>
        <w:t>七、一般公共预算财政拨款支出决算明细表</w:t>
      </w:r>
      <w:bookmarkEnd w:id="97"/>
    </w:p>
    <w:p w14:paraId="6EC3C8B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8" w:name="_Toc15396626"/>
      <w:r>
        <w:rPr>
          <w:rFonts w:hint="eastAsia" w:ascii="Times New Roman" w:hAnsi="Times New Roman" w:eastAsia="仿宋_GB2312" w:cs="仿宋_GB2312"/>
          <w:color w:val="auto"/>
          <w:sz w:val="32"/>
          <w:szCs w:val="32"/>
          <w:highlight w:val="none"/>
        </w:rPr>
        <w:t>八、一般公共预算财政拨款基本支出决算表</w:t>
      </w:r>
      <w:bookmarkEnd w:id="98"/>
    </w:p>
    <w:p w14:paraId="6A26D28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9" w:name="_Toc15396627"/>
      <w:r>
        <w:rPr>
          <w:rFonts w:hint="eastAsia" w:ascii="Times New Roman" w:hAnsi="Times New Roman" w:eastAsia="仿宋_GB2312" w:cs="仿宋_GB2312"/>
          <w:color w:val="auto"/>
          <w:sz w:val="32"/>
          <w:szCs w:val="32"/>
          <w:highlight w:val="none"/>
        </w:rPr>
        <w:t>九、一般公共预算财政拨款项目支出决算表</w:t>
      </w:r>
      <w:bookmarkEnd w:id="99"/>
    </w:p>
    <w:p w14:paraId="56C0EDA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0" w:name="_Toc15396628"/>
      <w:r>
        <w:rPr>
          <w:rFonts w:hint="eastAsia" w:ascii="Times New Roman" w:hAnsi="Times New Roman" w:eastAsia="仿宋_GB2312" w:cs="仿宋_GB2312"/>
          <w:color w:val="auto"/>
          <w:sz w:val="32"/>
          <w:szCs w:val="32"/>
          <w:highlight w:val="none"/>
        </w:rPr>
        <w:t>十、</w:t>
      </w:r>
      <w:bookmarkEnd w:id="100"/>
      <w:r>
        <w:rPr>
          <w:rFonts w:hint="eastAsia" w:ascii="Times New Roman" w:hAnsi="Times New Roman" w:eastAsia="仿宋_GB2312" w:cs="仿宋_GB2312"/>
          <w:color w:val="auto"/>
          <w:sz w:val="32"/>
          <w:szCs w:val="32"/>
          <w:highlight w:val="none"/>
        </w:rPr>
        <w:t>政府性基金预算财政拨款收入支出决算表</w:t>
      </w:r>
    </w:p>
    <w:p w14:paraId="388E815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1" w:name="_Toc15396629"/>
      <w:r>
        <w:rPr>
          <w:rFonts w:hint="eastAsia" w:ascii="Times New Roman" w:hAnsi="Times New Roman" w:eastAsia="仿宋_GB2312" w:cs="仿宋_GB2312"/>
          <w:color w:val="auto"/>
          <w:sz w:val="32"/>
          <w:szCs w:val="32"/>
          <w:highlight w:val="none"/>
        </w:rPr>
        <w:t>十一、</w:t>
      </w:r>
      <w:bookmarkEnd w:id="10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C158D9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2" w:name="_Toc15396630"/>
      <w:r>
        <w:rPr>
          <w:rFonts w:hint="eastAsia" w:ascii="Times New Roman" w:hAnsi="Times New Roman" w:eastAsia="仿宋_GB2312" w:cs="仿宋_GB2312"/>
          <w:color w:val="auto"/>
          <w:sz w:val="32"/>
          <w:szCs w:val="32"/>
          <w:highlight w:val="none"/>
        </w:rPr>
        <w:t>十二、</w:t>
      </w:r>
      <w:bookmarkEnd w:id="102"/>
      <w:r>
        <w:rPr>
          <w:rFonts w:hint="eastAsia" w:ascii="Times New Roman" w:hAnsi="Times New Roman" w:eastAsia="仿宋_GB2312" w:cs="仿宋_GB2312"/>
          <w:color w:val="auto"/>
          <w:sz w:val="32"/>
          <w:szCs w:val="32"/>
          <w:highlight w:val="none"/>
          <w:lang w:eastAsia="zh-CN"/>
        </w:rPr>
        <w:t>国有资本经营预算财政拨款支出决算表</w:t>
      </w:r>
    </w:p>
    <w:p w14:paraId="4339749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03" w:name="_Toc15396631"/>
      <w:r>
        <w:rPr>
          <w:rFonts w:hint="eastAsia" w:ascii="Times New Roman" w:hAnsi="Times New Roman" w:eastAsia="仿宋_GB2312" w:cs="仿宋_GB2312"/>
          <w:color w:val="auto"/>
          <w:sz w:val="32"/>
          <w:szCs w:val="32"/>
          <w:highlight w:val="none"/>
        </w:rPr>
        <w:t>十三、</w:t>
      </w:r>
      <w:bookmarkEnd w:id="103"/>
      <w:r>
        <w:rPr>
          <w:rFonts w:hint="eastAsia" w:ascii="Times New Roman" w:hAnsi="Times New Roman" w:eastAsia="仿宋_GB2312" w:cs="仿宋_GB2312"/>
          <w:color w:val="auto"/>
          <w:sz w:val="32"/>
          <w:szCs w:val="32"/>
          <w:highlight w:val="none"/>
          <w:lang w:eastAsia="zh-CN"/>
        </w:rPr>
        <w:t>财政拨款“三公”经费支出决算表</w:t>
      </w:r>
    </w:p>
    <w:p w14:paraId="1ECB4E82">
      <w:pPr>
        <w:rPr>
          <w:rFonts w:hint="eastAsia" w:ascii="Times New Roman" w:hAnsi="Times New Roman"/>
          <w:lang w:eastAsia="zh-CN"/>
        </w:rPr>
      </w:pPr>
    </w:p>
    <w:sectPr>
      <w:pgSz w:w="11906" w:h="16838"/>
      <w:pgMar w:top="2041" w:right="1468" w:bottom="1587" w:left="146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5293">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D9F87">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8CD9F87">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E4D39B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81D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03DAB">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8403DAB">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02E0">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B628B"/>
    <w:multiLevelType w:val="singleLevel"/>
    <w:tmpl w:val="CB1B628B"/>
    <w:lvl w:ilvl="0" w:tentative="0">
      <w:start w:val="2"/>
      <w:numFmt w:val="chineseCounting"/>
      <w:suff w:val="nothing"/>
      <w:lvlText w:val="（%1）"/>
      <w:lvlJc w:val="left"/>
      <w:rPr>
        <w:rFonts w:hint="eastAsia"/>
      </w:rPr>
    </w:lvl>
  </w:abstractNum>
  <w:abstractNum w:abstractNumId="1">
    <w:nsid w:val="F7D587E5"/>
    <w:multiLevelType w:val="singleLevel"/>
    <w:tmpl w:val="F7D587E5"/>
    <w:lvl w:ilvl="0" w:tentative="0">
      <w:start w:val="2"/>
      <w:numFmt w:val="chineseCounting"/>
      <w:suff w:val="nothing"/>
      <w:lvlText w:val="（%1）"/>
      <w:lvlJc w:val="left"/>
      <w:rPr>
        <w:rFonts w:hint="eastAsia"/>
      </w:rPr>
    </w:lvl>
  </w:abstractNum>
  <w:abstractNum w:abstractNumId="2">
    <w:nsid w:val="24E1BB14"/>
    <w:multiLevelType w:val="singleLevel"/>
    <w:tmpl w:val="24E1BB14"/>
    <w:lvl w:ilvl="0" w:tentative="0">
      <w:start w:val="2"/>
      <w:numFmt w:val="chineseCounting"/>
      <w:suff w:val="nothing"/>
      <w:lvlText w:val="（%1）"/>
      <w:lvlJc w:val="left"/>
      <w:rPr>
        <w:rFonts w:hint="eastAsia"/>
      </w:rPr>
    </w:lvl>
  </w:abstractNum>
  <w:abstractNum w:abstractNumId="3">
    <w:nsid w:val="40D9E8C7"/>
    <w:multiLevelType w:val="singleLevel"/>
    <w:tmpl w:val="40D9E8C7"/>
    <w:lvl w:ilvl="0" w:tentative="0">
      <w:start w:val="4"/>
      <w:numFmt w:val="chineseCounting"/>
      <w:suff w:val="nothing"/>
      <w:lvlText w:val="%1、"/>
      <w:lvlJc w:val="left"/>
      <w:rPr>
        <w:rFonts w:hint="eastAsia"/>
      </w:rPr>
    </w:lvl>
  </w:abstractNum>
  <w:abstractNum w:abstractNumId="4">
    <w:nsid w:val="7A6B1754"/>
    <w:multiLevelType w:val="singleLevel"/>
    <w:tmpl w:val="7A6B1754"/>
    <w:lvl w:ilvl="0" w:tentative="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MTQ5ODY0NWVjOGViZjZiZTM4YjczYjgxN2QxN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392C"/>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1C2CDE"/>
    <w:rsid w:val="061E35DE"/>
    <w:rsid w:val="066E0107"/>
    <w:rsid w:val="06CF27FE"/>
    <w:rsid w:val="07996F6E"/>
    <w:rsid w:val="07DFD8BA"/>
    <w:rsid w:val="097C160A"/>
    <w:rsid w:val="09867E8F"/>
    <w:rsid w:val="0A2032A3"/>
    <w:rsid w:val="0A6D7B38"/>
    <w:rsid w:val="0B1604C7"/>
    <w:rsid w:val="0CA8290A"/>
    <w:rsid w:val="0D35B1ED"/>
    <w:rsid w:val="0DF64C97"/>
    <w:rsid w:val="0E254B6B"/>
    <w:rsid w:val="0E3966AF"/>
    <w:rsid w:val="0E7664C8"/>
    <w:rsid w:val="0F98263C"/>
    <w:rsid w:val="101860EC"/>
    <w:rsid w:val="101F47CC"/>
    <w:rsid w:val="10C055FF"/>
    <w:rsid w:val="10CA5CE4"/>
    <w:rsid w:val="11694EBD"/>
    <w:rsid w:val="11772AA4"/>
    <w:rsid w:val="118107EC"/>
    <w:rsid w:val="12E24EE2"/>
    <w:rsid w:val="13D50BC4"/>
    <w:rsid w:val="14B17F78"/>
    <w:rsid w:val="165E0673"/>
    <w:rsid w:val="16B831D5"/>
    <w:rsid w:val="16BB723D"/>
    <w:rsid w:val="17B52C09"/>
    <w:rsid w:val="17E50567"/>
    <w:rsid w:val="186504BB"/>
    <w:rsid w:val="1913722B"/>
    <w:rsid w:val="19A445FC"/>
    <w:rsid w:val="1B240FC4"/>
    <w:rsid w:val="1B3266CB"/>
    <w:rsid w:val="1BE8440E"/>
    <w:rsid w:val="1D155CEE"/>
    <w:rsid w:val="1D1638FE"/>
    <w:rsid w:val="1E312DEB"/>
    <w:rsid w:val="1E740ACF"/>
    <w:rsid w:val="1FF35744"/>
    <w:rsid w:val="1FF6BC77"/>
    <w:rsid w:val="2186353C"/>
    <w:rsid w:val="222D742F"/>
    <w:rsid w:val="23860B96"/>
    <w:rsid w:val="240371BF"/>
    <w:rsid w:val="244F3473"/>
    <w:rsid w:val="248C06D3"/>
    <w:rsid w:val="24C97D99"/>
    <w:rsid w:val="25A718F0"/>
    <w:rsid w:val="25BB59F6"/>
    <w:rsid w:val="260F557C"/>
    <w:rsid w:val="26970054"/>
    <w:rsid w:val="27712E23"/>
    <w:rsid w:val="281408E2"/>
    <w:rsid w:val="29FD04D3"/>
    <w:rsid w:val="2A42701A"/>
    <w:rsid w:val="2BFF7BC6"/>
    <w:rsid w:val="2C8A61B5"/>
    <w:rsid w:val="2DF04E50"/>
    <w:rsid w:val="2E586DFA"/>
    <w:rsid w:val="2EE144CD"/>
    <w:rsid w:val="2F040D46"/>
    <w:rsid w:val="2F6B035B"/>
    <w:rsid w:val="2FAE5751"/>
    <w:rsid w:val="2FB1A395"/>
    <w:rsid w:val="2FD9A7D8"/>
    <w:rsid w:val="2FDBF714"/>
    <w:rsid w:val="30AB6865"/>
    <w:rsid w:val="31750675"/>
    <w:rsid w:val="319F7F4E"/>
    <w:rsid w:val="32847C00"/>
    <w:rsid w:val="32BD1EF1"/>
    <w:rsid w:val="3304709D"/>
    <w:rsid w:val="33545302"/>
    <w:rsid w:val="33A773CB"/>
    <w:rsid w:val="349D6851"/>
    <w:rsid w:val="36657792"/>
    <w:rsid w:val="36783969"/>
    <w:rsid w:val="36AA5135"/>
    <w:rsid w:val="36BE0DA7"/>
    <w:rsid w:val="376B6AA6"/>
    <w:rsid w:val="376D39B2"/>
    <w:rsid w:val="37D160DC"/>
    <w:rsid w:val="37E16F03"/>
    <w:rsid w:val="37F53A3B"/>
    <w:rsid w:val="386F2869"/>
    <w:rsid w:val="389B6C89"/>
    <w:rsid w:val="38D469F0"/>
    <w:rsid w:val="39627CCD"/>
    <w:rsid w:val="397BAF1F"/>
    <w:rsid w:val="3AB79AF3"/>
    <w:rsid w:val="3ACA6C78"/>
    <w:rsid w:val="3AE834C0"/>
    <w:rsid w:val="3B7EF35A"/>
    <w:rsid w:val="3B9FDB6C"/>
    <w:rsid w:val="3BF5BC2F"/>
    <w:rsid w:val="3CEBA265"/>
    <w:rsid w:val="3D98207C"/>
    <w:rsid w:val="3DEE7CF3"/>
    <w:rsid w:val="3E740A63"/>
    <w:rsid w:val="3E78745D"/>
    <w:rsid w:val="3EE17838"/>
    <w:rsid w:val="3F55381A"/>
    <w:rsid w:val="3F7C75E0"/>
    <w:rsid w:val="3F7F7599"/>
    <w:rsid w:val="3FF4CAE0"/>
    <w:rsid w:val="3FF7B227"/>
    <w:rsid w:val="424D3EFC"/>
    <w:rsid w:val="44AE49FA"/>
    <w:rsid w:val="44E268DA"/>
    <w:rsid w:val="450D13D7"/>
    <w:rsid w:val="452461DA"/>
    <w:rsid w:val="45506656"/>
    <w:rsid w:val="464D63E5"/>
    <w:rsid w:val="466452EE"/>
    <w:rsid w:val="486A6C7A"/>
    <w:rsid w:val="48F74BC1"/>
    <w:rsid w:val="494F67AB"/>
    <w:rsid w:val="4A627F82"/>
    <w:rsid w:val="4B0E749A"/>
    <w:rsid w:val="4B2477C4"/>
    <w:rsid w:val="4B4F25DA"/>
    <w:rsid w:val="4BE068DB"/>
    <w:rsid w:val="4D577224"/>
    <w:rsid w:val="4D79415D"/>
    <w:rsid w:val="4DBF1CEB"/>
    <w:rsid w:val="4DF0007C"/>
    <w:rsid w:val="4E612ADD"/>
    <w:rsid w:val="4EAB630A"/>
    <w:rsid w:val="4ECE2238"/>
    <w:rsid w:val="4F833267"/>
    <w:rsid w:val="4FB14DB7"/>
    <w:rsid w:val="4FE9BD67"/>
    <w:rsid w:val="4FFB052F"/>
    <w:rsid w:val="51F24B17"/>
    <w:rsid w:val="537E6D0A"/>
    <w:rsid w:val="53F74C96"/>
    <w:rsid w:val="55170BA8"/>
    <w:rsid w:val="553218C9"/>
    <w:rsid w:val="567E1AA5"/>
    <w:rsid w:val="56E47B74"/>
    <w:rsid w:val="57175D52"/>
    <w:rsid w:val="57BD3DD4"/>
    <w:rsid w:val="58CF55F6"/>
    <w:rsid w:val="5A812F96"/>
    <w:rsid w:val="5AF92295"/>
    <w:rsid w:val="5B013D81"/>
    <w:rsid w:val="5B066A93"/>
    <w:rsid w:val="5B250254"/>
    <w:rsid w:val="5B3C6DBD"/>
    <w:rsid w:val="5BDD79E6"/>
    <w:rsid w:val="5BF561CA"/>
    <w:rsid w:val="5BFF5DFC"/>
    <w:rsid w:val="5CD71FC4"/>
    <w:rsid w:val="5D1F11B5"/>
    <w:rsid w:val="5D695134"/>
    <w:rsid w:val="5DAE1B18"/>
    <w:rsid w:val="5DE7D9E5"/>
    <w:rsid w:val="5ECEC941"/>
    <w:rsid w:val="5EF97F4F"/>
    <w:rsid w:val="5F2525CE"/>
    <w:rsid w:val="5F4806BA"/>
    <w:rsid w:val="5FBF9FF3"/>
    <w:rsid w:val="5FCD4E2C"/>
    <w:rsid w:val="5FEF394A"/>
    <w:rsid w:val="5FF67715"/>
    <w:rsid w:val="6138591F"/>
    <w:rsid w:val="61BC02FE"/>
    <w:rsid w:val="62BF3928"/>
    <w:rsid w:val="639826A5"/>
    <w:rsid w:val="63B3701E"/>
    <w:rsid w:val="640F6E0B"/>
    <w:rsid w:val="647F5392"/>
    <w:rsid w:val="64805613"/>
    <w:rsid w:val="64EB52A1"/>
    <w:rsid w:val="65E66580"/>
    <w:rsid w:val="664B1D71"/>
    <w:rsid w:val="664B4E8E"/>
    <w:rsid w:val="67277B67"/>
    <w:rsid w:val="67AA3209"/>
    <w:rsid w:val="698D0931"/>
    <w:rsid w:val="6A7FE5F3"/>
    <w:rsid w:val="6B053271"/>
    <w:rsid w:val="6BCC4D3A"/>
    <w:rsid w:val="6BDD78B3"/>
    <w:rsid w:val="6C4A05C8"/>
    <w:rsid w:val="6C8742B8"/>
    <w:rsid w:val="6DAF51BB"/>
    <w:rsid w:val="6DBF5E93"/>
    <w:rsid w:val="6DFF077E"/>
    <w:rsid w:val="6E714EF0"/>
    <w:rsid w:val="6E7E3605"/>
    <w:rsid w:val="6E7FDCC7"/>
    <w:rsid w:val="6ED6A62E"/>
    <w:rsid w:val="6EDA3158"/>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CB1700"/>
    <w:rsid w:val="72DE2BD1"/>
    <w:rsid w:val="73160E6D"/>
    <w:rsid w:val="7332FE48"/>
    <w:rsid w:val="73AB61DA"/>
    <w:rsid w:val="73AD73D5"/>
    <w:rsid w:val="73B6EB34"/>
    <w:rsid w:val="73C03C7E"/>
    <w:rsid w:val="73FA497D"/>
    <w:rsid w:val="744731E5"/>
    <w:rsid w:val="74BBD01D"/>
    <w:rsid w:val="74ED5379"/>
    <w:rsid w:val="75175B20"/>
    <w:rsid w:val="759A04FF"/>
    <w:rsid w:val="75DEEEC2"/>
    <w:rsid w:val="75E32345"/>
    <w:rsid w:val="76E3355F"/>
    <w:rsid w:val="76FF5125"/>
    <w:rsid w:val="776F6FFA"/>
    <w:rsid w:val="77756F4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F85F7F"/>
    <w:rsid w:val="7C1F3737"/>
    <w:rsid w:val="7CBFC87B"/>
    <w:rsid w:val="7CD42548"/>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6">
    <w:name w:val="annotation text"/>
    <w:basedOn w:val="1"/>
    <w:semiHidden/>
    <w:unhideWhenUsed/>
    <w:qFormat/>
    <w:uiPriority w:val="99"/>
    <w:pPr>
      <w:jc w:val="left"/>
    </w:pPr>
  </w:style>
  <w:style w:type="paragraph" w:styleId="7">
    <w:name w:val="Body Text"/>
    <w:basedOn w:val="1"/>
    <w:link w:val="30"/>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0"/>
    <w:pPr>
      <w:spacing w:line="700" w:lineRule="exact"/>
      <w:jc w:val="center"/>
    </w:pPr>
    <w:rPr>
      <w:rFonts w:eastAsia="方正小标宋简体"/>
      <w:color w:val="000000"/>
      <w:kern w:val="0"/>
      <w:sz w:val="44"/>
      <w:szCs w:val="44"/>
    </w:rPr>
  </w:style>
  <w:style w:type="character" w:styleId="21">
    <w:name w:val="Strong"/>
    <w:basedOn w:val="20"/>
    <w:qFormat/>
    <w:uiPriority w:val="99"/>
    <w:rPr>
      <w:b/>
    </w:rPr>
  </w:style>
  <w:style w:type="character" w:styleId="22">
    <w:name w:val="Emphasis"/>
    <w:basedOn w:val="20"/>
    <w:qFormat/>
    <w:uiPriority w:val="20"/>
    <w:rPr>
      <w:i/>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Char"/>
    <w:link w:val="7"/>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0"/>
    <w:link w:val="3"/>
    <w:qFormat/>
    <w:uiPriority w:val="9"/>
    <w:rPr>
      <w:rFonts w:ascii="Times New Roman" w:hAnsi="Times New Roman"/>
      <w:b/>
      <w:bCs/>
      <w:kern w:val="44"/>
      <w:sz w:val="44"/>
      <w:szCs w:val="44"/>
    </w:rPr>
  </w:style>
  <w:style w:type="character" w:customStyle="1" w:styleId="34">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0"/>
    <w:link w:val="11"/>
    <w:semiHidden/>
    <w:qFormat/>
    <w:uiPriority w:val="99"/>
    <w:rPr>
      <w:rFonts w:ascii="Times New Roman" w:hAnsi="Times New Roman"/>
      <w:kern w:val="2"/>
      <w:sz w:val="18"/>
      <w:szCs w:val="18"/>
    </w:rPr>
  </w:style>
  <w:style w:type="character" w:customStyle="1" w:styleId="37">
    <w:name w:val="标题 3 Char"/>
    <w:basedOn w:val="20"/>
    <w:link w:val="5"/>
    <w:qFormat/>
    <w:uiPriority w:val="9"/>
    <w:rPr>
      <w:rFonts w:ascii="Times New Roman" w:hAnsi="Times New Roman"/>
      <w:b/>
      <w:bCs/>
      <w:kern w:val="2"/>
      <w:sz w:val="32"/>
      <w:szCs w:val="32"/>
    </w:rPr>
  </w:style>
  <w:style w:type="paragraph" w:customStyle="1" w:styleId="3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emf"/><Relationship Id="rId24" Type="http://schemas.openxmlformats.org/officeDocument/2006/relationships/oleObject" Target="embeddings/oleObject6.bin"/><Relationship Id="rId23" Type="http://schemas.openxmlformats.org/officeDocument/2006/relationships/image" Target="media/image6.emf"/><Relationship Id="rId22" Type="http://schemas.openxmlformats.org/officeDocument/2006/relationships/oleObject" Target="embeddings/oleObject5.bin"/><Relationship Id="rId21" Type="http://schemas.openxmlformats.org/officeDocument/2006/relationships/image" Target="media/image5.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3.bin"/><Relationship Id="rId17" Type="http://schemas.openxmlformats.org/officeDocument/2006/relationships/image" Target="media/image3.emf"/><Relationship Id="rId16" Type="http://schemas.openxmlformats.org/officeDocument/2006/relationships/oleObject" Target="embeddings/oleObject2.bin"/><Relationship Id="rId15" Type="http://schemas.openxmlformats.org/officeDocument/2006/relationships/image" Target="media/image2.emf"/><Relationship Id="rId14" Type="http://schemas.openxmlformats.org/officeDocument/2006/relationships/oleObject" Target="embeddings/oleObject1.bin"/><Relationship Id="rId13" Type="http://schemas.openxmlformats.org/officeDocument/2006/relationships/chart" Target="charts/chart6.xml"/><Relationship Id="rId12" Type="http://schemas.openxmlformats.org/officeDocument/2006/relationships/image" Target="media/image1.png"/><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1216.7</a:t>
                    </a:r>
                    <a:r>
                      <a:rPr lang="en-US" altLang="zh-CN"/>
                      <a:t>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Sheet1!$A$4:$A$7</c15:sqref>
                  </c15:fullRef>
                </c:ext>
              </c:extLst>
              <c:f>Sheet1!$A$4</c:f>
              <c:numCache>
                <c:formatCode>General</c:formatCode>
                <c:ptCount val="1"/>
              </c:numCache>
            </c:numRef>
          </c:cat>
          <c:val>
            <c:numRef>
              <c:extLst>
                <c:ext xmlns:c15="http://schemas.microsoft.com/office/drawing/2012/chart" uri="{02D57815-91ED-43cb-92C2-25804820EDAC}">
                  <c15:fullRef>
                    <c15:sqref>Sheet1!$B$2:$B$5</c15:sqref>
                  </c15:fullRef>
                </c:ext>
              </c:extLst>
              <c:f>Sheet1!$B$2</c:f>
              <c:numCache>
                <c:formatCode>General</c:formatCode>
                <c:ptCount val="1"/>
                <c:pt idx="0">
                  <c:v>1216.75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Sheet1!$A$4:$A$7</c15:sqref>
                  </c15:fullRef>
                </c:ext>
              </c:extLst>
              <c:f>Sheet1!$A$4</c:f>
              <c:numCache>
                <c:formatCode>General</c:formatCode>
                <c:ptCount val="1"/>
              </c:numCache>
            </c:numRef>
          </c:cat>
          <c:val>
            <c:numRef>
              <c:extLst>
                <c:ext xmlns:c15="http://schemas.microsoft.com/office/drawing/2012/chart" uri="{02D57815-91ED-43cb-92C2-25804820EDAC}">
                  <c15:fullRef>
                    <c15:sqref>Sheet1!$C$2:$C$5</c15:sqref>
                  </c15:fullRef>
                </c:ext>
              </c:extLst>
              <c:f>Sheet1!$C$2</c:f>
              <c:numCache>
                <c:formatCode>General</c:formatCode>
                <c:ptCount val="1"/>
                <c:pt idx="0">
                  <c:v>1156.58</c:v>
                </c:pt>
              </c:numCache>
            </c:numRef>
          </c:val>
        </c:ser>
        <c:dLbls>
          <c:showLegendKey val="0"/>
          <c:showVal val="1"/>
          <c:showCatName val="0"/>
          <c:showSerName val="0"/>
          <c:showPercent val="0"/>
          <c:showBubbleSize val="0"/>
        </c:dLbls>
        <c:gapWidth val="246"/>
        <c:overlap val="-28"/>
        <c:axId val="543126041"/>
        <c:axId val="164170942"/>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ullRef>
                          <c15:sqref>Sheet1!$A$4:$A$7</c15:sqref>
                        </c15:fullRef>
                        <c15:formulaRef>
                          <c15:sqref>Sheet1!$A$4</c15:sqref>
                        </c15:formulaRef>
                      </c:ext>
                    </c:extLst>
                    <c:numCache>
                      <c:formatCode>General</c:formatCode>
                      <c:ptCount val="1"/>
                    </c:numCache>
                  </c:numRef>
                </c:cat>
                <c:val>
                  <c:numRef>
                    <c:extLst>
                      <c:ext uri="{02D57815-91ED-43cb-92C2-25804820EDAC}">
                        <c15:fullRef>
                          <c15:sqref>Sheet1!$D$2:$D$5</c15:sqref>
                        </c15:fullRef>
                        <c15:formulaRef>
                          <c15:sqref>Sheet1!$D$2</c15:sqref>
                        </c15:formulaRef>
                      </c:ext>
                    </c:extLst>
                    <c:numCache>
                      <c:formatCode>General</c:formatCode>
                      <c:ptCount val="1"/>
                    </c:numCache>
                  </c:numRef>
                </c:val>
              </c15:ser>
            </c15:filteredBarSeries>
          </c:ext>
        </c:extLst>
      </c:barChart>
      <c:catAx>
        <c:axId val="543126041"/>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170942"/>
        <c:crosses val="autoZero"/>
        <c:auto val="1"/>
        <c:lblAlgn val="ctr"/>
        <c:lblOffset val="100"/>
        <c:noMultiLvlLbl val="0"/>
      </c:catAx>
      <c:valAx>
        <c:axId val="16417094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312604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3639d4e-ecc5-4282-8bb2-abf4c968404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一般公共预算财政拨款收入</c:v>
                </c:pt>
                <c:pt idx="1">
                  <c:v>政府性基金预算财政拨款收入</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1109.64</c:v>
                </c:pt>
                <c:pt idx="1">
                  <c:v>46.94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ec13f08-e3c2-45c3-97b4-5485b8cfae3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dLblPos val="bestFit"/>
              <c:showLegendKey val="0"/>
              <c:showVal val="1"/>
              <c:showCatName val="0"/>
              <c:showSerName val="0"/>
              <c:showPercent val="1"/>
              <c:showBubbleSize val="0"/>
              <c:extLst>
                <c:ext xmlns:c15="http://schemas.microsoft.com/office/drawing/2012/chart" uri="{CE6537A1-D6FC-4f65-9D91-7224C49458BB}"/>
              </c:extLst>
            </c:dLbl>
            <c:dLbl>
              <c:idx val="1"/>
              <c:layout/>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1019.55</c:v>
                </c:pt>
                <c:pt idx="1">
                  <c:v>137.03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7588c8c-43e7-46c5-8fae-92b5364afa8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1">
                  <c:v>1216.75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2">
                  <c:v>1156.58</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348222905"/>
        <c:axId val="682895568"/>
      </c:barChart>
      <c:catAx>
        <c:axId val="34822290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895568"/>
        <c:crosses val="autoZero"/>
        <c:auto val="1"/>
        <c:lblAlgn val="ctr"/>
        <c:lblOffset val="100"/>
        <c:noMultiLvlLbl val="0"/>
      </c:catAx>
      <c:valAx>
        <c:axId val="68289556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8222905"/>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e01a37d-01cc-4768-b73c-0746a5f5d1a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36941290166707"/>
          <c:y val="0.00637484062898428"/>
          <c:w val="0.89736651365064"/>
          <c:h val="0.809817254568636"/>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Sheet1!$A$3:$A$4</c:f>
              <c:strCache>
                <c:ptCount val="2"/>
                <c:pt idx="0">
                  <c:v>类别 2</c:v>
                </c:pt>
                <c:pt idx="1">
                  <c:v>类别 3</c:v>
                </c:pt>
              </c:strCache>
            </c:strRef>
          </c:cat>
          <c:val>
            <c:numRef>
              <c:extLst>
                <c:ext xmlns:c15="http://schemas.microsoft.com/office/drawing/2012/chart" uri="{02D57815-91ED-43cb-92C2-25804820EDAC}">
                  <c15:fullRef>
                    <c15:sqref>Sheet1!$B$2:$B$5</c15:sqref>
                  </c15:fullRef>
                </c:ext>
              </c:extLst>
              <c:f>Sheet1!$B$3:$B$4</c:f>
              <c:numCache>
                <c:formatCode>General</c:formatCode>
                <c:ptCount val="2"/>
                <c:pt idx="0">
                  <c:v>1178.17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Sheet1!$A$3:$A$4</c:f>
              <c:strCache>
                <c:ptCount val="2"/>
                <c:pt idx="0">
                  <c:v>类别 2</c:v>
                </c:pt>
                <c:pt idx="1">
                  <c:v>类别 3</c:v>
                </c:pt>
              </c:strCache>
            </c:strRef>
          </c:cat>
          <c:val>
            <c:numRef>
              <c:extLst>
                <c:ext xmlns:c15="http://schemas.microsoft.com/office/drawing/2012/chart" uri="{02D57815-91ED-43cb-92C2-25804820EDAC}">
                  <c15:fullRef>
                    <c15:sqref>Sheet1!$C$2:$C$5</c15:sqref>
                  </c15:fullRef>
                </c:ext>
              </c:extLst>
              <c:f>Sheet1!$C$3:$C$4</c:f>
              <c:numCache>
                <c:formatCode>General</c:formatCode>
                <c:ptCount val="2"/>
                <c:pt idx="1">
                  <c:v>1109.64</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Sheet1!$A$3:$A$4</c:f>
              <c:strCache>
                <c:ptCount val="2"/>
                <c:pt idx="0">
                  <c:v>类别 2</c:v>
                </c:pt>
                <c:pt idx="1">
                  <c:v>类别 3</c:v>
                </c:pt>
              </c:strCache>
            </c:strRef>
          </c:cat>
          <c:val>
            <c:numRef>
              <c:extLst>
                <c:ext xmlns:c15="http://schemas.microsoft.com/office/drawing/2012/chart" uri="{02D57815-91ED-43cb-92C2-25804820EDAC}">
                  <c15:fullRef>
                    <c15:sqref>Sheet1!$D$2:$D$5</c15:sqref>
                  </c15:fullRef>
                </c:ext>
              </c:extLst>
              <c:f>Sheet1!$D$3:$D$4</c:f>
              <c:numCache>
                <c:formatCode>General</c:formatCode>
                <c:ptCount val="2"/>
              </c:numCache>
            </c:numRef>
          </c:val>
        </c:ser>
        <c:dLbls>
          <c:showLegendKey val="0"/>
          <c:showVal val="1"/>
          <c:showCatName val="0"/>
          <c:showSerName val="0"/>
          <c:showPercent val="0"/>
          <c:showBubbleSize val="0"/>
        </c:dLbls>
        <c:gapWidth val="246"/>
        <c:overlap val="-28"/>
        <c:axId val="179277385"/>
        <c:axId val="653866931"/>
      </c:barChart>
      <c:catAx>
        <c:axId val="17927738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3866931"/>
        <c:crosses val="autoZero"/>
        <c:auto val="1"/>
        <c:lblAlgn val="ctr"/>
        <c:lblOffset val="100"/>
        <c:noMultiLvlLbl val="0"/>
      </c:catAx>
      <c:valAx>
        <c:axId val="65386693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277385"/>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ec2e874-580f-4e29-bdbc-ae5fe5e3231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列2</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公务用车购置及运行维护费</c:v>
                </c:pt>
                <c:pt idx="1">
                  <c:v>公务接待费</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4.99</c:v>
                </c:pt>
                <c:pt idx="1">
                  <c:v>8.54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038bfb-c506-4d5b-a5d6-0f43c9c4289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10253</Words>
  <Characters>12066</Characters>
  <Lines>61</Lines>
  <Paragraphs>17</Paragraphs>
  <TotalTime>145</TotalTime>
  <ScaleCrop>false</ScaleCrop>
  <LinksUpToDate>false</LinksUpToDate>
  <CharactersWithSpaces>12091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2025-11-27T03:14:00Z</cp:lastPrinted>
  <dcterms:modified xsi:type="dcterms:W3CDTF">2025-12-03T06:14:23Z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BDA492834BD74FB4A108E39E04E6A866_13</vt:lpwstr>
  </property>
  <property fmtid="{D5CDD505-2E9C-101B-9397-08002B2CF9AE}" pid="4" name="KSOTemplateDocerSaveRecord">
    <vt:lpwstr>eyJoZGlkIjoiNzI2ZGI0OGUzMDAzMzk0YmE1OTYyMDVlZGMwMmYyODYiLCJ1c2VySWQiOiIxMTM5NjM2MTk5In0=</vt:lpwstr>
  </property>
</Properties>
</file>