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F386C">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ascii="黑体" w:hAnsi="宋体" w:eastAsia="黑体" w:cs="黑体"/>
          <w:sz w:val="48"/>
          <w:szCs w:val="48"/>
        </w:rPr>
        <w:t>目录</w:t>
      </w:r>
    </w:p>
    <w:p w14:paraId="5267B47B">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ascii="仿宋" w:hAnsi="仿宋" w:eastAsia="仿宋" w:cs="仿宋"/>
          <w:sz w:val="28"/>
          <w:szCs w:val="28"/>
        </w:rPr>
        <w:t>公开时间：</w:t>
      </w:r>
      <w:r>
        <w:rPr>
          <w:rFonts w:hint="eastAsia" w:ascii="仿宋" w:hAnsi="仿宋" w:eastAsia="仿宋" w:cs="仿宋"/>
          <w:sz w:val="28"/>
          <w:szCs w:val="28"/>
        </w:rPr>
        <w:t>2020年10月31日</w:t>
      </w:r>
    </w:p>
    <w:p w14:paraId="349169D1">
      <w:pPr>
        <w:pStyle w:val="4"/>
        <w:keepNext w:val="0"/>
        <w:keepLines w:val="0"/>
        <w:widowControl/>
        <w:suppressLineNumbers w:val="0"/>
        <w:spacing w:before="240" w:beforeAutospacing="0" w:after="60" w:afterAutospacing="0" w:line="580" w:lineRule="atLeast"/>
        <w:jc w:val="left"/>
        <w:rPr>
          <w:rFonts w:ascii="Arial" w:hAnsi="Arial" w:cs="Arial"/>
          <w:b/>
          <w:bCs/>
          <w:sz w:val="32"/>
          <w:szCs w:val="32"/>
        </w:rPr>
      </w:pPr>
      <w:r>
        <w:rPr>
          <w:rFonts w:hint="eastAsia" w:ascii="黑体" w:hAnsi="宋体" w:eastAsia="黑体" w:cs="黑体"/>
          <w:b w:val="0"/>
          <w:bCs w:val="0"/>
          <w:sz w:val="28"/>
          <w:szCs w:val="28"/>
          <w:bdr w:val="none" w:color="auto" w:sz="0" w:space="0"/>
        </w:rPr>
        <w:t>第一部分 部门概况.</w:t>
      </w:r>
      <w:r>
        <w:rPr>
          <w:rFonts w:hint="eastAsia" w:ascii="仿宋" w:hAnsi="仿宋" w:eastAsia="仿宋" w:cs="仿宋"/>
          <w:b w:val="0"/>
          <w:bCs w:val="0"/>
          <w:sz w:val="28"/>
          <w:szCs w:val="28"/>
          <w:bdr w:val="none" w:color="auto" w:sz="0" w:space="0"/>
        </w:rPr>
        <w:t>...................................... .4</w:t>
      </w:r>
    </w:p>
    <w:p w14:paraId="765A42A0">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一、基本职能及主要工作...................................4</w:t>
      </w:r>
    </w:p>
    <w:p w14:paraId="73500341">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二、机构设置............................................15</w:t>
      </w:r>
    </w:p>
    <w:p w14:paraId="307B4FDF">
      <w:pPr>
        <w:pStyle w:val="4"/>
        <w:keepNext w:val="0"/>
        <w:keepLines w:val="0"/>
        <w:widowControl/>
        <w:suppressLineNumbers w:val="0"/>
        <w:spacing w:before="240" w:beforeAutospacing="0" w:after="60" w:afterAutospacing="0" w:line="580" w:lineRule="atLeast"/>
        <w:jc w:val="left"/>
        <w:rPr>
          <w:rFonts w:hint="default" w:ascii="Arial" w:hAnsi="Arial" w:cs="Arial"/>
          <w:b/>
          <w:bCs/>
          <w:sz w:val="32"/>
          <w:szCs w:val="32"/>
        </w:rPr>
      </w:pPr>
      <w:r>
        <w:rPr>
          <w:rFonts w:hint="eastAsia" w:ascii="黑体" w:hAnsi="宋体" w:eastAsia="黑体" w:cs="黑体"/>
          <w:b w:val="0"/>
          <w:bCs w:val="0"/>
          <w:sz w:val="28"/>
          <w:szCs w:val="28"/>
          <w:bdr w:val="none" w:color="auto" w:sz="0" w:space="0"/>
        </w:rPr>
        <w:t>第二部分 2019年度部门决算情况说明</w:t>
      </w:r>
      <w:r>
        <w:rPr>
          <w:rFonts w:hint="eastAsia" w:ascii="仿宋" w:hAnsi="仿宋" w:eastAsia="仿宋" w:cs="仿宋"/>
          <w:b w:val="0"/>
          <w:bCs w:val="0"/>
          <w:sz w:val="28"/>
          <w:szCs w:val="28"/>
          <w:bdr w:val="none" w:color="auto" w:sz="0" w:space="0"/>
        </w:rPr>
        <w:t>........................16</w:t>
      </w:r>
    </w:p>
    <w:p w14:paraId="33754E39">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一、收入支出决算总体情况说明............................16</w:t>
      </w:r>
    </w:p>
    <w:p w14:paraId="1508B296">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二、收入决算情况说明....................................16</w:t>
      </w:r>
    </w:p>
    <w:p w14:paraId="4C94822C">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三、支出决算情况说明....................................17</w:t>
      </w:r>
    </w:p>
    <w:p w14:paraId="7741B7DD">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四、财政拨款收入支出决算总体情况说明....................18</w:t>
      </w:r>
    </w:p>
    <w:p w14:paraId="4A6AEC8E">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五、一般公共预算财政拨款支出决算情况说明................18</w:t>
      </w:r>
    </w:p>
    <w:p w14:paraId="4AA406C4">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六、一般公共预算财政拨款基本支出决算情况说明............23</w:t>
      </w:r>
    </w:p>
    <w:p w14:paraId="32B30239">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七、“三公”经费财政拨款支出决算情况说明..................24</w:t>
      </w:r>
    </w:p>
    <w:p w14:paraId="4D360693">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八、政府性基金预算支出决算情况说明....................  25</w:t>
      </w:r>
    </w:p>
    <w:p w14:paraId="12D357C0">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九、 国有资本经营预算支出决算情况说明...................26</w:t>
      </w:r>
    </w:p>
    <w:p w14:paraId="669E423C">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十、其他重要事项的情况说明..............................26</w:t>
      </w:r>
    </w:p>
    <w:p w14:paraId="3FE761C2">
      <w:pPr>
        <w:pStyle w:val="4"/>
        <w:keepNext w:val="0"/>
        <w:keepLines w:val="0"/>
        <w:widowControl/>
        <w:suppressLineNumbers w:val="0"/>
        <w:spacing w:before="240" w:beforeAutospacing="0" w:after="60" w:afterAutospacing="0" w:line="580" w:lineRule="atLeast"/>
        <w:jc w:val="left"/>
        <w:rPr>
          <w:rFonts w:hint="default" w:ascii="Arial" w:hAnsi="Arial" w:cs="Arial"/>
          <w:b/>
          <w:bCs/>
          <w:sz w:val="32"/>
          <w:szCs w:val="32"/>
        </w:rPr>
      </w:pPr>
      <w:r>
        <w:rPr>
          <w:rFonts w:hint="eastAsia" w:ascii="黑体" w:hAnsi="宋体" w:eastAsia="黑体" w:cs="黑体"/>
          <w:b w:val="0"/>
          <w:bCs w:val="0"/>
          <w:sz w:val="28"/>
          <w:szCs w:val="28"/>
          <w:bdr w:val="none" w:color="auto" w:sz="0" w:space="0"/>
        </w:rPr>
        <w:t>第三部分 名词解释.</w:t>
      </w:r>
      <w:r>
        <w:rPr>
          <w:rFonts w:hint="eastAsia" w:ascii="仿宋" w:hAnsi="仿宋" w:eastAsia="仿宋" w:cs="仿宋"/>
          <w:b w:val="0"/>
          <w:bCs w:val="0"/>
          <w:sz w:val="28"/>
          <w:szCs w:val="28"/>
          <w:bdr w:val="none" w:color="auto" w:sz="0" w:space="0"/>
        </w:rPr>
        <w:t>.......................................30</w:t>
      </w:r>
    </w:p>
    <w:p w14:paraId="4541DB8A">
      <w:pPr>
        <w:pStyle w:val="4"/>
        <w:keepNext w:val="0"/>
        <w:keepLines w:val="0"/>
        <w:widowControl/>
        <w:suppressLineNumbers w:val="0"/>
        <w:spacing w:before="240" w:beforeAutospacing="0" w:after="60" w:afterAutospacing="0" w:line="580" w:lineRule="atLeast"/>
        <w:jc w:val="left"/>
        <w:rPr>
          <w:rFonts w:hint="default" w:ascii="Arial" w:hAnsi="Arial" w:cs="Arial"/>
          <w:b/>
          <w:bCs/>
          <w:sz w:val="32"/>
          <w:szCs w:val="32"/>
        </w:rPr>
      </w:pPr>
      <w:r>
        <w:rPr>
          <w:rFonts w:hint="eastAsia" w:ascii="黑体" w:hAnsi="宋体" w:eastAsia="黑体" w:cs="黑体"/>
          <w:b w:val="0"/>
          <w:bCs w:val="0"/>
          <w:sz w:val="28"/>
          <w:szCs w:val="28"/>
          <w:bdr w:val="none" w:color="auto" w:sz="0" w:space="0"/>
        </w:rPr>
        <w:t>第四部分 附件</w:t>
      </w:r>
      <w:r>
        <w:rPr>
          <w:rFonts w:hint="eastAsia" w:ascii="仿宋" w:hAnsi="仿宋" w:eastAsia="仿宋" w:cs="仿宋"/>
          <w:b w:val="0"/>
          <w:bCs w:val="0"/>
          <w:sz w:val="28"/>
          <w:szCs w:val="28"/>
          <w:bdr w:val="none" w:color="auto" w:sz="0" w:space="0"/>
        </w:rPr>
        <w:t>............................................35</w:t>
      </w:r>
    </w:p>
    <w:p w14:paraId="72C9597E">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附件1..................................................35</w:t>
      </w:r>
    </w:p>
    <w:p w14:paraId="74B85C9A">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附件2..................................................40</w:t>
      </w:r>
    </w:p>
    <w:p w14:paraId="00DE3BD3">
      <w:pPr>
        <w:pStyle w:val="4"/>
        <w:keepNext w:val="0"/>
        <w:keepLines w:val="0"/>
        <w:widowControl/>
        <w:suppressLineNumbers w:val="0"/>
        <w:spacing w:before="240" w:beforeAutospacing="0" w:after="60" w:afterAutospacing="0" w:line="580" w:lineRule="atLeast"/>
        <w:jc w:val="left"/>
        <w:rPr>
          <w:rFonts w:hint="default" w:ascii="Arial" w:hAnsi="Arial" w:cs="Arial"/>
          <w:b/>
          <w:bCs/>
          <w:sz w:val="32"/>
          <w:szCs w:val="32"/>
        </w:rPr>
      </w:pPr>
      <w:r>
        <w:rPr>
          <w:rFonts w:hint="eastAsia" w:ascii="黑体" w:hAnsi="宋体" w:eastAsia="黑体" w:cs="黑体"/>
          <w:b w:val="0"/>
          <w:bCs w:val="0"/>
          <w:sz w:val="28"/>
          <w:szCs w:val="28"/>
          <w:bdr w:val="none" w:color="auto" w:sz="0" w:space="0"/>
        </w:rPr>
        <w:t>第五部分 附表</w:t>
      </w:r>
      <w:r>
        <w:rPr>
          <w:rFonts w:hint="eastAsia" w:ascii="仿宋" w:hAnsi="仿宋" w:eastAsia="仿宋" w:cs="仿宋"/>
          <w:b w:val="0"/>
          <w:bCs w:val="0"/>
          <w:sz w:val="28"/>
          <w:szCs w:val="28"/>
          <w:bdr w:val="none" w:color="auto" w:sz="0" w:space="0"/>
        </w:rPr>
        <w:t>............................................47</w:t>
      </w:r>
    </w:p>
    <w:p w14:paraId="6E971E6C">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一、收入支出决算总表....................................47</w:t>
      </w:r>
    </w:p>
    <w:p w14:paraId="092B68A6">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二、收入总表............................................47</w:t>
      </w:r>
    </w:p>
    <w:p w14:paraId="2D540FC7">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三、支出总表............................................47</w:t>
      </w:r>
    </w:p>
    <w:p w14:paraId="1AB68B63">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四、财政拨款收入支出决算总表............................47</w:t>
      </w:r>
    </w:p>
    <w:p w14:paraId="232D5B30">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五、财政拨款支出决算明细表（政府经济分类科目）...........47</w:t>
      </w:r>
    </w:p>
    <w:p w14:paraId="7198449E">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六、一般公共预算财政拨款支出决算表......................47</w:t>
      </w:r>
    </w:p>
    <w:p w14:paraId="4EE75069">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七、一般公共预算财政拨款支出决算明细表..................47</w:t>
      </w:r>
    </w:p>
    <w:p w14:paraId="01140D14">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八、一般公共预算财政拨款基本支出决算表..................47</w:t>
      </w:r>
    </w:p>
    <w:p w14:paraId="5531E13B">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九、一般公共预算财政拨款项目支出决算表..................47</w:t>
      </w:r>
    </w:p>
    <w:p w14:paraId="6FC419E1">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十、一般公共预算财政拨款“三公”经费支出决算表............47</w:t>
      </w:r>
    </w:p>
    <w:p w14:paraId="165A99C3">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十一、政府性基金预算财政拨款收入支出决算表..............47</w:t>
      </w:r>
    </w:p>
    <w:p w14:paraId="1580F554">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十二、政府性基金预算财政拨款“三公”经费支出决算表......47</w:t>
      </w:r>
    </w:p>
    <w:p w14:paraId="6251E1E5">
      <w:pPr>
        <w:pStyle w:val="4"/>
        <w:keepNext w:val="0"/>
        <w:keepLines w:val="0"/>
        <w:widowControl/>
        <w:suppressLineNumbers w:val="0"/>
        <w:spacing w:before="240" w:beforeAutospacing="0" w:after="60" w:afterAutospacing="0" w:line="580" w:lineRule="atLeast"/>
        <w:ind w:left="0" w:firstLine="280"/>
        <w:jc w:val="left"/>
        <w:rPr>
          <w:rFonts w:hint="default" w:ascii="Arial" w:hAnsi="Arial" w:cs="Arial"/>
          <w:b/>
          <w:bCs/>
          <w:sz w:val="32"/>
          <w:szCs w:val="32"/>
        </w:rPr>
      </w:pPr>
      <w:r>
        <w:rPr>
          <w:rFonts w:hint="eastAsia" w:ascii="仿宋" w:hAnsi="仿宋" w:eastAsia="仿宋" w:cs="仿宋"/>
          <w:b w:val="0"/>
          <w:bCs w:val="0"/>
          <w:sz w:val="28"/>
          <w:szCs w:val="28"/>
          <w:bdr w:val="none" w:color="auto" w:sz="0" w:space="0"/>
        </w:rPr>
        <w:t>十三、国有资本经营预算支出决算表........................47</w:t>
      </w:r>
    </w:p>
    <w:p w14:paraId="151EE96B">
      <w:pPr>
        <w:pStyle w:val="2"/>
        <w:keepNext w:val="0"/>
        <w:keepLines w:val="0"/>
        <w:widowControl/>
        <w:suppressLineNumbers w:val="0"/>
        <w:jc w:val="center"/>
      </w:pPr>
      <w:r>
        <w:rPr>
          <w:rFonts w:hint="eastAsia" w:ascii="黑体" w:hAnsi="宋体" w:eastAsia="黑体" w:cs="黑体"/>
          <w:b w:val="0"/>
          <w:bCs w:val="0"/>
          <w:sz w:val="44"/>
          <w:szCs w:val="44"/>
          <w:bdr w:val="none" w:color="auto" w:sz="0" w:space="0"/>
        </w:rPr>
        <w:t>第一部分 部门概况</w:t>
      </w:r>
    </w:p>
    <w:p w14:paraId="4C075FD1">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245D5E6B">
      <w:pPr>
        <w:pStyle w:val="3"/>
        <w:keepNext w:val="0"/>
        <w:keepLines w:val="0"/>
        <w:widowControl/>
        <w:suppressLineNumbers w:val="0"/>
        <w:spacing w:after="0" w:afterAutospacing="0" w:line="600" w:lineRule="atLeast"/>
        <w:ind w:right="0"/>
      </w:pPr>
      <w:r>
        <w:rPr>
          <w:rFonts w:hint="eastAsia" w:ascii="黑体" w:hAnsi="宋体" w:eastAsia="黑体" w:cs="黑体"/>
          <w:b w:val="0"/>
          <w:bCs w:val="0"/>
          <w:sz w:val="32"/>
          <w:szCs w:val="32"/>
          <w:bdr w:val="none" w:color="auto" w:sz="0" w:space="0"/>
        </w:rPr>
        <w:t>一、基本职能及主要工作</w:t>
      </w:r>
    </w:p>
    <w:p w14:paraId="3561A0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eastAsia" w:ascii="仿宋" w:hAnsi="仿宋" w:eastAsia="仿宋" w:cs="仿宋"/>
          <w:sz w:val="32"/>
          <w:szCs w:val="32"/>
          <w:bdr w:val="none" w:color="auto" w:sz="0" w:space="0"/>
          <w:shd w:val="clear" w:fill="FFFFFF"/>
        </w:rPr>
        <w:t>（一）主要职能。</w:t>
      </w:r>
      <w:r>
        <w:rPr>
          <w:rFonts w:hint="eastAsia" w:ascii="仿宋" w:hAnsi="仿宋" w:eastAsia="仿宋" w:cs="仿宋"/>
          <w:b w:val="0"/>
          <w:bCs w:val="0"/>
          <w:i w:val="0"/>
          <w:iCs w:val="0"/>
          <w:caps w:val="0"/>
          <w:spacing w:val="0"/>
          <w:sz w:val="32"/>
          <w:szCs w:val="32"/>
          <w:bdr w:val="none" w:color="auto" w:sz="0" w:space="0"/>
          <w:shd w:val="clear" w:fill="FFFFFF"/>
        </w:rPr>
        <w:t>1.觉莫乡党委的职能：宣传和执行党的路线、方针、政策和执行党中央、上级组织和本组织的决议，发挥党组织的战斗堡垒和党员的先锋模范作用，支持和协助行政负责人完成本单位所担负的任务；组织党员认真学习马克思列宁主义、毛泽东思想、邓小平理论和党的路线、方针、政策以及决议，学习科学、文化和业务知识；对党员进行严格管理，督促党员履行义务，</w:t>
      </w:r>
      <w:r>
        <w:rPr>
          <w:rFonts w:hint="eastAsia" w:ascii="仿宋" w:hAnsi="仿宋" w:eastAsia="仿宋" w:cs="仿宋"/>
          <w:b w:val="0"/>
          <w:bCs w:val="0"/>
          <w:i w:val="0"/>
          <w:iCs w:val="0"/>
          <w:caps w:val="0"/>
          <w:spacing w:val="0"/>
          <w:sz w:val="32"/>
          <w:szCs w:val="32"/>
          <w:bdr w:val="none" w:color="auto" w:sz="0" w:space="0"/>
          <w:shd w:val="clear" w:fill="FFFFFF"/>
          <w:lang w:eastAsia="zh-CN"/>
        </w:rPr>
        <w:t>保障党员权利</w:t>
      </w:r>
      <w:r>
        <w:rPr>
          <w:rFonts w:hint="eastAsia" w:ascii="仿宋" w:hAnsi="仿宋" w:eastAsia="仿宋" w:cs="仿宋"/>
          <w:b w:val="0"/>
          <w:bCs w:val="0"/>
          <w:i w:val="0"/>
          <w:iCs w:val="0"/>
          <w:caps w:val="0"/>
          <w:spacing w:val="0"/>
          <w:sz w:val="32"/>
          <w:szCs w:val="32"/>
          <w:bdr w:val="none" w:color="auto" w:sz="0" w:space="0"/>
          <w:shd w:val="clear" w:fill="FFFFFF"/>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委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14:paraId="21C1FD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eastAsia" w:ascii="仿宋" w:hAnsi="仿宋" w:eastAsia="仿宋" w:cs="仿宋"/>
          <w:b w:val="0"/>
          <w:bCs w:val="0"/>
          <w:i w:val="0"/>
          <w:iCs w:val="0"/>
          <w:caps w:val="0"/>
          <w:spacing w:val="0"/>
          <w:sz w:val="32"/>
          <w:szCs w:val="32"/>
          <w:bdr w:val="none" w:color="auto" w:sz="0" w:space="0"/>
          <w:shd w:val="clear" w:fill="FFFFFF"/>
        </w:rPr>
        <w:t>2.觉莫乡政府职能：宣传落实好党的路线、方针、政策和国家的</w:t>
      </w:r>
      <w:r>
        <w:rPr>
          <w:rFonts w:hint="eastAsia" w:ascii="仿宋" w:hAnsi="仿宋" w:eastAsia="仿宋" w:cs="仿宋"/>
          <w:b w:val="0"/>
          <w:bCs w:val="0"/>
          <w:i w:val="0"/>
          <w:iCs w:val="0"/>
          <w:caps w:val="0"/>
          <w:spacing w:val="0"/>
          <w:sz w:val="32"/>
          <w:szCs w:val="32"/>
          <w:bdr w:val="none" w:color="auto" w:sz="0" w:space="0"/>
          <w:shd w:val="clear" w:fill="FFFFFF"/>
          <w:lang w:eastAsia="zh-CN"/>
        </w:rPr>
        <w:t>法律法规</w:t>
      </w:r>
      <w:r>
        <w:rPr>
          <w:rFonts w:hint="eastAsia" w:ascii="仿宋" w:hAnsi="仿宋" w:eastAsia="仿宋" w:cs="仿宋"/>
          <w:b w:val="0"/>
          <w:bCs w:val="0"/>
          <w:i w:val="0"/>
          <w:iCs w:val="0"/>
          <w:caps w:val="0"/>
          <w:spacing w:val="0"/>
          <w:sz w:val="32"/>
          <w:szCs w:val="32"/>
          <w:bdr w:val="none" w:color="auto" w:sz="0" w:space="0"/>
          <w:shd w:val="clear" w:fill="FFFFFF"/>
        </w:rPr>
        <w:t>，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Fonts w:hint="eastAsia" w:ascii="仿宋" w:hAnsi="仿宋" w:eastAsia="仿宋" w:cs="仿宋"/>
          <w:b w:val="0"/>
          <w:bCs w:val="0"/>
          <w:i w:val="0"/>
          <w:iCs w:val="0"/>
          <w:caps w:val="0"/>
          <w:spacing w:val="0"/>
          <w:sz w:val="32"/>
          <w:szCs w:val="32"/>
          <w:bdr w:val="none" w:color="auto" w:sz="0" w:space="0"/>
          <w:shd w:val="clear" w:fill="FFFFFF"/>
          <w:lang w:eastAsia="zh-CN"/>
        </w:rPr>
        <w:t>立党为公、执政为民</w:t>
      </w:r>
      <w:r>
        <w:rPr>
          <w:rFonts w:hint="eastAsia" w:ascii="仿宋" w:hAnsi="仿宋" w:eastAsia="仿宋" w:cs="仿宋"/>
          <w:b w:val="0"/>
          <w:bCs w:val="0"/>
          <w:i w:val="0"/>
          <w:iCs w:val="0"/>
          <w:caps w:val="0"/>
          <w:spacing w:val="0"/>
          <w:sz w:val="32"/>
          <w:szCs w:val="32"/>
          <w:bdr w:val="none" w:color="auto" w:sz="0" w:space="0"/>
          <w:shd w:val="clear" w:fill="FFFFFF"/>
        </w:rPr>
        <w:t>”，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14:paraId="40415C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sz w:val="24"/>
          <w:szCs w:val="24"/>
        </w:rPr>
      </w:pPr>
      <w:r>
        <w:rPr>
          <w:rFonts w:hint="eastAsia" w:ascii="仿宋" w:hAnsi="仿宋" w:eastAsia="仿宋" w:cs="仿宋"/>
          <w:b w:val="0"/>
          <w:bCs w:val="0"/>
          <w:i w:val="0"/>
          <w:iCs w:val="0"/>
          <w:caps w:val="0"/>
          <w:spacing w:val="0"/>
          <w:sz w:val="32"/>
          <w:szCs w:val="32"/>
          <w:bdr w:val="none" w:color="auto" w:sz="0" w:space="0"/>
          <w:shd w:val="clear" w:fill="FFFFFF"/>
        </w:rPr>
        <w:t>3.觉莫乡事业单位主要承担公益性职能：计划生育技术服务、宣传咨询、人员培训和药具发放；农林牧业生产中关键技术和新品种、新农具的引进、实验、示范；农作物和林木病虫害、动物疫病及农业灾害的监测、预报防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w:t>
      </w:r>
      <w:r>
        <w:rPr>
          <w:rFonts w:hint="eastAsia" w:ascii="仿宋" w:hAnsi="仿宋" w:eastAsia="仿宋" w:cs="仿宋"/>
          <w:b w:val="0"/>
          <w:bCs w:val="0"/>
          <w:i w:val="0"/>
          <w:iCs w:val="0"/>
          <w:caps w:val="0"/>
          <w:spacing w:val="0"/>
          <w:sz w:val="32"/>
          <w:szCs w:val="32"/>
          <w:bdr w:val="none" w:color="auto" w:sz="0" w:space="0"/>
          <w:shd w:val="clear" w:fill="FFFFFF"/>
          <w:lang w:eastAsia="zh-CN"/>
        </w:rPr>
        <w:t>、</w:t>
      </w:r>
      <w:r>
        <w:rPr>
          <w:rFonts w:hint="eastAsia" w:ascii="仿宋" w:hAnsi="仿宋" w:eastAsia="仿宋" w:cs="仿宋"/>
          <w:b w:val="0"/>
          <w:bCs w:val="0"/>
          <w:i w:val="0"/>
          <w:iCs w:val="0"/>
          <w:caps w:val="0"/>
          <w:spacing w:val="0"/>
          <w:sz w:val="32"/>
          <w:szCs w:val="32"/>
          <w:bdr w:val="none" w:color="auto" w:sz="0" w:space="0"/>
          <w:shd w:val="clear" w:fill="FFFFFF"/>
        </w:rPr>
        <w:t>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77A57E5A">
      <w:pPr>
        <w:pStyle w:val="4"/>
        <w:keepNext w:val="0"/>
        <w:keepLines w:val="0"/>
        <w:widowControl/>
        <w:suppressLineNumbers w:val="0"/>
        <w:spacing w:before="93" w:beforeAutospacing="0" w:line="600" w:lineRule="atLeast"/>
        <w:ind w:left="0" w:right="0" w:firstLine="672"/>
        <w:jc w:val="both"/>
        <w:rPr>
          <w:rFonts w:ascii="仿宋_GB2312" w:eastAsia="仿宋_GB2312" w:cs="仿宋_GB2312"/>
          <w:sz w:val="30"/>
          <w:szCs w:val="30"/>
        </w:rPr>
      </w:pPr>
      <w:r>
        <w:rPr>
          <w:rFonts w:hint="eastAsia" w:ascii="仿宋" w:hAnsi="仿宋" w:eastAsia="仿宋" w:cs="仿宋"/>
          <w:sz w:val="32"/>
          <w:szCs w:val="32"/>
          <w:bdr w:val="none" w:color="auto" w:sz="0" w:space="0"/>
        </w:rPr>
        <w:t>（二）2019年重点工作完成情况。</w:t>
      </w:r>
    </w:p>
    <w:p w14:paraId="7394E3E4">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1、全力</w:t>
      </w:r>
      <w:r>
        <w:rPr>
          <w:rFonts w:hint="eastAsia" w:ascii="黑体" w:hAnsi="宋体" w:eastAsia="黑体" w:cs="黑体"/>
          <w:sz w:val="32"/>
          <w:szCs w:val="32"/>
          <w:lang w:eastAsia="zh-CN"/>
        </w:rPr>
        <w:t>脱贫攻坚</w:t>
      </w:r>
      <w:r>
        <w:rPr>
          <w:rFonts w:hint="eastAsia" w:ascii="黑体" w:hAnsi="宋体" w:eastAsia="黑体" w:cs="黑体"/>
          <w:sz w:val="32"/>
          <w:szCs w:val="32"/>
        </w:rPr>
        <w:t>摘帽，致富奔康路更宽。</w:t>
      </w:r>
      <w:r>
        <w:rPr>
          <w:rFonts w:hint="eastAsia" w:ascii="仿宋_GB2312" w:hAnsi="Times New Roman" w:eastAsia="仿宋_GB2312" w:cs="仿宋_GB2312"/>
          <w:sz w:val="32"/>
          <w:szCs w:val="32"/>
        </w:rPr>
        <w:t>2019年，我们始终扭住</w:t>
      </w:r>
      <w:r>
        <w:rPr>
          <w:rFonts w:hint="eastAsia" w:ascii="仿宋_GB2312" w:hAnsi="Times New Roman" w:eastAsia="仿宋_GB2312" w:cs="仿宋_GB2312"/>
          <w:sz w:val="32"/>
          <w:szCs w:val="32"/>
          <w:lang w:eastAsia="zh-CN"/>
        </w:rPr>
        <w:t>“两不愁三保障”</w:t>
      </w:r>
      <w:r>
        <w:rPr>
          <w:rFonts w:hint="eastAsia" w:ascii="仿宋_GB2312" w:hAnsi="Times New Roman" w:eastAsia="仿宋_GB2312" w:cs="仿宋_GB2312"/>
          <w:sz w:val="32"/>
          <w:szCs w:val="32"/>
        </w:rPr>
        <w:t>关键核心，全面落实对标补短，持续巩固全乡三个村退出和204户889人脱贫成果，顺利通过了市级初验和省级第三方评估检查。</w:t>
      </w:r>
      <w:r>
        <w:rPr>
          <w:rFonts w:hint="eastAsia" w:ascii="仿宋_GB2312" w:hAnsi="Times New Roman" w:eastAsia="仿宋_GB2312" w:cs="仿宋_GB2312"/>
          <w:b/>
          <w:bCs/>
          <w:sz w:val="32"/>
          <w:szCs w:val="32"/>
        </w:rPr>
        <w:t>一是加强动态管理，坚决不漏一户一人。</w:t>
      </w:r>
      <w:r>
        <w:rPr>
          <w:rFonts w:hint="eastAsia" w:ascii="仿宋_GB2312" w:hAnsi="Times New Roman" w:eastAsia="仿宋_GB2312" w:cs="仿宋_GB2312"/>
          <w:sz w:val="32"/>
          <w:szCs w:val="32"/>
        </w:rPr>
        <w:t>全年共新增24人，减少19人，县内迁移1人。</w:t>
      </w:r>
      <w:r>
        <w:rPr>
          <w:rFonts w:hint="eastAsia" w:ascii="仿宋_GB2312" w:hAnsi="Times New Roman" w:eastAsia="仿宋_GB2312" w:cs="仿宋_GB2312"/>
          <w:b/>
          <w:bCs/>
          <w:sz w:val="32"/>
          <w:szCs w:val="32"/>
        </w:rPr>
        <w:t>二是全面落实各项补短措施，坚决杜绝返贫。</w:t>
      </w:r>
      <w:r>
        <w:rPr>
          <w:rFonts w:hint="eastAsia" w:ascii="仿宋_GB2312" w:hAnsi="Times New Roman" w:eastAsia="仿宋_GB2312" w:cs="仿宋_GB2312"/>
          <w:sz w:val="32"/>
          <w:szCs w:val="32"/>
        </w:rPr>
        <w:t>今年来，为觉村对标补短计划投入20万元，实际用于村产业补短24000元，户补短212户160200元，预留15800元作为临时补短机动资金；马鞍村对标补短计划投入15万，实际用于户补短项目合计120户136600元，预留13400作为临时补短机动资金；茨竹村对标补短计划投入15万元，实际用于村补短4306元，户补短164户117434元，预留28260元作为移风易俗和人居环境整治经费。</w:t>
      </w:r>
      <w:r>
        <w:rPr>
          <w:rFonts w:hint="eastAsia" w:ascii="仿宋_GB2312" w:hAnsi="Times New Roman" w:eastAsia="仿宋_GB2312" w:cs="仿宋_GB2312"/>
          <w:b/>
          <w:bCs/>
          <w:sz w:val="32"/>
          <w:szCs w:val="32"/>
        </w:rPr>
        <w:t>三是</w:t>
      </w:r>
      <w:r>
        <w:rPr>
          <w:rFonts w:ascii="楷体" w:hAnsi="楷体" w:eastAsia="楷体" w:cs="楷体"/>
          <w:b/>
          <w:bCs/>
          <w:sz w:val="32"/>
          <w:szCs w:val="32"/>
        </w:rPr>
        <w:t>扎</w:t>
      </w:r>
      <w:r>
        <w:rPr>
          <w:rFonts w:hint="eastAsia" w:ascii="仿宋_GB2312" w:hAnsi="Times New Roman" w:eastAsia="仿宋_GB2312" w:cs="仿宋_GB2312"/>
          <w:b/>
          <w:bCs/>
          <w:sz w:val="32"/>
          <w:szCs w:val="32"/>
        </w:rPr>
        <w:t>实开展大排查大走访，问题短板全清零。</w:t>
      </w:r>
      <w:r>
        <w:rPr>
          <w:rFonts w:hint="eastAsia" w:ascii="仿宋_GB2312" w:hAnsi="Times New Roman" w:eastAsia="仿宋_GB2312" w:cs="仿宋_GB2312"/>
          <w:sz w:val="32"/>
          <w:szCs w:val="32"/>
        </w:rPr>
        <w:t>今年以来，全乡先后开展了“两不愁三保障”回头看大排查和“1+4”全覆盖大走访，严格按照进度服从质量的要求，统筹调度排查力量，共排查出非建档立卡特殊困难户7户，逐一落实了“一户一策”，排查解决各类问题21个，全乡“两不愁三保障”问题短板全部清零，乡摘帽“三有”、村退出“一低五有”、户脱贫“一超六有”全部达标。</w:t>
      </w:r>
      <w:r>
        <w:rPr>
          <w:rFonts w:hint="eastAsia" w:ascii="仿宋_GB2312" w:hAnsi="Times New Roman" w:eastAsia="仿宋_GB2312" w:cs="仿宋_GB2312"/>
          <w:b/>
          <w:bCs/>
          <w:sz w:val="32"/>
          <w:szCs w:val="32"/>
        </w:rPr>
        <w:t>四是落实各项扶贫政策，脱贫不脱帮扶。</w:t>
      </w:r>
      <w:r>
        <w:rPr>
          <w:rFonts w:hint="eastAsia" w:ascii="仿宋_GB2312" w:hAnsi="Times New Roman" w:eastAsia="仿宋_GB2312" w:cs="仿宋_GB2312"/>
          <w:sz w:val="32"/>
          <w:szCs w:val="32"/>
        </w:rPr>
        <w:t>2019年共实施奋进计划204户，拨付资金61.093万元。落实贫困户医疗保险政府代购全覆盖，家庭医生签约全覆盖。组织群众免费义检100余人次，完成教育救助金申请211人，补助金额161600元。雨露计划申请18人，补助金额13500元。切实加强控辍保学，全乡教育条件进一步得到完善，教育经费得到了有效保证，全年适龄儿童入学率达100%，小学生合格率为100%,小学升学率达100%,全年分层复学17人，劝返入学2人。</w:t>
      </w:r>
      <w:r>
        <w:rPr>
          <w:rFonts w:hint="eastAsia" w:ascii="仿宋_GB2312" w:hAnsi="Times New Roman" w:eastAsia="仿宋_GB2312" w:cs="仿宋_GB2312"/>
          <w:b/>
          <w:bCs/>
          <w:sz w:val="32"/>
          <w:szCs w:val="32"/>
        </w:rPr>
        <w:t>五是强推基础建设，硬件条件全面改善。</w:t>
      </w:r>
      <w:r>
        <w:rPr>
          <w:rFonts w:hint="eastAsia" w:ascii="仿宋_GB2312" w:hAnsi="Times New Roman" w:eastAsia="仿宋_GB2312" w:cs="仿宋_GB2312"/>
          <w:sz w:val="32"/>
          <w:szCs w:val="32"/>
        </w:rPr>
        <w:t>完成非建档立卡户住房建设新建1户、改建9户，地灾避险搬迁15户;完成为觉村幼儿园建设、为觉村5.4公里上学便道硬化工程、为觉村763米通组路加宽硬化工程、为觉村“8.02”抢险救灾重建工程、茨竹村民族文化广场修建工程；完成乡污水处理化粪池建设、觉莫路升级改造工程；马鞍新增村、为觉村变压器2台。全年各项脱贫攻坚基础项目按时高效完成，为全乡脱贫摘帽顺利过检奠定坚实基础。</w:t>
      </w:r>
      <w:r>
        <w:rPr>
          <w:rFonts w:hint="eastAsia" w:ascii="仿宋_GB2312" w:hAnsi="Times New Roman" w:eastAsia="仿宋_GB2312" w:cs="仿宋_GB2312"/>
          <w:b/>
          <w:bCs/>
          <w:sz w:val="32"/>
          <w:szCs w:val="32"/>
        </w:rPr>
        <w:t>六是大力发展产业，致富增收有保障。</w:t>
      </w:r>
      <w:r>
        <w:rPr>
          <w:rFonts w:hint="eastAsia" w:ascii="仿宋_GB2312" w:hAnsi="Times New Roman" w:eastAsia="仿宋_GB2312" w:cs="仿宋_GB2312"/>
          <w:sz w:val="32"/>
          <w:szCs w:val="32"/>
        </w:rPr>
        <w:t>规范化管理为觉村养牛场、山羊养殖场，茨竹村黄牛养殖场、野猪养殖场，马鞍村山羊养殖场、凤凰李基地，加大种养规模，提升经济效益。今年来，完成茨竹村晚熟桃种植300亩。完成马鞍村生姜种植66亩。完成为觉村花椒种植160亩。完成为觉村“能繁母猪分散饲养”项目108户。持续巩固好林业优势，完成伐木补种3000亩。创新合作经营，巩固和发展“五小”到户产业，农民收入持续增长，致富奔康大有希望。</w:t>
      </w:r>
    </w:p>
    <w:p w14:paraId="33AC2B80">
      <w:pPr>
        <w:pStyle w:val="4"/>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2、</w:t>
      </w:r>
      <w:r>
        <w:rPr>
          <w:rFonts w:hint="eastAsia" w:ascii="黑体" w:hAnsi="宋体" w:eastAsia="黑体" w:cs="黑体"/>
          <w:b/>
          <w:bCs/>
          <w:sz w:val="32"/>
          <w:szCs w:val="32"/>
        </w:rPr>
        <w:t>大力推进人居环境整治，乡村面貌深刻变化。</w:t>
      </w:r>
      <w:r>
        <w:rPr>
          <w:rFonts w:hint="eastAsia" w:ascii="仿宋_GB2312" w:hAnsi="Times New Roman" w:eastAsia="仿宋_GB2312" w:cs="仿宋_GB2312"/>
          <w:b w:val="0"/>
          <w:bCs w:val="0"/>
          <w:sz w:val="32"/>
          <w:szCs w:val="32"/>
        </w:rPr>
        <w:t>推进农村“垃圾革命”</w:t>
      </w:r>
      <w:r>
        <w:rPr>
          <w:rFonts w:hint="eastAsia" w:ascii="仿宋_GB2312" w:hAnsi="Times New Roman" w:eastAsia="仿宋_GB2312" w:cs="仿宋_GB2312"/>
          <w:sz w:val="32"/>
          <w:szCs w:val="32"/>
        </w:rPr>
        <w:t>。积极推广垃圾分类处理措施，2019年为茨竹村农户购置130个家用分类垃圾箱，新建6个垃圾分类收集亭，每个垃圾收集亭设置厨余垃圾、有害垃圾、可回收垃圾及不可回收垃圾4个分类垃圾桶，并引导农户分类投放、分类收集。全乡生活垃圾无害化处理率达70%以上。</w:t>
      </w:r>
      <w:r>
        <w:rPr>
          <w:rFonts w:hint="eastAsia" w:ascii="仿宋_GB2312" w:hAnsi="Times New Roman" w:eastAsia="仿宋_GB2312" w:cs="仿宋_GB2312"/>
          <w:b w:val="0"/>
          <w:bCs w:val="0"/>
          <w:sz w:val="32"/>
          <w:szCs w:val="32"/>
        </w:rPr>
        <w:t>推进农村“污水革命”</w:t>
      </w:r>
      <w:r>
        <w:rPr>
          <w:rFonts w:hint="eastAsia" w:ascii="仿宋_GB2312" w:hAnsi="Times New Roman" w:eastAsia="仿宋_GB2312" w:cs="仿宋_GB2312"/>
          <w:b/>
          <w:bCs/>
          <w:sz w:val="32"/>
          <w:szCs w:val="32"/>
        </w:rPr>
        <w:t>。</w:t>
      </w:r>
      <w:r>
        <w:rPr>
          <w:rFonts w:hint="eastAsia" w:ascii="仿宋_GB2312" w:hAnsi="Times New Roman" w:eastAsia="仿宋_GB2312" w:cs="仿宋_GB2312"/>
          <w:sz w:val="32"/>
          <w:szCs w:val="32"/>
        </w:rPr>
        <w:t>重点推进茨竹村生活污水处理设施建设。处理设施和服务水平全面提升，人居环境质量显著改善。规划设计茨竹村污水收集管网主管道1380米，分管道128户2799米，预计2020年投入使用。各养殖场配套污水一体化处理设施，确保粪污达标排放。坚持控污与治污并重，引导村民树立节水意识，减少生活污水源头排放，加强尾水回收利用。</w:t>
      </w:r>
      <w:r>
        <w:rPr>
          <w:rFonts w:hint="eastAsia" w:ascii="仿宋_GB2312" w:hAnsi="Times New Roman" w:eastAsia="仿宋_GB2312" w:cs="仿宋_GB2312"/>
          <w:b w:val="0"/>
          <w:bCs w:val="0"/>
          <w:sz w:val="32"/>
          <w:szCs w:val="32"/>
        </w:rPr>
        <w:t>推进农村“厕所革命”。</w:t>
      </w:r>
      <w:r>
        <w:rPr>
          <w:rFonts w:hint="eastAsia" w:ascii="仿宋_GB2312" w:hAnsi="Times New Roman" w:eastAsia="仿宋_GB2312" w:cs="仿宋_GB2312"/>
          <w:sz w:val="32"/>
          <w:szCs w:val="32"/>
        </w:rPr>
        <w:t>以厕所建设为突破口，全面推动公共服务设施提升完善，持续推进乡村厕所革命，2019 年实现全乡农村户用卫生厕所普及率达到100%。整合资源，完成公共厕所改建提升4座，行政村公共厕所覆盖率达100%。</w:t>
      </w:r>
    </w:p>
    <w:p w14:paraId="0ABD3BD2">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b w:val="0"/>
          <w:bCs w:val="0"/>
          <w:sz w:val="32"/>
          <w:szCs w:val="32"/>
        </w:rPr>
        <w:t>3、基层治理持续深化，社会大局和谐稳定。一是</w:t>
      </w:r>
      <w:r>
        <w:rPr>
          <w:rFonts w:hint="eastAsia" w:ascii="仿宋_GB2312" w:hAnsi="Times New Roman" w:eastAsia="仿宋_GB2312" w:cs="仿宋_GB2312"/>
          <w:b/>
          <w:bCs/>
          <w:sz w:val="32"/>
          <w:szCs w:val="32"/>
        </w:rPr>
        <w:t>推进依法治理。</w:t>
      </w:r>
      <w:r>
        <w:rPr>
          <w:rFonts w:hint="eastAsia" w:ascii="仿宋_GB2312" w:hAnsi="Times New Roman" w:eastAsia="仿宋_GB2312" w:cs="仿宋_GB2312"/>
          <w:sz w:val="32"/>
          <w:szCs w:val="32"/>
        </w:rPr>
        <w:t>深入开展“七五”普法工作，领导干部带头学法，班子成员中心组学习会学法。全年开展法制宣传10次，举办法制讲座3场。常态化摸排</w:t>
      </w:r>
      <w:r>
        <w:rPr>
          <w:rFonts w:hint="eastAsia" w:ascii="仿宋_GB2312" w:hAnsi="Times New Roman" w:eastAsia="仿宋_GB2312" w:cs="仿宋_GB2312"/>
          <w:sz w:val="32"/>
          <w:szCs w:val="32"/>
          <w:lang w:eastAsia="zh-CN"/>
        </w:rPr>
        <w:t>扫黑除恶</w:t>
      </w:r>
      <w:r>
        <w:rPr>
          <w:rFonts w:hint="eastAsia" w:ascii="仿宋_GB2312" w:hAnsi="Times New Roman" w:eastAsia="仿宋_GB2312" w:cs="仿宋_GB2312"/>
          <w:sz w:val="32"/>
          <w:szCs w:val="32"/>
        </w:rPr>
        <w:t>线索。扎实开展矛盾纠纷调解和法律援助，今年来，全乡共调解矛盾纠纷30余件次，法律援助15件，成功化解到</w:t>
      </w:r>
      <w:r>
        <w:rPr>
          <w:rFonts w:hint="eastAsia" w:ascii="仿宋_GB2312" w:hAnsi="Times New Roman" w:eastAsia="仿宋_GB2312" w:cs="仿宋_GB2312"/>
          <w:sz w:val="32"/>
          <w:szCs w:val="32"/>
          <w:lang w:eastAsia="zh-CN"/>
        </w:rPr>
        <w:t>市级</w:t>
      </w:r>
      <w:r>
        <w:rPr>
          <w:rFonts w:hint="eastAsia" w:ascii="仿宋_GB2312" w:hAnsi="Times New Roman" w:eastAsia="仿宋_GB2312" w:cs="仿宋_GB2312"/>
          <w:sz w:val="32"/>
          <w:szCs w:val="32"/>
        </w:rPr>
        <w:t>以上越级上访3次，全乡纠纷发生率持续下降，没有发生刑事案件，社会治安秩序良好。</w:t>
      </w:r>
      <w:r>
        <w:rPr>
          <w:rFonts w:hint="eastAsia" w:ascii="仿宋_GB2312" w:hAnsi="Times New Roman" w:eastAsia="仿宋_GB2312" w:cs="仿宋_GB2312"/>
          <w:b/>
          <w:bCs/>
          <w:sz w:val="32"/>
          <w:szCs w:val="32"/>
        </w:rPr>
        <w:t>二是推进移风易俗。</w:t>
      </w:r>
      <w:r>
        <w:rPr>
          <w:rFonts w:hint="eastAsia" w:ascii="仿宋_GB2312" w:hAnsi="Times New Roman" w:eastAsia="仿宋_GB2312" w:cs="仿宋_GB2312"/>
          <w:sz w:val="32"/>
          <w:szCs w:val="32"/>
        </w:rPr>
        <w:t>全年开展内务整理比赛3次。共评选表彰“五星户”66人次，开展大型经验交流“我的脱贫路”演讲9人次。开展“小手拉大手”活动3次。群众思想认识进一步提高。创新工作机制，落实五级责任，强化四级考核。巩固深化“亲情工作法</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德古调解法”。文明新风逐步形成，群众自力更生意识进一步加强。完善村规民约，持续抓好彝族婚嫁“双高治理”，进一步完善基层治理体系，营造和谐的社会环境。</w:t>
      </w:r>
      <w:r>
        <w:rPr>
          <w:rFonts w:hint="eastAsia" w:ascii="仿宋_GB2312" w:hAnsi="Times New Roman" w:eastAsia="仿宋_GB2312" w:cs="仿宋_GB2312"/>
          <w:b/>
          <w:bCs/>
          <w:sz w:val="32"/>
          <w:szCs w:val="32"/>
        </w:rPr>
        <w:t>三是强抓安全生产。</w:t>
      </w:r>
      <w:r>
        <w:rPr>
          <w:rFonts w:hint="eastAsia" w:ascii="仿宋_GB2312" w:hAnsi="Times New Roman" w:eastAsia="仿宋_GB2312" w:cs="仿宋_GB2312"/>
          <w:sz w:val="32"/>
          <w:szCs w:val="32"/>
        </w:rPr>
        <w:t>严格落实“党政同责、</w:t>
      </w:r>
      <w:r>
        <w:rPr>
          <w:rFonts w:hint="eastAsia" w:ascii="仿宋_GB2312" w:hAnsi="Times New Roman" w:eastAsia="仿宋_GB2312" w:cs="仿宋_GB2312"/>
          <w:sz w:val="32"/>
          <w:szCs w:val="32"/>
          <w:lang w:eastAsia="zh-CN"/>
        </w:rPr>
        <w:t>‘一岗双责’</w:t>
      </w:r>
      <w:r>
        <w:rPr>
          <w:rFonts w:hint="eastAsia" w:ascii="仿宋_GB2312" w:hAnsi="Times New Roman" w:eastAsia="仿宋_GB2312" w:cs="仿宋_GB2312"/>
          <w:sz w:val="32"/>
          <w:szCs w:val="32"/>
        </w:rPr>
        <w:t>、齐抓共管、失职追责”安全生产工作机制，切实抓好道路交通、食品安全、地质灾害、防汛抗旱、森林防火等领域及学校等人员密集场所的安全隐患排查治理。认真开展安全生产大检查和路检路查，排查出一般安全隐患12项，交通安全隐患11处，全部整治到位；上路劝导交通违规行为40余起，督促整改销号率为95%，全年未发生一起重大安全责任事故；强化汛期值班值守，切实加强监测预警，对防汛安全隐患点分别制定整改措施和落实监测责任人，做到物资储备、责任落实、汛情预警到位，对1个地灾点、2个山洪害点开展了应急演练。认真开展非洲猪瘟防疫宣传、排查和管控，全年我乡未发现疫情。</w:t>
      </w:r>
    </w:p>
    <w:p w14:paraId="4B59AB53">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4、民生福祉持续改善，人民生活日新月异。一是</w:t>
      </w:r>
      <w:r>
        <w:rPr>
          <w:rFonts w:hint="eastAsia" w:ascii="仿宋_GB2312" w:hAnsi="Times New Roman" w:eastAsia="仿宋_GB2312" w:cs="仿宋_GB2312"/>
          <w:b/>
          <w:bCs/>
          <w:sz w:val="32"/>
          <w:szCs w:val="32"/>
        </w:rPr>
        <w:t>民生工程深入实施。</w:t>
      </w:r>
      <w:r>
        <w:rPr>
          <w:rFonts w:hint="eastAsia" w:ascii="仿宋_GB2312" w:hAnsi="Times New Roman" w:eastAsia="仿宋_GB2312" w:cs="仿宋_GB2312"/>
          <w:sz w:val="32"/>
          <w:szCs w:val="32"/>
        </w:rPr>
        <w:t>设立3个村级便民服务代办点，落地1台民生大数据平台，扎实开展“三收一送”，心连心服务热线受理派件14件，办结14件。</w:t>
      </w:r>
      <w:r>
        <w:rPr>
          <w:rFonts w:hint="eastAsia" w:ascii="仿宋_GB2312" w:hAnsi="Times New Roman" w:eastAsia="仿宋_GB2312" w:cs="仿宋_GB2312"/>
          <w:b/>
          <w:bCs/>
          <w:sz w:val="32"/>
          <w:szCs w:val="32"/>
        </w:rPr>
        <w:t>二是计生服务不断优化。</w:t>
      </w:r>
      <w:r>
        <w:rPr>
          <w:rFonts w:hint="eastAsia" w:ascii="仿宋_GB2312" w:hAnsi="Times New Roman" w:eastAsia="仿宋_GB2312" w:cs="仿宋_GB2312"/>
          <w:sz w:val="32"/>
          <w:szCs w:val="32"/>
        </w:rPr>
        <w:t>近一年来，全乡计生工作水平进一步提高，计划生育工作着重抓孕前管理，把好结婚登记、准生证发放、孕前检查“三关”，截至10月底，共出生婴儿25人，计划生育率达96%。广泛宣传《四川省人口与计划生育条例》，发放宣传资料100余份，发放避孕用具300盒，宣讲计生政策10次。开展健康大检查2次，完成国家免费孕检23对。</w:t>
      </w:r>
    </w:p>
    <w:p w14:paraId="3A9E4044">
      <w:pPr>
        <w:pStyle w:val="4"/>
        <w:keepNext w:val="0"/>
        <w:keepLines w:val="0"/>
        <w:widowControl/>
        <w:suppressLineNumbers w:val="0"/>
        <w:spacing w:before="0" w:beforeAutospacing="0" w:after="0" w:afterAutospacing="0" w:line="600" w:lineRule="atLeast"/>
        <w:ind w:left="0" w:right="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765EA353">
      <w:pPr>
        <w:pStyle w:val="4"/>
        <w:keepNext w:val="0"/>
        <w:keepLines w:val="0"/>
        <w:widowControl/>
        <w:suppressLineNumbers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b w:val="0"/>
          <w:bCs w:val="0"/>
          <w:sz w:val="32"/>
          <w:szCs w:val="32"/>
        </w:rPr>
        <w:t>三是</w:t>
      </w:r>
      <w:r>
        <w:rPr>
          <w:rFonts w:hint="eastAsia" w:ascii="仿宋_GB2312" w:hAnsi="Times New Roman" w:eastAsia="仿宋_GB2312" w:cs="仿宋_GB2312"/>
          <w:b/>
          <w:bCs/>
          <w:sz w:val="32"/>
          <w:szCs w:val="32"/>
        </w:rPr>
        <w:t>社会保障全面强化。</w:t>
      </w:r>
      <w:r>
        <w:rPr>
          <w:rFonts w:hint="eastAsia" w:ascii="仿宋_GB2312" w:hAnsi="Times New Roman" w:eastAsia="仿宋_GB2312" w:cs="仿宋_GB2312"/>
          <w:sz w:val="32"/>
          <w:szCs w:val="32"/>
        </w:rPr>
        <w:t>今年，全乡农村养老保险参保870人次，医疗保险参保1851人，小额保险参保781人，累计报案6起，县人寿保险公司均已受理；就业工作上新台阶，新开发农村公益性岗位24人，动态更新“一库五名单”，实现精准培训全覆盖，完成职业技能培训146人，其中参加“刺绣”培训26人，“中式烹调师”培训84人，“焊工”培训36人，实现劳动力“人有一技之长”，并逐步实现“一人就业，全家脱贫”；关心关爱留守儿童，目前我乡留守儿童28名，残疾儿童2名，通过开展暖冬大行动，为觉莫乡中心校168名小学生全覆盖每人发放一件厚棉衣，困难儿童慰问24人次；民政救济全面到位，全乡农村低保48户139人，城市低保6户10人，特困户4人，累计发放低保金222300元，发放特困户救助金20000元。发放临时救助41000元。发放医疗救助79738元；关心支持残疾人事业，完成残疾人物化补贴10人，补助20000元。完成残疾人就业培训10人，残疾人灵活就业25人，自主创业1人，补助13000元。发放残疾人生活补贴24282元。完成残疾人家庭无障碍改造12户。全国助残慰问日慰问4人。</w:t>
      </w:r>
    </w:p>
    <w:p w14:paraId="271B98C8">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b w:val="0"/>
          <w:bCs w:val="0"/>
          <w:sz w:val="32"/>
          <w:szCs w:val="32"/>
        </w:rPr>
        <w:t>5、强化服务意识，政府建设展现新作为。一是</w:t>
      </w:r>
      <w:r>
        <w:rPr>
          <w:rFonts w:hint="eastAsia" w:ascii="仿宋_GB2312" w:hAnsi="Times New Roman" w:eastAsia="仿宋_GB2312" w:cs="仿宋_GB2312"/>
          <w:b/>
          <w:bCs/>
          <w:sz w:val="32"/>
          <w:szCs w:val="32"/>
        </w:rPr>
        <w:t>始终坚持党的领导</w:t>
      </w:r>
      <w:r>
        <w:rPr>
          <w:rFonts w:hint="eastAsia" w:ascii="仿宋_GB2312" w:hAnsi="Times New Roman" w:eastAsia="仿宋_GB2312" w:cs="仿宋_GB2312"/>
          <w:b w:val="0"/>
          <w:bCs w:val="0"/>
          <w:sz w:val="32"/>
          <w:szCs w:val="32"/>
        </w:rPr>
        <w:t>。坚决服从党对一切工作的领导，牢固树立“四个意识”，增强“四个自信”，坚决做到“两个维护”，不断提高党员干部政治站位，以高度的责任感抓好各项决策部署落地落实。</w:t>
      </w:r>
      <w:r>
        <w:rPr>
          <w:rFonts w:hint="eastAsia" w:ascii="仿宋_GB2312" w:hAnsi="Times New Roman" w:eastAsia="仿宋_GB2312" w:cs="仿宋_GB2312"/>
          <w:b/>
          <w:bCs/>
          <w:sz w:val="32"/>
          <w:szCs w:val="32"/>
        </w:rPr>
        <w:t>二是持续深化依法行政。</w:t>
      </w:r>
      <w:r>
        <w:rPr>
          <w:rFonts w:hint="eastAsia" w:ascii="仿宋_GB2312" w:hAnsi="Times New Roman" w:eastAsia="仿宋_GB2312" w:cs="仿宋_GB2312"/>
          <w:b w:val="0"/>
          <w:bCs w:val="0"/>
          <w:sz w:val="32"/>
          <w:szCs w:val="32"/>
        </w:rPr>
        <w:t>坚持党委会集体议事决策，全年召开党委会31次，议定事项50余项，班子集中学法12次。出台规范性文件2件，全部审查报备。主动接受乡党委、乡人大、乡纪委监督、社会和舆论监督。</w:t>
      </w:r>
      <w:r>
        <w:rPr>
          <w:rFonts w:hint="eastAsia" w:ascii="仿宋_GB2312" w:hAnsi="Times New Roman" w:eastAsia="仿宋_GB2312" w:cs="仿宋_GB2312"/>
          <w:b/>
          <w:bCs/>
          <w:sz w:val="32"/>
          <w:szCs w:val="32"/>
        </w:rPr>
        <w:t>三是持续提升政务效能。</w:t>
      </w:r>
      <w:r>
        <w:rPr>
          <w:rFonts w:hint="eastAsia" w:ascii="仿宋_GB2312" w:hAnsi="Times New Roman" w:eastAsia="仿宋_GB2312" w:cs="仿宋_GB2312"/>
          <w:b w:val="0"/>
          <w:bCs w:val="0"/>
          <w:sz w:val="32"/>
          <w:szCs w:val="32"/>
        </w:rPr>
        <w:t>11项事项进驻觉莫乡便民服务中心，全面实现“一站式”服务，让群众真正实现“进一个门，办</w:t>
      </w:r>
      <w:r>
        <w:rPr>
          <w:rFonts w:hint="eastAsia" w:ascii="仿宋_GB2312" w:hAnsi="Times New Roman" w:eastAsia="仿宋_GB2312" w:cs="仿宋_GB2312"/>
          <w:b w:val="0"/>
          <w:bCs w:val="0"/>
          <w:sz w:val="32"/>
          <w:szCs w:val="32"/>
          <w:lang w:eastAsia="zh-CN"/>
        </w:rPr>
        <w:t>多件</w:t>
      </w:r>
      <w:r>
        <w:rPr>
          <w:rFonts w:hint="eastAsia" w:ascii="仿宋_GB2312" w:hAnsi="Times New Roman" w:eastAsia="仿宋_GB2312" w:cs="仿宋_GB2312"/>
          <w:b w:val="0"/>
          <w:bCs w:val="0"/>
          <w:sz w:val="32"/>
          <w:szCs w:val="32"/>
        </w:rPr>
        <w:t>事”。</w:t>
      </w:r>
      <w:r>
        <w:rPr>
          <w:rFonts w:hint="eastAsia" w:ascii="仿宋_GB2312" w:hAnsi="Times New Roman" w:eastAsia="仿宋_GB2312" w:cs="仿宋_GB2312"/>
          <w:b/>
          <w:bCs/>
          <w:sz w:val="32"/>
          <w:szCs w:val="32"/>
        </w:rPr>
        <w:t>四是持续加强廉政建设。</w:t>
      </w:r>
      <w:r>
        <w:rPr>
          <w:rFonts w:hint="eastAsia" w:ascii="仿宋_GB2312" w:hAnsi="Times New Roman" w:eastAsia="仿宋_GB2312" w:cs="仿宋_GB2312"/>
          <w:b w:val="0"/>
          <w:bCs w:val="0"/>
          <w:sz w:val="32"/>
          <w:szCs w:val="32"/>
        </w:rPr>
        <w:t>全面落实“两个责任”，严格执行“一岗双责”，严格遵守中央八项规定、省市十项规定和县委“七项严禁、十项不准”“两条禁令”，严格</w:t>
      </w:r>
      <w:r>
        <w:rPr>
          <w:rFonts w:hint="eastAsia" w:ascii="仿宋_GB2312" w:hAnsi="Times New Roman" w:eastAsia="仿宋_GB2312" w:cs="仿宋_GB2312"/>
          <w:b w:val="0"/>
          <w:bCs w:val="0"/>
          <w:sz w:val="32"/>
          <w:szCs w:val="32"/>
          <w:lang w:eastAsia="zh-CN"/>
        </w:rPr>
        <w:t>“三公”经费</w:t>
      </w:r>
      <w:r>
        <w:rPr>
          <w:rFonts w:hint="eastAsia" w:ascii="仿宋_GB2312" w:hAnsi="Times New Roman" w:eastAsia="仿宋_GB2312" w:cs="仿宋_GB2312"/>
          <w:b w:val="0"/>
          <w:bCs w:val="0"/>
          <w:sz w:val="32"/>
          <w:szCs w:val="32"/>
        </w:rPr>
        <w:t>使用。</w:t>
      </w:r>
    </w:p>
    <w:p w14:paraId="1049D031">
      <w:pPr>
        <w:pStyle w:val="4"/>
        <w:keepNext w:val="0"/>
        <w:keepLines w:val="0"/>
        <w:widowControl/>
        <w:suppressLineNumbers w:val="0"/>
        <w:spacing w:before="93" w:beforeAutospacing="0" w:line="600" w:lineRule="atLeast"/>
        <w:ind w:left="0" w:right="0" w:firstLine="672"/>
        <w:jc w:val="both"/>
        <w:rPr>
          <w:rFonts w:hint="eastAsia" w:ascii="仿宋_GB2312" w:eastAsia="仿宋_GB2312" w:cs="仿宋_GB2312"/>
          <w:sz w:val="30"/>
          <w:szCs w:val="30"/>
        </w:rPr>
      </w:pPr>
      <w:r>
        <w:rPr>
          <w:rFonts w:hint="eastAsia" w:ascii="仿宋_GB2312" w:hAnsi="宋体" w:eastAsia="仿宋_GB2312" w:cs="仿宋_GB2312"/>
          <w:sz w:val="30"/>
          <w:szCs w:val="30"/>
          <w:bdr w:val="none" w:color="auto" w:sz="0" w:space="0"/>
        </w:rPr>
        <w:t> </w:t>
      </w:r>
    </w:p>
    <w:p w14:paraId="7590032C">
      <w:pPr>
        <w:pStyle w:val="3"/>
        <w:keepNext w:val="0"/>
        <w:keepLines w:val="0"/>
        <w:widowControl/>
        <w:suppressLineNumbers w:val="0"/>
        <w:spacing w:after="0" w:afterAutospacing="0" w:line="600" w:lineRule="atLeast"/>
        <w:ind w:right="0"/>
      </w:pPr>
      <w:r>
        <w:rPr>
          <w:rFonts w:hint="eastAsia" w:ascii="黑体" w:hAnsi="宋体" w:eastAsia="黑体" w:cs="黑体"/>
          <w:b w:val="0"/>
          <w:bCs w:val="0"/>
          <w:sz w:val="32"/>
          <w:szCs w:val="32"/>
          <w:bdr w:val="none" w:color="auto" w:sz="0" w:space="0"/>
        </w:rPr>
        <w:t>二、机构设置</w:t>
      </w:r>
    </w:p>
    <w:p w14:paraId="78BA60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eastAsia" w:ascii="仿宋" w:hAnsi="仿宋" w:eastAsia="仿宋" w:cs="仿宋"/>
          <w:i w:val="0"/>
          <w:iCs w:val="0"/>
          <w:caps w:val="0"/>
          <w:spacing w:val="0"/>
          <w:sz w:val="32"/>
          <w:szCs w:val="32"/>
          <w:bdr w:val="none" w:color="auto" w:sz="0" w:space="0"/>
          <w:shd w:val="clear" w:fill="FFFFFF"/>
        </w:rPr>
        <w:t>觉莫乡无下属二级单位。</w:t>
      </w:r>
    </w:p>
    <w:p w14:paraId="61F442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eastAsia" w:ascii="仿宋" w:hAnsi="仿宋" w:eastAsia="仿宋" w:cs="仿宋"/>
          <w:i w:val="0"/>
          <w:iCs w:val="0"/>
          <w:caps w:val="0"/>
          <w:spacing w:val="0"/>
          <w:sz w:val="32"/>
          <w:szCs w:val="32"/>
          <w:bdr w:val="none" w:color="auto" w:sz="0" w:space="0"/>
          <w:shd w:val="clear" w:fill="FFFFFF"/>
        </w:rPr>
        <w:t>纳入2019年度部门决算编制范围的二级预算单位0个。 </w:t>
      </w:r>
    </w:p>
    <w:p w14:paraId="58D5E8EA">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0D2934FB">
      <w:pPr>
        <w:pStyle w:val="2"/>
        <w:keepNext w:val="0"/>
        <w:keepLines w:val="0"/>
        <w:widowControl/>
        <w:suppressLineNumbers w:val="0"/>
        <w:ind w:right="440"/>
        <w:jc w:val="right"/>
      </w:pPr>
      <w:r>
        <w:rPr>
          <w:rFonts w:hint="eastAsia" w:ascii="黑体" w:hAnsi="宋体" w:eastAsia="黑体" w:cs="黑体"/>
          <w:b w:val="0"/>
          <w:bCs w:val="0"/>
          <w:sz w:val="44"/>
          <w:szCs w:val="44"/>
          <w:bdr w:val="none" w:color="auto" w:sz="0" w:space="0"/>
        </w:rPr>
        <w:t>第二部分</w:t>
      </w:r>
      <w:r>
        <w:rPr>
          <w:rFonts w:hint="eastAsia" w:ascii="黑体" w:hAnsi="宋体" w:eastAsia="黑体" w:cs="黑体"/>
          <w:b/>
          <w:bCs/>
          <w:sz w:val="44"/>
          <w:szCs w:val="44"/>
          <w:bdr w:val="none" w:color="auto" w:sz="0" w:space="0"/>
        </w:rPr>
        <w:t> </w:t>
      </w:r>
      <w:r>
        <w:rPr>
          <w:rFonts w:hint="eastAsia" w:ascii="黑体" w:hAnsi="宋体" w:eastAsia="黑体" w:cs="黑体"/>
          <w:b w:val="0"/>
          <w:bCs w:val="0"/>
          <w:sz w:val="44"/>
          <w:szCs w:val="44"/>
          <w:bdr w:val="none" w:color="auto" w:sz="0" w:space="0"/>
        </w:rPr>
        <w:t>2019年度部门决算情况说明</w:t>
      </w:r>
    </w:p>
    <w:p w14:paraId="293438A2">
      <w:pPr>
        <w:pStyle w:val="4"/>
        <w:keepNext w:val="0"/>
        <w:keepLines w:val="0"/>
        <w:widowControl/>
        <w:suppressLineNumbers w:val="0"/>
        <w:spacing w:before="0" w:beforeAutospacing="0" w:after="0" w:afterAutospacing="0" w:line="600" w:lineRule="atLeast"/>
        <w:ind w:left="1360" w:right="0" w:hanging="720"/>
        <w:jc w:val="both"/>
        <w:rPr>
          <w:rFonts w:hint="default" w:ascii="Times New Roman" w:hAnsi="Times New Roman" w:cs="Times New Roman"/>
          <w:sz w:val="21"/>
          <w:szCs w:val="21"/>
        </w:rPr>
      </w:pPr>
      <w:r>
        <w:rPr>
          <w:rFonts w:hint="eastAsia" w:ascii="黑体" w:hAnsi="宋体" w:eastAsia="黑体" w:cs="黑体"/>
          <w:b w:val="0"/>
          <w:bCs w:val="0"/>
          <w:sz w:val="32"/>
          <w:szCs w:val="32"/>
        </w:rPr>
        <w:t>一、 </w:t>
      </w:r>
      <w:r>
        <w:rPr>
          <w:rFonts w:hint="eastAsia" w:ascii="黑体" w:hAnsi="宋体" w:eastAsia="黑体" w:cs="黑体"/>
          <w:sz w:val="32"/>
          <w:szCs w:val="32"/>
        </w:rPr>
        <w:t>收</w:t>
      </w:r>
      <w:r>
        <w:rPr>
          <w:rFonts w:hint="eastAsia" w:ascii="黑体" w:hAnsi="宋体" w:eastAsia="黑体" w:cs="黑体"/>
          <w:b w:val="0"/>
          <w:bCs w:val="0"/>
          <w:sz w:val="32"/>
          <w:szCs w:val="32"/>
        </w:rPr>
        <w:t>入支出决算总体情况说明</w:t>
      </w:r>
    </w:p>
    <w:p w14:paraId="47D2767F">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2019年度收支总计569.93万元。与2018年相比，收、支总计各增加31.9万元，增长5.93%。主要变动原因是脱贫攻坚任务繁重，项目经费多。（图1：收、支决算总计变动情况图）（柱状图）</w:t>
      </w:r>
    </w:p>
    <w:p w14:paraId="32FC510A">
      <w:pPr>
        <w:pStyle w:val="4"/>
        <w:keepNext w:val="0"/>
        <w:keepLines w:val="0"/>
        <w:widowControl/>
        <w:suppressLineNumbers w:val="0"/>
        <w:ind w:left="0" w:firstLine="0"/>
        <w:jc w:val="both"/>
        <w:rPr>
          <w:rFonts w:hint="default" w:ascii="Times New Roman" w:hAnsi="Times New Roman" w:cs="Times New Roman"/>
          <w:sz w:val="32"/>
          <w:szCs w:val="32"/>
        </w:rPr>
      </w:pPr>
      <w:r>
        <w:rPr>
          <w:rFonts w:hint="eastAsia" w:ascii="仿宋" w:hAnsi="仿宋" w:eastAsia="仿宋" w:cs="仿宋"/>
          <w:sz w:val="32"/>
          <w:szCs w:val="32"/>
        </w:rPr>
        <w:t> </w:t>
      </w:r>
      <w:r>
        <w:rPr>
          <w:rFonts w:hint="default" w:ascii="Times New Roman" w:hAnsi="Times New Roman" w:eastAsia="宋体" w:cs="Times New Roman"/>
          <w:sz w:val="32"/>
          <w:szCs w:val="32"/>
        </w:rPr>
        <w:drawing>
          <wp:inline distT="0" distB="0" distL="114300" distR="114300">
            <wp:extent cx="5095875" cy="26384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095875" cy="2638425"/>
                    </a:xfrm>
                    <a:prstGeom prst="rect">
                      <a:avLst/>
                    </a:prstGeom>
                    <a:noFill/>
                    <a:ln w="9525">
                      <a:noFill/>
                    </a:ln>
                  </pic:spPr>
                </pic:pic>
              </a:graphicData>
            </a:graphic>
          </wp:inline>
        </w:drawing>
      </w:r>
    </w:p>
    <w:p w14:paraId="25098273">
      <w:pPr>
        <w:pStyle w:val="4"/>
        <w:keepNext w:val="0"/>
        <w:keepLines w:val="0"/>
        <w:widowControl/>
        <w:suppressLineNumbers w:val="0"/>
        <w:spacing w:before="0" w:beforeAutospacing="0" w:after="0" w:afterAutospacing="0" w:line="600" w:lineRule="atLeast"/>
        <w:ind w:left="1360" w:right="0" w:hanging="720"/>
        <w:jc w:val="both"/>
        <w:rPr>
          <w:rFonts w:hint="default" w:ascii="Times New Roman" w:hAnsi="Times New Roman" w:cs="Times New Roman"/>
          <w:sz w:val="21"/>
          <w:szCs w:val="21"/>
        </w:rPr>
      </w:pPr>
      <w:r>
        <w:rPr>
          <w:rFonts w:hint="eastAsia" w:ascii="黑体" w:hAnsi="宋体" w:eastAsia="黑体" w:cs="黑体"/>
          <w:b w:val="0"/>
          <w:bCs w:val="0"/>
          <w:sz w:val="32"/>
          <w:szCs w:val="32"/>
        </w:rPr>
        <w:t>二、 </w:t>
      </w:r>
      <w:r>
        <w:rPr>
          <w:rFonts w:hint="eastAsia" w:ascii="黑体" w:hAnsi="宋体" w:eastAsia="黑体" w:cs="黑体"/>
          <w:sz w:val="32"/>
          <w:szCs w:val="32"/>
        </w:rPr>
        <w:t>收</w:t>
      </w:r>
      <w:r>
        <w:rPr>
          <w:rFonts w:hint="eastAsia" w:ascii="黑体" w:hAnsi="宋体" w:eastAsia="黑体" w:cs="黑体"/>
          <w:b w:val="0"/>
          <w:bCs w:val="0"/>
          <w:sz w:val="32"/>
          <w:szCs w:val="32"/>
        </w:rPr>
        <w:t>入决算情况说明</w:t>
      </w:r>
    </w:p>
    <w:p w14:paraId="58667AF0">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2019年本年收入合计561.74万元，其中：一般公共预算财政拨款收入554.75万元，占98.76%；政府性基金预算财政拨款收入6.99万元，占1.24%；上级补助收入0万元，占0%；事业收入0万元，占0%；经营收入0万元，占0%；附属单位上缴收入0万元，占0%；其他收入0万元，占0%。</w:t>
      </w:r>
    </w:p>
    <w:p w14:paraId="6A0BE4A9">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（图2：收入决算结构图）（饼状图）</w:t>
      </w:r>
    </w:p>
    <w:p w14:paraId="23FA93EE">
      <w:pPr>
        <w:pStyle w:val="4"/>
        <w:keepNext w:val="0"/>
        <w:keepLines w:val="0"/>
        <w:widowControl/>
        <w:suppressLineNumbers w:val="0"/>
        <w:spacing w:before="240" w:beforeAutospacing="0" w:after="60" w:afterAutospacing="0"/>
        <w:jc w:val="center"/>
        <w:rPr>
          <w:rFonts w:hint="default" w:ascii="Arial" w:hAnsi="Arial" w:cs="Arial"/>
          <w:b/>
          <w:bCs/>
          <w:sz w:val="32"/>
          <w:szCs w:val="32"/>
        </w:rPr>
      </w:pPr>
      <w:r>
        <w:rPr>
          <w:rFonts w:hint="default" w:ascii="Arial" w:hAnsi="Arial" w:eastAsia="宋体" w:cs="Arial"/>
          <w:b/>
          <w:bCs/>
          <w:sz w:val="32"/>
          <w:szCs w:val="32"/>
          <w:bdr w:val="none" w:color="auto" w:sz="0" w:space="0"/>
        </w:rPr>
        <w:drawing>
          <wp:inline distT="0" distB="0" distL="114300" distR="114300">
            <wp:extent cx="5095875" cy="3086100"/>
            <wp:effectExtent l="0" t="0" r="9525"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5095875" cy="3086100"/>
                    </a:xfrm>
                    <a:prstGeom prst="rect">
                      <a:avLst/>
                    </a:prstGeom>
                    <a:noFill/>
                    <a:ln w="9525">
                      <a:noFill/>
                    </a:ln>
                  </pic:spPr>
                </pic:pic>
              </a:graphicData>
            </a:graphic>
          </wp:inline>
        </w:drawing>
      </w:r>
    </w:p>
    <w:p w14:paraId="0195F3E2">
      <w:pPr>
        <w:pStyle w:val="4"/>
        <w:keepNext w:val="0"/>
        <w:keepLines w:val="0"/>
        <w:widowControl/>
        <w:suppressLineNumbers w:val="0"/>
        <w:spacing w:before="0" w:beforeAutospacing="0" w:after="0" w:afterAutospacing="0" w:line="600" w:lineRule="atLeast"/>
        <w:ind w:left="1360" w:right="0" w:hanging="720"/>
        <w:jc w:val="both"/>
        <w:rPr>
          <w:rFonts w:hint="default" w:ascii="Times New Roman" w:hAnsi="Times New Roman" w:cs="Times New Roman"/>
          <w:sz w:val="21"/>
          <w:szCs w:val="21"/>
        </w:rPr>
      </w:pPr>
      <w:r>
        <w:rPr>
          <w:rFonts w:hint="eastAsia" w:ascii="黑体" w:hAnsi="宋体" w:eastAsia="黑体" w:cs="黑体"/>
          <w:b w:val="0"/>
          <w:bCs w:val="0"/>
          <w:sz w:val="32"/>
          <w:szCs w:val="32"/>
        </w:rPr>
        <w:t>三、 </w:t>
      </w:r>
      <w:r>
        <w:rPr>
          <w:rFonts w:hint="eastAsia" w:ascii="黑体" w:hAnsi="宋体" w:eastAsia="黑体" w:cs="黑体"/>
          <w:sz w:val="32"/>
          <w:szCs w:val="32"/>
        </w:rPr>
        <w:t>支</w:t>
      </w:r>
      <w:r>
        <w:rPr>
          <w:rFonts w:hint="eastAsia" w:ascii="黑体" w:hAnsi="宋体" w:eastAsia="黑体" w:cs="黑体"/>
          <w:b w:val="0"/>
          <w:bCs w:val="0"/>
          <w:sz w:val="32"/>
          <w:szCs w:val="32"/>
        </w:rPr>
        <w:t>出决算情况说明</w:t>
      </w:r>
    </w:p>
    <w:p w14:paraId="1A560D6B">
      <w:pPr>
        <w:pStyle w:val="4"/>
        <w:keepNext w:val="0"/>
        <w:keepLines w:val="0"/>
        <w:widowControl/>
        <w:suppressLineNumbers w:val="0"/>
        <w:spacing w:before="0" w:beforeAutospacing="0" w:after="0" w:afterAutospacing="0" w:line="600" w:lineRule="atLeast"/>
        <w:ind w:left="0" w:right="0" w:firstLine="320"/>
        <w:jc w:val="both"/>
        <w:rPr>
          <w:rFonts w:hint="default" w:ascii="Times New Roman" w:hAnsi="Times New Roman" w:cs="Times New Roman"/>
          <w:sz w:val="21"/>
          <w:szCs w:val="21"/>
        </w:rPr>
      </w:pPr>
      <w:r>
        <w:rPr>
          <w:rFonts w:hint="eastAsia" w:ascii="仿宋" w:hAnsi="仿宋" w:eastAsia="仿宋" w:cs="仿宋"/>
          <w:sz w:val="32"/>
          <w:szCs w:val="32"/>
        </w:rPr>
        <w:t>2019年本年支出合计533.95万元，其中：基本支出451.24万元，占84.51%；项目支出82.71万元，占15.49%；上缴上级支出0万元，占0%；经营支出0万元，占0%；对附属单位补助支出0万元，占0%。</w:t>
      </w:r>
    </w:p>
    <w:p w14:paraId="0010FA10">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（图3：支出决算结构图）（饼状图）</w:t>
      </w:r>
    </w:p>
    <w:p w14:paraId="6B374BCC">
      <w:pPr>
        <w:pStyle w:val="4"/>
        <w:keepNext w:val="0"/>
        <w:keepLines w:val="0"/>
        <w:widowControl/>
        <w:suppressLineNumbers w:val="0"/>
        <w:spacing w:before="240" w:beforeAutospacing="0" w:after="60" w:afterAutospacing="0"/>
        <w:jc w:val="center"/>
        <w:rPr>
          <w:rFonts w:hint="default" w:ascii="Arial" w:hAnsi="Arial" w:cs="Arial"/>
          <w:b/>
          <w:bCs/>
          <w:sz w:val="32"/>
          <w:szCs w:val="32"/>
        </w:rPr>
      </w:pPr>
      <w:r>
        <w:rPr>
          <w:rFonts w:hint="default" w:ascii="Arial" w:hAnsi="Arial" w:eastAsia="宋体" w:cs="Arial"/>
          <w:b/>
          <w:bCs/>
          <w:sz w:val="32"/>
          <w:szCs w:val="32"/>
          <w:bdr w:val="none" w:color="auto" w:sz="0" w:space="0"/>
        </w:rPr>
        <w:drawing>
          <wp:inline distT="0" distB="0" distL="114300" distR="114300">
            <wp:extent cx="5095875" cy="3819525"/>
            <wp:effectExtent l="0" t="0" r="9525"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5095875" cy="3819525"/>
                    </a:xfrm>
                    <a:prstGeom prst="rect">
                      <a:avLst/>
                    </a:prstGeom>
                    <a:noFill/>
                    <a:ln w="9525">
                      <a:noFill/>
                    </a:ln>
                  </pic:spPr>
                </pic:pic>
              </a:graphicData>
            </a:graphic>
          </wp:inline>
        </w:drawing>
      </w:r>
    </w:p>
    <w:p w14:paraId="1103B774">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444A8809">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四、财</w:t>
      </w:r>
      <w:r>
        <w:rPr>
          <w:rFonts w:hint="eastAsia" w:ascii="黑体" w:hAnsi="宋体" w:eastAsia="黑体" w:cs="黑体"/>
          <w:b w:val="0"/>
          <w:bCs w:val="0"/>
          <w:sz w:val="32"/>
          <w:szCs w:val="32"/>
        </w:rPr>
        <w:t>政拨款收入支出决算总体情况说明</w:t>
      </w:r>
    </w:p>
    <w:p w14:paraId="4574383B">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2019年财政拨款收、支总计569.93万元。与2018年相比，财政拨款收、支总计各增加31.9万元，增长5.93%。主要原因是脱贫攻坚任务重，项目经费增加。</w:t>
      </w:r>
    </w:p>
    <w:p w14:paraId="4D2D6015">
      <w:pPr>
        <w:pStyle w:val="4"/>
        <w:keepNext w:val="0"/>
        <w:keepLines w:val="0"/>
        <w:widowControl/>
        <w:suppressLineNumbers w:val="0"/>
        <w:spacing w:before="0" w:beforeAutospacing="0" w:after="0" w:afterAutospacing="0" w:line="600" w:lineRule="atLeast"/>
        <w:ind w:left="0" w:right="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287C7653">
      <w:pPr>
        <w:pStyle w:val="4"/>
        <w:keepNext w:val="0"/>
        <w:keepLines w:val="0"/>
        <w:widowControl/>
        <w:suppressLineNumbers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（图4：财政拨款收、支决算总计变动情况）（柱状图）</w:t>
      </w:r>
    </w:p>
    <w:p w14:paraId="0AAF1BCD">
      <w:pPr>
        <w:pStyle w:val="4"/>
        <w:keepNext w:val="0"/>
        <w:keepLines w:val="0"/>
        <w:widowControl/>
        <w:suppressLineNumbers w:val="0"/>
        <w:spacing w:before="240" w:beforeAutospacing="0" w:after="60" w:afterAutospacing="0"/>
        <w:jc w:val="center"/>
        <w:rPr>
          <w:rFonts w:hint="default" w:ascii="Arial" w:hAnsi="Arial" w:cs="Arial"/>
          <w:b/>
          <w:bCs/>
          <w:sz w:val="32"/>
          <w:szCs w:val="32"/>
        </w:rPr>
      </w:pPr>
      <w:r>
        <w:rPr>
          <w:rFonts w:hint="default" w:ascii="Arial" w:hAnsi="Arial" w:eastAsia="宋体" w:cs="Arial"/>
          <w:b/>
          <w:bCs/>
          <w:sz w:val="32"/>
          <w:szCs w:val="32"/>
          <w:bdr w:val="none" w:color="auto" w:sz="0" w:space="0"/>
        </w:rPr>
        <w:drawing>
          <wp:inline distT="0" distB="0" distL="114300" distR="114300">
            <wp:extent cx="5095875" cy="2638425"/>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095875" cy="2638425"/>
                    </a:xfrm>
                    <a:prstGeom prst="rect">
                      <a:avLst/>
                    </a:prstGeom>
                    <a:noFill/>
                    <a:ln w="9525">
                      <a:noFill/>
                    </a:ln>
                  </pic:spPr>
                </pic:pic>
              </a:graphicData>
            </a:graphic>
          </wp:inline>
        </w:drawing>
      </w:r>
    </w:p>
    <w:p w14:paraId="4D1130D1">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五、</w:t>
      </w:r>
      <w:r>
        <w:rPr>
          <w:rFonts w:hint="eastAsia" w:ascii="黑体" w:hAnsi="宋体" w:eastAsia="黑体" w:cs="黑体"/>
          <w:b/>
          <w:bCs/>
          <w:sz w:val="32"/>
          <w:szCs w:val="32"/>
        </w:rPr>
        <w:t>一</w:t>
      </w:r>
      <w:r>
        <w:rPr>
          <w:rFonts w:hint="eastAsia" w:ascii="黑体" w:hAnsi="宋体" w:eastAsia="黑体" w:cs="黑体"/>
          <w:b w:val="0"/>
          <w:bCs w:val="0"/>
          <w:sz w:val="32"/>
          <w:szCs w:val="32"/>
        </w:rPr>
        <w:t>般公共预算财政拨款支出决算情况说明</w:t>
      </w:r>
    </w:p>
    <w:p w14:paraId="177D41A8">
      <w:pPr>
        <w:pStyle w:val="4"/>
        <w:keepNext w:val="0"/>
        <w:keepLines w:val="0"/>
        <w:widowControl/>
        <w:suppressLineNumbers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（一）一般公共预算财政拨款支出决算总体情况</w:t>
      </w:r>
    </w:p>
    <w:p w14:paraId="14C2430D">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2019年一般公共预算财政拨款支出526.96万元，占本年支出合计的95.69%。与2018年相比，一般公共预算财政拨款增加82.45万元，增长18.55%。主要原因是项目经费增加。</w:t>
      </w:r>
    </w:p>
    <w:p w14:paraId="46648811">
      <w:pPr>
        <w:pStyle w:val="4"/>
        <w:keepNext w:val="0"/>
        <w:keepLines w:val="0"/>
        <w:widowControl/>
        <w:suppressLineNumbers w:val="0"/>
        <w:spacing w:before="0" w:beforeAutospacing="0" w:after="0" w:afterAutospacing="0" w:line="600" w:lineRule="atLeast"/>
        <w:ind w:left="0" w:right="0" w:firstLine="560"/>
        <w:jc w:val="both"/>
        <w:rPr>
          <w:rFonts w:hint="default" w:ascii="Times New Roman" w:hAnsi="Times New Roman" w:cs="Times New Roman"/>
          <w:sz w:val="21"/>
          <w:szCs w:val="21"/>
        </w:rPr>
      </w:pPr>
      <w:r>
        <w:rPr>
          <w:rFonts w:hint="eastAsia" w:ascii="仿宋" w:hAnsi="仿宋" w:eastAsia="仿宋" w:cs="仿宋"/>
          <w:sz w:val="28"/>
          <w:szCs w:val="28"/>
        </w:rPr>
        <w:t>（图5：一般公共预算财政拨款支出决算变动情况）（柱状图）</w:t>
      </w:r>
    </w:p>
    <w:p w14:paraId="075F464A">
      <w:pPr>
        <w:pStyle w:val="4"/>
        <w:keepNext w:val="0"/>
        <w:keepLines w:val="0"/>
        <w:widowControl/>
        <w:suppressLineNumbers w:val="0"/>
        <w:spacing w:before="240" w:beforeAutospacing="0" w:after="60" w:afterAutospacing="0"/>
        <w:jc w:val="center"/>
        <w:rPr>
          <w:rFonts w:hint="default" w:ascii="Arial" w:hAnsi="Arial" w:cs="Arial"/>
          <w:b/>
          <w:bCs/>
          <w:sz w:val="32"/>
          <w:szCs w:val="32"/>
        </w:rPr>
      </w:pPr>
      <w:r>
        <w:rPr>
          <w:rFonts w:hint="default" w:ascii="Arial" w:hAnsi="Arial" w:eastAsia="宋体" w:cs="Arial"/>
          <w:b/>
          <w:bCs/>
          <w:sz w:val="32"/>
          <w:szCs w:val="32"/>
          <w:bdr w:val="none" w:color="auto" w:sz="0" w:space="0"/>
        </w:rPr>
        <w:drawing>
          <wp:inline distT="0" distB="0" distL="114300" distR="114300">
            <wp:extent cx="5095875" cy="2609850"/>
            <wp:effectExtent l="0" t="0" r="9525"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8"/>
                    <a:stretch>
                      <a:fillRect/>
                    </a:stretch>
                  </pic:blipFill>
                  <pic:spPr>
                    <a:xfrm>
                      <a:off x="0" y="0"/>
                      <a:ext cx="5095875" cy="2609850"/>
                    </a:xfrm>
                    <a:prstGeom prst="rect">
                      <a:avLst/>
                    </a:prstGeom>
                    <a:noFill/>
                    <a:ln w="9525">
                      <a:noFill/>
                    </a:ln>
                  </pic:spPr>
                </pic:pic>
              </a:graphicData>
            </a:graphic>
          </wp:inline>
        </w:drawing>
      </w:r>
    </w:p>
    <w:p w14:paraId="4295733F">
      <w:pPr>
        <w:pStyle w:val="4"/>
        <w:keepNext w:val="0"/>
        <w:keepLines w:val="0"/>
        <w:widowControl/>
        <w:suppressLineNumbers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（二）一般公共预算财政拨款支出决算结构情况</w:t>
      </w:r>
    </w:p>
    <w:p w14:paraId="1BA6E8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eastAsia" w:ascii="仿宋" w:hAnsi="仿宋" w:eastAsia="仿宋" w:cs="仿宋"/>
          <w:sz w:val="32"/>
          <w:szCs w:val="32"/>
          <w:bdr w:val="none" w:color="auto" w:sz="0" w:space="0"/>
        </w:rPr>
        <w:t>2019年一般公共预算财政拨款支出526.96万元，主要用于以下方面:</w:t>
      </w:r>
      <w:r>
        <w:rPr>
          <w:rFonts w:hint="eastAsia" w:ascii="仿宋" w:hAnsi="仿宋" w:eastAsia="仿宋" w:cs="仿宋"/>
          <w:b/>
          <w:bCs/>
          <w:sz w:val="32"/>
          <w:szCs w:val="32"/>
          <w:bdr w:val="none" w:color="auto" w:sz="0" w:space="0"/>
        </w:rPr>
        <w:t>一般公共服务（类）</w:t>
      </w:r>
      <w:r>
        <w:rPr>
          <w:rFonts w:hint="eastAsia" w:ascii="仿宋" w:hAnsi="仿宋" w:eastAsia="仿宋" w:cs="仿宋"/>
          <w:sz w:val="32"/>
          <w:szCs w:val="32"/>
          <w:bdr w:val="none" w:color="auto" w:sz="0" w:space="0"/>
        </w:rPr>
        <w:t>支出334.46万元，占63.47%；</w:t>
      </w:r>
      <w:r>
        <w:rPr>
          <w:rFonts w:hint="eastAsia" w:ascii="仿宋" w:hAnsi="仿宋" w:eastAsia="仿宋" w:cs="仿宋"/>
          <w:b/>
          <w:bCs/>
          <w:sz w:val="32"/>
          <w:szCs w:val="32"/>
          <w:bdr w:val="none" w:color="auto" w:sz="0" w:space="0"/>
        </w:rPr>
        <w:t>文化旅游体育与传媒（类）支出</w:t>
      </w:r>
      <w:r>
        <w:rPr>
          <w:rFonts w:hint="eastAsia" w:ascii="仿宋" w:hAnsi="仿宋" w:eastAsia="仿宋" w:cs="仿宋"/>
          <w:b w:val="0"/>
          <w:bCs w:val="0"/>
          <w:sz w:val="32"/>
          <w:szCs w:val="32"/>
          <w:bdr w:val="none" w:color="auto" w:sz="0" w:space="0"/>
        </w:rPr>
        <w:t>4.13万元</w:t>
      </w:r>
      <w:r>
        <w:rPr>
          <w:rFonts w:hint="eastAsia" w:ascii="仿宋" w:hAnsi="仿宋" w:eastAsia="仿宋" w:cs="仿宋"/>
          <w:b/>
          <w:bCs/>
          <w:sz w:val="32"/>
          <w:szCs w:val="32"/>
          <w:bdr w:val="none" w:color="auto" w:sz="0" w:space="0"/>
        </w:rPr>
        <w:t>，</w:t>
      </w:r>
      <w:r>
        <w:rPr>
          <w:rFonts w:hint="eastAsia" w:ascii="仿宋" w:hAnsi="仿宋" w:eastAsia="仿宋" w:cs="仿宋"/>
          <w:b w:val="0"/>
          <w:bCs w:val="0"/>
          <w:sz w:val="32"/>
          <w:szCs w:val="32"/>
          <w:bdr w:val="none" w:color="auto" w:sz="0" w:space="0"/>
        </w:rPr>
        <w:t>占0.78%；</w:t>
      </w:r>
      <w:r>
        <w:rPr>
          <w:rFonts w:hint="eastAsia" w:ascii="仿宋" w:hAnsi="仿宋" w:eastAsia="仿宋" w:cs="仿宋"/>
          <w:b/>
          <w:bCs/>
          <w:sz w:val="32"/>
          <w:szCs w:val="32"/>
          <w:bdr w:val="none" w:color="auto" w:sz="0" w:space="0"/>
        </w:rPr>
        <w:t>社会保障和就业（类）</w:t>
      </w:r>
      <w:r>
        <w:rPr>
          <w:rFonts w:hint="eastAsia" w:ascii="仿宋" w:hAnsi="仿宋" w:eastAsia="仿宋" w:cs="仿宋"/>
          <w:sz w:val="32"/>
          <w:szCs w:val="32"/>
          <w:bdr w:val="none" w:color="auto" w:sz="0" w:space="0"/>
        </w:rPr>
        <w:t>支出37.7万元，占7.15%；</w:t>
      </w:r>
      <w:r>
        <w:rPr>
          <w:rFonts w:hint="eastAsia" w:ascii="仿宋" w:hAnsi="仿宋" w:eastAsia="仿宋" w:cs="仿宋"/>
          <w:b/>
          <w:bCs/>
          <w:sz w:val="32"/>
          <w:szCs w:val="32"/>
          <w:bdr w:val="none" w:color="auto" w:sz="0" w:space="0"/>
        </w:rPr>
        <w:t>卫生健康支出</w:t>
      </w:r>
      <w:r>
        <w:rPr>
          <w:rFonts w:hint="eastAsia" w:ascii="仿宋" w:hAnsi="仿宋" w:eastAsia="仿宋" w:cs="仿宋"/>
          <w:sz w:val="32"/>
          <w:szCs w:val="32"/>
          <w:bdr w:val="none" w:color="auto" w:sz="0" w:space="0"/>
        </w:rPr>
        <w:t>9.41万元，占1.8%；</w:t>
      </w:r>
      <w:r>
        <w:rPr>
          <w:rFonts w:hint="eastAsia" w:ascii="仿宋" w:hAnsi="仿宋" w:eastAsia="仿宋" w:cs="仿宋"/>
          <w:b/>
          <w:bCs/>
          <w:sz w:val="32"/>
          <w:szCs w:val="32"/>
          <w:bdr w:val="none" w:color="auto" w:sz="0" w:space="0"/>
        </w:rPr>
        <w:t>住房保障（类）支出</w:t>
      </w:r>
      <w:r>
        <w:rPr>
          <w:rFonts w:hint="eastAsia" w:ascii="仿宋" w:hAnsi="仿宋" w:eastAsia="仿宋" w:cs="仿宋"/>
          <w:b w:val="0"/>
          <w:bCs w:val="0"/>
          <w:sz w:val="32"/>
          <w:szCs w:val="32"/>
          <w:bdr w:val="none" w:color="auto" w:sz="0" w:space="0"/>
        </w:rPr>
        <w:t>26.66万元</w:t>
      </w:r>
      <w:r>
        <w:rPr>
          <w:rFonts w:hint="eastAsia" w:ascii="仿宋" w:hAnsi="仿宋" w:eastAsia="仿宋" w:cs="仿宋"/>
          <w:sz w:val="32"/>
          <w:szCs w:val="32"/>
          <w:bdr w:val="none" w:color="auto" w:sz="0" w:space="0"/>
        </w:rPr>
        <w:t>，占5.06%；</w:t>
      </w:r>
      <w:r>
        <w:rPr>
          <w:rFonts w:hint="eastAsia" w:ascii="仿宋" w:hAnsi="仿宋" w:eastAsia="仿宋" w:cs="仿宋"/>
          <w:b/>
          <w:bCs/>
          <w:i w:val="0"/>
          <w:iCs w:val="0"/>
          <w:caps w:val="0"/>
          <w:spacing w:val="0"/>
          <w:sz w:val="32"/>
          <w:szCs w:val="32"/>
          <w:bdr w:val="none" w:color="auto" w:sz="0" w:space="0"/>
          <w:shd w:val="clear" w:fill="FFFFFF"/>
        </w:rPr>
        <w:t>城乡社区（类）支出</w:t>
      </w:r>
      <w:r>
        <w:rPr>
          <w:rFonts w:hint="eastAsia" w:ascii="仿宋" w:hAnsi="仿宋" w:eastAsia="仿宋" w:cs="仿宋"/>
          <w:b w:val="0"/>
          <w:bCs w:val="0"/>
          <w:i w:val="0"/>
          <w:iCs w:val="0"/>
          <w:caps w:val="0"/>
          <w:spacing w:val="0"/>
          <w:sz w:val="32"/>
          <w:szCs w:val="32"/>
          <w:bdr w:val="none" w:color="auto" w:sz="0" w:space="0"/>
          <w:shd w:val="clear" w:fill="FFFFFF"/>
        </w:rPr>
        <w:t>43.96万元，占8.34%；</w:t>
      </w:r>
      <w:r>
        <w:rPr>
          <w:rFonts w:hint="eastAsia" w:ascii="仿宋" w:hAnsi="仿宋" w:eastAsia="仿宋" w:cs="仿宋"/>
          <w:b/>
          <w:bCs/>
          <w:i w:val="0"/>
          <w:iCs w:val="0"/>
          <w:caps w:val="0"/>
          <w:spacing w:val="0"/>
          <w:sz w:val="32"/>
          <w:szCs w:val="32"/>
          <w:bdr w:val="none" w:color="auto" w:sz="0" w:space="0"/>
          <w:shd w:val="clear" w:fill="FFFFFF"/>
        </w:rPr>
        <w:t>农林水（类）支出</w:t>
      </w:r>
      <w:r>
        <w:rPr>
          <w:rFonts w:hint="eastAsia" w:ascii="仿宋" w:hAnsi="仿宋" w:eastAsia="仿宋" w:cs="仿宋"/>
          <w:b w:val="0"/>
          <w:bCs w:val="0"/>
          <w:i w:val="0"/>
          <w:iCs w:val="0"/>
          <w:caps w:val="0"/>
          <w:spacing w:val="0"/>
          <w:sz w:val="32"/>
          <w:szCs w:val="32"/>
          <w:bdr w:val="none" w:color="auto" w:sz="0" w:space="0"/>
          <w:shd w:val="clear" w:fill="FFFFFF"/>
        </w:rPr>
        <w:t>70.64万元，占13.4 %。</w:t>
      </w:r>
    </w:p>
    <w:p w14:paraId="1531C774">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（图6：一般公共预算财政拨款支出决算结构）（饼状图）</w:t>
      </w:r>
    </w:p>
    <w:p w14:paraId="625DEFD9">
      <w:pPr>
        <w:pStyle w:val="4"/>
        <w:keepNext w:val="0"/>
        <w:keepLines w:val="0"/>
        <w:widowControl/>
        <w:suppressLineNumbers w:val="0"/>
        <w:ind w:left="0" w:firstLine="0"/>
        <w:jc w:val="both"/>
        <w:rPr>
          <w:rFonts w:hint="default" w:ascii="Times New Roman" w:hAnsi="Times New Roman" w:cs="Times New Roman"/>
          <w:sz w:val="32"/>
          <w:szCs w:val="32"/>
        </w:rPr>
      </w:pPr>
      <w:r>
        <w:rPr>
          <w:rFonts w:hint="eastAsia" w:ascii="仿宋" w:hAnsi="仿宋" w:eastAsia="仿宋" w:cs="仿宋"/>
          <w:sz w:val="32"/>
          <w:szCs w:val="32"/>
        </w:rPr>
        <w:t> </w:t>
      </w:r>
      <w:r>
        <w:rPr>
          <w:rFonts w:hint="default" w:ascii="Times New Roman" w:hAnsi="Times New Roman" w:eastAsia="宋体" w:cs="Times New Roman"/>
          <w:sz w:val="32"/>
          <w:szCs w:val="32"/>
        </w:rPr>
        <w:drawing>
          <wp:inline distT="0" distB="0" distL="114300" distR="114300">
            <wp:extent cx="5095875" cy="3819525"/>
            <wp:effectExtent l="0" t="0" r="9525" b="9525"/>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9"/>
                    <a:stretch>
                      <a:fillRect/>
                    </a:stretch>
                  </pic:blipFill>
                  <pic:spPr>
                    <a:xfrm>
                      <a:off x="0" y="0"/>
                      <a:ext cx="5095875" cy="3819525"/>
                    </a:xfrm>
                    <a:prstGeom prst="rect">
                      <a:avLst/>
                    </a:prstGeom>
                    <a:noFill/>
                    <a:ln w="9525">
                      <a:noFill/>
                    </a:ln>
                  </pic:spPr>
                </pic:pic>
              </a:graphicData>
            </a:graphic>
          </wp:inline>
        </w:drawing>
      </w:r>
    </w:p>
    <w:p w14:paraId="107685E2">
      <w:pPr>
        <w:pStyle w:val="4"/>
        <w:keepNext w:val="0"/>
        <w:keepLines w:val="0"/>
        <w:widowControl/>
        <w:suppressLineNumbers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（三）一般公共预算财政拨款支出决算具体情况</w:t>
      </w:r>
    </w:p>
    <w:p w14:paraId="07094737">
      <w:pPr>
        <w:pStyle w:val="4"/>
        <w:keepNext w:val="0"/>
        <w:keepLines w:val="0"/>
        <w:widowControl/>
        <w:suppressLineNumbers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2019年</w:t>
      </w:r>
      <w:r>
        <w:rPr>
          <w:rFonts w:hint="eastAsia" w:ascii="仿宋" w:hAnsi="仿宋" w:eastAsia="仿宋" w:cs="仿宋"/>
          <w:b/>
          <w:bCs/>
          <w:sz w:val="32"/>
          <w:szCs w:val="32"/>
          <w:lang w:eastAsia="zh-CN"/>
        </w:rPr>
        <w:t>一</w:t>
      </w:r>
      <w:r>
        <w:rPr>
          <w:rFonts w:hint="eastAsia" w:ascii="仿宋" w:hAnsi="仿宋" w:eastAsia="仿宋" w:cs="仿宋"/>
          <w:b/>
          <w:bCs/>
          <w:sz w:val="32"/>
          <w:szCs w:val="32"/>
        </w:rPr>
        <w:t>般公共预算支出决算数为526.96万元</w:t>
      </w:r>
      <w:r>
        <w:rPr>
          <w:rFonts w:hint="eastAsia" w:ascii="仿宋" w:hAnsi="仿宋" w:eastAsia="仿宋" w:cs="仿宋"/>
          <w:sz w:val="32"/>
          <w:szCs w:val="32"/>
        </w:rPr>
        <w:t>，</w:t>
      </w:r>
      <w:r>
        <w:rPr>
          <w:rFonts w:hint="eastAsia" w:ascii="仿宋" w:hAnsi="仿宋" w:eastAsia="仿宋" w:cs="仿宋"/>
          <w:b/>
          <w:bCs/>
          <w:sz w:val="32"/>
          <w:szCs w:val="32"/>
        </w:rPr>
        <w:t>完成预算93.61%。其中：</w:t>
      </w:r>
    </w:p>
    <w:p w14:paraId="3D9F4E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1.一般公共服务（类）政府办公室及相关机构事务（款）行政运行（项）: </w:t>
      </w:r>
      <w:r>
        <w:rPr>
          <w:rFonts w:hint="eastAsia" w:ascii="仿宋" w:hAnsi="仿宋" w:eastAsia="仿宋" w:cs="仿宋"/>
          <w:b w:val="0"/>
          <w:bCs w:val="0"/>
          <w:i w:val="0"/>
          <w:iCs w:val="0"/>
          <w:caps w:val="0"/>
          <w:spacing w:val="0"/>
          <w:sz w:val="32"/>
          <w:szCs w:val="32"/>
          <w:bdr w:val="none" w:color="auto" w:sz="0" w:space="0"/>
          <w:shd w:val="clear" w:fill="FFFFFF"/>
        </w:rPr>
        <w:t>支出决算为254.33万元，完成预算100%，决算数与预算数持平。</w:t>
      </w:r>
    </w:p>
    <w:p w14:paraId="3D2A53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2.一般公共服务（类）政府办公室及相关机构事务（款）一般行政管理事务（项）: </w:t>
      </w:r>
      <w:r>
        <w:rPr>
          <w:rFonts w:hint="eastAsia" w:ascii="仿宋" w:hAnsi="仿宋" w:eastAsia="仿宋" w:cs="仿宋"/>
          <w:b w:val="0"/>
          <w:bCs w:val="0"/>
          <w:i w:val="0"/>
          <w:iCs w:val="0"/>
          <w:caps w:val="0"/>
          <w:spacing w:val="0"/>
          <w:sz w:val="32"/>
          <w:szCs w:val="32"/>
          <w:bdr w:val="none" w:color="auto" w:sz="0" w:space="0"/>
          <w:shd w:val="clear" w:fill="FFFFFF"/>
        </w:rPr>
        <w:t>支出决算为0.19万元，完成预算100%，决算数与预算数持平。</w:t>
      </w:r>
    </w:p>
    <w:p w14:paraId="473E9A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3.一般公共服务（类）政府办公室及相关机构事务（款）事业运行（项）:</w:t>
      </w:r>
      <w:r>
        <w:rPr>
          <w:rFonts w:hint="eastAsia" w:ascii="仿宋" w:hAnsi="仿宋" w:eastAsia="仿宋" w:cs="仿宋"/>
          <w:b w:val="0"/>
          <w:bCs w:val="0"/>
          <w:i w:val="0"/>
          <w:iCs w:val="0"/>
          <w:caps w:val="0"/>
          <w:spacing w:val="0"/>
          <w:sz w:val="32"/>
          <w:szCs w:val="32"/>
          <w:bdr w:val="none" w:color="auto" w:sz="0" w:space="0"/>
          <w:shd w:val="clear" w:fill="FFFFFF"/>
        </w:rPr>
        <w:t> 支出决算为78.15万元，完成预算100%，决算数与预算数持平。</w:t>
      </w:r>
    </w:p>
    <w:p w14:paraId="23B24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4. 一般公共服务（类）组织事务（款）一般行政管理事务支出（项）:</w:t>
      </w:r>
      <w:r>
        <w:rPr>
          <w:rFonts w:hint="eastAsia" w:ascii="仿宋" w:hAnsi="仿宋" w:eastAsia="仿宋" w:cs="仿宋"/>
          <w:b w:val="0"/>
          <w:bCs w:val="0"/>
          <w:i w:val="0"/>
          <w:iCs w:val="0"/>
          <w:caps w:val="0"/>
          <w:spacing w:val="0"/>
          <w:sz w:val="32"/>
          <w:szCs w:val="32"/>
          <w:bdr w:val="none" w:color="auto" w:sz="0" w:space="0"/>
          <w:shd w:val="clear" w:fill="FFFFFF"/>
        </w:rPr>
        <w:t> 支出决算为1.79万元，完成预算100%。</w:t>
      </w:r>
    </w:p>
    <w:p w14:paraId="37DBD4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5.文化旅游体育与传媒（类）文化和旅游（款）其他文化和旅游支出（项）:</w:t>
      </w:r>
      <w:r>
        <w:rPr>
          <w:rFonts w:hint="eastAsia" w:ascii="仿宋" w:hAnsi="仿宋" w:eastAsia="仿宋" w:cs="仿宋"/>
          <w:b w:val="0"/>
          <w:bCs w:val="0"/>
          <w:i w:val="0"/>
          <w:iCs w:val="0"/>
          <w:caps w:val="0"/>
          <w:spacing w:val="0"/>
          <w:sz w:val="32"/>
          <w:szCs w:val="32"/>
          <w:bdr w:val="none" w:color="auto" w:sz="0" w:space="0"/>
          <w:shd w:val="clear" w:fill="FFFFFF"/>
        </w:rPr>
        <w:t> 支出决算为4.13万元，完成预算41.28%，决算数小于预算数的主要原因是2019年未使用完，形成当年结转。</w:t>
      </w:r>
    </w:p>
    <w:p w14:paraId="031737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 6.社会保障和就业（类）行政事业单位离退休（款）机关事业单位基本养老保险缴费支出（项）:</w:t>
      </w:r>
      <w:r>
        <w:rPr>
          <w:rFonts w:hint="eastAsia" w:ascii="仿宋" w:hAnsi="仿宋" w:eastAsia="仿宋" w:cs="仿宋"/>
          <w:b w:val="0"/>
          <w:bCs w:val="0"/>
          <w:i w:val="0"/>
          <w:iCs w:val="0"/>
          <w:caps w:val="0"/>
          <w:spacing w:val="0"/>
          <w:sz w:val="32"/>
          <w:szCs w:val="32"/>
          <w:bdr w:val="none" w:color="auto" w:sz="0" w:space="0"/>
          <w:shd w:val="clear" w:fill="FFFFFF"/>
        </w:rPr>
        <w:t> 支出决算为24.85万元，完成预算100%。</w:t>
      </w:r>
    </w:p>
    <w:p w14:paraId="0E00BD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7.社会保障和就业（类）行政事业单位离退休（款）机关事业单位职业年金缴费支出（项）:</w:t>
      </w:r>
      <w:r>
        <w:rPr>
          <w:rFonts w:hint="eastAsia" w:ascii="仿宋" w:hAnsi="仿宋" w:eastAsia="仿宋" w:cs="仿宋"/>
          <w:b w:val="0"/>
          <w:bCs w:val="0"/>
          <w:i w:val="0"/>
          <w:iCs w:val="0"/>
          <w:caps w:val="0"/>
          <w:spacing w:val="0"/>
          <w:sz w:val="32"/>
          <w:szCs w:val="32"/>
          <w:bdr w:val="none" w:color="auto" w:sz="0" w:space="0"/>
          <w:shd w:val="clear" w:fill="FFFFFF"/>
        </w:rPr>
        <w:t> 支出决算为11.51万元，完成预算100%。</w:t>
      </w:r>
    </w:p>
    <w:p w14:paraId="3815D8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8.社会保障和就业（类）其他社会保障和就业（款）其他社会保障和就业支出（项）:</w:t>
      </w:r>
      <w:r>
        <w:rPr>
          <w:rFonts w:hint="eastAsia" w:ascii="仿宋" w:hAnsi="仿宋" w:eastAsia="仿宋" w:cs="仿宋"/>
          <w:b w:val="0"/>
          <w:bCs w:val="0"/>
          <w:i w:val="0"/>
          <w:iCs w:val="0"/>
          <w:caps w:val="0"/>
          <w:spacing w:val="0"/>
          <w:sz w:val="32"/>
          <w:szCs w:val="32"/>
          <w:bdr w:val="none" w:color="auto" w:sz="0" w:space="0"/>
          <w:shd w:val="clear" w:fill="FFFFFF"/>
        </w:rPr>
        <w:t> 支出决算为1.34万元，完成预算100%。</w:t>
      </w:r>
    </w:p>
    <w:p w14:paraId="4E1B39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9.卫生健康（类）行政事业单位医疗（款）行政单位医疗支出（项）: </w:t>
      </w:r>
      <w:r>
        <w:rPr>
          <w:rFonts w:hint="eastAsia" w:ascii="仿宋" w:hAnsi="仿宋" w:eastAsia="仿宋" w:cs="仿宋"/>
          <w:b w:val="0"/>
          <w:bCs w:val="0"/>
          <w:i w:val="0"/>
          <w:iCs w:val="0"/>
          <w:caps w:val="0"/>
          <w:spacing w:val="0"/>
          <w:sz w:val="32"/>
          <w:szCs w:val="32"/>
          <w:bdr w:val="none" w:color="auto" w:sz="0" w:space="0"/>
          <w:shd w:val="clear" w:fill="FFFFFF"/>
        </w:rPr>
        <w:t>支出决算为9.41万元，完成预算100%。</w:t>
      </w:r>
    </w:p>
    <w:p w14:paraId="61B1D0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10.城乡社区支出（类）城乡社区环境卫生（款)城乡社区环境卫生支出（项）:</w:t>
      </w:r>
      <w:r>
        <w:rPr>
          <w:rFonts w:hint="eastAsia" w:ascii="仿宋" w:hAnsi="仿宋" w:eastAsia="仿宋" w:cs="仿宋"/>
          <w:b w:val="0"/>
          <w:bCs w:val="0"/>
          <w:i w:val="0"/>
          <w:iCs w:val="0"/>
          <w:caps w:val="0"/>
          <w:spacing w:val="0"/>
          <w:sz w:val="32"/>
          <w:szCs w:val="32"/>
          <w:bdr w:val="none" w:color="auto" w:sz="0" w:space="0"/>
          <w:shd w:val="clear" w:fill="FFFFFF"/>
        </w:rPr>
        <w:t> 支出决算为4万元，完成预算100%。</w:t>
      </w:r>
    </w:p>
    <w:p w14:paraId="3EC593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11.城乡社区支出（类）其他城乡社区（款）其他城乡社区支出（项）: </w:t>
      </w:r>
      <w:r>
        <w:rPr>
          <w:rFonts w:hint="eastAsia" w:ascii="仿宋" w:hAnsi="仿宋" w:eastAsia="仿宋" w:cs="仿宋"/>
          <w:b w:val="0"/>
          <w:bCs w:val="0"/>
          <w:i w:val="0"/>
          <w:iCs w:val="0"/>
          <w:caps w:val="0"/>
          <w:spacing w:val="0"/>
          <w:sz w:val="32"/>
          <w:szCs w:val="32"/>
          <w:bdr w:val="none" w:color="auto" w:sz="0" w:space="0"/>
          <w:shd w:val="clear" w:fill="FFFFFF"/>
        </w:rPr>
        <w:t>支出决算为39.96万元，完成预算79.92%，决算数小于预算数主要原因是2019年未使用完，形成当年结转。</w:t>
      </w:r>
    </w:p>
    <w:p w14:paraId="5A3DCE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12.农林水支出（类）扶贫（款）其他扶贫支出（项）:</w:t>
      </w:r>
      <w:r>
        <w:rPr>
          <w:rFonts w:hint="eastAsia" w:ascii="仿宋" w:hAnsi="仿宋" w:eastAsia="仿宋" w:cs="仿宋"/>
          <w:b w:val="0"/>
          <w:bCs w:val="0"/>
          <w:i w:val="0"/>
          <w:iCs w:val="0"/>
          <w:caps w:val="0"/>
          <w:spacing w:val="0"/>
          <w:sz w:val="32"/>
          <w:szCs w:val="32"/>
          <w:bdr w:val="none" w:color="auto" w:sz="0" w:space="0"/>
          <w:shd w:val="clear" w:fill="FFFFFF"/>
        </w:rPr>
        <w:t> 支出决算为17.3万元，完成预算95.84%，决算数小于预算数主要原因是2020年未使用完，形成当年结转，2020年年初支付。</w:t>
      </w:r>
    </w:p>
    <w:p w14:paraId="3E7158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13.农林水支出（类）农村综合改革（款）对村民委员会和村党支部的补助支出（项）</w:t>
      </w:r>
      <w:r>
        <w:rPr>
          <w:rFonts w:hint="eastAsia" w:ascii="仿宋" w:hAnsi="仿宋" w:eastAsia="仿宋" w:cs="仿宋"/>
          <w:b w:val="0"/>
          <w:bCs w:val="0"/>
          <w:i w:val="0"/>
          <w:iCs w:val="0"/>
          <w:caps w:val="0"/>
          <w:spacing w:val="0"/>
          <w:sz w:val="32"/>
          <w:szCs w:val="32"/>
          <w:bdr w:val="none" w:color="auto" w:sz="0" w:space="0"/>
          <w:shd w:val="clear" w:fill="FFFFFF"/>
        </w:rPr>
        <w:t>: 支出决算为44.99万元，完成预算78.94%，决算数小于预算数主要原因是2019年未使用完，形成当年结转</w:t>
      </w:r>
      <w:r>
        <w:rPr>
          <w:rFonts w:hint="eastAsia" w:ascii="仿宋" w:hAnsi="仿宋" w:eastAsia="仿宋" w:cs="仿宋"/>
          <w:b w:val="0"/>
          <w:bCs w:val="0"/>
          <w:i w:val="0"/>
          <w:iCs w:val="0"/>
          <w:caps w:val="0"/>
          <w:spacing w:val="0"/>
          <w:sz w:val="32"/>
          <w:szCs w:val="32"/>
          <w:bdr w:val="none" w:color="auto" w:sz="0" w:space="0"/>
          <w:shd w:val="clear" w:fill="FFFFFF"/>
          <w:lang w:eastAsia="zh-CN"/>
        </w:rPr>
        <w:t>，</w:t>
      </w:r>
      <w:r>
        <w:rPr>
          <w:rFonts w:hint="eastAsia" w:ascii="仿宋" w:hAnsi="仿宋" w:eastAsia="仿宋" w:cs="仿宋"/>
          <w:b w:val="0"/>
          <w:bCs w:val="0"/>
          <w:i w:val="0"/>
          <w:iCs w:val="0"/>
          <w:caps w:val="0"/>
          <w:spacing w:val="0"/>
          <w:sz w:val="32"/>
          <w:szCs w:val="32"/>
          <w:bdr w:val="none" w:color="auto" w:sz="0" w:space="0"/>
          <w:shd w:val="clear" w:fill="FFFFFF"/>
        </w:rPr>
        <w:t>2020年年初支付。</w:t>
      </w:r>
    </w:p>
    <w:p w14:paraId="63D412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14.农林水支出（类）农村综合改革（款）农村综合改革示范试点补助（项）</w:t>
      </w:r>
      <w:r>
        <w:rPr>
          <w:rFonts w:hint="eastAsia" w:ascii="仿宋" w:hAnsi="仿宋" w:eastAsia="仿宋" w:cs="仿宋"/>
          <w:b w:val="0"/>
          <w:bCs w:val="0"/>
          <w:i w:val="0"/>
          <w:iCs w:val="0"/>
          <w:caps w:val="0"/>
          <w:spacing w:val="0"/>
          <w:sz w:val="32"/>
          <w:szCs w:val="32"/>
          <w:bdr w:val="none" w:color="auto" w:sz="0" w:space="0"/>
          <w:shd w:val="clear" w:fill="FFFFFF"/>
        </w:rPr>
        <w:t>: 支出决算为8.35万元，完成预算100%。</w:t>
      </w:r>
    </w:p>
    <w:p w14:paraId="0E9A58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val="0"/>
          <w:bCs w:val="0"/>
          <w:i w:val="0"/>
          <w:iCs w:val="0"/>
          <w:caps w:val="0"/>
          <w:spacing w:val="0"/>
          <w:sz w:val="32"/>
          <w:szCs w:val="32"/>
          <w:bdr w:val="none" w:color="auto" w:sz="0" w:space="0"/>
          <w:shd w:val="clear" w:fill="FFFFFF"/>
        </w:rPr>
        <w:t>15.住房保障支出（类）住房改革支出（款）住房公积金（项）: 支出决算为26.66万元，完成预算100%。</w:t>
      </w:r>
    </w:p>
    <w:p w14:paraId="7D7C60ED">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六</w:t>
      </w:r>
      <w:r>
        <w:rPr>
          <w:rFonts w:hint="eastAsia" w:ascii="黑体" w:hAnsi="宋体" w:eastAsia="黑体" w:cs="黑体"/>
          <w:b/>
          <w:bCs/>
          <w:sz w:val="32"/>
          <w:szCs w:val="32"/>
        </w:rPr>
        <w:t>、一</w:t>
      </w:r>
      <w:r>
        <w:rPr>
          <w:rFonts w:hint="eastAsia" w:ascii="黑体" w:hAnsi="宋体" w:eastAsia="黑体" w:cs="黑体"/>
          <w:b w:val="0"/>
          <w:bCs w:val="0"/>
          <w:sz w:val="32"/>
          <w:szCs w:val="32"/>
        </w:rPr>
        <w:t xml:space="preserve">般公共预算财政拨款基本支出决算情况说明 </w:t>
      </w:r>
    </w:p>
    <w:p w14:paraId="329BDB6A">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仿宋" w:hAnsi="仿宋" w:eastAsia="仿宋" w:cs="仿宋"/>
          <w:sz w:val="32"/>
          <w:szCs w:val="32"/>
        </w:rPr>
        <w:t>2019年一般公共预算财政拨款基本支出451.25万元，其中：</w:t>
      </w:r>
    </w:p>
    <w:p w14:paraId="4A30F7F5">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仿宋" w:hAnsi="仿宋" w:eastAsia="仿宋" w:cs="仿宋"/>
          <w:sz w:val="32"/>
          <w:szCs w:val="32"/>
        </w:rPr>
        <w:t>人员经费386.95万元，主要包括：基本工资、津贴补贴、奖金、伙食补助费、绩效工资、机关事业单位基本养老保险缴费、职业年金缴费、职工基本医疗保险缴费、其他社会保障缴费、住房公积金、其他工资福利支出、生活补助。　</w:t>
      </w:r>
    </w:p>
    <w:p w14:paraId="11C4AA3D">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仿宋" w:hAnsi="仿宋" w:eastAsia="仿宋" w:cs="仿宋"/>
          <w:sz w:val="32"/>
          <w:szCs w:val="32"/>
        </w:rPr>
        <w:t>日常公用经费64.3万元，主要包括：办公费、电费、邮电费、差旅费、会议费、公务接待费、工会经费、福利费、公务用车运行维护费、其他交通费用。</w:t>
      </w:r>
    </w:p>
    <w:p w14:paraId="5B6F2A67">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黑体" w:hAnsi="宋体" w:eastAsia="黑体" w:cs="黑体"/>
          <w:sz w:val="32"/>
          <w:szCs w:val="32"/>
        </w:rPr>
        <w:t>七、</w:t>
      </w:r>
      <w:r>
        <w:rPr>
          <w:rFonts w:hint="eastAsia" w:ascii="黑体" w:hAnsi="宋体" w:eastAsia="黑体" w:cs="黑体"/>
          <w:b/>
          <w:bCs/>
          <w:sz w:val="32"/>
          <w:szCs w:val="32"/>
        </w:rPr>
        <w:t>“</w:t>
      </w:r>
      <w:r>
        <w:rPr>
          <w:rFonts w:hint="eastAsia" w:ascii="黑体" w:hAnsi="宋体" w:eastAsia="黑体" w:cs="黑体"/>
          <w:b w:val="0"/>
          <w:bCs w:val="0"/>
          <w:sz w:val="32"/>
          <w:szCs w:val="32"/>
        </w:rPr>
        <w:t>三公”经费财政拨款支出决算情况说明</w:t>
      </w:r>
    </w:p>
    <w:p w14:paraId="0E85D701">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bCs/>
          <w:sz w:val="32"/>
          <w:szCs w:val="32"/>
        </w:rPr>
        <w:t>（一）“三公”经费财政拨款支出决算总体情况说明</w:t>
      </w:r>
    </w:p>
    <w:p w14:paraId="6256A4D7">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2019年“三公”经费财政拨款支出决算为11.65万元，完成预算95.10%。决算数小于预算数的主要原因是严格执行中央八项规定，厉行节约。</w:t>
      </w:r>
    </w:p>
    <w:p w14:paraId="1F6C629A">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bCs/>
          <w:sz w:val="32"/>
          <w:szCs w:val="32"/>
        </w:rPr>
        <w:t>（二）“三公”经费财政拨款支出决算具体情况说明</w:t>
      </w:r>
    </w:p>
    <w:p w14:paraId="65D16A9A">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2019年“三公”经费财政拨款支出决算中，因公出国（境）费支出决算0万元，占0%；公务用车购置及运行维护费支出决算5.6万元，占48.07%；公务接待费支出决算6.05万元，占51.93%。具体情况如下：</w:t>
      </w:r>
    </w:p>
    <w:p w14:paraId="0359799C">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（图7：“三公”经费财政拨款支出结构）（饼状图）</w:t>
      </w:r>
    </w:p>
    <w:p w14:paraId="20A745FC">
      <w:pPr>
        <w:pStyle w:val="4"/>
        <w:keepNext w:val="0"/>
        <w:keepLines w:val="0"/>
        <w:widowControl/>
        <w:suppressLineNumbers w:val="0"/>
        <w:spacing w:before="240" w:beforeAutospacing="0" w:after="60" w:afterAutospacing="0"/>
        <w:jc w:val="center"/>
        <w:rPr>
          <w:rFonts w:hint="default" w:ascii="Arial" w:hAnsi="Arial" w:cs="Arial"/>
          <w:b/>
          <w:bCs/>
          <w:sz w:val="32"/>
          <w:szCs w:val="32"/>
        </w:rPr>
      </w:pPr>
      <w:r>
        <w:rPr>
          <w:rFonts w:hint="default" w:ascii="Arial" w:hAnsi="Arial" w:eastAsia="宋体" w:cs="Arial"/>
          <w:b/>
          <w:bCs/>
          <w:sz w:val="32"/>
          <w:szCs w:val="32"/>
          <w:bdr w:val="none" w:color="auto" w:sz="0" w:space="0"/>
        </w:rPr>
        <w:drawing>
          <wp:inline distT="0" distB="0" distL="114300" distR="114300">
            <wp:extent cx="5095875" cy="3819525"/>
            <wp:effectExtent l="0" t="0" r="9525" b="9525"/>
            <wp:docPr id="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2"/>
                    <pic:cNvPicPr>
                      <a:picLocks noChangeAspect="1"/>
                    </pic:cNvPicPr>
                  </pic:nvPicPr>
                  <pic:blipFill>
                    <a:blip r:embed="rId10"/>
                    <a:stretch>
                      <a:fillRect/>
                    </a:stretch>
                  </pic:blipFill>
                  <pic:spPr>
                    <a:xfrm>
                      <a:off x="0" y="0"/>
                      <a:ext cx="5095875" cy="3819525"/>
                    </a:xfrm>
                    <a:prstGeom prst="rect">
                      <a:avLst/>
                    </a:prstGeom>
                    <a:noFill/>
                    <a:ln w="9525">
                      <a:noFill/>
                    </a:ln>
                  </pic:spPr>
                </pic:pic>
              </a:graphicData>
            </a:graphic>
          </wp:inline>
        </w:drawing>
      </w:r>
    </w:p>
    <w:p w14:paraId="014ECF7F">
      <w:pPr>
        <w:pStyle w:val="4"/>
        <w:keepNext w:val="0"/>
        <w:keepLines w:val="0"/>
        <w:widowControl/>
        <w:suppressLineNumbers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eastAsia" w:ascii="仿宋_GB2312" w:hAnsi="Times New Roman" w:eastAsia="仿宋_GB2312" w:cs="仿宋_GB2312"/>
          <w:b/>
          <w:bCs/>
          <w:sz w:val="32"/>
          <w:szCs w:val="32"/>
        </w:rPr>
        <w:t>1.因公出国（境）经费支出</w:t>
      </w:r>
      <w:r>
        <w:rPr>
          <w:rFonts w:hint="eastAsia" w:ascii="仿宋_GB2312" w:hAnsi="Times New Roman" w:eastAsia="仿宋_GB2312" w:cs="仿宋_GB2312"/>
          <w:sz w:val="32"/>
          <w:szCs w:val="32"/>
        </w:rPr>
        <w:t>0万元，</w:t>
      </w:r>
      <w:r>
        <w:rPr>
          <w:rFonts w:hint="eastAsia" w:ascii="仿宋" w:hAnsi="仿宋" w:eastAsia="仿宋" w:cs="仿宋"/>
          <w:b w:val="0"/>
          <w:bCs w:val="0"/>
          <w:sz w:val="32"/>
          <w:szCs w:val="32"/>
        </w:rPr>
        <w:t>完成预算0%。</w:t>
      </w:r>
      <w:r>
        <w:rPr>
          <w:rFonts w:hint="eastAsia" w:ascii="仿宋_GB2312" w:hAnsi="Times New Roman" w:eastAsia="仿宋_GB2312" w:cs="仿宋_GB2312"/>
          <w:sz w:val="32"/>
          <w:szCs w:val="32"/>
        </w:rPr>
        <w:t>全年安排因公出国（境）团组0次，出国（境）0人。因公出国（境）支出决算与2018年持平。</w:t>
      </w:r>
    </w:p>
    <w:p w14:paraId="096F777F">
      <w:pPr>
        <w:pStyle w:val="4"/>
        <w:keepNext w:val="0"/>
        <w:keepLines w:val="0"/>
        <w:widowControl/>
        <w:suppressLineNumbers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eastAsia" w:ascii="仿宋_GB2312" w:hAnsi="Times New Roman" w:eastAsia="仿宋_GB2312" w:cs="仿宋_GB2312"/>
          <w:b/>
          <w:bCs/>
          <w:sz w:val="32"/>
          <w:szCs w:val="32"/>
        </w:rPr>
        <w:t>2.公务用车购置及运行维护费支出</w:t>
      </w:r>
      <w:r>
        <w:rPr>
          <w:rFonts w:hint="eastAsia" w:ascii="仿宋_GB2312" w:hAnsi="Times New Roman" w:eastAsia="仿宋_GB2312" w:cs="仿宋_GB2312"/>
          <w:sz w:val="32"/>
          <w:szCs w:val="32"/>
        </w:rPr>
        <w:t>5.6万元,</w:t>
      </w:r>
      <w:r>
        <w:rPr>
          <w:rFonts w:hint="eastAsia" w:ascii="仿宋" w:hAnsi="仿宋" w:eastAsia="仿宋" w:cs="仿宋"/>
          <w:b w:val="0"/>
          <w:bCs w:val="0"/>
          <w:sz w:val="32"/>
          <w:szCs w:val="32"/>
        </w:rPr>
        <w:t>完成预算100%。</w:t>
      </w:r>
      <w:r>
        <w:rPr>
          <w:rFonts w:hint="eastAsia" w:ascii="仿宋_GB2312" w:hAnsi="Times New Roman" w:eastAsia="仿宋_GB2312" w:cs="仿宋_GB2312"/>
          <w:sz w:val="32"/>
          <w:szCs w:val="32"/>
        </w:rPr>
        <w:t>公务用车购置及运行维护费支出决算比2018年减少0.06万元，减少1.1%。主要原因是2019年公车保险费降低；</w:t>
      </w:r>
    </w:p>
    <w:p w14:paraId="600CB3DC">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其中：</w:t>
      </w:r>
      <w:r>
        <w:rPr>
          <w:rFonts w:hint="eastAsia" w:ascii="仿宋_GB2312" w:hAnsi="Times New Roman" w:eastAsia="仿宋_GB2312" w:cs="仿宋_GB2312"/>
          <w:b/>
          <w:bCs/>
          <w:sz w:val="32"/>
          <w:szCs w:val="32"/>
        </w:rPr>
        <w:t>公务用车购置支出</w:t>
      </w:r>
      <w:r>
        <w:rPr>
          <w:rFonts w:hint="eastAsia" w:ascii="仿宋_GB2312" w:hAnsi="Times New Roman" w:eastAsia="仿宋_GB2312" w:cs="仿宋_GB2312"/>
          <w:sz w:val="32"/>
          <w:szCs w:val="32"/>
        </w:rPr>
        <w:t>0万元。全年按规定更新购置公务用车0辆，金额0元。截至2019年12月底，单位共有公务用车1辆，其中：主要领导干部用车0辆、机要通信用车0辆、应急保障用车0辆、执法用车0辆、其他用车1辆。</w:t>
      </w:r>
    </w:p>
    <w:p w14:paraId="351E430F">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bCs/>
          <w:sz w:val="32"/>
          <w:szCs w:val="32"/>
        </w:rPr>
        <w:t>公务用车运行维护费支出</w:t>
      </w:r>
      <w:r>
        <w:rPr>
          <w:rFonts w:hint="eastAsia" w:ascii="仿宋_GB2312" w:hAnsi="Times New Roman" w:eastAsia="仿宋_GB2312" w:cs="仿宋_GB2312"/>
          <w:sz w:val="32"/>
          <w:szCs w:val="32"/>
        </w:rPr>
        <w:t>5.6万元。</w:t>
      </w:r>
      <w:r>
        <w:rPr>
          <w:rFonts w:hint="eastAsia" w:ascii="仿宋_GB2312" w:hAnsi="Times New Roman" w:eastAsia="仿宋_GB2312" w:cs="仿宋_GB2312"/>
          <w:sz w:val="32"/>
          <w:szCs w:val="32"/>
          <w:lang w:eastAsia="zh-CN"/>
        </w:rPr>
        <w:t>主要用于</w:t>
      </w:r>
      <w:r>
        <w:rPr>
          <w:rFonts w:hint="eastAsia" w:ascii="仿宋_GB2312" w:hAnsi="Times New Roman" w:eastAsia="仿宋_GB2312" w:cs="仿宋_GB2312"/>
          <w:sz w:val="32"/>
          <w:szCs w:val="32"/>
        </w:rPr>
        <w:t>脱贫攻坚工作和其他工作所需的公务用车燃料费、维修费、过路过桥费、保险费等支出。</w:t>
      </w:r>
    </w:p>
    <w:p w14:paraId="3B633410">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bCs/>
          <w:sz w:val="32"/>
          <w:szCs w:val="32"/>
        </w:rPr>
        <w:t>3.公务接待费支出</w:t>
      </w:r>
      <w:r>
        <w:rPr>
          <w:rFonts w:hint="eastAsia" w:ascii="仿宋_GB2312" w:hAnsi="Times New Roman" w:eastAsia="仿宋_GB2312" w:cs="仿宋_GB2312"/>
          <w:sz w:val="32"/>
          <w:szCs w:val="32"/>
        </w:rPr>
        <w:t>6.05万元，</w:t>
      </w:r>
      <w:r>
        <w:rPr>
          <w:rFonts w:hint="eastAsia" w:ascii="仿宋" w:hAnsi="仿宋" w:eastAsia="仿宋" w:cs="仿宋"/>
          <w:b w:val="0"/>
          <w:bCs w:val="0"/>
          <w:sz w:val="32"/>
          <w:szCs w:val="32"/>
        </w:rPr>
        <w:t>完成预算90.98%。</w:t>
      </w:r>
      <w:r>
        <w:rPr>
          <w:rFonts w:hint="eastAsia" w:ascii="仿宋_GB2312" w:hAnsi="Times New Roman" w:eastAsia="仿宋_GB2312" w:cs="仿宋_GB2312"/>
          <w:sz w:val="32"/>
          <w:szCs w:val="32"/>
        </w:rPr>
        <w:t>公务接待费支出决算比2018年增加1.37万元，增长29.27%。主要原因是脱贫攻坚任务重，检查接待多。</w:t>
      </w:r>
    </w:p>
    <w:p w14:paraId="7F722A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eastAsia" w:ascii="仿宋" w:hAnsi="仿宋" w:eastAsia="仿宋" w:cs="仿宋"/>
          <w:b/>
          <w:bCs/>
          <w:sz w:val="32"/>
          <w:szCs w:val="32"/>
          <w:bdr w:val="none" w:color="auto" w:sz="0" w:space="0"/>
        </w:rPr>
        <w:t>国内公务接待支出</w:t>
      </w:r>
      <w:r>
        <w:rPr>
          <w:rFonts w:hint="eastAsia" w:ascii="仿宋" w:hAnsi="仿宋" w:eastAsia="仿宋" w:cs="仿宋"/>
          <w:sz w:val="32"/>
          <w:szCs w:val="32"/>
          <w:bdr w:val="none" w:color="auto" w:sz="0" w:space="0"/>
        </w:rPr>
        <w:t>6.05</w:t>
      </w:r>
      <w:r>
        <w:rPr>
          <w:rFonts w:hint="eastAsia" w:ascii="仿宋_GB2312" w:hAnsi="Times New Roman" w:eastAsia="仿宋_GB2312" w:cs="仿宋_GB2312"/>
          <w:sz w:val="32"/>
          <w:szCs w:val="32"/>
          <w:bdr w:val="none" w:color="auto" w:sz="0" w:space="0"/>
        </w:rPr>
        <w:t>万元，主要用于执行公务、开展业务活动开支用餐费。国内公务接待187批次，1315人次，共计</w:t>
      </w:r>
      <w:r>
        <w:rPr>
          <w:rFonts w:hint="eastAsia" w:ascii="仿宋_GB2312" w:hAnsi="Times New Roman" w:eastAsia="仿宋_GB2312" w:cs="仿宋_GB2312"/>
          <w:sz w:val="32"/>
          <w:szCs w:val="32"/>
          <w:bdr w:val="none" w:color="auto" w:sz="0" w:space="0"/>
          <w:lang w:eastAsia="zh-CN"/>
        </w:rPr>
        <w:t>支付</w:t>
      </w:r>
      <w:r>
        <w:rPr>
          <w:rFonts w:hint="eastAsia" w:ascii="仿宋_GB2312" w:hAnsi="Times New Roman" w:eastAsia="仿宋_GB2312" w:cs="仿宋_GB2312"/>
          <w:sz w:val="32"/>
          <w:szCs w:val="32"/>
          <w:bdr w:val="none" w:color="auto" w:sz="0" w:space="0"/>
        </w:rPr>
        <w:t>6.05万元，具体内容包括：</w:t>
      </w:r>
      <w:r>
        <w:rPr>
          <w:rFonts w:hint="eastAsia" w:ascii="仿宋" w:hAnsi="仿宋" w:eastAsia="仿宋" w:cs="仿宋"/>
          <w:b w:val="0"/>
          <w:bCs w:val="0"/>
          <w:i w:val="0"/>
          <w:iCs w:val="0"/>
          <w:caps w:val="0"/>
          <w:spacing w:val="0"/>
          <w:sz w:val="32"/>
          <w:szCs w:val="32"/>
          <w:bdr w:val="none" w:color="auto" w:sz="0" w:space="0"/>
          <w:shd w:val="clear" w:fill="FFFFFF"/>
        </w:rPr>
        <w:t>脱贫攻坚、信访稳定、安全生产等工作指导、检查时公务接待费。</w:t>
      </w:r>
    </w:p>
    <w:p w14:paraId="636C614D">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bCs/>
          <w:sz w:val="32"/>
          <w:szCs w:val="32"/>
        </w:rPr>
        <w:t>外事接待支出</w:t>
      </w:r>
      <w:r>
        <w:rPr>
          <w:rFonts w:hint="eastAsia" w:ascii="仿宋" w:hAnsi="仿宋" w:eastAsia="仿宋" w:cs="仿宋"/>
          <w:sz w:val="32"/>
          <w:szCs w:val="32"/>
        </w:rPr>
        <w:t>0</w:t>
      </w:r>
      <w:r>
        <w:rPr>
          <w:rFonts w:hint="eastAsia" w:ascii="仿宋_GB2312" w:hAnsi="Times New Roman" w:eastAsia="仿宋_GB2312" w:cs="仿宋_GB2312"/>
          <w:sz w:val="32"/>
          <w:szCs w:val="32"/>
        </w:rPr>
        <w:t>万元，外事接待0批次，0人，共计支出0万元。</w:t>
      </w:r>
    </w:p>
    <w:p w14:paraId="69EA57E7">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八、</w:t>
      </w:r>
      <w:r>
        <w:rPr>
          <w:rFonts w:hint="eastAsia" w:ascii="黑体" w:hAnsi="宋体" w:eastAsia="黑体" w:cs="黑体"/>
          <w:b w:val="0"/>
          <w:bCs w:val="0"/>
          <w:sz w:val="32"/>
          <w:szCs w:val="32"/>
        </w:rPr>
        <w:t>政府性基金预算支出决算情况说明</w:t>
      </w:r>
    </w:p>
    <w:p w14:paraId="5CBF8426">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2019年政府性基金预算拨款支出6.99万元。</w:t>
      </w:r>
    </w:p>
    <w:p w14:paraId="1EF95FC2">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b w:val="0"/>
          <w:bCs w:val="0"/>
          <w:sz w:val="32"/>
          <w:szCs w:val="32"/>
        </w:rPr>
        <w:t>九、国有资本经营预算支出决算情况说明</w:t>
      </w:r>
    </w:p>
    <w:p w14:paraId="3E266517">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2019年国有资本经营预算拨款支出0万元。</w:t>
      </w:r>
      <w:bookmarkStart w:id="0" w:name="_GoBack"/>
      <w:bookmarkEnd w:id="0"/>
      <w:r>
        <w:rPr>
          <w:rFonts w:hint="default" w:ascii="Times New Roman" w:hAnsi="Times New Roman" w:eastAsia="宋体" w:cs="Times New Roman"/>
          <w:sz w:val="21"/>
          <w:szCs w:val="21"/>
        </w:rPr>
        <w:t> </w:t>
      </w:r>
    </w:p>
    <w:p w14:paraId="5705866E">
      <w:pPr>
        <w:pStyle w:val="4"/>
        <w:keepNext w:val="0"/>
        <w:keepLines w:val="0"/>
        <w:widowControl/>
        <w:suppressLineNumbers w:val="0"/>
        <w:spacing w:before="0" w:beforeAutospacing="0" w:after="0" w:afterAutospacing="0" w:line="600" w:lineRule="atLeast"/>
        <w:ind w:left="0" w:right="0" w:firstLine="800"/>
        <w:jc w:val="both"/>
        <w:rPr>
          <w:rFonts w:hint="default" w:ascii="Times New Roman" w:hAnsi="Times New Roman" w:cs="Times New Roman"/>
          <w:sz w:val="21"/>
          <w:szCs w:val="21"/>
        </w:rPr>
      </w:pPr>
      <w:r>
        <w:rPr>
          <w:rFonts w:hint="eastAsia" w:ascii="黑体" w:hAnsi="宋体" w:eastAsia="黑体" w:cs="黑体"/>
          <w:sz w:val="32"/>
          <w:szCs w:val="32"/>
        </w:rPr>
        <w:t>十</w:t>
      </w:r>
      <w:r>
        <w:rPr>
          <w:rFonts w:hint="eastAsia" w:ascii="黑体" w:hAnsi="宋体" w:eastAsia="黑体" w:cs="黑体"/>
          <w:b/>
          <w:bCs/>
          <w:sz w:val="32"/>
          <w:szCs w:val="32"/>
        </w:rPr>
        <w:t>、</w:t>
      </w:r>
      <w:r>
        <w:rPr>
          <w:rFonts w:hint="eastAsia" w:ascii="黑体" w:hAnsi="宋体" w:eastAsia="黑体" w:cs="黑体"/>
          <w:b w:val="0"/>
          <w:bCs w:val="0"/>
          <w:sz w:val="32"/>
          <w:szCs w:val="32"/>
        </w:rPr>
        <w:t>其他重要事项的情况说明</w:t>
      </w:r>
    </w:p>
    <w:p w14:paraId="771CC965">
      <w:pPr>
        <w:pStyle w:val="4"/>
        <w:keepNext w:val="0"/>
        <w:keepLines w:val="0"/>
        <w:widowControl/>
        <w:suppressLineNumbers w:val="0"/>
        <w:spacing w:before="0" w:beforeAutospacing="0" w:after="0" w:afterAutospacing="0" w:line="60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（一）机关运行经费支出情况</w:t>
      </w:r>
    </w:p>
    <w:p w14:paraId="6CFF255A">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2019年，觉莫乡政府运行经费支出64.29万元，比2018年减少1.31万元，下降2.3%。主要原因是开展脱贫攻坚工作时间紧任务重，干部出差次数减少，差旅费减少。</w:t>
      </w:r>
    </w:p>
    <w:p w14:paraId="1AC550A6">
      <w:pPr>
        <w:pStyle w:val="4"/>
        <w:keepNext w:val="0"/>
        <w:keepLines w:val="0"/>
        <w:widowControl/>
        <w:suppressLineNumbers w:val="0"/>
        <w:spacing w:before="0" w:beforeAutospacing="0" w:after="0" w:afterAutospacing="0" w:line="60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sz w:val="32"/>
          <w:szCs w:val="32"/>
        </w:rPr>
        <w:t>（二）政府采购支出情况</w:t>
      </w:r>
    </w:p>
    <w:p w14:paraId="275B13C3">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2019年，觉莫乡政府采购支出总额136.64万元，其中：政府采购货物支出0万元、政府采购工程支出136.64万元、政府采购服务支出0万元。主要用于购买办公设备费用。授予中小企业合同金额0万元，占政府采购支出总额的0%，其中：授予小微企业合同金额0万元，占政府采购支出总额的0%。</w:t>
      </w:r>
    </w:p>
    <w:p w14:paraId="48617DC0">
      <w:pPr>
        <w:pStyle w:val="4"/>
        <w:keepNext w:val="0"/>
        <w:keepLines w:val="0"/>
        <w:widowControl/>
        <w:suppressLineNumbers w:val="0"/>
        <w:spacing w:before="0" w:beforeAutospacing="0" w:after="0" w:afterAutospacing="0" w:line="60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sz w:val="32"/>
          <w:szCs w:val="32"/>
        </w:rPr>
        <w:t>（三）国有资产占有使用情况</w:t>
      </w:r>
    </w:p>
    <w:p w14:paraId="60B3B597">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截至2019年12月31日，觉莫乡政府共有车辆1辆，其中：主要领导干部用车0辆、机要通信用车0辆、应急保障用车0辆、其他用车1辆，其他用车</w:t>
      </w:r>
      <w:r>
        <w:rPr>
          <w:rFonts w:hint="eastAsia" w:ascii="仿宋_GB2312" w:hAnsi="Times New Roman" w:eastAsia="仿宋_GB2312" w:cs="仿宋_GB2312"/>
          <w:sz w:val="32"/>
          <w:szCs w:val="32"/>
          <w:lang w:eastAsia="zh-CN"/>
        </w:rPr>
        <w:t>主要用于</w:t>
      </w:r>
      <w:r>
        <w:rPr>
          <w:rFonts w:hint="eastAsia" w:ascii="仿宋_GB2312" w:hAnsi="Times New Roman" w:eastAsia="仿宋_GB2312" w:cs="仿宋_GB2312"/>
          <w:sz w:val="32"/>
          <w:szCs w:val="32"/>
        </w:rPr>
        <w:t>脱贫攻坚工作和其他工作所需的公务用车燃料费、维修费、过路过桥费、保险费等支出。单价50万元以上通用设备,0台（套），单价100万元以上专用设备0台（套）。</w:t>
      </w:r>
    </w:p>
    <w:p w14:paraId="5E90265C">
      <w:pPr>
        <w:pStyle w:val="4"/>
        <w:keepNext w:val="0"/>
        <w:keepLines w:val="0"/>
        <w:widowControl/>
        <w:suppressLineNumbers w:val="0"/>
        <w:spacing w:before="0" w:beforeAutospacing="0" w:after="0" w:afterAutospacing="0" w:line="60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sz w:val="32"/>
          <w:szCs w:val="32"/>
        </w:rPr>
        <w:t>（四）预算绩效管理情况。</w:t>
      </w:r>
    </w:p>
    <w:p w14:paraId="0CBEAACE">
      <w:pPr>
        <w:pStyle w:val="4"/>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根据预算绩效管理要求，</w:t>
      </w:r>
      <w:r>
        <w:rPr>
          <w:rFonts w:hint="eastAsia" w:ascii="仿宋" w:hAnsi="仿宋" w:eastAsia="仿宋" w:cs="仿宋"/>
          <w:b w:val="0"/>
          <w:bCs w:val="0"/>
          <w:i w:val="0"/>
          <w:iCs w:val="0"/>
          <w:caps w:val="0"/>
          <w:spacing w:val="0"/>
          <w:sz w:val="32"/>
          <w:szCs w:val="32"/>
          <w:shd w:val="clear" w:fill="FFFFFF"/>
        </w:rPr>
        <w:t>觉莫乡政府在年初预算编制阶段，组织对0项目开展了预算事前绩效评估，对0个项目编制了绩效目标，预算执行过程中，选取0个项目开展绩效监控，年终执行完毕后</w:t>
      </w:r>
      <w:r>
        <w:rPr>
          <w:rFonts w:hint="eastAsia" w:ascii="仿宋_GB2312" w:hAnsi="Times New Roman" w:eastAsia="仿宋_GB2312" w:cs="仿宋_GB2312"/>
          <w:sz w:val="32"/>
          <w:szCs w:val="32"/>
        </w:rPr>
        <w:t>，对1个项目开展了绩效目标完成情况自评。</w:t>
      </w:r>
    </w:p>
    <w:p w14:paraId="6E419C7E">
      <w:pPr>
        <w:pStyle w:val="4"/>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spacing w:val="0"/>
          <w:sz w:val="32"/>
          <w:szCs w:val="32"/>
          <w:shd w:val="clear" w:fill="FFFFFF"/>
        </w:rPr>
        <w:t>觉莫乡政府</w:t>
      </w:r>
      <w:r>
        <w:rPr>
          <w:rFonts w:hint="eastAsia" w:ascii="仿宋_GB2312" w:hAnsi="Times New Roman" w:eastAsia="仿宋_GB2312" w:cs="仿宋_GB2312"/>
          <w:sz w:val="32"/>
          <w:szCs w:val="32"/>
        </w:rPr>
        <w:t>按要求对2019年部门整体支出开展绩效自评，</w:t>
      </w:r>
      <w:r>
        <w:rPr>
          <w:rFonts w:hint="eastAsia" w:ascii="仿宋" w:hAnsi="仿宋" w:eastAsia="仿宋" w:cs="仿宋"/>
          <w:b w:val="0"/>
          <w:bCs w:val="0"/>
          <w:i w:val="0"/>
          <w:iCs w:val="0"/>
          <w:caps w:val="0"/>
          <w:spacing w:val="0"/>
          <w:sz w:val="32"/>
          <w:szCs w:val="32"/>
          <w:shd w:val="clear" w:fill="FFFFFF"/>
        </w:rPr>
        <w:t>从评价情况来看整体支出绩效自评得分95分，</w:t>
      </w:r>
      <w:r>
        <w:rPr>
          <w:rFonts w:hint="eastAsia" w:ascii="仿宋_GB2312" w:hAnsi="Times New Roman" w:eastAsia="仿宋_GB2312" w:cs="仿宋_GB2312"/>
          <w:sz w:val="32"/>
          <w:szCs w:val="32"/>
        </w:rPr>
        <w:t>整体经费支出基本达到预期绩效目标，确保了部门正常运转和目标任务的圆满完成。本部门还自行组织了1个项目支出绩效评价，从评价情况来看本年度该项目整体支出情况良好，从预算到执行和收入、支出、资产管理及信息公开，都严格按照相关制度要求进行，执行率为100%。本年度整体绩效自评为98分。</w:t>
      </w:r>
    </w:p>
    <w:p w14:paraId="2E638D2F">
      <w:pPr>
        <w:pStyle w:val="4"/>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ascii="楷体_GB2312" w:hAnsi="Times New Roman" w:eastAsia="楷体_GB2312" w:cs="楷体_GB2312"/>
          <w:sz w:val="32"/>
          <w:szCs w:val="32"/>
        </w:rPr>
        <w:t>1.项目绩效目标完成情况。</w:t>
      </w:r>
      <w:r>
        <w:rPr>
          <w:rFonts w:hint="eastAsia" w:ascii="楷体_GB2312" w:hAnsi="Times New Roman" w:eastAsia="楷体_GB2312" w:cs="楷体_GB2312"/>
          <w:sz w:val="32"/>
          <w:szCs w:val="32"/>
        </w:rPr>
        <w:br w:type="textWrapping"/>
      </w:r>
      <w:r>
        <w:rPr>
          <w:rFonts w:hint="eastAsia" w:ascii="仿宋_GB2312" w:hAnsi="Times New Roman" w:eastAsia="仿宋_GB2312" w:cs="仿宋_GB2312"/>
          <w:sz w:val="32"/>
          <w:szCs w:val="32"/>
        </w:rPr>
        <w:t>    觉莫乡政府在2019年度部门决算中反映1个项目绩效目标实际完成情况。</w:t>
      </w:r>
    </w:p>
    <w:p w14:paraId="7B6B1343">
      <w:pPr>
        <w:pStyle w:val="4"/>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sz w:val="32"/>
          <w:szCs w:val="32"/>
        </w:rPr>
        <w:t>（1）“农村公共运行经费”项目绩效目标完成情况综述。项目全年预算数24万元，执行数为23.86万元，完成预算的99.42%。通过项目实施，保障了村民的基本生活，农村公共服务设施运行维护项目的长效实施改善了群众的生产生活条件，提高了群众生活质量，完善农村基础设施功能，该项目取得了较好的社会效益。发现的主要问题：每年度项目实施目标不够具体。下一步改进措施：加强财务管理、制定绩效目标时应对目标进行量化，使项目实施做到科学合理。</w:t>
      </w:r>
    </w:p>
    <w:tbl>
      <w:tblPr>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0"/>
        <w:gridCol w:w="1367"/>
        <w:gridCol w:w="1025"/>
        <w:gridCol w:w="2392"/>
        <w:gridCol w:w="2394"/>
        <w:gridCol w:w="2392"/>
      </w:tblGrid>
      <w:tr w14:paraId="765B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4" w:hRule="atLeast"/>
          <w:jc w:val="center"/>
        </w:trPr>
        <w:tc>
          <w:tcPr>
            <w:tcW w:w="9960" w:type="dxa"/>
            <w:gridSpan w:val="6"/>
            <w:shd w:val="clear"/>
            <w:tcMar>
              <w:bottom w:w="0" w:type="dxa"/>
            </w:tcMar>
            <w:vAlign w:val="center"/>
          </w:tcPr>
          <w:p w14:paraId="13CC61E7">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b/>
                <w:bCs/>
                <w:sz w:val="36"/>
                <w:szCs w:val="36"/>
              </w:rPr>
              <w:t>项目绩效目标完成情况表</w:t>
            </w:r>
            <w:r>
              <w:rPr>
                <w:rFonts w:hint="eastAsia" w:ascii="宋体" w:hAnsi="宋体" w:eastAsia="宋体" w:cs="宋体"/>
                <w:b/>
                <w:bCs/>
                <w:sz w:val="36"/>
                <w:szCs w:val="36"/>
              </w:rPr>
              <w:br w:type="textWrapping"/>
            </w:r>
            <w:r>
              <w:rPr>
                <w:rFonts w:hint="eastAsia" w:ascii="宋体" w:hAnsi="宋体" w:eastAsia="宋体" w:cs="宋体"/>
                <w:sz w:val="36"/>
                <w:szCs w:val="36"/>
              </w:rPr>
              <w:t>(2019 年度)</w:t>
            </w:r>
          </w:p>
        </w:tc>
      </w:tr>
      <w:tr w14:paraId="7063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2782" w:type="dxa"/>
            <w:gridSpan w:val="3"/>
            <w:tcBorders>
              <w:top w:val="single" w:color="000000" w:sz="8" w:space="0"/>
              <w:left w:val="single" w:color="000000" w:sz="8" w:space="0"/>
              <w:bottom w:val="single" w:color="000000" w:sz="8" w:space="0"/>
              <w:right w:val="single" w:color="000000" w:sz="8" w:space="0"/>
            </w:tcBorders>
            <w:shd w:val="clear"/>
            <w:tcMar>
              <w:bottom w:w="0" w:type="dxa"/>
            </w:tcMar>
            <w:vAlign w:val="center"/>
          </w:tcPr>
          <w:p w14:paraId="454B340B">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项目名称</w:t>
            </w:r>
          </w:p>
        </w:tc>
        <w:tc>
          <w:tcPr>
            <w:tcW w:w="7178" w:type="dxa"/>
            <w:gridSpan w:val="3"/>
            <w:tcBorders>
              <w:top w:val="single" w:color="auto" w:sz="8" w:space="0"/>
              <w:left w:val="nil"/>
              <w:bottom w:val="single" w:color="auto" w:sz="8" w:space="0"/>
              <w:right w:val="single" w:color="auto" w:sz="8" w:space="0"/>
            </w:tcBorders>
            <w:shd w:val="clear"/>
            <w:tcMar>
              <w:bottom w:w="0" w:type="dxa"/>
            </w:tcMar>
            <w:vAlign w:val="center"/>
          </w:tcPr>
          <w:p w14:paraId="1B3CEB31">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农村公共运行经费</w:t>
            </w:r>
          </w:p>
        </w:tc>
      </w:tr>
      <w:tr w14:paraId="3AA6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2782" w:type="dxa"/>
            <w:gridSpan w:val="3"/>
            <w:tcBorders>
              <w:top w:val="nil"/>
              <w:left w:val="single" w:color="auto" w:sz="8" w:space="0"/>
              <w:bottom w:val="single" w:color="auto" w:sz="8" w:space="0"/>
              <w:right w:val="single" w:color="auto" w:sz="8" w:space="0"/>
            </w:tcBorders>
            <w:shd w:val="clear"/>
            <w:tcMar>
              <w:bottom w:w="0" w:type="dxa"/>
            </w:tcMar>
            <w:vAlign w:val="center"/>
          </w:tcPr>
          <w:p w14:paraId="41166AF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预算单位</w:t>
            </w:r>
          </w:p>
        </w:tc>
        <w:tc>
          <w:tcPr>
            <w:tcW w:w="7178" w:type="dxa"/>
            <w:gridSpan w:val="3"/>
            <w:tcBorders>
              <w:top w:val="nil"/>
              <w:left w:val="nil"/>
              <w:bottom w:val="single" w:color="auto" w:sz="8" w:space="0"/>
              <w:right w:val="single" w:color="auto" w:sz="8" w:space="0"/>
            </w:tcBorders>
            <w:shd w:val="clear"/>
            <w:tcMar>
              <w:bottom w:w="0" w:type="dxa"/>
            </w:tcMar>
            <w:vAlign w:val="center"/>
          </w:tcPr>
          <w:p w14:paraId="5C84D99D">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峨边彝族自治县觉莫乡人民政府</w:t>
            </w:r>
          </w:p>
        </w:tc>
      </w:tr>
      <w:tr w14:paraId="6547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390" w:type="dxa"/>
            <w:vMerge w:val="restart"/>
            <w:tcBorders>
              <w:top w:val="nil"/>
              <w:left w:val="single" w:color="auto" w:sz="8" w:space="0"/>
              <w:bottom w:val="single" w:color="auto" w:sz="8" w:space="0"/>
              <w:right w:val="single" w:color="auto" w:sz="8" w:space="0"/>
            </w:tcBorders>
            <w:shd w:val="clear"/>
            <w:tcMar>
              <w:bottom w:w="0" w:type="dxa"/>
            </w:tcMar>
            <w:vAlign w:val="center"/>
          </w:tcPr>
          <w:p w14:paraId="5F6BF53E">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预算执行情况(万元)</w:t>
            </w:r>
          </w:p>
        </w:tc>
        <w:tc>
          <w:tcPr>
            <w:tcW w:w="2392" w:type="dxa"/>
            <w:gridSpan w:val="2"/>
            <w:tcBorders>
              <w:top w:val="nil"/>
              <w:left w:val="nil"/>
              <w:bottom w:val="single" w:color="auto" w:sz="8" w:space="0"/>
              <w:right w:val="single" w:color="auto" w:sz="8" w:space="0"/>
            </w:tcBorders>
            <w:shd w:val="clear"/>
            <w:tcMar>
              <w:bottom w:w="0" w:type="dxa"/>
            </w:tcMar>
            <w:vAlign w:val="center"/>
          </w:tcPr>
          <w:p w14:paraId="09CE20C1">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预算数:</w:t>
            </w:r>
          </w:p>
        </w:tc>
        <w:tc>
          <w:tcPr>
            <w:tcW w:w="2392" w:type="dxa"/>
            <w:tcBorders>
              <w:top w:val="single" w:color="auto" w:sz="8" w:space="0"/>
              <w:left w:val="nil"/>
              <w:bottom w:val="single" w:color="auto" w:sz="8" w:space="0"/>
              <w:right w:val="single" w:color="auto" w:sz="8" w:space="0"/>
            </w:tcBorders>
            <w:shd w:val="clear"/>
            <w:tcMar>
              <w:bottom w:w="0" w:type="dxa"/>
            </w:tcMar>
            <w:vAlign w:val="center"/>
          </w:tcPr>
          <w:p w14:paraId="54E11E2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24</w:t>
            </w:r>
          </w:p>
        </w:tc>
        <w:tc>
          <w:tcPr>
            <w:tcW w:w="2394" w:type="dxa"/>
            <w:tcBorders>
              <w:top w:val="single" w:color="auto" w:sz="8" w:space="0"/>
              <w:left w:val="nil"/>
              <w:bottom w:val="single" w:color="auto" w:sz="8" w:space="0"/>
              <w:right w:val="single" w:color="auto" w:sz="8" w:space="0"/>
            </w:tcBorders>
            <w:shd w:val="clear"/>
            <w:tcMar>
              <w:bottom w:w="0" w:type="dxa"/>
            </w:tcMar>
            <w:vAlign w:val="center"/>
          </w:tcPr>
          <w:p w14:paraId="3BDF4E23">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执行数:</w:t>
            </w:r>
          </w:p>
        </w:tc>
        <w:tc>
          <w:tcPr>
            <w:tcW w:w="2392" w:type="dxa"/>
            <w:tcBorders>
              <w:top w:val="single" w:color="auto" w:sz="8" w:space="0"/>
              <w:left w:val="nil"/>
              <w:bottom w:val="single" w:color="auto" w:sz="8" w:space="0"/>
              <w:right w:val="single" w:color="auto" w:sz="8" w:space="0"/>
            </w:tcBorders>
            <w:shd w:val="clear"/>
            <w:tcMar>
              <w:bottom w:w="0" w:type="dxa"/>
            </w:tcMar>
            <w:vAlign w:val="center"/>
          </w:tcPr>
          <w:p w14:paraId="649898B8">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23.86</w:t>
            </w:r>
          </w:p>
        </w:tc>
      </w:tr>
      <w:tr w14:paraId="65A6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390" w:type="dxa"/>
            <w:vMerge w:val="continue"/>
            <w:tcBorders>
              <w:top w:val="nil"/>
              <w:left w:val="single" w:color="auto" w:sz="8" w:space="0"/>
              <w:bottom w:val="single" w:color="auto" w:sz="8" w:space="0"/>
              <w:right w:val="single" w:color="auto" w:sz="8" w:space="0"/>
            </w:tcBorders>
            <w:shd w:val="clear"/>
            <w:tcMar>
              <w:bottom w:w="0" w:type="dxa"/>
            </w:tcMar>
            <w:vAlign w:val="center"/>
          </w:tcPr>
          <w:p w14:paraId="545BE1B1">
            <w:pPr>
              <w:rPr>
                <w:rFonts w:hint="eastAsia" w:ascii="宋体" w:hAnsi="宋体" w:eastAsia="宋体" w:cs="宋体"/>
                <w:sz w:val="18"/>
                <w:szCs w:val="18"/>
              </w:rPr>
            </w:pPr>
          </w:p>
        </w:tc>
        <w:tc>
          <w:tcPr>
            <w:tcW w:w="2392" w:type="dxa"/>
            <w:gridSpan w:val="2"/>
            <w:tcBorders>
              <w:top w:val="nil"/>
              <w:left w:val="nil"/>
              <w:bottom w:val="single" w:color="auto" w:sz="8" w:space="0"/>
              <w:right w:val="single" w:color="auto" w:sz="8" w:space="0"/>
            </w:tcBorders>
            <w:shd w:val="clear"/>
            <w:tcMar>
              <w:bottom w:w="0" w:type="dxa"/>
            </w:tcMar>
            <w:vAlign w:val="center"/>
          </w:tcPr>
          <w:p w14:paraId="2B6CDBE0">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其中-财政拨款:</w:t>
            </w:r>
          </w:p>
        </w:tc>
        <w:tc>
          <w:tcPr>
            <w:tcW w:w="2392" w:type="dxa"/>
            <w:tcBorders>
              <w:top w:val="nil"/>
              <w:left w:val="nil"/>
              <w:bottom w:val="single" w:color="auto" w:sz="8" w:space="0"/>
              <w:right w:val="single" w:color="auto" w:sz="8" w:space="0"/>
            </w:tcBorders>
            <w:shd w:val="clear"/>
            <w:tcMar>
              <w:bottom w:w="0" w:type="dxa"/>
            </w:tcMar>
            <w:vAlign w:val="center"/>
          </w:tcPr>
          <w:p w14:paraId="29622F10">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24</w:t>
            </w:r>
          </w:p>
        </w:tc>
        <w:tc>
          <w:tcPr>
            <w:tcW w:w="2394" w:type="dxa"/>
            <w:tcBorders>
              <w:top w:val="nil"/>
              <w:left w:val="nil"/>
              <w:bottom w:val="single" w:color="auto" w:sz="8" w:space="0"/>
              <w:right w:val="single" w:color="auto" w:sz="8" w:space="0"/>
            </w:tcBorders>
            <w:shd w:val="clear"/>
            <w:tcMar>
              <w:bottom w:w="0" w:type="dxa"/>
            </w:tcMar>
            <w:vAlign w:val="center"/>
          </w:tcPr>
          <w:p w14:paraId="5650D592">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其中-财政拨款:</w:t>
            </w:r>
          </w:p>
        </w:tc>
        <w:tc>
          <w:tcPr>
            <w:tcW w:w="2392" w:type="dxa"/>
            <w:tcBorders>
              <w:top w:val="nil"/>
              <w:left w:val="nil"/>
              <w:bottom w:val="single" w:color="auto" w:sz="8" w:space="0"/>
              <w:right w:val="single" w:color="auto" w:sz="8" w:space="0"/>
            </w:tcBorders>
            <w:shd w:val="clear"/>
            <w:tcMar>
              <w:bottom w:w="0" w:type="dxa"/>
            </w:tcMar>
            <w:vAlign w:val="center"/>
          </w:tcPr>
          <w:p w14:paraId="583243B1">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23.86</w:t>
            </w:r>
          </w:p>
        </w:tc>
      </w:tr>
      <w:tr w14:paraId="7D1A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1" w:hRule="atLeast"/>
          <w:jc w:val="center"/>
        </w:trPr>
        <w:tc>
          <w:tcPr>
            <w:tcW w:w="390" w:type="dxa"/>
            <w:vMerge w:val="continue"/>
            <w:tcBorders>
              <w:top w:val="nil"/>
              <w:left w:val="single" w:color="auto" w:sz="8" w:space="0"/>
              <w:bottom w:val="single" w:color="auto" w:sz="8" w:space="0"/>
              <w:right w:val="single" w:color="auto" w:sz="8" w:space="0"/>
            </w:tcBorders>
            <w:shd w:val="clear"/>
            <w:tcMar>
              <w:bottom w:w="0" w:type="dxa"/>
            </w:tcMar>
            <w:vAlign w:val="center"/>
          </w:tcPr>
          <w:p w14:paraId="28A5F7AA">
            <w:pPr>
              <w:rPr>
                <w:rFonts w:hint="eastAsia" w:ascii="宋体" w:hAnsi="宋体" w:eastAsia="宋体" w:cs="宋体"/>
                <w:sz w:val="18"/>
                <w:szCs w:val="18"/>
              </w:rPr>
            </w:pPr>
          </w:p>
        </w:tc>
        <w:tc>
          <w:tcPr>
            <w:tcW w:w="2392" w:type="dxa"/>
            <w:gridSpan w:val="2"/>
            <w:tcBorders>
              <w:top w:val="nil"/>
              <w:left w:val="nil"/>
              <w:bottom w:val="single" w:color="auto" w:sz="8" w:space="0"/>
              <w:right w:val="single" w:color="auto" w:sz="8" w:space="0"/>
            </w:tcBorders>
            <w:shd w:val="clear"/>
            <w:tcMar>
              <w:bottom w:w="0" w:type="dxa"/>
            </w:tcMar>
            <w:vAlign w:val="center"/>
          </w:tcPr>
          <w:p w14:paraId="4A55EA7E">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lang w:eastAsia="zh-CN"/>
              </w:rPr>
              <w:t>其他</w:t>
            </w:r>
            <w:r>
              <w:rPr>
                <w:rFonts w:hint="eastAsia" w:ascii="宋体" w:hAnsi="宋体" w:eastAsia="宋体" w:cs="宋体"/>
                <w:sz w:val="24"/>
                <w:szCs w:val="24"/>
              </w:rPr>
              <w:t>资金:</w:t>
            </w:r>
          </w:p>
        </w:tc>
        <w:tc>
          <w:tcPr>
            <w:tcW w:w="2392" w:type="dxa"/>
            <w:tcBorders>
              <w:top w:val="nil"/>
              <w:left w:val="nil"/>
              <w:bottom w:val="single" w:color="auto" w:sz="8" w:space="0"/>
              <w:right w:val="single" w:color="auto" w:sz="8" w:space="0"/>
            </w:tcBorders>
            <w:shd w:val="clear"/>
            <w:tcMar>
              <w:bottom w:w="0" w:type="dxa"/>
            </w:tcMar>
            <w:vAlign w:val="center"/>
          </w:tcPr>
          <w:p w14:paraId="7DFC2CE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0</w:t>
            </w:r>
          </w:p>
        </w:tc>
        <w:tc>
          <w:tcPr>
            <w:tcW w:w="2394" w:type="dxa"/>
            <w:tcBorders>
              <w:top w:val="nil"/>
              <w:left w:val="nil"/>
              <w:bottom w:val="single" w:color="auto" w:sz="8" w:space="0"/>
              <w:right w:val="single" w:color="auto" w:sz="8" w:space="0"/>
            </w:tcBorders>
            <w:shd w:val="clear"/>
            <w:tcMar>
              <w:bottom w:w="0" w:type="dxa"/>
            </w:tcMar>
            <w:vAlign w:val="center"/>
          </w:tcPr>
          <w:p w14:paraId="76D197AC">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lang w:eastAsia="zh-CN"/>
              </w:rPr>
              <w:t>其他</w:t>
            </w:r>
            <w:r>
              <w:rPr>
                <w:rFonts w:hint="eastAsia" w:ascii="宋体" w:hAnsi="宋体" w:eastAsia="宋体" w:cs="宋体"/>
                <w:sz w:val="24"/>
                <w:szCs w:val="24"/>
              </w:rPr>
              <w:t>资金:</w:t>
            </w:r>
          </w:p>
        </w:tc>
        <w:tc>
          <w:tcPr>
            <w:tcW w:w="2392" w:type="dxa"/>
            <w:tcBorders>
              <w:top w:val="nil"/>
              <w:left w:val="nil"/>
              <w:bottom w:val="single" w:color="auto" w:sz="8" w:space="0"/>
              <w:right w:val="single" w:color="auto" w:sz="8" w:space="0"/>
            </w:tcBorders>
            <w:shd w:val="clear"/>
            <w:tcMar>
              <w:bottom w:w="0" w:type="dxa"/>
            </w:tcMar>
            <w:vAlign w:val="center"/>
          </w:tcPr>
          <w:p w14:paraId="15F07034">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r>
      <w:tr w14:paraId="2DFD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390" w:type="dxa"/>
            <w:vMerge w:val="restart"/>
            <w:tcBorders>
              <w:top w:val="nil"/>
              <w:left w:val="single" w:color="auto" w:sz="8" w:space="0"/>
              <w:bottom w:val="single" w:color="auto" w:sz="8" w:space="0"/>
              <w:right w:val="single" w:color="auto" w:sz="8" w:space="0"/>
            </w:tcBorders>
            <w:shd w:val="clear"/>
            <w:tcMar>
              <w:bottom w:w="0" w:type="dxa"/>
            </w:tcMar>
            <w:vAlign w:val="center"/>
          </w:tcPr>
          <w:p w14:paraId="43CC779A">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年度目标完成情况</w:t>
            </w:r>
          </w:p>
        </w:tc>
        <w:tc>
          <w:tcPr>
            <w:tcW w:w="4784" w:type="dxa"/>
            <w:gridSpan w:val="3"/>
            <w:tcBorders>
              <w:top w:val="nil"/>
              <w:left w:val="nil"/>
              <w:bottom w:val="single" w:color="auto" w:sz="8" w:space="0"/>
              <w:right w:val="single" w:color="auto" w:sz="8" w:space="0"/>
            </w:tcBorders>
            <w:shd w:val="clear"/>
            <w:tcMar>
              <w:bottom w:w="0" w:type="dxa"/>
            </w:tcMar>
            <w:vAlign w:val="center"/>
          </w:tcPr>
          <w:p w14:paraId="65C9161A">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预期目标</w:t>
            </w:r>
          </w:p>
        </w:tc>
        <w:tc>
          <w:tcPr>
            <w:tcW w:w="4786" w:type="dxa"/>
            <w:gridSpan w:val="2"/>
            <w:tcBorders>
              <w:top w:val="nil"/>
              <w:left w:val="nil"/>
              <w:bottom w:val="single" w:color="auto" w:sz="8" w:space="0"/>
              <w:right w:val="single" w:color="auto" w:sz="8" w:space="0"/>
            </w:tcBorders>
            <w:shd w:val="clear"/>
            <w:tcMar>
              <w:bottom w:w="0" w:type="dxa"/>
            </w:tcMar>
            <w:vAlign w:val="center"/>
          </w:tcPr>
          <w:p w14:paraId="6FB3015E">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实际完成目标</w:t>
            </w:r>
          </w:p>
        </w:tc>
      </w:tr>
      <w:tr w14:paraId="16BA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9" w:hRule="atLeast"/>
          <w:jc w:val="center"/>
        </w:trPr>
        <w:tc>
          <w:tcPr>
            <w:tcW w:w="390" w:type="dxa"/>
            <w:vMerge w:val="continue"/>
            <w:tcBorders>
              <w:top w:val="nil"/>
              <w:left w:val="single" w:color="auto" w:sz="8" w:space="0"/>
              <w:bottom w:val="single" w:color="auto" w:sz="8" w:space="0"/>
              <w:right w:val="single" w:color="auto" w:sz="8" w:space="0"/>
            </w:tcBorders>
            <w:shd w:val="clear"/>
            <w:tcMar>
              <w:bottom w:w="0" w:type="dxa"/>
            </w:tcMar>
            <w:vAlign w:val="center"/>
          </w:tcPr>
          <w:p w14:paraId="5B335FCC">
            <w:pPr>
              <w:rPr>
                <w:rFonts w:hint="eastAsia" w:ascii="宋体" w:hAnsi="宋体" w:eastAsia="宋体" w:cs="宋体"/>
                <w:sz w:val="18"/>
                <w:szCs w:val="18"/>
              </w:rPr>
            </w:pPr>
          </w:p>
        </w:tc>
        <w:tc>
          <w:tcPr>
            <w:tcW w:w="4784" w:type="dxa"/>
            <w:gridSpan w:val="3"/>
            <w:tcBorders>
              <w:top w:val="nil"/>
              <w:left w:val="nil"/>
              <w:bottom w:val="single" w:color="auto" w:sz="8" w:space="0"/>
              <w:right w:val="single" w:color="auto" w:sz="8" w:space="0"/>
            </w:tcBorders>
            <w:shd w:val="clear"/>
            <w:tcMar>
              <w:bottom w:w="0" w:type="dxa"/>
            </w:tcMar>
            <w:vAlign w:val="center"/>
          </w:tcPr>
          <w:p w14:paraId="4105A09A">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sz w:val="24"/>
                <w:szCs w:val="24"/>
              </w:rPr>
              <w:t>主要解决保障全乡3个行政村最关心、最直接、最现实的利益问题，包括村各项公益事业建设，改善农村人居环境，保障为全乡辖区内群众办实事、做好事、解难事等支出。</w:t>
            </w:r>
          </w:p>
        </w:tc>
        <w:tc>
          <w:tcPr>
            <w:tcW w:w="4786" w:type="dxa"/>
            <w:gridSpan w:val="2"/>
            <w:tcBorders>
              <w:top w:val="nil"/>
              <w:left w:val="nil"/>
              <w:bottom w:val="single" w:color="auto" w:sz="8" w:space="0"/>
              <w:right w:val="single" w:color="auto" w:sz="8" w:space="0"/>
            </w:tcBorders>
            <w:shd w:val="clear"/>
            <w:tcMar>
              <w:bottom w:w="0" w:type="dxa"/>
            </w:tcMar>
            <w:vAlign w:val="center"/>
          </w:tcPr>
          <w:p w14:paraId="51B40542">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sz w:val="24"/>
                <w:szCs w:val="24"/>
              </w:rPr>
              <w:t>解决了保障全乡3个行政村最关心、最直接、最现实的利益问题，包括村各项公益事业建设，改善农村人居环境，保障为全乡辖区内群众办实事、做好事、解难事等支出。</w:t>
            </w:r>
          </w:p>
        </w:tc>
      </w:tr>
      <w:tr w14:paraId="0AAC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2" w:hRule="atLeast"/>
          <w:jc w:val="center"/>
        </w:trPr>
        <w:tc>
          <w:tcPr>
            <w:tcW w:w="390" w:type="dxa"/>
            <w:vMerge w:val="restart"/>
            <w:tcBorders>
              <w:top w:val="nil"/>
              <w:left w:val="single" w:color="auto" w:sz="8" w:space="0"/>
              <w:bottom w:val="nil"/>
              <w:right w:val="single" w:color="auto" w:sz="8" w:space="0"/>
            </w:tcBorders>
            <w:shd w:val="clear"/>
            <w:tcMar>
              <w:bottom w:w="0" w:type="dxa"/>
            </w:tcMar>
            <w:vAlign w:val="center"/>
          </w:tcPr>
          <w:p w14:paraId="33F56670">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绩效指标完成情况</w:t>
            </w:r>
          </w:p>
        </w:tc>
        <w:tc>
          <w:tcPr>
            <w:tcW w:w="1367" w:type="dxa"/>
            <w:tcBorders>
              <w:top w:val="nil"/>
              <w:left w:val="nil"/>
              <w:bottom w:val="single" w:color="auto" w:sz="8" w:space="0"/>
              <w:right w:val="single" w:color="auto" w:sz="8" w:space="0"/>
            </w:tcBorders>
            <w:shd w:val="clear"/>
            <w:tcMar>
              <w:bottom w:w="0" w:type="dxa"/>
            </w:tcMar>
            <w:vAlign w:val="center"/>
          </w:tcPr>
          <w:p w14:paraId="57BF8BD6">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一级指标</w:t>
            </w:r>
          </w:p>
        </w:tc>
        <w:tc>
          <w:tcPr>
            <w:tcW w:w="1025" w:type="dxa"/>
            <w:tcBorders>
              <w:top w:val="nil"/>
              <w:left w:val="nil"/>
              <w:bottom w:val="single" w:color="auto" w:sz="8" w:space="0"/>
              <w:right w:val="single" w:color="auto" w:sz="8" w:space="0"/>
            </w:tcBorders>
            <w:shd w:val="clear"/>
            <w:tcMar>
              <w:bottom w:w="0" w:type="dxa"/>
            </w:tcMar>
            <w:vAlign w:val="center"/>
          </w:tcPr>
          <w:p w14:paraId="4477AE8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二级指标</w:t>
            </w:r>
          </w:p>
        </w:tc>
        <w:tc>
          <w:tcPr>
            <w:tcW w:w="2392" w:type="dxa"/>
            <w:tcBorders>
              <w:top w:val="single" w:color="auto" w:sz="8" w:space="0"/>
              <w:left w:val="nil"/>
              <w:bottom w:val="single" w:color="auto" w:sz="8" w:space="0"/>
              <w:right w:val="single" w:color="auto" w:sz="8" w:space="0"/>
            </w:tcBorders>
            <w:shd w:val="clear"/>
            <w:tcMar>
              <w:bottom w:w="0" w:type="dxa"/>
            </w:tcMar>
            <w:vAlign w:val="center"/>
          </w:tcPr>
          <w:p w14:paraId="4503E52B">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三级指标</w:t>
            </w:r>
          </w:p>
        </w:tc>
        <w:tc>
          <w:tcPr>
            <w:tcW w:w="2394" w:type="dxa"/>
            <w:tcBorders>
              <w:top w:val="single" w:color="auto" w:sz="8" w:space="0"/>
              <w:left w:val="nil"/>
              <w:bottom w:val="single" w:color="auto" w:sz="8" w:space="0"/>
              <w:right w:val="single" w:color="auto" w:sz="8" w:space="0"/>
            </w:tcBorders>
            <w:shd w:val="clear"/>
            <w:tcMar>
              <w:bottom w:w="0" w:type="dxa"/>
            </w:tcMar>
            <w:vAlign w:val="center"/>
          </w:tcPr>
          <w:p w14:paraId="7EB51930">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预期指标值(包含数字及文字描述)</w:t>
            </w:r>
          </w:p>
        </w:tc>
        <w:tc>
          <w:tcPr>
            <w:tcW w:w="2392" w:type="dxa"/>
            <w:tcBorders>
              <w:top w:val="single" w:color="auto" w:sz="8" w:space="0"/>
              <w:left w:val="nil"/>
              <w:bottom w:val="single" w:color="auto" w:sz="8" w:space="0"/>
              <w:right w:val="single" w:color="auto" w:sz="8" w:space="0"/>
            </w:tcBorders>
            <w:shd w:val="clear"/>
            <w:tcMar>
              <w:bottom w:w="0" w:type="dxa"/>
            </w:tcMar>
            <w:vAlign w:val="center"/>
          </w:tcPr>
          <w:p w14:paraId="2BFE266B">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实际完成指标值(包含数字及文字描述)</w:t>
            </w:r>
          </w:p>
        </w:tc>
      </w:tr>
      <w:tr w14:paraId="0904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3"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719D1954">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6D75636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项目完成指标</w:t>
            </w:r>
          </w:p>
        </w:tc>
        <w:tc>
          <w:tcPr>
            <w:tcW w:w="1025" w:type="dxa"/>
            <w:tcBorders>
              <w:top w:val="nil"/>
              <w:left w:val="nil"/>
              <w:bottom w:val="single" w:color="auto" w:sz="8" w:space="0"/>
              <w:right w:val="single" w:color="auto" w:sz="8" w:space="0"/>
            </w:tcBorders>
            <w:shd w:val="clear"/>
            <w:tcMar>
              <w:bottom w:w="0" w:type="dxa"/>
            </w:tcMar>
            <w:vAlign w:val="center"/>
          </w:tcPr>
          <w:p w14:paraId="68480F3D">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完成数量</w:t>
            </w:r>
          </w:p>
        </w:tc>
        <w:tc>
          <w:tcPr>
            <w:tcW w:w="2392" w:type="dxa"/>
            <w:tcBorders>
              <w:top w:val="nil"/>
              <w:left w:val="nil"/>
              <w:bottom w:val="single" w:color="auto" w:sz="8" w:space="0"/>
              <w:right w:val="single" w:color="auto" w:sz="8" w:space="0"/>
            </w:tcBorders>
            <w:shd w:val="clear"/>
            <w:tcMar>
              <w:bottom w:w="0" w:type="dxa"/>
            </w:tcMar>
            <w:vAlign w:val="center"/>
          </w:tcPr>
          <w:p w14:paraId="769E68C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保障全乡3个行政村基本运转经费的需要。</w:t>
            </w:r>
          </w:p>
        </w:tc>
        <w:tc>
          <w:tcPr>
            <w:tcW w:w="2394" w:type="dxa"/>
            <w:tcBorders>
              <w:top w:val="nil"/>
              <w:left w:val="nil"/>
              <w:bottom w:val="single" w:color="auto" w:sz="8" w:space="0"/>
              <w:right w:val="single" w:color="auto" w:sz="8" w:space="0"/>
            </w:tcBorders>
            <w:shd w:val="clear"/>
            <w:tcMar>
              <w:bottom w:w="0" w:type="dxa"/>
            </w:tcMar>
            <w:vAlign w:val="center"/>
          </w:tcPr>
          <w:p w14:paraId="24311556">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保障全乡3个行政村基本运转经费的需要。</w:t>
            </w:r>
          </w:p>
        </w:tc>
        <w:tc>
          <w:tcPr>
            <w:tcW w:w="2392" w:type="dxa"/>
            <w:tcBorders>
              <w:top w:val="nil"/>
              <w:left w:val="nil"/>
              <w:bottom w:val="single" w:color="auto" w:sz="8" w:space="0"/>
              <w:right w:val="single" w:color="auto" w:sz="8" w:space="0"/>
            </w:tcBorders>
            <w:shd w:val="clear"/>
            <w:tcMar>
              <w:bottom w:w="0" w:type="dxa"/>
            </w:tcMar>
            <w:vAlign w:val="center"/>
          </w:tcPr>
          <w:p w14:paraId="425E7B9B">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保障全乡3个行政村基本运转经费的需要。</w:t>
            </w:r>
          </w:p>
        </w:tc>
      </w:tr>
      <w:tr w14:paraId="1DDF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7"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76AE02D9">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54B761BD">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项目完成指标</w:t>
            </w:r>
          </w:p>
        </w:tc>
        <w:tc>
          <w:tcPr>
            <w:tcW w:w="1025" w:type="dxa"/>
            <w:tcBorders>
              <w:top w:val="nil"/>
              <w:left w:val="nil"/>
              <w:bottom w:val="single" w:color="auto" w:sz="8" w:space="0"/>
              <w:right w:val="single" w:color="auto" w:sz="8" w:space="0"/>
            </w:tcBorders>
            <w:shd w:val="clear"/>
            <w:tcMar>
              <w:bottom w:w="0" w:type="dxa"/>
            </w:tcMar>
            <w:vAlign w:val="center"/>
          </w:tcPr>
          <w:p w14:paraId="1844D083">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完成质量</w:t>
            </w:r>
          </w:p>
        </w:tc>
        <w:tc>
          <w:tcPr>
            <w:tcW w:w="2392" w:type="dxa"/>
            <w:tcBorders>
              <w:top w:val="nil"/>
              <w:left w:val="nil"/>
              <w:bottom w:val="single" w:color="auto" w:sz="8" w:space="0"/>
              <w:right w:val="single" w:color="auto" w:sz="8" w:space="0"/>
            </w:tcBorders>
            <w:shd w:val="clear"/>
            <w:tcMar>
              <w:bottom w:w="0" w:type="dxa"/>
            </w:tcMar>
            <w:vAlign w:val="center"/>
          </w:tcPr>
          <w:p w14:paraId="69765BD5">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组织实施的项目符合上级相关政策，成熟度高、带动性强、有利于促进乡、村经济社会有序发展，农村公益事业日新月异。</w:t>
            </w:r>
          </w:p>
        </w:tc>
        <w:tc>
          <w:tcPr>
            <w:tcW w:w="2394" w:type="dxa"/>
            <w:tcBorders>
              <w:top w:val="nil"/>
              <w:left w:val="nil"/>
              <w:bottom w:val="single" w:color="auto" w:sz="8" w:space="0"/>
              <w:right w:val="single" w:color="auto" w:sz="8" w:space="0"/>
            </w:tcBorders>
            <w:shd w:val="clear"/>
            <w:tcMar>
              <w:bottom w:w="0" w:type="dxa"/>
            </w:tcMar>
            <w:vAlign w:val="center"/>
          </w:tcPr>
          <w:p w14:paraId="3B4305A9">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组织实施的项目符合上级相关政策，成熟度高、带动性强、有利于促进乡、村经济社会有序发展，农村公益事业日新月异。</w:t>
            </w:r>
          </w:p>
        </w:tc>
        <w:tc>
          <w:tcPr>
            <w:tcW w:w="2392" w:type="dxa"/>
            <w:tcBorders>
              <w:top w:val="nil"/>
              <w:left w:val="nil"/>
              <w:bottom w:val="single" w:color="auto" w:sz="8" w:space="0"/>
              <w:right w:val="single" w:color="auto" w:sz="8" w:space="0"/>
            </w:tcBorders>
            <w:shd w:val="clear"/>
            <w:tcMar>
              <w:bottom w:w="0" w:type="dxa"/>
            </w:tcMar>
            <w:vAlign w:val="center"/>
          </w:tcPr>
          <w:p w14:paraId="3837F3C2">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组织实施的项目符合上级相关政策，成熟度高、带动性强、有利于促进乡、村经济社会有序发展，农村公益事业日新月异。</w:t>
            </w:r>
          </w:p>
        </w:tc>
      </w:tr>
      <w:tr w14:paraId="1CAB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2"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46734FA7">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0901BDEE">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项目完成指标</w:t>
            </w:r>
          </w:p>
        </w:tc>
        <w:tc>
          <w:tcPr>
            <w:tcW w:w="1025" w:type="dxa"/>
            <w:tcBorders>
              <w:top w:val="nil"/>
              <w:left w:val="nil"/>
              <w:bottom w:val="single" w:color="auto" w:sz="8" w:space="0"/>
              <w:right w:val="single" w:color="auto" w:sz="8" w:space="0"/>
            </w:tcBorders>
            <w:shd w:val="clear"/>
            <w:tcMar>
              <w:bottom w:w="0" w:type="dxa"/>
            </w:tcMar>
            <w:vAlign w:val="center"/>
          </w:tcPr>
          <w:p w14:paraId="1102B39D">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完成时效</w:t>
            </w:r>
          </w:p>
        </w:tc>
        <w:tc>
          <w:tcPr>
            <w:tcW w:w="2392" w:type="dxa"/>
            <w:tcBorders>
              <w:top w:val="nil"/>
              <w:left w:val="nil"/>
              <w:bottom w:val="single" w:color="auto" w:sz="8" w:space="0"/>
              <w:right w:val="single" w:color="auto" w:sz="8" w:space="0"/>
            </w:tcBorders>
            <w:shd w:val="clear"/>
            <w:tcMar>
              <w:bottom w:w="0" w:type="dxa"/>
            </w:tcMar>
            <w:vAlign w:val="center"/>
          </w:tcPr>
          <w:p w14:paraId="15F11422">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sz w:val="24"/>
                <w:szCs w:val="24"/>
              </w:rPr>
              <w:t>按照觉莫乡2019年工作计划，完成年内项目组织管理任务，做好各类项目执行的全过程监督管理工作，确保各类项目按计划有效</w:t>
            </w:r>
            <w:r>
              <w:rPr>
                <w:rFonts w:hint="eastAsia" w:ascii="宋体" w:hAnsi="宋体" w:eastAsia="宋体" w:cs="宋体"/>
                <w:sz w:val="24"/>
                <w:szCs w:val="24"/>
                <w:lang w:eastAsia="zh-CN"/>
              </w:rPr>
              <w:t>实施</w:t>
            </w:r>
          </w:p>
        </w:tc>
        <w:tc>
          <w:tcPr>
            <w:tcW w:w="2394" w:type="dxa"/>
            <w:tcBorders>
              <w:top w:val="nil"/>
              <w:left w:val="nil"/>
              <w:bottom w:val="single" w:color="auto" w:sz="8" w:space="0"/>
              <w:right w:val="single" w:color="auto" w:sz="8" w:space="0"/>
            </w:tcBorders>
            <w:shd w:val="clear"/>
            <w:tcMar>
              <w:bottom w:w="0" w:type="dxa"/>
            </w:tcMar>
            <w:vAlign w:val="center"/>
          </w:tcPr>
          <w:p w14:paraId="211BF955">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按照觉莫乡2019年工作计划，完成年内项目组织管理任务，做好各类项目执行的全过程监督管理工作，确保各类项目按计划有效</w:t>
            </w:r>
            <w:r>
              <w:rPr>
                <w:rFonts w:hint="eastAsia" w:ascii="宋体" w:hAnsi="宋体" w:eastAsia="宋体" w:cs="宋体"/>
                <w:sz w:val="24"/>
                <w:szCs w:val="24"/>
                <w:lang w:eastAsia="zh-CN"/>
              </w:rPr>
              <w:t>实施</w:t>
            </w:r>
          </w:p>
        </w:tc>
        <w:tc>
          <w:tcPr>
            <w:tcW w:w="2392" w:type="dxa"/>
            <w:tcBorders>
              <w:top w:val="nil"/>
              <w:left w:val="nil"/>
              <w:bottom w:val="single" w:color="auto" w:sz="8" w:space="0"/>
              <w:right w:val="single" w:color="auto" w:sz="8" w:space="0"/>
            </w:tcBorders>
            <w:shd w:val="clear"/>
            <w:tcMar>
              <w:bottom w:w="0" w:type="dxa"/>
            </w:tcMar>
            <w:vAlign w:val="center"/>
          </w:tcPr>
          <w:p w14:paraId="2E48BBA4">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按照觉莫乡2019年工作计划，完成年内项目组织管理任务，做好各类项目执行的全过程监督管理工作，确保各类项目按</w:t>
            </w:r>
          </w:p>
        </w:tc>
      </w:tr>
      <w:tr w14:paraId="4ABB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2"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0702E12B">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56BCAC91">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项目完成指标</w:t>
            </w:r>
          </w:p>
        </w:tc>
        <w:tc>
          <w:tcPr>
            <w:tcW w:w="1025" w:type="dxa"/>
            <w:tcBorders>
              <w:top w:val="nil"/>
              <w:left w:val="nil"/>
              <w:bottom w:val="single" w:color="auto" w:sz="8" w:space="0"/>
              <w:right w:val="single" w:color="auto" w:sz="8" w:space="0"/>
            </w:tcBorders>
            <w:shd w:val="clear"/>
            <w:tcMar>
              <w:bottom w:w="0" w:type="dxa"/>
            </w:tcMar>
            <w:vAlign w:val="center"/>
          </w:tcPr>
          <w:p w14:paraId="433205B2">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完成成本</w:t>
            </w:r>
          </w:p>
        </w:tc>
        <w:tc>
          <w:tcPr>
            <w:tcW w:w="2392" w:type="dxa"/>
            <w:tcBorders>
              <w:top w:val="nil"/>
              <w:left w:val="nil"/>
              <w:bottom w:val="single" w:color="auto" w:sz="8" w:space="0"/>
              <w:right w:val="single" w:color="auto" w:sz="8" w:space="0"/>
            </w:tcBorders>
            <w:shd w:val="clear"/>
            <w:tcMar>
              <w:bottom w:w="0" w:type="dxa"/>
            </w:tcMar>
            <w:vAlign w:val="center"/>
          </w:tcPr>
          <w:p w14:paraId="18ED9BC1">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全年计划项目总成本24万元包含村级办公经费、村基础设施日常维护等。</w:t>
            </w:r>
          </w:p>
        </w:tc>
        <w:tc>
          <w:tcPr>
            <w:tcW w:w="2394" w:type="dxa"/>
            <w:tcBorders>
              <w:top w:val="nil"/>
              <w:left w:val="nil"/>
              <w:bottom w:val="single" w:color="auto" w:sz="8" w:space="0"/>
              <w:right w:val="single" w:color="auto" w:sz="8" w:space="0"/>
            </w:tcBorders>
            <w:shd w:val="clear"/>
            <w:tcMar>
              <w:bottom w:w="0" w:type="dxa"/>
            </w:tcMar>
            <w:vAlign w:val="center"/>
          </w:tcPr>
          <w:p w14:paraId="70AE2781">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全年计划项目总成本24万元包含村级办公经费、村基础设施日常维护等。</w:t>
            </w:r>
          </w:p>
        </w:tc>
        <w:tc>
          <w:tcPr>
            <w:tcW w:w="2392" w:type="dxa"/>
            <w:tcBorders>
              <w:top w:val="nil"/>
              <w:left w:val="nil"/>
              <w:bottom w:val="single" w:color="auto" w:sz="8" w:space="0"/>
              <w:right w:val="single" w:color="auto" w:sz="8" w:space="0"/>
            </w:tcBorders>
            <w:shd w:val="clear"/>
            <w:tcMar>
              <w:bottom w:w="0" w:type="dxa"/>
            </w:tcMar>
            <w:vAlign w:val="center"/>
          </w:tcPr>
          <w:p w14:paraId="173166E2">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全年计划项目总成本24万元包含村级办公经费、村基础设施日常维护等。</w:t>
            </w:r>
          </w:p>
        </w:tc>
      </w:tr>
      <w:tr w14:paraId="5A80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2"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2765B696">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2D50265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项目完成指标</w:t>
            </w:r>
          </w:p>
        </w:tc>
        <w:tc>
          <w:tcPr>
            <w:tcW w:w="1025" w:type="dxa"/>
            <w:tcBorders>
              <w:top w:val="nil"/>
              <w:left w:val="nil"/>
              <w:bottom w:val="single" w:color="auto" w:sz="8" w:space="0"/>
              <w:right w:val="single" w:color="auto" w:sz="8" w:space="0"/>
            </w:tcBorders>
            <w:shd w:val="clear"/>
            <w:tcMar>
              <w:bottom w:w="0" w:type="dxa"/>
            </w:tcMar>
            <w:vAlign w:val="center"/>
          </w:tcPr>
          <w:p w14:paraId="5B8C8AE0">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社会效益</w:t>
            </w:r>
          </w:p>
        </w:tc>
        <w:tc>
          <w:tcPr>
            <w:tcW w:w="2392" w:type="dxa"/>
            <w:tcBorders>
              <w:top w:val="nil"/>
              <w:left w:val="nil"/>
              <w:bottom w:val="single" w:color="auto" w:sz="8" w:space="0"/>
              <w:right w:val="single" w:color="auto" w:sz="8" w:space="0"/>
            </w:tcBorders>
            <w:shd w:val="clear"/>
            <w:tcMar>
              <w:bottom w:w="0" w:type="dxa"/>
            </w:tcMar>
            <w:vAlign w:val="center"/>
          </w:tcPr>
          <w:p w14:paraId="31B029D6">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通过项目的实施，提高村干部自觉履职的积极性，确保村干部为村、居民群众办实事、做好事、解难事等需要的支出，保障社会和谐稳定，确保资金使用效率，保障各项工作进展顺利。</w:t>
            </w:r>
          </w:p>
        </w:tc>
        <w:tc>
          <w:tcPr>
            <w:tcW w:w="2394" w:type="dxa"/>
            <w:tcBorders>
              <w:top w:val="nil"/>
              <w:left w:val="nil"/>
              <w:bottom w:val="single" w:color="auto" w:sz="8" w:space="0"/>
              <w:right w:val="single" w:color="auto" w:sz="8" w:space="0"/>
            </w:tcBorders>
            <w:shd w:val="clear"/>
            <w:tcMar>
              <w:bottom w:w="0" w:type="dxa"/>
            </w:tcMar>
            <w:vAlign w:val="center"/>
          </w:tcPr>
          <w:p w14:paraId="4AE24959">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通过项目的实施，提高村干部自觉履职的积极性，确保村干部为村、居民群众办实事、做好事、解难事等需要的支出，保障社会和谐稳定，确保资金使用效率，保障各项工作进展顺利。</w:t>
            </w:r>
          </w:p>
        </w:tc>
        <w:tc>
          <w:tcPr>
            <w:tcW w:w="2392" w:type="dxa"/>
            <w:tcBorders>
              <w:top w:val="nil"/>
              <w:left w:val="nil"/>
              <w:bottom w:val="single" w:color="auto" w:sz="8" w:space="0"/>
              <w:right w:val="single" w:color="auto" w:sz="8" w:space="0"/>
            </w:tcBorders>
            <w:shd w:val="clear"/>
            <w:tcMar>
              <w:bottom w:w="0" w:type="dxa"/>
            </w:tcMar>
            <w:vAlign w:val="center"/>
          </w:tcPr>
          <w:p w14:paraId="2FB3E6B9">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通过项目的实施，提高村干部自觉履职的积极性，确保村干部为村、居民群众办实事、做好事、解难事等需要的支出，保障社会和谐稳定，确保资金使用效率，保障各项工作进展顺利。</w:t>
            </w:r>
          </w:p>
        </w:tc>
      </w:tr>
      <w:tr w14:paraId="0C84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2"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44E57D53">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7352C325">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w:t>
            </w:r>
          </w:p>
        </w:tc>
        <w:tc>
          <w:tcPr>
            <w:tcW w:w="1025" w:type="dxa"/>
            <w:tcBorders>
              <w:top w:val="nil"/>
              <w:left w:val="nil"/>
              <w:bottom w:val="single" w:color="auto" w:sz="8" w:space="0"/>
              <w:right w:val="single" w:color="auto" w:sz="8" w:space="0"/>
            </w:tcBorders>
            <w:shd w:val="clear"/>
            <w:tcMar>
              <w:bottom w:w="0" w:type="dxa"/>
            </w:tcMar>
            <w:vAlign w:val="center"/>
          </w:tcPr>
          <w:p w14:paraId="6B23BF40">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各相关主体满意度（管理主体、执行主体、受益对象）</w:t>
            </w:r>
          </w:p>
        </w:tc>
        <w:tc>
          <w:tcPr>
            <w:tcW w:w="2392" w:type="dxa"/>
            <w:tcBorders>
              <w:top w:val="nil"/>
              <w:left w:val="nil"/>
              <w:bottom w:val="single" w:color="auto" w:sz="8" w:space="0"/>
              <w:right w:val="single" w:color="auto" w:sz="8" w:space="0"/>
            </w:tcBorders>
            <w:shd w:val="clear"/>
            <w:tcMar>
              <w:bottom w:w="0" w:type="dxa"/>
            </w:tcMar>
            <w:vAlign w:val="center"/>
          </w:tcPr>
          <w:p w14:paraId="04108C33">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相关群体满意度调查情况</w:t>
            </w:r>
          </w:p>
        </w:tc>
        <w:tc>
          <w:tcPr>
            <w:tcW w:w="2394" w:type="dxa"/>
            <w:tcBorders>
              <w:top w:val="nil"/>
              <w:left w:val="nil"/>
              <w:bottom w:val="single" w:color="auto" w:sz="8" w:space="0"/>
              <w:right w:val="single" w:color="auto" w:sz="8" w:space="0"/>
            </w:tcBorders>
            <w:shd w:val="clear"/>
            <w:tcMar>
              <w:bottom w:w="0" w:type="dxa"/>
            </w:tcMar>
            <w:vAlign w:val="center"/>
          </w:tcPr>
          <w:p w14:paraId="5A983E70">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通过项目的实施，力争让全乡村民对项目实施的满意度达到90%以上。</w:t>
            </w:r>
          </w:p>
        </w:tc>
        <w:tc>
          <w:tcPr>
            <w:tcW w:w="2392" w:type="dxa"/>
            <w:tcBorders>
              <w:top w:val="nil"/>
              <w:left w:val="nil"/>
              <w:bottom w:val="single" w:color="auto" w:sz="8" w:space="0"/>
              <w:right w:val="single" w:color="auto" w:sz="8" w:space="0"/>
            </w:tcBorders>
            <w:shd w:val="clear"/>
            <w:tcMar>
              <w:bottom w:w="0" w:type="dxa"/>
            </w:tcMar>
            <w:vAlign w:val="center"/>
          </w:tcPr>
          <w:p w14:paraId="6DDFC2E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通过项目的实施，全乡村民对项目实施的满意度95%以上。</w:t>
            </w:r>
          </w:p>
        </w:tc>
      </w:tr>
      <w:tr w14:paraId="4F65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2"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7FBE46B4">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3254C798">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效益指标</w:t>
            </w:r>
          </w:p>
        </w:tc>
        <w:tc>
          <w:tcPr>
            <w:tcW w:w="1025" w:type="dxa"/>
            <w:tcBorders>
              <w:top w:val="nil"/>
              <w:left w:val="nil"/>
              <w:bottom w:val="single" w:color="auto" w:sz="8" w:space="0"/>
              <w:right w:val="single" w:color="auto" w:sz="8" w:space="0"/>
            </w:tcBorders>
            <w:shd w:val="clear"/>
            <w:tcMar>
              <w:bottom w:w="0" w:type="dxa"/>
            </w:tcMar>
            <w:vAlign w:val="center"/>
          </w:tcPr>
          <w:p w14:paraId="5B9A5CF4">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完成数量</w:t>
            </w:r>
          </w:p>
        </w:tc>
        <w:tc>
          <w:tcPr>
            <w:tcW w:w="2392" w:type="dxa"/>
            <w:tcBorders>
              <w:top w:val="nil"/>
              <w:left w:val="nil"/>
              <w:bottom w:val="single" w:color="auto" w:sz="8" w:space="0"/>
              <w:right w:val="single" w:color="auto" w:sz="8" w:space="0"/>
            </w:tcBorders>
            <w:shd w:val="clear"/>
            <w:tcMar>
              <w:bottom w:w="0" w:type="dxa"/>
            </w:tcMar>
            <w:vAlign w:val="center"/>
          </w:tcPr>
          <w:p w14:paraId="0773D5EE">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保障全乡3个行政村基本运转经费的需要。</w:t>
            </w:r>
          </w:p>
        </w:tc>
        <w:tc>
          <w:tcPr>
            <w:tcW w:w="2394" w:type="dxa"/>
            <w:tcBorders>
              <w:top w:val="nil"/>
              <w:left w:val="nil"/>
              <w:bottom w:val="single" w:color="auto" w:sz="8" w:space="0"/>
              <w:right w:val="single" w:color="auto" w:sz="8" w:space="0"/>
            </w:tcBorders>
            <w:shd w:val="clear"/>
            <w:tcMar>
              <w:bottom w:w="0" w:type="dxa"/>
            </w:tcMar>
            <w:vAlign w:val="center"/>
          </w:tcPr>
          <w:p w14:paraId="5AB4F877">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保障全乡3个行政村基本运转经费的需要。</w:t>
            </w:r>
          </w:p>
        </w:tc>
        <w:tc>
          <w:tcPr>
            <w:tcW w:w="2392" w:type="dxa"/>
            <w:tcBorders>
              <w:top w:val="nil"/>
              <w:left w:val="nil"/>
              <w:bottom w:val="single" w:color="auto" w:sz="8" w:space="0"/>
              <w:right w:val="single" w:color="auto" w:sz="8" w:space="0"/>
            </w:tcBorders>
            <w:shd w:val="clear"/>
            <w:tcMar>
              <w:bottom w:w="0" w:type="dxa"/>
            </w:tcMar>
            <w:vAlign w:val="center"/>
          </w:tcPr>
          <w:p w14:paraId="4278198D">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保障全乡3个行政村基本运转经费的需要。</w:t>
            </w:r>
          </w:p>
        </w:tc>
      </w:tr>
      <w:tr w14:paraId="3E33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7"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3041B26A">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0C6DA6C3">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效益指标</w:t>
            </w:r>
          </w:p>
        </w:tc>
        <w:tc>
          <w:tcPr>
            <w:tcW w:w="1025" w:type="dxa"/>
            <w:tcBorders>
              <w:top w:val="nil"/>
              <w:left w:val="nil"/>
              <w:bottom w:val="single" w:color="auto" w:sz="8" w:space="0"/>
              <w:right w:val="single" w:color="auto" w:sz="8" w:space="0"/>
            </w:tcBorders>
            <w:shd w:val="clear"/>
            <w:tcMar>
              <w:bottom w:w="0" w:type="dxa"/>
            </w:tcMar>
            <w:vAlign w:val="center"/>
          </w:tcPr>
          <w:p w14:paraId="517FEAE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完成质量</w:t>
            </w:r>
          </w:p>
        </w:tc>
        <w:tc>
          <w:tcPr>
            <w:tcW w:w="2392" w:type="dxa"/>
            <w:tcBorders>
              <w:top w:val="nil"/>
              <w:left w:val="nil"/>
              <w:bottom w:val="single" w:color="auto" w:sz="8" w:space="0"/>
              <w:right w:val="single" w:color="auto" w:sz="8" w:space="0"/>
            </w:tcBorders>
            <w:shd w:val="clear"/>
            <w:tcMar>
              <w:bottom w:w="0" w:type="dxa"/>
            </w:tcMar>
            <w:vAlign w:val="center"/>
          </w:tcPr>
          <w:p w14:paraId="1F5D3855">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组织实施的项目符合上级相关政策，成熟度高、带动性强、有利于促进乡、村经济社会有序发展，农村公益事业日新月异。</w:t>
            </w:r>
          </w:p>
        </w:tc>
        <w:tc>
          <w:tcPr>
            <w:tcW w:w="2394" w:type="dxa"/>
            <w:tcBorders>
              <w:top w:val="nil"/>
              <w:left w:val="nil"/>
              <w:bottom w:val="single" w:color="auto" w:sz="8" w:space="0"/>
              <w:right w:val="single" w:color="auto" w:sz="8" w:space="0"/>
            </w:tcBorders>
            <w:shd w:val="clear"/>
            <w:tcMar>
              <w:bottom w:w="0" w:type="dxa"/>
            </w:tcMar>
            <w:vAlign w:val="center"/>
          </w:tcPr>
          <w:p w14:paraId="2EBCD837">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组织实施的项目符合上级相关政策，成熟度高、带动性强、有利于促进乡、村经济社会有序发展，农村公益事业日新月异。</w:t>
            </w:r>
          </w:p>
        </w:tc>
        <w:tc>
          <w:tcPr>
            <w:tcW w:w="2392" w:type="dxa"/>
            <w:tcBorders>
              <w:top w:val="nil"/>
              <w:left w:val="nil"/>
              <w:bottom w:val="single" w:color="auto" w:sz="8" w:space="0"/>
              <w:right w:val="single" w:color="auto" w:sz="8" w:space="0"/>
            </w:tcBorders>
            <w:shd w:val="clear"/>
            <w:tcMar>
              <w:bottom w:w="0" w:type="dxa"/>
            </w:tcMar>
            <w:vAlign w:val="center"/>
          </w:tcPr>
          <w:p w14:paraId="66BBD6E6">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组织实施的项目符合上级相关政策，成熟度高、带动性强、有利于促进乡、村经济社会有序发展，农村公益事业日新月异。</w:t>
            </w:r>
          </w:p>
        </w:tc>
      </w:tr>
      <w:tr w14:paraId="6AC1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7"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19D4B661">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0D9964ED">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w:t>
            </w:r>
          </w:p>
        </w:tc>
        <w:tc>
          <w:tcPr>
            <w:tcW w:w="1025" w:type="dxa"/>
            <w:tcBorders>
              <w:top w:val="nil"/>
              <w:left w:val="nil"/>
              <w:bottom w:val="single" w:color="auto" w:sz="8" w:space="0"/>
              <w:right w:val="single" w:color="auto" w:sz="8" w:space="0"/>
            </w:tcBorders>
            <w:shd w:val="clear"/>
            <w:tcMar>
              <w:bottom w:w="0" w:type="dxa"/>
            </w:tcMar>
            <w:vAlign w:val="center"/>
          </w:tcPr>
          <w:p w14:paraId="1B5870FB">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完成时效</w:t>
            </w:r>
          </w:p>
        </w:tc>
        <w:tc>
          <w:tcPr>
            <w:tcW w:w="2392" w:type="dxa"/>
            <w:tcBorders>
              <w:top w:val="nil"/>
              <w:left w:val="nil"/>
              <w:bottom w:val="single" w:color="auto" w:sz="8" w:space="0"/>
              <w:right w:val="single" w:color="auto" w:sz="8" w:space="0"/>
            </w:tcBorders>
            <w:shd w:val="clear"/>
            <w:tcMar>
              <w:bottom w:w="0" w:type="dxa"/>
            </w:tcMar>
            <w:vAlign w:val="center"/>
          </w:tcPr>
          <w:p w14:paraId="757FF675">
            <w:pPr>
              <w:pStyle w:val="4"/>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sz w:val="24"/>
                <w:szCs w:val="24"/>
              </w:rPr>
              <w:t>按照觉莫乡2019年工作计划，完成年内项目组织管理任务，做好各类项目执行的全过程监督管理工作，确保各类项目按计划有效</w:t>
            </w:r>
            <w:r>
              <w:rPr>
                <w:rFonts w:hint="eastAsia" w:ascii="宋体" w:hAnsi="宋体" w:eastAsia="宋体" w:cs="宋体"/>
                <w:sz w:val="24"/>
                <w:szCs w:val="24"/>
                <w:lang w:eastAsia="zh-CN"/>
              </w:rPr>
              <w:t>实施</w:t>
            </w:r>
          </w:p>
        </w:tc>
        <w:tc>
          <w:tcPr>
            <w:tcW w:w="2394" w:type="dxa"/>
            <w:tcBorders>
              <w:top w:val="nil"/>
              <w:left w:val="nil"/>
              <w:bottom w:val="single" w:color="auto" w:sz="8" w:space="0"/>
              <w:right w:val="single" w:color="auto" w:sz="8" w:space="0"/>
            </w:tcBorders>
            <w:shd w:val="clear"/>
            <w:tcMar>
              <w:bottom w:w="0" w:type="dxa"/>
            </w:tcMar>
            <w:vAlign w:val="center"/>
          </w:tcPr>
          <w:p w14:paraId="34C9D5AF">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按照觉莫乡2019年工作计划，完成年内项目组织管理任务，做好各类项目执行的全过程监督管理工作，确保各类项目按计划有效</w:t>
            </w:r>
            <w:r>
              <w:rPr>
                <w:rFonts w:hint="eastAsia" w:ascii="宋体" w:hAnsi="宋体" w:eastAsia="宋体" w:cs="宋体"/>
                <w:sz w:val="24"/>
                <w:szCs w:val="24"/>
                <w:lang w:eastAsia="zh-CN"/>
              </w:rPr>
              <w:t>实施</w:t>
            </w:r>
          </w:p>
        </w:tc>
        <w:tc>
          <w:tcPr>
            <w:tcW w:w="2392" w:type="dxa"/>
            <w:tcBorders>
              <w:top w:val="nil"/>
              <w:left w:val="nil"/>
              <w:bottom w:val="single" w:color="auto" w:sz="8" w:space="0"/>
              <w:right w:val="single" w:color="auto" w:sz="8" w:space="0"/>
            </w:tcBorders>
            <w:shd w:val="clear"/>
            <w:tcMar>
              <w:bottom w:w="0" w:type="dxa"/>
            </w:tcMar>
            <w:vAlign w:val="center"/>
          </w:tcPr>
          <w:p w14:paraId="25E5E2E9">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按照觉莫乡2019年工作计划，完成年内项目组织管理任务，做好各类项目执行的全过程监督管理工作，确保各类项目按</w:t>
            </w:r>
          </w:p>
        </w:tc>
      </w:tr>
      <w:tr w14:paraId="1ED7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jc w:val="center"/>
        </w:trPr>
        <w:tc>
          <w:tcPr>
            <w:tcW w:w="390" w:type="dxa"/>
            <w:vMerge w:val="continue"/>
            <w:tcBorders>
              <w:top w:val="nil"/>
              <w:left w:val="single" w:color="auto" w:sz="8" w:space="0"/>
              <w:bottom w:val="nil"/>
              <w:right w:val="single" w:color="auto" w:sz="8" w:space="0"/>
            </w:tcBorders>
            <w:shd w:val="clear"/>
            <w:tcMar>
              <w:bottom w:w="0" w:type="dxa"/>
            </w:tcMar>
            <w:vAlign w:val="center"/>
          </w:tcPr>
          <w:p w14:paraId="6D5084C3">
            <w:pPr>
              <w:rPr>
                <w:rFonts w:hint="eastAsia" w:ascii="宋体" w:hAnsi="宋体" w:eastAsia="宋体" w:cs="宋体"/>
                <w:sz w:val="18"/>
                <w:szCs w:val="18"/>
              </w:rPr>
            </w:pPr>
          </w:p>
        </w:tc>
        <w:tc>
          <w:tcPr>
            <w:tcW w:w="1367" w:type="dxa"/>
            <w:tcBorders>
              <w:top w:val="nil"/>
              <w:left w:val="nil"/>
              <w:bottom w:val="single" w:color="auto" w:sz="8" w:space="0"/>
              <w:right w:val="single" w:color="auto" w:sz="8" w:space="0"/>
            </w:tcBorders>
            <w:shd w:val="clear"/>
            <w:tcMar>
              <w:bottom w:w="0" w:type="dxa"/>
            </w:tcMar>
            <w:vAlign w:val="center"/>
          </w:tcPr>
          <w:p w14:paraId="7EF95BF1">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满意度指标</w:t>
            </w:r>
          </w:p>
        </w:tc>
        <w:tc>
          <w:tcPr>
            <w:tcW w:w="1025" w:type="dxa"/>
            <w:tcBorders>
              <w:top w:val="nil"/>
              <w:left w:val="nil"/>
              <w:bottom w:val="single" w:color="auto" w:sz="8" w:space="0"/>
              <w:right w:val="single" w:color="auto" w:sz="8" w:space="0"/>
            </w:tcBorders>
            <w:shd w:val="clear"/>
            <w:tcMar>
              <w:bottom w:w="0" w:type="dxa"/>
            </w:tcMar>
            <w:vAlign w:val="center"/>
          </w:tcPr>
          <w:p w14:paraId="2E1F21FE">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完成成本</w:t>
            </w:r>
          </w:p>
        </w:tc>
        <w:tc>
          <w:tcPr>
            <w:tcW w:w="2392" w:type="dxa"/>
            <w:tcBorders>
              <w:top w:val="nil"/>
              <w:left w:val="nil"/>
              <w:bottom w:val="single" w:color="auto" w:sz="8" w:space="0"/>
              <w:right w:val="single" w:color="auto" w:sz="8" w:space="0"/>
            </w:tcBorders>
            <w:shd w:val="clear"/>
            <w:tcMar>
              <w:bottom w:w="0" w:type="dxa"/>
            </w:tcMar>
            <w:vAlign w:val="center"/>
          </w:tcPr>
          <w:p w14:paraId="3E315187">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全年计划项目总成本24万元包含村级办公经费、村基础设施日常维护等。</w:t>
            </w:r>
          </w:p>
        </w:tc>
        <w:tc>
          <w:tcPr>
            <w:tcW w:w="2394" w:type="dxa"/>
            <w:tcBorders>
              <w:top w:val="nil"/>
              <w:left w:val="nil"/>
              <w:bottom w:val="single" w:color="auto" w:sz="8" w:space="0"/>
              <w:right w:val="single" w:color="auto" w:sz="8" w:space="0"/>
            </w:tcBorders>
            <w:shd w:val="clear"/>
            <w:tcMar>
              <w:bottom w:w="0" w:type="dxa"/>
            </w:tcMar>
            <w:vAlign w:val="center"/>
          </w:tcPr>
          <w:p w14:paraId="4D13D4F6">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全年计划项目总成本24万元包含村级办公经费、村基础设施日常维护等。</w:t>
            </w:r>
          </w:p>
        </w:tc>
        <w:tc>
          <w:tcPr>
            <w:tcW w:w="2392" w:type="dxa"/>
            <w:tcBorders>
              <w:top w:val="nil"/>
              <w:left w:val="nil"/>
              <w:bottom w:val="single" w:color="auto" w:sz="8" w:space="0"/>
              <w:right w:val="single" w:color="auto" w:sz="8" w:space="0"/>
            </w:tcBorders>
            <w:shd w:val="clear"/>
            <w:tcMar>
              <w:bottom w:w="0" w:type="dxa"/>
            </w:tcMar>
            <w:vAlign w:val="center"/>
          </w:tcPr>
          <w:p w14:paraId="71992B46">
            <w:pPr>
              <w:pStyle w:val="4"/>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sz w:val="24"/>
                <w:szCs w:val="24"/>
              </w:rPr>
              <w:t>全年计划项目总成本24万元包含村级办公经费、村基础设施日常维护等。</w:t>
            </w:r>
          </w:p>
        </w:tc>
      </w:tr>
    </w:tbl>
    <w:p w14:paraId="20834F6A">
      <w:pPr>
        <w:pStyle w:val="4"/>
        <w:keepNext w:val="0"/>
        <w:keepLines w:val="0"/>
        <w:widowControl/>
        <w:suppressLineNumbers w:val="0"/>
        <w:spacing w:before="0" w:beforeAutospacing="0" w:after="0" w:afterAutospacing="0" w:line="580" w:lineRule="atLeast"/>
        <w:ind w:left="630" w:right="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4B5E8A12">
      <w:pPr>
        <w:pStyle w:val="4"/>
        <w:keepNext w:val="0"/>
        <w:keepLines w:val="0"/>
        <w:widowControl/>
        <w:suppressLineNumbers w:val="0"/>
        <w:spacing w:before="0" w:beforeAutospacing="0" w:after="0" w:afterAutospacing="0" w:line="580" w:lineRule="atLeast"/>
        <w:ind w:left="630" w:right="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00F6B7ED">
      <w:pPr>
        <w:pStyle w:val="4"/>
        <w:keepNext w:val="0"/>
        <w:keepLines w:val="0"/>
        <w:widowControl/>
        <w:suppressLineNumbers w:val="0"/>
        <w:spacing w:before="0" w:beforeAutospacing="0" w:after="0" w:afterAutospacing="0" w:line="580" w:lineRule="atLeast"/>
        <w:ind w:left="630" w:right="0"/>
        <w:jc w:val="both"/>
        <w:rPr>
          <w:rFonts w:hint="default" w:ascii="Times New Roman" w:hAnsi="Times New Roman" w:cs="Times New Roman"/>
          <w:sz w:val="21"/>
          <w:szCs w:val="21"/>
        </w:rPr>
      </w:pPr>
      <w:r>
        <w:rPr>
          <w:rFonts w:hint="eastAsia" w:ascii="楷体_GB2312" w:hAnsi="Times New Roman" w:eastAsia="楷体_GB2312" w:cs="楷体_GB2312"/>
          <w:sz w:val="32"/>
          <w:szCs w:val="32"/>
        </w:rPr>
        <w:t>2.部门绩效评价结果。</w:t>
      </w:r>
    </w:p>
    <w:p w14:paraId="5125C5D3">
      <w:pPr>
        <w:pStyle w:val="4"/>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本部门按要求对2019年部门整体支出绩效评价情况开展自评，《</w:t>
      </w:r>
      <w:r>
        <w:rPr>
          <w:rFonts w:hint="eastAsia" w:ascii="仿宋_GB2312" w:hAnsi="Times New Roman" w:eastAsia="仿宋_GB2312" w:cs="仿宋_GB2312"/>
          <w:b w:val="0"/>
          <w:bCs w:val="0"/>
          <w:i w:val="0"/>
          <w:iCs w:val="0"/>
          <w:caps w:val="0"/>
          <w:spacing w:val="0"/>
          <w:sz w:val="32"/>
          <w:szCs w:val="32"/>
          <w:shd w:val="clear" w:fill="FFFFFF"/>
        </w:rPr>
        <w:t>峨边彝族自治县觉莫乡人民政府2019年部门整体支出绩效评价报告</w:t>
      </w:r>
      <w:r>
        <w:rPr>
          <w:rFonts w:hint="eastAsia" w:ascii="仿宋_GB2312" w:hAnsi="Times New Roman" w:eastAsia="仿宋_GB2312" w:cs="仿宋_GB2312"/>
          <w:sz w:val="32"/>
          <w:szCs w:val="32"/>
        </w:rPr>
        <w:t>》见附件（附件1）。</w:t>
      </w:r>
    </w:p>
    <w:p w14:paraId="238BBEAA">
      <w:pPr>
        <w:pStyle w:val="4"/>
        <w:keepNext w:val="0"/>
        <w:keepLines w:val="0"/>
        <w:widowControl/>
        <w:suppressLineNumbers w:val="0"/>
        <w:spacing w:before="0" w:beforeAutospacing="0" w:after="0" w:afterAutospacing="0"/>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sz w:val="32"/>
          <w:szCs w:val="32"/>
        </w:rPr>
        <w:t>本部门自行组织对农村公共服务运行维护费项目开展了绩效评价，《农村公共服务运行维护费项目2019年绩效评价报告》见附件（附件2）。</w:t>
      </w:r>
    </w:p>
    <w:p w14:paraId="49864382">
      <w:pPr>
        <w:pStyle w:val="4"/>
        <w:keepNext w:val="0"/>
        <w:keepLines w:val="0"/>
        <w:widowControl/>
        <w:suppressLineNumbers w:val="0"/>
        <w:spacing w:before="240" w:beforeAutospacing="0" w:after="60" w:afterAutospacing="0"/>
        <w:jc w:val="center"/>
        <w:rPr>
          <w:rFonts w:hint="default" w:ascii="Arial" w:hAnsi="Arial" w:cs="Arial"/>
          <w:b/>
          <w:bCs/>
          <w:sz w:val="32"/>
          <w:szCs w:val="32"/>
        </w:rPr>
      </w:pPr>
      <w:r>
        <w:rPr>
          <w:rFonts w:hint="default" w:ascii="Arial" w:hAnsi="Arial" w:eastAsia="宋体" w:cs="Arial"/>
          <w:b/>
          <w:bCs/>
          <w:sz w:val="32"/>
          <w:szCs w:val="32"/>
          <w:bdr w:val="none" w:color="auto" w:sz="0" w:space="0"/>
        </w:rPr>
        <w:t> </w:t>
      </w:r>
    </w:p>
    <w:p w14:paraId="0C88C2BD">
      <w:pPr>
        <w:pStyle w:val="4"/>
        <w:keepNext w:val="0"/>
        <w:keepLines w:val="0"/>
        <w:widowControl/>
        <w:suppressLineNumbers w:val="0"/>
        <w:spacing w:before="0" w:beforeAutospacing="0" w:after="0" w:afterAutospacing="0" w:line="600" w:lineRule="atLeast"/>
        <w:ind w:left="0" w:right="0" w:firstLine="660"/>
        <w:jc w:val="center"/>
        <w:rPr>
          <w:rFonts w:hint="default" w:ascii="Times New Roman" w:hAnsi="Times New Roman" w:cs="Times New Roman"/>
          <w:sz w:val="21"/>
          <w:szCs w:val="21"/>
        </w:rPr>
      </w:pPr>
      <w:r>
        <w:rPr>
          <w:rFonts w:hint="eastAsia" w:ascii="黑体" w:hAnsi="宋体" w:eastAsia="黑体" w:cs="黑体"/>
          <w:sz w:val="44"/>
          <w:szCs w:val="44"/>
        </w:rPr>
        <w:t>第三部分 名</w:t>
      </w:r>
      <w:r>
        <w:rPr>
          <w:rFonts w:hint="eastAsia" w:ascii="黑体" w:hAnsi="宋体" w:eastAsia="黑体" w:cs="黑体"/>
          <w:b w:val="0"/>
          <w:bCs w:val="0"/>
          <w:sz w:val="44"/>
          <w:szCs w:val="44"/>
        </w:rPr>
        <w:t>词解释</w:t>
      </w:r>
    </w:p>
    <w:p w14:paraId="0E4EC820">
      <w:pPr>
        <w:pStyle w:val="4"/>
        <w:keepNext w:val="0"/>
        <w:keepLines w:val="0"/>
        <w:widowControl/>
        <w:suppressLineNumbers w:val="0"/>
        <w:spacing w:before="0" w:beforeAutospacing="0" w:after="0" w:afterAutospacing="0" w:line="600" w:lineRule="atLeast"/>
        <w:ind w:left="0" w:right="0"/>
        <w:jc w:val="left"/>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3A8B9E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1.财政拨款收入：指单位从同级财政部门取得的财政预算资金。</w:t>
      </w:r>
    </w:p>
    <w:p w14:paraId="40D364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2.事业收入：指事业单位开展专业业务活动及辅助活动取得的收入。</w:t>
      </w:r>
    </w:p>
    <w:p w14:paraId="7FF5DA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3.经营收入：指事业单位在专业业务活动及其辅助活动之外开展非独立核算经营活动取得的收入。</w:t>
      </w:r>
    </w:p>
    <w:p w14:paraId="5068B5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4.其他收入：指单位取得的除上述收入以外的各项收入。</w:t>
      </w:r>
      <w:r>
        <w:rPr>
          <w:rFonts w:hint="eastAsia" w:ascii="仿宋_GB2312" w:hAnsi="Times New Roman" w:eastAsia="仿宋_GB2312" w:cs="仿宋_GB2312"/>
          <w:i w:val="0"/>
          <w:iCs w:val="0"/>
          <w:caps w:val="0"/>
          <w:spacing w:val="0"/>
          <w:sz w:val="32"/>
          <w:szCs w:val="32"/>
          <w:bdr w:val="none" w:color="auto" w:sz="0" w:space="0"/>
          <w:shd w:val="clear" w:fill="FFFFFF"/>
        </w:rPr>
        <w:t> </w:t>
      </w:r>
    </w:p>
    <w:p w14:paraId="4B7D7A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hAnsi="Times New Roman" w:eastAsia="仿宋_GB2312" w:cs="仿宋_GB2312"/>
          <w:i w:val="0"/>
          <w:iCs w:val="0"/>
          <w:caps w:val="0"/>
          <w:spacing w:val="0"/>
          <w:sz w:val="32"/>
          <w:szCs w:val="32"/>
          <w:bdr w:val="none" w:color="auto" w:sz="0" w:space="0"/>
          <w:shd w:val="clear" w:fill="FFFFFF"/>
        </w:rPr>
        <w:t> </w:t>
      </w:r>
    </w:p>
    <w:p w14:paraId="592C0D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6.年初结转和结余：指以前年度尚未完成、结转到本年按有关规定继续使用的资金。</w:t>
      </w:r>
      <w:r>
        <w:rPr>
          <w:rFonts w:hint="eastAsia" w:ascii="仿宋_GB2312" w:hAnsi="Times New Roman" w:eastAsia="仿宋_GB2312" w:cs="仿宋_GB2312"/>
          <w:i w:val="0"/>
          <w:iCs w:val="0"/>
          <w:caps w:val="0"/>
          <w:spacing w:val="0"/>
          <w:sz w:val="32"/>
          <w:szCs w:val="32"/>
          <w:bdr w:val="none" w:color="auto" w:sz="0" w:space="0"/>
          <w:shd w:val="clear" w:fill="FFFFFF"/>
        </w:rPr>
        <w:t> </w:t>
      </w:r>
    </w:p>
    <w:p w14:paraId="0CD86D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7.结余分配：指事业单位按照事业单位会计制度的规定从非财政补助结余中分配的事业基金和职工福利基金等。</w:t>
      </w:r>
    </w:p>
    <w:p w14:paraId="08FC4C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8、年末结转和结余：指单位按有关规定结转到下年或以后年度继续使用的资金。</w:t>
      </w:r>
    </w:p>
    <w:p w14:paraId="0E8CB3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9.一般公共服务支出（类）政府办公厅（室）及相关机构事务（款）行政运行（项）：反映行政单位（包括实行公务员管理的事业单位）的基本支出；</w:t>
      </w:r>
    </w:p>
    <w:p w14:paraId="4FAEC7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10.一般公共服务支出（类）政府办公厅（室）及相关机构事务（款）一般行政管理事务（项）：反映行政单位（包括实行公务员管理的事业单位）未单独设置项级科目的其他项目支出；</w:t>
      </w:r>
    </w:p>
    <w:p w14:paraId="0C21A2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11.一般公共服务支出（类）政府办公厅（室）及相关机构事务（款）信访事务（项）：反映各级政府接待群众来信来访方面的支出；</w:t>
      </w:r>
    </w:p>
    <w:p w14:paraId="171433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12.一般公共服务支出（类）政府办公厅（室）及相关机构事务（款）事业运行（项）：反映事业单位的基本支出，不包括行政单位包括实行公务员管理的事业单位）后勤服务中心、医务室等附属事业单位；</w:t>
      </w:r>
    </w:p>
    <w:p w14:paraId="0F177D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13.一般公共服务支出（类）民族事务（款）民族工作（项）：反映用于民族事务管理方面的专项支出；</w:t>
      </w:r>
    </w:p>
    <w:p w14:paraId="4020C1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14.农林水支出（类）扶贫（款）其他扶贫支出（项）：反映除上述项目以外其他用于扶贫方面的支出；</w:t>
      </w:r>
    </w:p>
    <w:p w14:paraId="6ABA72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15.农林水支出（类）农村综合改革（款）对村民委员会和村党支部的补助（项）：反映各级财政对村民委员会和村党支部的补助支出，以及支持建立县级基本财力保障机制安排的村级组织运转奖补资金；</w:t>
      </w:r>
    </w:p>
    <w:p w14:paraId="32F571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16.农林水支出（类）农村综合改革（款）农村综合改革示范试点补助（项）：反映各级财政对农村综合改革示范点、新型农业社会化服务体系建设等补助支出。</w:t>
      </w:r>
    </w:p>
    <w:p w14:paraId="217EC1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17.社会保障和就业类支出（类）行政</w:t>
      </w:r>
      <w:r>
        <w:rPr>
          <w:rFonts w:ascii="Calibri" w:hAnsi="Calibri" w:eastAsia="宋体" w:cs="Calibri"/>
          <w:i w:val="0"/>
          <w:iCs w:val="0"/>
          <w:caps w:val="0"/>
          <w:spacing w:val="0"/>
          <w:sz w:val="32"/>
          <w:szCs w:val="32"/>
          <w:bdr w:val="none" w:color="auto" w:sz="0" w:space="0"/>
          <w:shd w:val="clear" w:fill="FFFFFF"/>
        </w:rPr>
        <w:t> </w:t>
      </w:r>
      <w:r>
        <w:rPr>
          <w:rFonts w:hint="eastAsia" w:ascii="仿宋_GB2312" w:hAnsi="Times New Roman" w:eastAsia="仿宋_GB2312" w:cs="仿宋_GB2312"/>
          <w:b w:val="0"/>
          <w:bCs w:val="0"/>
          <w:i w:val="0"/>
          <w:iCs w:val="0"/>
          <w:caps w:val="0"/>
          <w:spacing w:val="0"/>
          <w:sz w:val="32"/>
          <w:szCs w:val="32"/>
          <w:bdr w:val="none" w:color="auto" w:sz="0" w:space="0"/>
          <w:shd w:val="clear" w:fill="FFFFFF"/>
        </w:rPr>
        <w:t>事业单位离退休</w:t>
      </w:r>
      <w:r>
        <w:rPr>
          <w:rFonts w:hint="default" w:ascii="Calibri" w:hAnsi="Calibri" w:eastAsia="宋体" w:cs="Calibri"/>
          <w:i w:val="0"/>
          <w:iCs w:val="0"/>
          <w:caps w:val="0"/>
          <w:spacing w:val="0"/>
          <w:sz w:val="32"/>
          <w:szCs w:val="32"/>
          <w:bdr w:val="none" w:color="auto" w:sz="0" w:space="0"/>
          <w:shd w:val="clear" w:fill="FFFFFF"/>
        </w:rPr>
        <w:t> </w:t>
      </w:r>
      <w:r>
        <w:rPr>
          <w:rFonts w:hint="eastAsia" w:ascii="仿宋_GB2312" w:hAnsi="Times New Roman" w:eastAsia="仿宋_GB2312" w:cs="仿宋_GB2312"/>
          <w:b w:val="0"/>
          <w:bCs w:val="0"/>
          <w:i w:val="0"/>
          <w:iCs w:val="0"/>
          <w:caps w:val="0"/>
          <w:spacing w:val="0"/>
          <w:sz w:val="32"/>
          <w:szCs w:val="32"/>
          <w:bdr w:val="none" w:color="auto" w:sz="0" w:space="0"/>
          <w:shd w:val="clear" w:fill="FFFFFF"/>
        </w:rPr>
        <w:t>（款）机关事业单位职业年金缴费（项）：</w:t>
      </w:r>
      <w:r>
        <w:rPr>
          <w:rFonts w:hint="default" w:ascii="Calibri" w:hAnsi="Calibri" w:eastAsia="宋体" w:cs="Calibri"/>
          <w:i w:val="0"/>
          <w:iCs w:val="0"/>
          <w:caps w:val="0"/>
          <w:spacing w:val="0"/>
          <w:sz w:val="32"/>
          <w:szCs w:val="32"/>
          <w:bdr w:val="none" w:color="auto" w:sz="0" w:space="0"/>
          <w:shd w:val="clear" w:fill="FFFFFF"/>
        </w:rPr>
        <w:t> </w:t>
      </w:r>
      <w:r>
        <w:rPr>
          <w:rFonts w:hint="eastAsia" w:ascii="仿宋_GB2312" w:hAnsi="Times New Roman" w:eastAsia="仿宋_GB2312" w:cs="仿宋_GB2312"/>
          <w:b w:val="0"/>
          <w:bCs w:val="0"/>
          <w:i w:val="0"/>
          <w:iCs w:val="0"/>
          <w:caps w:val="0"/>
          <w:spacing w:val="0"/>
          <w:sz w:val="32"/>
          <w:szCs w:val="32"/>
          <w:bdr w:val="none" w:color="auto" w:sz="0" w:space="0"/>
          <w:shd w:val="clear" w:fill="FFFFFF"/>
        </w:rPr>
        <w:t>指机关事业单位实施养老保险制度由单位实际缴纳的职业年金支出</w:t>
      </w:r>
      <w:r>
        <w:rPr>
          <w:rFonts w:hint="eastAsia" w:ascii="仿宋_GB2312" w:hAnsi="Times New Roman" w:eastAsia="仿宋_GB2312" w:cs="仿宋_GB2312"/>
          <w:i w:val="0"/>
          <w:iCs w:val="0"/>
          <w:caps w:val="0"/>
          <w:spacing w:val="0"/>
          <w:sz w:val="32"/>
          <w:szCs w:val="32"/>
          <w:bdr w:val="none" w:color="auto" w:sz="0" w:space="0"/>
          <w:shd w:val="clear" w:fill="FFFFFF"/>
        </w:rPr>
        <w:t> </w:t>
      </w:r>
      <w:r>
        <w:rPr>
          <w:rFonts w:hint="eastAsia" w:ascii="仿宋_GB2312" w:hAnsi="Times New Roman" w:eastAsia="仿宋_GB2312" w:cs="仿宋_GB2312"/>
          <w:b w:val="0"/>
          <w:bCs w:val="0"/>
          <w:i w:val="0"/>
          <w:iCs w:val="0"/>
          <w:caps w:val="0"/>
          <w:spacing w:val="0"/>
          <w:sz w:val="32"/>
          <w:szCs w:val="32"/>
          <w:bdr w:val="none" w:color="auto" w:sz="0" w:space="0"/>
          <w:shd w:val="clear" w:fill="FFFFFF"/>
        </w:rPr>
        <w:t>；</w:t>
      </w:r>
    </w:p>
    <w:p w14:paraId="1DE091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18.社会保障和就业类支出（类）行政事业单位离退休</w:t>
      </w:r>
      <w:r>
        <w:rPr>
          <w:rFonts w:hint="default" w:ascii="Calibri" w:hAnsi="Calibri" w:eastAsia="宋体" w:cs="Calibri"/>
          <w:i w:val="0"/>
          <w:iCs w:val="0"/>
          <w:caps w:val="0"/>
          <w:spacing w:val="0"/>
          <w:sz w:val="32"/>
          <w:szCs w:val="32"/>
          <w:bdr w:val="none" w:color="auto" w:sz="0" w:space="0"/>
          <w:shd w:val="clear" w:fill="FFFFFF"/>
        </w:rPr>
        <w:t> </w:t>
      </w:r>
      <w:r>
        <w:rPr>
          <w:rFonts w:hint="eastAsia" w:ascii="仿宋_GB2312" w:hAnsi="Times New Roman" w:eastAsia="仿宋_GB2312" w:cs="仿宋_GB2312"/>
          <w:b w:val="0"/>
          <w:bCs w:val="0"/>
          <w:i w:val="0"/>
          <w:iCs w:val="0"/>
          <w:caps w:val="0"/>
          <w:spacing w:val="0"/>
          <w:sz w:val="32"/>
          <w:szCs w:val="32"/>
          <w:bdr w:val="none" w:color="auto" w:sz="0" w:space="0"/>
          <w:shd w:val="clear" w:fill="FFFFFF"/>
        </w:rPr>
        <w:t>（款）机关事业单位基本养老保险缴费（项）：反映机关事业单位实施养老保险制度由单位缴纳的基本养老保险费支出。</w:t>
      </w:r>
    </w:p>
    <w:p w14:paraId="7C453A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19.</w:t>
      </w:r>
      <w:r>
        <w:rPr>
          <w:rFonts w:hint="default" w:ascii="Calibri" w:hAnsi="Calibri" w:eastAsia="宋体" w:cs="Calibri"/>
          <w:i w:val="0"/>
          <w:iCs w:val="0"/>
          <w:caps w:val="0"/>
          <w:spacing w:val="0"/>
          <w:sz w:val="32"/>
          <w:szCs w:val="32"/>
          <w:bdr w:val="none" w:color="auto" w:sz="0" w:space="0"/>
          <w:shd w:val="clear" w:fill="FFFFFF"/>
        </w:rPr>
        <w:t> </w:t>
      </w:r>
      <w:r>
        <w:rPr>
          <w:rFonts w:hint="eastAsia" w:ascii="仿宋_GB2312" w:hAnsi="Times New Roman" w:eastAsia="仿宋_GB2312" w:cs="仿宋_GB2312"/>
          <w:b w:val="0"/>
          <w:bCs w:val="0"/>
          <w:i w:val="0"/>
          <w:iCs w:val="0"/>
          <w:caps w:val="0"/>
          <w:spacing w:val="0"/>
          <w:sz w:val="32"/>
          <w:szCs w:val="32"/>
          <w:bdr w:val="none" w:color="auto" w:sz="0" w:space="0"/>
          <w:shd w:val="clear" w:fill="FFFFFF"/>
        </w:rPr>
        <w:t>医疗卫生与计划生育支出（类）行政事业单位医疗（款）行政单位医疗（项）：反映财政部门集中安排的行政单位基本医疗保险缴费经费，未参加医疗保险的行政单位的公费医疗经费，按国家规定享受离休人员、红军老战士待遇人员的医疗经费。</w:t>
      </w:r>
    </w:p>
    <w:p w14:paraId="036F5E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20.</w:t>
      </w:r>
      <w:r>
        <w:rPr>
          <w:rFonts w:hint="default" w:ascii="Calibri" w:hAnsi="Calibri" w:eastAsia="宋体" w:cs="Calibri"/>
          <w:i w:val="0"/>
          <w:iCs w:val="0"/>
          <w:caps w:val="0"/>
          <w:spacing w:val="0"/>
          <w:sz w:val="32"/>
          <w:szCs w:val="32"/>
          <w:bdr w:val="none" w:color="auto" w:sz="0" w:space="0"/>
          <w:shd w:val="clear" w:fill="FFFFFF"/>
        </w:rPr>
        <w:t> </w:t>
      </w:r>
      <w:r>
        <w:rPr>
          <w:rFonts w:hint="eastAsia" w:ascii="仿宋_GB2312" w:hAnsi="Times New Roman" w:eastAsia="仿宋_GB2312" w:cs="仿宋_GB2312"/>
          <w:b w:val="0"/>
          <w:bCs w:val="0"/>
          <w:i w:val="0"/>
          <w:iCs w:val="0"/>
          <w:caps w:val="0"/>
          <w:spacing w:val="0"/>
          <w:sz w:val="32"/>
          <w:szCs w:val="32"/>
          <w:bdr w:val="none" w:color="auto" w:sz="0" w:space="0"/>
          <w:shd w:val="clear" w:fill="FFFFFF"/>
        </w:rPr>
        <w:t>住房保障支出（类）住房改革支出（款）住房公积金（项）：反映行政事业单位按人力资源和社会保障部、财政部规定的基本工资和津贴补助以及规定比例为职工缴纳的住房公积金。</w:t>
      </w:r>
    </w:p>
    <w:p w14:paraId="6B768D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21.</w:t>
      </w:r>
      <w:r>
        <w:rPr>
          <w:rFonts w:hint="default" w:ascii="Calibri" w:hAnsi="Calibri" w:eastAsia="宋体" w:cs="Calibri"/>
          <w:i w:val="0"/>
          <w:iCs w:val="0"/>
          <w:caps w:val="0"/>
          <w:spacing w:val="0"/>
          <w:sz w:val="32"/>
          <w:szCs w:val="32"/>
          <w:bdr w:val="none" w:color="auto" w:sz="0" w:space="0"/>
          <w:shd w:val="clear" w:fill="FFFFFF"/>
        </w:rPr>
        <w:t> </w:t>
      </w:r>
      <w:r>
        <w:rPr>
          <w:rFonts w:hint="eastAsia" w:ascii="仿宋_GB2312" w:hAnsi="Times New Roman" w:eastAsia="仿宋_GB2312" w:cs="仿宋_GB2312"/>
          <w:b w:val="0"/>
          <w:bCs w:val="0"/>
          <w:i w:val="0"/>
          <w:iCs w:val="0"/>
          <w:caps w:val="0"/>
          <w:spacing w:val="0"/>
          <w:sz w:val="32"/>
          <w:szCs w:val="32"/>
          <w:bdr w:val="none" w:color="auto" w:sz="0" w:space="0"/>
          <w:shd w:val="clear" w:fill="FFFFFF"/>
        </w:rPr>
        <w:t>其他支出（类）其他支出（款）其他支出（项）：反映除上述项目以外其他不能划分到具体功能科目中的支出项目。</w:t>
      </w:r>
    </w:p>
    <w:p w14:paraId="386AE9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eastAsia" w:ascii="仿宋" w:hAnsi="仿宋" w:eastAsia="仿宋" w:cs="仿宋"/>
          <w:b/>
          <w:bCs/>
          <w:i w:val="0"/>
          <w:iCs w:val="0"/>
          <w:caps w:val="0"/>
          <w:spacing w:val="0"/>
          <w:sz w:val="32"/>
          <w:szCs w:val="32"/>
          <w:bdr w:val="none" w:color="auto" w:sz="0" w:space="0"/>
          <w:shd w:val="clear" w:fill="FFFFFF"/>
        </w:rPr>
        <w:t> </w:t>
      </w:r>
      <w:r>
        <w:rPr>
          <w:rFonts w:hint="eastAsia" w:ascii="仿宋_GB2312" w:hAnsi="Times New Roman" w:eastAsia="仿宋_GB2312" w:cs="仿宋_GB2312"/>
          <w:b w:val="0"/>
          <w:bCs w:val="0"/>
          <w:i w:val="0"/>
          <w:iCs w:val="0"/>
          <w:caps w:val="0"/>
          <w:spacing w:val="0"/>
          <w:sz w:val="32"/>
          <w:szCs w:val="32"/>
          <w:bdr w:val="none" w:color="auto" w:sz="0" w:space="0"/>
          <w:shd w:val="clear" w:fill="FFFFFF"/>
        </w:rPr>
        <w:t>22.基本支出：指为保障机构正常运转、完成日常工作任务而发生的人员支出和公用支出。</w:t>
      </w:r>
    </w:p>
    <w:p w14:paraId="1600C4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23.项目支出：指在基本支出之外为完成特定行政任务和事业发展目标所发生的支出。</w:t>
      </w:r>
      <w:r>
        <w:rPr>
          <w:rFonts w:hint="eastAsia" w:ascii="仿宋_GB2312" w:hAnsi="Times New Roman" w:eastAsia="仿宋_GB2312" w:cs="仿宋_GB2312"/>
          <w:i w:val="0"/>
          <w:iCs w:val="0"/>
          <w:caps w:val="0"/>
          <w:spacing w:val="0"/>
          <w:sz w:val="32"/>
          <w:szCs w:val="32"/>
          <w:bdr w:val="none" w:color="auto" w:sz="0" w:space="0"/>
          <w:shd w:val="clear" w:fill="FFFFFF"/>
        </w:rPr>
        <w:t> </w:t>
      </w:r>
    </w:p>
    <w:p w14:paraId="7A1B68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C77A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eastAsia" w:ascii="仿宋_GB2312" w:hAnsi="Times New Roman" w:eastAsia="仿宋_GB2312" w:cs="仿宋_GB2312"/>
          <w:b w:val="0"/>
          <w:bCs w:val="0"/>
          <w:i w:val="0"/>
          <w:iCs w:val="0"/>
          <w:caps w:val="0"/>
          <w:spacing w:val="0"/>
          <w:sz w:val="32"/>
          <w:szCs w:val="32"/>
          <w:bdr w:val="none" w:color="auto" w:sz="0" w:space="0"/>
          <w:shd w:val="clear" w:fill="FFFFFF"/>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FF4D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default" w:ascii="Times New Roman" w:hAnsi="Times New Roman" w:eastAsia="宋体" w:cs="Times New Roman"/>
          <w:sz w:val="24"/>
          <w:szCs w:val="24"/>
          <w:bdr w:val="none" w:color="auto" w:sz="0" w:space="0"/>
        </w:rPr>
        <w:t> </w:t>
      </w:r>
    </w:p>
    <w:p w14:paraId="435AB1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default" w:ascii="Times New Roman" w:hAnsi="Times New Roman" w:eastAsia="宋体" w:cs="Times New Roman"/>
          <w:sz w:val="24"/>
          <w:szCs w:val="24"/>
          <w:bdr w:val="none" w:color="auto" w:sz="0" w:space="0"/>
        </w:rPr>
        <w:t> </w:t>
      </w:r>
    </w:p>
    <w:p w14:paraId="27CC70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default" w:ascii="Times New Roman" w:hAnsi="Times New Roman" w:eastAsia="宋体" w:cs="Times New Roman"/>
          <w:sz w:val="24"/>
          <w:szCs w:val="24"/>
          <w:bdr w:val="none" w:color="auto" w:sz="0" w:space="0"/>
        </w:rPr>
        <w:t> </w:t>
      </w:r>
    </w:p>
    <w:p w14:paraId="34D3F9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default" w:ascii="Times New Roman" w:hAnsi="Times New Roman" w:eastAsia="宋体" w:cs="Times New Roman"/>
          <w:sz w:val="24"/>
          <w:szCs w:val="24"/>
          <w:bdr w:val="none" w:color="auto" w:sz="0" w:space="0"/>
        </w:rPr>
        <w:t> </w:t>
      </w:r>
    </w:p>
    <w:p w14:paraId="55ADC7B9">
      <w:pPr>
        <w:pStyle w:val="4"/>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1"/>
          <w:szCs w:val="21"/>
        </w:rPr>
      </w:pPr>
      <w:r>
        <w:rPr>
          <w:rFonts w:hint="eastAsia" w:ascii="黑体" w:hAnsi="宋体" w:eastAsia="黑体" w:cs="黑体"/>
          <w:sz w:val="44"/>
          <w:szCs w:val="44"/>
        </w:rPr>
        <w:t>第</w:t>
      </w:r>
      <w:r>
        <w:rPr>
          <w:rFonts w:hint="eastAsia" w:ascii="黑体" w:hAnsi="宋体" w:eastAsia="黑体" w:cs="黑体"/>
          <w:b w:val="0"/>
          <w:bCs w:val="0"/>
          <w:sz w:val="44"/>
          <w:szCs w:val="44"/>
        </w:rPr>
        <w:t>四部分 附件</w:t>
      </w:r>
    </w:p>
    <w:p w14:paraId="3491C1C2">
      <w:pPr>
        <w:pStyle w:val="4"/>
        <w:keepNext w:val="0"/>
        <w:keepLines w:val="0"/>
        <w:widowControl/>
        <w:suppressLineNumbers w:val="0"/>
        <w:spacing w:before="0" w:beforeAutospacing="0" w:after="0" w:afterAutospacing="0" w:line="600" w:lineRule="atLeast"/>
        <w:ind w:left="0" w:right="0"/>
        <w:jc w:val="left"/>
        <w:rPr>
          <w:rFonts w:hint="default" w:ascii="Times New Roman" w:hAnsi="Times New Roman" w:cs="Times New Roman"/>
          <w:sz w:val="21"/>
          <w:szCs w:val="21"/>
        </w:rPr>
      </w:pPr>
      <w:r>
        <w:rPr>
          <w:rFonts w:hint="eastAsia" w:ascii="黑体" w:hAnsi="宋体" w:eastAsia="黑体" w:cs="黑体"/>
          <w:sz w:val="32"/>
          <w:szCs w:val="32"/>
        </w:rPr>
        <w:t>附件1</w:t>
      </w:r>
    </w:p>
    <w:p w14:paraId="2278C2B6">
      <w:pPr>
        <w:pStyle w:val="4"/>
        <w:keepNext w:val="0"/>
        <w:keepLines w:val="0"/>
        <w:widowControl/>
        <w:suppressLineNumbers w:val="0"/>
        <w:spacing w:before="0" w:beforeAutospacing="0" w:after="0" w:afterAutospacing="0" w:line="58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59EE98EE">
      <w:pPr>
        <w:pStyle w:val="4"/>
        <w:keepNext w:val="0"/>
        <w:keepLines w:val="0"/>
        <w:widowControl/>
        <w:suppressLineNumbers w:val="0"/>
        <w:spacing w:before="0" w:beforeAutospacing="0" w:after="0" w:afterAutospacing="0" w:line="580" w:lineRule="atLeast"/>
        <w:ind w:left="0" w:right="0"/>
        <w:jc w:val="center"/>
        <w:rPr>
          <w:rFonts w:hint="default" w:ascii="Times New Roman" w:hAnsi="Times New Roman" w:cs="Times New Roman"/>
          <w:sz w:val="21"/>
          <w:szCs w:val="21"/>
        </w:rPr>
      </w:pPr>
      <w:r>
        <w:rPr>
          <w:rFonts w:hint="eastAsia" w:ascii="宋体" w:hAnsi="宋体" w:eastAsia="宋体" w:cs="宋体"/>
          <w:b/>
          <w:bCs/>
          <w:sz w:val="44"/>
          <w:szCs w:val="44"/>
          <w:shd w:val="clear" w:fill="FFFFFF"/>
        </w:rPr>
        <w:t>2019年度部门整体支出绩效评价</w:t>
      </w:r>
    </w:p>
    <w:p w14:paraId="65DFA716">
      <w:pPr>
        <w:pStyle w:val="4"/>
        <w:keepNext w:val="0"/>
        <w:keepLines w:val="0"/>
        <w:widowControl/>
        <w:suppressLineNumbers w:val="0"/>
        <w:spacing w:before="0" w:beforeAutospacing="0" w:after="0" w:afterAutospacing="0" w:line="580" w:lineRule="atLeast"/>
        <w:ind w:left="0" w:right="0"/>
        <w:jc w:val="center"/>
        <w:rPr>
          <w:rFonts w:hint="default" w:ascii="Times New Roman" w:hAnsi="Times New Roman" w:cs="Times New Roman"/>
          <w:sz w:val="21"/>
          <w:szCs w:val="21"/>
        </w:rPr>
      </w:pPr>
      <w:r>
        <w:rPr>
          <w:rFonts w:hint="eastAsia" w:ascii="宋体" w:hAnsi="宋体" w:eastAsia="宋体" w:cs="宋体"/>
          <w:b/>
          <w:bCs/>
          <w:sz w:val="44"/>
          <w:szCs w:val="44"/>
          <w:shd w:val="clear" w:fill="FFFFFF"/>
        </w:rPr>
        <w:t>报告</w:t>
      </w:r>
    </w:p>
    <w:p w14:paraId="12974C94">
      <w:pPr>
        <w:pStyle w:val="4"/>
        <w:keepNext w:val="0"/>
        <w:keepLines w:val="0"/>
        <w:widowControl/>
        <w:suppressLineNumbers w:val="0"/>
        <w:spacing w:before="0" w:beforeAutospacing="0" w:after="0" w:afterAutospacing="0" w:line="580" w:lineRule="atLeast"/>
        <w:ind w:left="0" w:right="0" w:firstLine="480"/>
        <w:jc w:val="left"/>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7BFDD691">
      <w:pPr>
        <w:pStyle w:val="4"/>
        <w:keepNext w:val="0"/>
        <w:keepLines w:val="0"/>
        <w:widowControl/>
        <w:suppressLineNumbers w:val="0"/>
        <w:spacing w:before="0" w:beforeAutospacing="0" w:after="0" w:afterAutospacing="0" w:line="580" w:lineRule="atLeast"/>
        <w:ind w:left="0" w:right="0" w:firstLine="640"/>
        <w:jc w:val="left"/>
        <w:rPr>
          <w:rFonts w:hint="default" w:ascii="Times New Roman" w:hAnsi="Times New Roman" w:cs="Times New Roman"/>
          <w:sz w:val="21"/>
          <w:szCs w:val="21"/>
        </w:rPr>
      </w:pPr>
      <w:r>
        <w:rPr>
          <w:rFonts w:hint="eastAsia" w:ascii="黑体" w:hAnsi="宋体" w:eastAsia="黑体" w:cs="黑体"/>
          <w:sz w:val="32"/>
          <w:szCs w:val="32"/>
          <w:shd w:val="clear" w:fill="FFFFFF"/>
        </w:rPr>
        <w:t>一、部门（单位）概况</w:t>
      </w:r>
    </w:p>
    <w:p w14:paraId="7572DE8E">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（一）机构组成。</w:t>
      </w:r>
    </w:p>
    <w:p w14:paraId="380FE061">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按照省、市、县对</w:t>
      </w:r>
      <w:r>
        <w:rPr>
          <w:rFonts w:hint="eastAsia" w:ascii="仿宋_GB2312" w:hAnsi="Times New Roman" w:eastAsia="仿宋_GB2312" w:cs="仿宋_GB2312"/>
          <w:b w:val="0"/>
          <w:bCs w:val="0"/>
          <w:i w:val="0"/>
          <w:iCs w:val="0"/>
          <w:caps w:val="0"/>
          <w:spacing w:val="0"/>
          <w:sz w:val="32"/>
          <w:szCs w:val="32"/>
          <w:shd w:val="clear" w:fill="FFFFFF"/>
          <w:lang w:eastAsia="zh-CN"/>
        </w:rPr>
        <w:t>乡</w:t>
      </w:r>
      <w:r>
        <w:rPr>
          <w:rFonts w:hint="eastAsia" w:ascii="仿宋_GB2312" w:hAnsi="Times New Roman" w:eastAsia="仿宋_GB2312" w:cs="仿宋_GB2312"/>
          <w:b w:val="0"/>
          <w:bCs w:val="0"/>
          <w:i w:val="0"/>
          <w:iCs w:val="0"/>
          <w:caps w:val="0"/>
          <w:spacing w:val="0"/>
          <w:sz w:val="32"/>
          <w:szCs w:val="32"/>
          <w:shd w:val="clear" w:fill="FFFFFF"/>
        </w:rPr>
        <w:t>机构改革的统一要求，觉莫乡机关领导机构设党委、人大、政府，不设政协机构，设乡人民武装部，为乡党委的军事部门和乡人民政府的兵役工作机构，受乡党委、政府和县人民武装部双重领导。</w:t>
      </w:r>
    </w:p>
    <w:p w14:paraId="1F99840E">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1、觉莫乡行政机关的机构调整与设置</w:t>
      </w:r>
    </w:p>
    <w:p w14:paraId="68FF0F44">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觉莫乡综合设置行政机构，不搞上下对口一事一职，根据工作需要配备专、兼职干部，人员编制在乡行政编制总数内统筹考虑。觉莫乡设二个综合办事机构，即：</w:t>
      </w:r>
    </w:p>
    <w:p w14:paraId="1B4C2A2C">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党政办公室：当好党委、政府的参谋，负责人大、党务（组织、宣传、纪检、统战）、武装、文书档案、人事、财政、精神文明建设、群众来信来访接待等工作，承办群团组织的日常事务和机关后勤工作（对外挂信访和群众工作室牌子）。</w:t>
      </w:r>
    </w:p>
    <w:p w14:paraId="7B4D426E">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社会事务办公室：负责民政救灾、救济、优抚、计生、农业、林业、水利、农机、国土、科技、统计、乡企、社会治安综合治理、维护社会稳定、交通、安全生产、教育、卫生、劳动保障和司法民事调解等工作（对外挂计划生育办公室、安全生产办公室牌子）。</w:t>
      </w:r>
    </w:p>
    <w:p w14:paraId="2BE2E2F2">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觉莫乡不设行政执法机构，使用行政编制的地方税务所、工商所和使用政法专项编制的公安派出所、司法所等派出机构按规定设置。</w:t>
      </w:r>
    </w:p>
    <w:p w14:paraId="6ACBEC1A">
      <w:pPr>
        <w:pStyle w:val="4"/>
        <w:keepNext w:val="0"/>
        <w:keepLines w:val="0"/>
        <w:widowControl/>
        <w:suppressLineNumbers w:val="0"/>
        <w:spacing w:before="0" w:beforeAutospacing="0" w:after="0" w:afterAutospacing="0" w:line="600" w:lineRule="atLeast"/>
        <w:ind w:left="640" w:right="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2、觉莫乡事业机构的调整与设置</w:t>
      </w:r>
    </w:p>
    <w:p w14:paraId="40F888F3">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按照科学合理、集中规范的原则，在整合现有觉莫乡事业机构的基础上，综合设置觉莫乡直属事业单位，对应乡机关综合办事机构个数，依据我县实情，觉莫乡设置2个</w:t>
      </w:r>
      <w:r>
        <w:rPr>
          <w:rFonts w:hint="eastAsia" w:ascii="仿宋_GB2312" w:hAnsi="Times New Roman" w:eastAsia="仿宋_GB2312" w:cs="仿宋_GB2312"/>
          <w:b w:val="0"/>
          <w:bCs w:val="0"/>
          <w:i w:val="0"/>
          <w:iCs w:val="0"/>
          <w:caps w:val="0"/>
          <w:spacing w:val="0"/>
          <w:sz w:val="32"/>
          <w:szCs w:val="32"/>
          <w:shd w:val="clear" w:fill="FFFFFF"/>
          <w:lang w:eastAsia="zh-CN"/>
        </w:rPr>
        <w:t>乡</w:t>
      </w:r>
      <w:r>
        <w:rPr>
          <w:rFonts w:hint="eastAsia" w:ascii="仿宋_GB2312" w:hAnsi="Times New Roman" w:eastAsia="仿宋_GB2312" w:cs="仿宋_GB2312"/>
          <w:b w:val="0"/>
          <w:bCs w:val="0"/>
          <w:i w:val="0"/>
          <w:iCs w:val="0"/>
          <w:caps w:val="0"/>
          <w:spacing w:val="0"/>
          <w:sz w:val="32"/>
          <w:szCs w:val="32"/>
          <w:shd w:val="clear" w:fill="FFFFFF"/>
        </w:rPr>
        <w:t>直属事业单位，即：</w:t>
      </w:r>
    </w:p>
    <w:p w14:paraId="368E9DB6">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农业技术服务中心：农经、农技、林业、水土保持等综合性的农业技术服务机构，其经费来源渠道不变。</w:t>
      </w:r>
    </w:p>
    <w:p w14:paraId="39F157BE">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社会事业服务中心：乡劳动保障、计划生育服务站（计生服务站对外挂牌）文化、广播电视、教育、卫生防疫、公共卫生体系建设等。</w:t>
      </w:r>
    </w:p>
    <w:p w14:paraId="128A587E">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撤销2003年觉莫乡事业单位机构改革时，保留的农经站、农技站、林业站、水利站、农机站、文化站、广播电视站、劳动保障服务所等牌子。</w:t>
      </w:r>
    </w:p>
    <w:p w14:paraId="7E9F9F38">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政府举办的乡农村中小学、乡卫生院、兽防站实行县办县管体制，觉莫乡不再保留也不再新设经费自筹事业单位。</w:t>
      </w:r>
    </w:p>
    <w:p w14:paraId="570DF9AB">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（二）机构职能。</w:t>
      </w:r>
    </w:p>
    <w:p w14:paraId="68390A17">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1、觉莫乡党委的职能：宣传和执行党的路线.方针.政策和执行党中央.上级组织和本组织的决议.发挥党组织的战斗堡垒和党员的先锋模范作用.支持和协助行政负责人完成本单位所担负的任务；组织党员认真学习</w:t>
      </w:r>
      <w:r>
        <w:rPr>
          <w:rFonts w:hint="eastAsia" w:ascii="仿宋_GB2312" w:hAnsi="Times New Roman" w:eastAsia="仿宋_GB2312" w:cs="仿宋_GB2312"/>
          <w:b w:val="0"/>
          <w:bCs w:val="0"/>
          <w:i w:val="0"/>
          <w:iCs w:val="0"/>
          <w:caps w:val="0"/>
          <w:spacing w:val="0"/>
          <w:sz w:val="32"/>
          <w:szCs w:val="32"/>
          <w:shd w:val="clear" w:fill="FFFFFF"/>
          <w:lang w:eastAsia="zh-CN"/>
        </w:rPr>
        <w:t>马克思列宁主义、毛泽东思想、邓小平理论</w:t>
      </w:r>
      <w:r>
        <w:rPr>
          <w:rFonts w:hint="eastAsia" w:ascii="仿宋_GB2312" w:hAnsi="Times New Roman" w:eastAsia="仿宋_GB2312" w:cs="仿宋_GB2312"/>
          <w:b w:val="0"/>
          <w:bCs w:val="0"/>
          <w:i w:val="0"/>
          <w:iCs w:val="0"/>
          <w:caps w:val="0"/>
          <w:spacing w:val="0"/>
          <w:sz w:val="32"/>
          <w:szCs w:val="32"/>
          <w:shd w:val="clear" w:fill="FFFFFF"/>
        </w:rPr>
        <w:t>和党的路线.方针.政策以及决议，学习科学.文化和业务知识；对党员进行严格管理，督促党员履行义务，</w:t>
      </w:r>
      <w:r>
        <w:rPr>
          <w:rFonts w:hint="eastAsia" w:ascii="仿宋_GB2312" w:hAnsi="Times New Roman" w:eastAsia="仿宋_GB2312" w:cs="仿宋_GB2312"/>
          <w:b w:val="0"/>
          <w:bCs w:val="0"/>
          <w:i w:val="0"/>
          <w:iCs w:val="0"/>
          <w:caps w:val="0"/>
          <w:spacing w:val="0"/>
          <w:sz w:val="32"/>
          <w:szCs w:val="32"/>
          <w:shd w:val="clear" w:fill="FFFFFF"/>
          <w:lang w:eastAsia="zh-CN"/>
        </w:rPr>
        <w:t>保障党员权利</w:t>
      </w:r>
      <w:r>
        <w:rPr>
          <w:rFonts w:hint="eastAsia" w:ascii="仿宋_GB2312" w:hAnsi="Times New Roman" w:eastAsia="仿宋_GB2312" w:cs="仿宋_GB2312"/>
          <w:b w:val="0"/>
          <w:bCs w:val="0"/>
          <w:i w:val="0"/>
          <w:iCs w:val="0"/>
          <w:caps w:val="0"/>
          <w:spacing w:val="0"/>
          <w:sz w:val="32"/>
          <w:szCs w:val="32"/>
          <w:shd w:val="clear" w:fill="FFFFFF"/>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党的工作。</w:t>
      </w:r>
    </w:p>
    <w:p w14:paraId="0E32E6E8">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2、觉莫乡政府职能：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Fonts w:hint="eastAsia" w:ascii="仿宋_GB2312" w:hAnsi="Times New Roman" w:eastAsia="仿宋_GB2312" w:cs="仿宋_GB2312"/>
          <w:b w:val="0"/>
          <w:bCs w:val="0"/>
          <w:i w:val="0"/>
          <w:iCs w:val="0"/>
          <w:caps w:val="0"/>
          <w:spacing w:val="0"/>
          <w:sz w:val="32"/>
          <w:szCs w:val="32"/>
          <w:shd w:val="clear" w:fill="FFFFFF"/>
          <w:lang w:eastAsia="zh-CN"/>
        </w:rPr>
        <w:t>立党为公、执政为民</w:t>
      </w:r>
      <w:r>
        <w:rPr>
          <w:rFonts w:hint="eastAsia" w:ascii="仿宋_GB2312" w:hAnsi="Times New Roman" w:eastAsia="仿宋_GB2312" w:cs="仿宋_GB2312"/>
          <w:b w:val="0"/>
          <w:bCs w:val="0"/>
          <w:i w:val="0"/>
          <w:iCs w:val="0"/>
          <w:caps w:val="0"/>
          <w:spacing w:val="0"/>
          <w:sz w:val="32"/>
          <w:szCs w:val="32"/>
          <w:shd w:val="clear" w:fill="FFFFFF"/>
        </w:rPr>
        <w:t>”，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w:t>
      </w:r>
      <w:r>
        <w:rPr>
          <w:rFonts w:hint="eastAsia" w:ascii="仿宋_GB2312" w:hAnsi="Times New Roman" w:eastAsia="仿宋_GB2312" w:cs="仿宋_GB2312"/>
          <w:b w:val="0"/>
          <w:bCs w:val="0"/>
          <w:i w:val="0"/>
          <w:iCs w:val="0"/>
          <w:caps w:val="0"/>
          <w:spacing w:val="0"/>
          <w:sz w:val="32"/>
          <w:szCs w:val="32"/>
          <w:shd w:val="clear" w:fill="FFFFFF"/>
          <w:lang w:eastAsia="zh-CN"/>
        </w:rPr>
        <w:t>党委、政府</w:t>
      </w:r>
      <w:r>
        <w:rPr>
          <w:rFonts w:hint="eastAsia" w:ascii="仿宋_GB2312" w:hAnsi="Times New Roman" w:eastAsia="仿宋_GB2312" w:cs="仿宋_GB2312"/>
          <w:b w:val="0"/>
          <w:bCs w:val="0"/>
          <w:i w:val="0"/>
          <w:iCs w:val="0"/>
          <w:caps w:val="0"/>
          <w:spacing w:val="0"/>
          <w:sz w:val="32"/>
          <w:szCs w:val="32"/>
          <w:shd w:val="clear" w:fill="FFFFFF"/>
        </w:rPr>
        <w:t>反映社情民意，进一步密切党和政府与人民群众的关系。</w:t>
      </w:r>
    </w:p>
    <w:p w14:paraId="0C131707">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觉莫乡事业单位主要承担公益性职能：计划生育技术服务.宣传咨询.人员培训和药具发放；农林牧业生产中关键技术和新品种.新农具的引进.实验.示范；农作物和林木病虫害.动物疫病及农业灾害的监测.预报</w:t>
      </w:r>
      <w:r>
        <w:rPr>
          <w:rFonts w:hint="eastAsia" w:ascii="仿宋_GB2312" w:hAnsi="Times New Roman" w:eastAsia="仿宋_GB2312" w:cs="仿宋_GB2312"/>
          <w:b w:val="0"/>
          <w:bCs w:val="0"/>
          <w:i w:val="0"/>
          <w:iCs w:val="0"/>
          <w:caps w:val="0"/>
          <w:spacing w:val="0"/>
          <w:sz w:val="32"/>
          <w:szCs w:val="32"/>
          <w:shd w:val="clear" w:fill="FFFFFF"/>
          <w:lang w:eastAsia="zh-CN"/>
        </w:rPr>
        <w:t>防治</w:t>
      </w:r>
      <w:r>
        <w:rPr>
          <w:rFonts w:hint="eastAsia" w:ascii="仿宋_GB2312" w:hAnsi="Times New Roman" w:eastAsia="仿宋_GB2312" w:cs="仿宋_GB2312"/>
          <w:b w:val="0"/>
          <w:bCs w:val="0"/>
          <w:i w:val="0"/>
          <w:iCs w:val="0"/>
          <w:caps w:val="0"/>
          <w:spacing w:val="0"/>
          <w:sz w:val="32"/>
          <w:szCs w:val="32"/>
          <w:shd w:val="clear" w:fill="FFFFFF"/>
        </w:rPr>
        <w:t>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5833C616">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（三）人员概况。</w:t>
      </w:r>
    </w:p>
    <w:p w14:paraId="689ED90B">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1、觉莫乡行政机关人员编制和领导职数</w:t>
      </w:r>
    </w:p>
    <w:p w14:paraId="511A859B">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领导职数按省、市有关规定觉莫乡设书记（兼人大主席）1名，乡长（兼副书记）1名，副书记（兼纪委书记）1名，副乡长2名，乡人武部长（由副书记或副乡长兼任）。重新核定觉莫乡行政编制12名。</w:t>
      </w:r>
    </w:p>
    <w:p w14:paraId="543998F7">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觉莫乡事业机构和人员编制</w:t>
      </w:r>
    </w:p>
    <w:p w14:paraId="14B8E6B4">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b w:val="0"/>
          <w:bCs w:val="0"/>
          <w:i w:val="0"/>
          <w:iCs w:val="0"/>
          <w:caps w:val="0"/>
          <w:spacing w:val="0"/>
          <w:sz w:val="32"/>
          <w:szCs w:val="32"/>
          <w:shd w:val="clear" w:fill="FFFFFF"/>
        </w:rPr>
        <w:t>觉莫乡设1个直属事业单位，事业编制13名。</w:t>
      </w:r>
    </w:p>
    <w:p w14:paraId="10A27840">
      <w:pPr>
        <w:pStyle w:val="4"/>
        <w:keepNext w:val="0"/>
        <w:keepLines w:val="0"/>
        <w:widowControl/>
        <w:suppressLineNumbers w:val="0"/>
        <w:spacing w:before="0" w:beforeAutospacing="0" w:after="0" w:afterAutospacing="0" w:line="580" w:lineRule="atLeast"/>
        <w:ind w:left="0" w:right="0" w:firstLine="640"/>
        <w:jc w:val="left"/>
        <w:rPr>
          <w:rFonts w:hint="default" w:ascii="Times New Roman" w:hAnsi="Times New Roman" w:cs="Times New Roman"/>
          <w:sz w:val="21"/>
          <w:szCs w:val="21"/>
        </w:rPr>
      </w:pPr>
      <w:r>
        <w:rPr>
          <w:rFonts w:hint="eastAsia" w:ascii="黑体" w:hAnsi="宋体" w:eastAsia="黑体" w:cs="黑体"/>
          <w:sz w:val="32"/>
          <w:szCs w:val="32"/>
          <w:shd w:val="clear" w:fill="FFFFFF"/>
        </w:rPr>
        <w:t>二、部门财政资金收支情况</w:t>
      </w:r>
    </w:p>
    <w:p w14:paraId="4553AC4B">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（一）部门财政资金收入情况。</w:t>
      </w:r>
    </w:p>
    <w:p w14:paraId="477EB962">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2019年收入预算561.74万元，一般公共预算拨款收入561.74万元，占100%。</w:t>
      </w:r>
    </w:p>
    <w:p w14:paraId="2124C602">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（二）部门财政资金支出情况。</w:t>
      </w:r>
    </w:p>
    <w:p w14:paraId="2656F6EB">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2019年支出533.95万元，其中：基本支出451.24万元，占73%；项目支出82.71万元，占27%。</w:t>
      </w:r>
    </w:p>
    <w:p w14:paraId="094F3A69">
      <w:pPr>
        <w:pStyle w:val="4"/>
        <w:keepNext w:val="0"/>
        <w:keepLines w:val="0"/>
        <w:widowControl/>
        <w:suppressLineNumbers w:val="0"/>
        <w:spacing w:before="0" w:beforeAutospacing="0" w:after="0" w:afterAutospacing="0" w:line="580" w:lineRule="atLeast"/>
        <w:ind w:left="0" w:right="0" w:firstLine="640"/>
        <w:jc w:val="left"/>
        <w:rPr>
          <w:rFonts w:hint="default" w:ascii="Times New Roman" w:hAnsi="Times New Roman" w:cs="Times New Roman"/>
          <w:sz w:val="21"/>
          <w:szCs w:val="21"/>
        </w:rPr>
      </w:pPr>
      <w:r>
        <w:rPr>
          <w:rFonts w:hint="eastAsia" w:ascii="黑体" w:hAnsi="宋体" w:eastAsia="黑体" w:cs="黑体"/>
          <w:sz w:val="32"/>
          <w:szCs w:val="32"/>
          <w:shd w:val="clear" w:fill="FFFFFF"/>
        </w:rPr>
        <w:t>三、部门整体预算绩效管理情况</w:t>
      </w:r>
    </w:p>
    <w:p w14:paraId="5D18D495">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（一）部门预算管理。</w:t>
      </w:r>
    </w:p>
    <w:p w14:paraId="3BFB6C19">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1.部门绩效目标</w:t>
      </w:r>
    </w:p>
    <w:p w14:paraId="0D399BC6">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（1）保障觉莫乡在职人员21人、退休人员5人福利待遇等。</w:t>
      </w:r>
    </w:p>
    <w:p w14:paraId="5E2E64A7">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（2）保障全乡3个行政村，村组干部基本报酬及正常办公运转需求。</w:t>
      </w:r>
    </w:p>
    <w:p w14:paraId="724447FA">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（3）主要解决全乡3个行政村2011名村民居民最关心、最直接、最现实的利益问题，包括村各项公益事业建设，改善农村人居环境，保障为全乡辖区内群众办实事、做好事、解难事等支出。</w:t>
      </w:r>
    </w:p>
    <w:p w14:paraId="662EC03F">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2.目标完成、预算编制准确、支出控制、预算动态调整、执行进度、预算完成情况和违规记录等情况。</w:t>
      </w:r>
    </w:p>
    <w:p w14:paraId="679314FB">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2019年，我乡积极履职，强化管理，较好</w:t>
      </w:r>
      <w:r>
        <w:rPr>
          <w:rFonts w:hint="eastAsia" w:ascii="仿宋" w:hAnsi="仿宋" w:eastAsia="仿宋" w:cs="仿宋"/>
          <w:sz w:val="32"/>
          <w:szCs w:val="32"/>
          <w:lang w:eastAsia="zh-CN"/>
        </w:rPr>
        <w:t>地</w:t>
      </w:r>
      <w:r>
        <w:rPr>
          <w:rFonts w:hint="eastAsia" w:ascii="仿宋" w:hAnsi="仿宋" w:eastAsia="仿宋" w:cs="仿宋"/>
          <w:sz w:val="32"/>
          <w:szCs w:val="32"/>
        </w:rPr>
        <w:t>完成了年度工作目标。通过加强预算收支管理，不断建立健全内部管理制度，梳理内部管理流程，整体支出管理水平得到提升。</w:t>
      </w:r>
    </w:p>
    <w:p w14:paraId="780AF334">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（二）专项预算管理</w:t>
      </w:r>
    </w:p>
    <w:p w14:paraId="1DAC8A3E">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觉莫乡2019年实施基层组织活动和公共服务运行经费项目，项目决策程序严密，规划合理，实施结果与项目总体规划计划一致，数据真实，经费预算准确。资金的管理办法健全完善，专款专用，厉行节约、讲求实效，做到量入为出，对每个项目实行绩效目标管理。</w:t>
      </w:r>
    </w:p>
    <w:p w14:paraId="6589519C">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（三）结果应用情况。</w:t>
      </w:r>
    </w:p>
    <w:p w14:paraId="2BC00129">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综合评价得分95分，将按要求按时在政府门户网站上与决算一同公开，在规定时间内向财政部门反馈应用绩效结果报告。</w:t>
      </w:r>
    </w:p>
    <w:p w14:paraId="5C00F25D">
      <w:pPr>
        <w:pStyle w:val="4"/>
        <w:keepNext w:val="0"/>
        <w:keepLines w:val="0"/>
        <w:widowControl/>
        <w:suppressLineNumbers w:val="0"/>
        <w:spacing w:before="0" w:beforeAutospacing="0" w:after="0" w:afterAutospacing="0" w:line="580" w:lineRule="atLeast"/>
        <w:ind w:left="0" w:right="0" w:firstLine="640"/>
        <w:jc w:val="left"/>
        <w:rPr>
          <w:rFonts w:hint="default" w:ascii="Times New Roman" w:hAnsi="Times New Roman" w:cs="Times New Roman"/>
          <w:sz w:val="21"/>
          <w:szCs w:val="21"/>
        </w:rPr>
      </w:pPr>
      <w:r>
        <w:rPr>
          <w:rFonts w:hint="eastAsia" w:ascii="黑体" w:hAnsi="宋体" w:eastAsia="黑体" w:cs="黑体"/>
          <w:sz w:val="32"/>
          <w:szCs w:val="32"/>
          <w:shd w:val="clear" w:fill="FFFFFF"/>
        </w:rPr>
        <w:t>四、评价结论及建议</w:t>
      </w:r>
    </w:p>
    <w:p w14:paraId="2EE79905">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（一）评价结论。</w:t>
      </w:r>
    </w:p>
    <w:p w14:paraId="56858171">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自评得分95分，整体经费支出基本达到预期绩效目标，确保了部门正常运转和目标任务的圆满完成。</w:t>
      </w:r>
    </w:p>
    <w:p w14:paraId="73F6146B">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（二）存在问题。</w:t>
      </w:r>
    </w:p>
    <w:p w14:paraId="2E2D2755">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预决算项目支出编制需进一步明确、精细化。同时项目执行率需进一步提高。</w:t>
      </w:r>
    </w:p>
    <w:p w14:paraId="718DBAB7">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（三）改进建议。</w:t>
      </w:r>
    </w:p>
    <w:p w14:paraId="15F847A3">
      <w:pPr>
        <w:pStyle w:val="4"/>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1、细化预算编制工作，进一步加强内设机构的预算管理意识，严格按照预算编制的相关制度和要求进行预算编制。</w:t>
      </w:r>
    </w:p>
    <w:p w14:paraId="71518074">
      <w:pPr>
        <w:pStyle w:val="4"/>
        <w:keepNext w:val="0"/>
        <w:keepLines w:val="0"/>
        <w:widowControl/>
        <w:suppressLineNumbers w:val="0"/>
        <w:spacing w:before="0" w:beforeAutospacing="0" w:after="0" w:afterAutospacing="0" w:line="60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    2、加强财务管理，严格财务审核。加强单位财务管理，健全单位财务管理制度体系，规范单位财务行为。在费用报账支付时，按照预算规定的费用项目和用途进行资金使用审核、财务严格核算，杜绝超支现象的发生。</w:t>
      </w:r>
    </w:p>
    <w:p w14:paraId="75AB3A5F">
      <w:pPr>
        <w:pStyle w:val="4"/>
        <w:keepNext w:val="0"/>
        <w:keepLines w:val="0"/>
        <w:widowControl/>
        <w:suppressLineNumbers w:val="0"/>
        <w:ind w:left="0" w:firstLine="0"/>
        <w:jc w:val="both"/>
        <w:rPr>
          <w:rFonts w:hint="default" w:ascii="Times New Roman" w:hAnsi="Times New Roman" w:cs="Times New Roman"/>
          <w:sz w:val="32"/>
          <w:szCs w:val="32"/>
        </w:rPr>
      </w:pPr>
      <w:r>
        <w:rPr>
          <w:rFonts w:hint="default" w:ascii="Times New Roman" w:hAnsi="Times New Roman" w:eastAsia="宋体" w:cs="Times New Roman"/>
          <w:sz w:val="32"/>
          <w:szCs w:val="32"/>
        </w:rPr>
        <w:t> </w:t>
      </w:r>
    </w:p>
    <w:p w14:paraId="36977690">
      <w:pPr>
        <w:pStyle w:val="4"/>
        <w:keepNext w:val="0"/>
        <w:keepLines w:val="0"/>
        <w:widowControl/>
        <w:suppressLineNumbers w:val="0"/>
        <w:spacing w:before="0" w:beforeAutospacing="0" w:after="0" w:afterAutospacing="0" w:line="580" w:lineRule="atLeast"/>
        <w:ind w:left="0" w:right="0" w:firstLine="640"/>
        <w:jc w:val="left"/>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37252288">
      <w:pPr>
        <w:pStyle w:val="4"/>
        <w:keepNext w:val="0"/>
        <w:keepLines w:val="0"/>
        <w:widowControl/>
        <w:suppressLineNumbers w:val="0"/>
        <w:spacing w:before="0" w:beforeAutospacing="0" w:after="0" w:afterAutospacing="0" w:line="580" w:lineRule="atLeast"/>
        <w:ind w:left="0" w:right="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1362C64E">
      <w:pPr>
        <w:pStyle w:val="4"/>
        <w:keepNext w:val="0"/>
        <w:keepLines w:val="0"/>
        <w:widowControl/>
        <w:suppressLineNumbers w:val="0"/>
        <w:spacing w:before="0" w:beforeAutospacing="0" w:after="0" w:afterAutospacing="0" w:line="58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附件2</w:t>
      </w:r>
    </w:p>
    <w:p w14:paraId="5FD6FA73">
      <w:pPr>
        <w:pStyle w:val="4"/>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3A3EEFA3">
      <w:pPr>
        <w:pStyle w:val="4"/>
        <w:keepNext w:val="0"/>
        <w:keepLines w:val="0"/>
        <w:widowControl/>
        <w:suppressLineNumbers w:val="0"/>
        <w:spacing w:before="0" w:beforeAutospacing="0" w:after="0" w:afterAutospacing="0" w:line="600" w:lineRule="atLeast"/>
        <w:ind w:left="0" w:right="0" w:firstLine="883"/>
        <w:jc w:val="center"/>
        <w:rPr>
          <w:color w:val="000000"/>
          <w:sz w:val="28"/>
          <w:szCs w:val="28"/>
        </w:rPr>
      </w:pPr>
      <w:r>
        <w:rPr>
          <w:rFonts w:ascii="方正小标宋简体" w:hAnsi="方正小标宋简体" w:eastAsia="方正小标宋简体" w:cs="方正小标宋简体"/>
          <w:color w:val="000000"/>
          <w:sz w:val="44"/>
          <w:szCs w:val="44"/>
        </w:rPr>
        <w:t>项目支出绩效自评报告</w:t>
      </w:r>
    </w:p>
    <w:p w14:paraId="28CBFE85">
      <w:pPr>
        <w:pStyle w:val="4"/>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（农村公共服务运行维护经费）</w:t>
      </w:r>
    </w:p>
    <w:p w14:paraId="3395A09A">
      <w:pPr>
        <w:pStyle w:val="4"/>
        <w:keepNext w:val="0"/>
        <w:keepLines w:val="0"/>
        <w:widowControl/>
        <w:suppressLineNumbers w:val="0"/>
        <w:spacing w:before="0" w:beforeAutospacing="0" w:after="0" w:afterAutospacing="0" w:line="600" w:lineRule="atLeast"/>
        <w:ind w:left="0" w:right="0" w:firstLine="640"/>
        <w:jc w:val="center"/>
        <w:rPr>
          <w:color w:val="000000"/>
          <w:sz w:val="28"/>
          <w:szCs w:val="28"/>
        </w:rPr>
      </w:pPr>
      <w:r>
        <w:rPr>
          <w:rFonts w:hint="eastAsia" w:ascii="宋体" w:hAnsi="宋体" w:eastAsia="宋体" w:cs="宋体"/>
          <w:color w:val="000000"/>
          <w:sz w:val="28"/>
          <w:szCs w:val="28"/>
        </w:rPr>
        <w:t> </w:t>
      </w:r>
    </w:p>
    <w:p w14:paraId="3403061B">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一、项目概况</w:t>
      </w:r>
    </w:p>
    <w:p w14:paraId="4F1728DC">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（一）项目基本情况。</w:t>
      </w:r>
    </w:p>
    <w:p w14:paraId="14F67A58">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1．觉莫乡在该项目的实施过程中主要承担科学、合理地使用该笔经费，确保资金使用安全合理、合规职能,有效保障村级公共服务有效运行的职能。</w:t>
      </w:r>
    </w:p>
    <w:p w14:paraId="38A43CD3">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2．项目立项、资金申报的依据是根据工作实际需要参照往年申报情况进行申报。</w:t>
      </w:r>
    </w:p>
    <w:p w14:paraId="794D2CB4">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3．资金管理办法制定情况，资金支持具体项目的条件、范围与支持方式概况。严格按照《</w:t>
      </w:r>
      <w:r>
        <w:rPr>
          <w:rFonts w:hint="eastAsia" w:ascii="仿宋_GB2312" w:hAnsi="Times New Roman" w:eastAsia="仿宋_GB2312" w:cs="仿宋_GB2312"/>
          <w:sz w:val="32"/>
          <w:szCs w:val="32"/>
          <w:lang w:eastAsia="zh-CN"/>
        </w:rPr>
        <w:t>中华人民共和国会计法</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eastAsia="zh-CN"/>
        </w:rPr>
        <w:t>中华人民共和国预算法</w:t>
      </w:r>
      <w:r>
        <w:rPr>
          <w:rFonts w:hint="eastAsia" w:ascii="仿宋_GB2312" w:hAnsi="Times New Roman" w:eastAsia="仿宋_GB2312" w:cs="仿宋_GB2312"/>
          <w:sz w:val="32"/>
          <w:szCs w:val="32"/>
        </w:rPr>
        <w:t>》等财经法律法规，在资金管理制定和分配管理方面科学合理、规范有序，突出重点，符合财政资金改革方向。</w:t>
      </w:r>
    </w:p>
    <w:p w14:paraId="7CC3A71F">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4．资金分配的原则及考虑因素。资金分配原则根据业务工作难度系数化及工作量化原则，考虑因素为开展工作的难度</w:t>
      </w:r>
      <w:r>
        <w:rPr>
          <w:rFonts w:hint="eastAsia" w:ascii="仿宋_GB2312" w:hAnsi="Times New Roman" w:eastAsia="仿宋_GB2312" w:cs="仿宋_GB2312"/>
          <w:sz w:val="32"/>
          <w:szCs w:val="32"/>
          <w:lang w:eastAsia="zh-CN"/>
        </w:rPr>
        <w:t>系数</w:t>
      </w:r>
      <w:r>
        <w:rPr>
          <w:rFonts w:hint="eastAsia" w:ascii="仿宋_GB2312" w:hAnsi="Times New Roman" w:eastAsia="仿宋_GB2312" w:cs="仿宋_GB2312"/>
          <w:sz w:val="32"/>
          <w:szCs w:val="32"/>
        </w:rPr>
        <w:t>、业务工作强度、业务工作数量频次等。合理分配，突出重点，资金分配和使用方向与资金管理方法相符。</w:t>
      </w:r>
    </w:p>
    <w:p w14:paraId="746DE229">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（二）项目绩效目标。</w:t>
      </w:r>
    </w:p>
    <w:p w14:paraId="21F52FCD">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1．该项目主要用于辖区内3个村办公经费及公共服务运行维护费。</w:t>
      </w:r>
    </w:p>
    <w:p w14:paraId="059011EF">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2．按照觉莫乡2019年工作计划，完成年内项目组织管理任务，做好各类项目执行的全过程监督管理工作，确保各类项目按计划有效实施。在年度内完成各项目资金支出进度要求，保障全乡3个村各项工作顺利开展。确保资金专款专用，使用合理安全规范，保证人民群众对农村公共服务运行维护的满意度达到90%以上。</w:t>
      </w:r>
    </w:p>
    <w:p w14:paraId="732DD9CC">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3．申报内容与实际相符，申报目标合理可行。</w:t>
      </w:r>
    </w:p>
    <w:p w14:paraId="521C16CD">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（三）项目自评步骤及方法。</w:t>
      </w:r>
    </w:p>
    <w:p w14:paraId="222DABE7">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该项目绩效自评根据项目支出绩效评价指标体系内容，结合工作开展情况，逐项量化评价。</w:t>
      </w:r>
    </w:p>
    <w:p w14:paraId="7C8A9D6D">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二、项目资金申报及使用情况</w:t>
      </w:r>
    </w:p>
    <w:p w14:paraId="731AC4A0">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（一）项目资金申报及批复情况。</w:t>
      </w:r>
    </w:p>
    <w:p w14:paraId="500C6AF7">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该项目预算资金12万元，经财政批复下达12万元，2019年中根据川财基</w:t>
      </w:r>
      <w:r>
        <w:rPr>
          <w:rFonts w:hint="eastAsia" w:ascii="仿宋_GB2312" w:hAnsi="Times New Roman" w:eastAsia="仿宋_GB2312" w:cs="仿宋_GB2312"/>
          <w:sz w:val="32"/>
          <w:szCs w:val="32"/>
          <w:lang w:eastAsia="zh-CN"/>
        </w:rPr>
        <w:t>〔2018〕17号</w:t>
      </w:r>
      <w:r>
        <w:rPr>
          <w:rFonts w:hint="eastAsia" w:ascii="仿宋_GB2312" w:hAnsi="Times New Roman" w:eastAsia="仿宋_GB2312" w:cs="仿宋_GB2312"/>
          <w:sz w:val="32"/>
          <w:szCs w:val="32"/>
        </w:rPr>
        <w:t>财政又下达12</w:t>
      </w:r>
      <w:r>
        <w:rPr>
          <w:rFonts w:hint="eastAsia" w:ascii="仿宋_GB2312" w:hAnsi="Times New Roman" w:eastAsia="仿宋_GB2312" w:cs="仿宋_GB2312"/>
          <w:sz w:val="32"/>
          <w:szCs w:val="32"/>
          <w:lang w:eastAsia="zh-CN"/>
        </w:rPr>
        <w:t>万元</w:t>
      </w:r>
      <w:r>
        <w:rPr>
          <w:rFonts w:hint="eastAsia" w:ascii="仿宋_GB2312" w:hAnsi="Times New Roman" w:eastAsia="仿宋_GB2312" w:cs="仿宋_GB2312"/>
          <w:sz w:val="32"/>
          <w:szCs w:val="32"/>
        </w:rPr>
        <w:t>，共计24万元。</w:t>
      </w:r>
    </w:p>
    <w:p w14:paraId="7CF72CB3">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（二）资金计划、到位及使用情况。</w:t>
      </w:r>
    </w:p>
    <w:p w14:paraId="50208A40">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1．资金计划。该项目经费共计24万元。</w:t>
      </w:r>
    </w:p>
    <w:p w14:paraId="0FE27D4A">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2．资金到位。截至2019年底，该项目经费财政拨款24万元，全部拨付到位，资金到位率100%。</w:t>
      </w:r>
    </w:p>
    <w:p w14:paraId="63A19D1A">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3.资金使用。资金实际支出23.86万元。截至2019年12月31日，项目资金支付8.35万元，剩余资金15.51万元，于2020年年初完成支付。</w:t>
      </w:r>
    </w:p>
    <w:p w14:paraId="4E29D129">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（三）项目财务管理情况。</w:t>
      </w:r>
    </w:p>
    <w:p w14:paraId="27399A48">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为加强专项资金的管理和监督，规范专项资金使用，提高资金使用效率，制定了经费管理制度,制度对专项资金的分配和使用进行了规范，要求专项资金严格按照项目内容使用，做到专款专用，使用专项资金时，要全部通过国库集中支付，严禁虚报、挤占、挪用。项目过程中全部按照管理办法执行,无违反规定的行为发生。       </w:t>
      </w:r>
    </w:p>
    <w:p w14:paraId="7B2E8841">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三、项目实施及管理情况</w:t>
      </w:r>
    </w:p>
    <w:p w14:paraId="65554F87">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项目组织架构及实施流程。该项目由本单位自行组织实施，按项目进度申请用款计划，年终定期汇总全年支出情况，认真开展项目支出绩效评价。</w:t>
      </w:r>
    </w:p>
    <w:p w14:paraId="4EB76837">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项目管理情况。严格按照县财政部门有关文件精神，进一步完善制度，严格财经制度，在项目资金执行过程中规范资金审批、项目公示等，使用程序，资金使用安全、规范。       </w:t>
      </w:r>
    </w:p>
    <w:p w14:paraId="3C27506F">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项目监管情况。我单位严格项目管理，建立健全内部控制制度，采取预算编制与审核分离；预算审批与执行分离；预算执行与分析分离；决算编制与审核分离；实行收款与会计核算分离；支出申请与审批分离；支出审批与付款分离；业务经办与会计核算分离,在实际使用中，机关财务严把审核关，对项目所列开支的范围、标准、进度、依据逐一进行审查，确保资金使用合规合法，与预算相符。</w:t>
      </w:r>
    </w:p>
    <w:p w14:paraId="012798F6">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四、项目绩效情况                           </w:t>
      </w:r>
    </w:p>
    <w:p w14:paraId="1F35C5D4">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（一）项目完成情况。</w:t>
      </w:r>
    </w:p>
    <w:p w14:paraId="299A2A46">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顺利推进，圆满完成，加强了各村发展，提高基础设施建设，改善村民生活环境，减少村集体开支，各村涉及该项目已按照项目规划</w:t>
      </w:r>
      <w:r>
        <w:rPr>
          <w:rFonts w:hint="eastAsia" w:ascii="仿宋_GB2312" w:hAnsi="Times New Roman" w:eastAsia="仿宋_GB2312" w:cs="仿宋_GB2312"/>
          <w:sz w:val="32"/>
          <w:szCs w:val="32"/>
          <w:lang w:eastAsia="zh-CN"/>
        </w:rPr>
        <w:t>实施</w:t>
      </w:r>
      <w:r>
        <w:rPr>
          <w:rFonts w:hint="eastAsia" w:ascii="仿宋_GB2312" w:hAnsi="Times New Roman" w:eastAsia="仿宋_GB2312" w:cs="仿宋_GB2312"/>
          <w:sz w:val="32"/>
          <w:szCs w:val="32"/>
        </w:rPr>
        <w:t>完工，并通过相关人员组织验收。</w:t>
      </w:r>
    </w:p>
    <w:p w14:paraId="7D676B07">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（二）项目效益情况。</w:t>
      </w:r>
    </w:p>
    <w:p w14:paraId="2212864C">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该项目符合上级相关政策，成熟度高、带动性强、有利于促进乡、村经济社会有序发展，农村公益事业日新月异。服务对象满意度100%。</w:t>
      </w:r>
    </w:p>
    <w:p w14:paraId="3F6AB90A">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五、评价结论及建议</w:t>
      </w:r>
    </w:p>
    <w:p w14:paraId="497393BD">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（一）评价结论。</w:t>
      </w:r>
    </w:p>
    <w:p w14:paraId="2064A7EA">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本年度该项目整体支出情况良好，从预算到执行和收入、支出、资产管理及信息公开，都严格按照相关制度要求进行，执行率为100%。本年度整体绩效自评为99分。</w:t>
      </w:r>
    </w:p>
    <w:p w14:paraId="265F8FC7">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（二）存在的问题。</w:t>
      </w:r>
    </w:p>
    <w:p w14:paraId="0648891A">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资金报账进度滞后，村级报账员都存在年底一次性报账的固定思维。</w:t>
      </w:r>
    </w:p>
    <w:p w14:paraId="02AE77FB">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（三）相关建议。</w:t>
      </w:r>
    </w:p>
    <w:p w14:paraId="1D26187F">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针对保障进度滞后的问题，要加强督促，组织培训，改变村级报账员的</w:t>
      </w:r>
      <w:r>
        <w:rPr>
          <w:rFonts w:hint="eastAsia" w:ascii="仿宋_GB2312" w:hAnsi="Times New Roman" w:eastAsia="仿宋_GB2312" w:cs="仿宋_GB2312"/>
          <w:sz w:val="32"/>
          <w:szCs w:val="32"/>
          <w:lang w:eastAsia="zh-CN"/>
        </w:rPr>
        <w:t>固定</w:t>
      </w:r>
      <w:r>
        <w:rPr>
          <w:rFonts w:hint="eastAsia" w:ascii="仿宋_GB2312" w:hAnsi="Times New Roman" w:eastAsia="仿宋_GB2312" w:cs="仿宋_GB2312"/>
          <w:sz w:val="32"/>
          <w:szCs w:val="32"/>
        </w:rPr>
        <w:t>思维,按照相关要求按时推动项目报账进度。</w:t>
      </w:r>
    </w:p>
    <w:p w14:paraId="41376EEA">
      <w:pPr>
        <w:pStyle w:val="4"/>
        <w:keepNext w:val="0"/>
        <w:keepLines w:val="0"/>
        <w:widowControl/>
        <w:suppressLineNumbers w:val="0"/>
        <w:spacing w:before="240" w:beforeAutospacing="0" w:after="60" w:afterAutospacing="0"/>
        <w:jc w:val="center"/>
        <w:rPr>
          <w:rFonts w:hint="default" w:ascii="Arial" w:hAnsi="Arial" w:cs="Arial"/>
          <w:b/>
          <w:bCs/>
          <w:sz w:val="32"/>
          <w:szCs w:val="32"/>
        </w:rPr>
      </w:pPr>
      <w:r>
        <w:rPr>
          <w:rFonts w:hint="default" w:ascii="Arial" w:hAnsi="Arial" w:eastAsia="宋体" w:cs="Arial"/>
          <w:b/>
          <w:bCs/>
          <w:sz w:val="32"/>
          <w:szCs w:val="32"/>
          <w:bdr w:val="none" w:color="auto" w:sz="0" w:space="0"/>
        </w:rPr>
        <w:t> </w:t>
      </w:r>
    </w:p>
    <w:p w14:paraId="433B9577">
      <w:pPr>
        <w:pStyle w:val="4"/>
        <w:keepNext w:val="0"/>
        <w:keepLines w:val="0"/>
        <w:widowControl/>
        <w:suppressLineNumbers w:val="0"/>
        <w:spacing w:before="0" w:beforeAutospacing="0" w:after="0" w:afterAutospacing="0" w:line="560" w:lineRule="atLeast"/>
        <w:ind w:left="0" w:right="0" w:firstLine="880"/>
        <w:jc w:val="center"/>
        <w:rPr>
          <w:rFonts w:hint="default" w:ascii="Times New Roman" w:hAnsi="Times New Roman" w:cs="Times New Roman"/>
          <w:sz w:val="21"/>
          <w:szCs w:val="21"/>
        </w:rPr>
      </w:pPr>
      <w:r>
        <w:rPr>
          <w:rFonts w:hint="eastAsia" w:ascii="黑体" w:hAnsi="宋体" w:eastAsia="黑体" w:cs="黑体"/>
          <w:sz w:val="44"/>
          <w:szCs w:val="44"/>
        </w:rPr>
        <w:t>第五部分 附表</w:t>
      </w:r>
    </w:p>
    <w:p w14:paraId="73B9C328">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27770D8A">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一、收入支出决算总表</w:t>
      </w:r>
    </w:p>
    <w:p w14:paraId="38DA4555">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二、收入决算表</w:t>
      </w:r>
    </w:p>
    <w:p w14:paraId="57B42E87">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三、支出决算表</w:t>
      </w:r>
    </w:p>
    <w:p w14:paraId="27959300">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四、财政拨款收入支出决算总表</w:t>
      </w:r>
    </w:p>
    <w:p w14:paraId="02810BEC">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五、财政拨款支出决算明细表</w:t>
      </w:r>
    </w:p>
    <w:p w14:paraId="65840EB6">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六、一般公共预算财政拨款支出决算表</w:t>
      </w:r>
    </w:p>
    <w:p w14:paraId="6C358961">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七、一般公共预算财政拨款支出决算明细表</w:t>
      </w:r>
    </w:p>
    <w:p w14:paraId="5A064BC2">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八、一般公共预算财政拨款基本支出决算表</w:t>
      </w:r>
    </w:p>
    <w:p w14:paraId="09E5FA49">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九、一般公共预算财政拨款项目支出决算表</w:t>
      </w:r>
    </w:p>
    <w:p w14:paraId="3126175D">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十、一般公共预算财政拨款“三公”经费支出决算表</w:t>
      </w:r>
    </w:p>
    <w:p w14:paraId="0041EC69">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十一、政府性基金预算财政拨款收入支出决算表</w:t>
      </w:r>
    </w:p>
    <w:p w14:paraId="6BF00063">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十二、政府性基金预算财政拨款“三公”经费支出决算表</w:t>
      </w:r>
    </w:p>
    <w:p w14:paraId="2569FCA4">
      <w:pPr>
        <w:pStyle w:val="4"/>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sz w:val="32"/>
          <w:szCs w:val="32"/>
        </w:rPr>
        <w:t>十三、国有资本经营预算支出决算表</w:t>
      </w:r>
    </w:p>
    <w:p w14:paraId="596BC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default" w:ascii="Times New Roman" w:hAnsi="Times New Roman" w:eastAsia="宋体" w:cs="Times New Roman"/>
          <w:sz w:val="24"/>
          <w:szCs w:val="24"/>
          <w:bdr w:val="none" w:color="auto" w:sz="0" w:space="0"/>
        </w:rPr>
        <w:t> </w:t>
      </w:r>
    </w:p>
    <w:p w14:paraId="1908C3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4"/>
          <w:szCs w:val="24"/>
        </w:rPr>
      </w:pPr>
      <w:r>
        <w:rPr>
          <w:rFonts w:hint="default" w:ascii="Times New Roman" w:hAnsi="Times New Roman" w:eastAsia="宋体" w:cs="Times New Roman"/>
          <w:sz w:val="24"/>
          <w:szCs w:val="24"/>
          <w:bdr w:val="none" w:color="auto" w:sz="0" w:space="0"/>
        </w:rPr>
        <w:t> </w:t>
      </w:r>
    </w:p>
    <w:p w14:paraId="35CD64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204C6"/>
    <w:rsid w:val="13BF7187"/>
    <w:rsid w:val="2432377B"/>
    <w:rsid w:val="2FED6372"/>
    <w:rsid w:val="4C22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TML Definition"/>
    <w:basedOn w:val="6"/>
    <w:uiPriority w:val="0"/>
    <w:rPr>
      <w:i/>
    </w:rPr>
  </w:style>
  <w:style w:type="character" w:customStyle="1" w:styleId="8">
    <w:name w:val="样式1"/>
    <w:basedOn w:val="7"/>
    <w:uiPriority w:val="0"/>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NUL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2025-07-09T00:52:00Z</dcterms:created>
  <dc:creator>碧云天</dc:creator>
  <cp:lastModifiedBy>碧云天</cp:lastModifiedBy>
  <dcterms:modified xsi:type="dcterms:W3CDTF">2025-07-09T07:59:29Z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C62D5C008980452FB6ABF7DCA1713E0B_11</vt:lpwstr>
  </property>
  <property fmtid="{D5CDD505-2E9C-101B-9397-08002B2CF9AE}" pid="4" name="KSOTemplateDocerSaveRecord">
    <vt:lpwstr>eyJoZGlkIjoiNzI2ZGI0OGUzMDAzMzk0YmE1OTYyMDVlZGMwMmYyODYiLCJ1c2VySWQiOiIxMTM5NjM2MTk5In0=</vt:lpwstr>
  </property>
</Properties>
</file>