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A2728">
      <w:pPr>
        <w:rPr>
          <w:rFonts w:ascii="Times New Roman" w:hAnsi="Times New Roman"/>
        </w:rPr>
      </w:pPr>
      <w:bookmarkStart w:id="0" w:name="_Toc15377425"/>
      <w:bookmarkStart w:id="1" w:name="_Toc15306267"/>
      <w:bookmarkStart w:id="2" w:name="_Toc15377193"/>
      <w:bookmarkStart w:id="3" w:name="_Toc15396475"/>
      <w:bookmarkStart w:id="4" w:name="_Toc15378441"/>
      <w:bookmarkStart w:id="5" w:name="_Toc15396597"/>
    </w:p>
    <w:bookmarkEnd w:id="0"/>
    <w:bookmarkEnd w:id="1"/>
    <w:bookmarkEnd w:id="2"/>
    <w:bookmarkEnd w:id="3"/>
    <w:bookmarkEnd w:id="4"/>
    <w:bookmarkEnd w:id="5"/>
    <w:p w14:paraId="545E9943">
      <w:pPr>
        <w:pStyle w:val="7"/>
        <w:jc w:val="both"/>
        <w:rPr>
          <w:rFonts w:hint="eastAsia" w:ascii="方正小标宋简体" w:hAnsi="宋体" w:eastAsia="方正小标宋简体" w:cs="Times New Roman"/>
          <w:color w:val="auto"/>
          <w:kern w:val="2"/>
          <w:sz w:val="44"/>
          <w:szCs w:val="44"/>
          <w:highlight w:val="none"/>
          <w:lang w:val="en-US" w:eastAsia="zh-CN" w:bidi="ar-SA"/>
        </w:rPr>
      </w:pPr>
    </w:p>
    <w:p w14:paraId="1019D64D">
      <w:pPr>
        <w:pStyle w:val="7"/>
        <w:jc w:val="center"/>
        <w:rPr>
          <w:rFonts w:hint="eastAsia" w:ascii="方正小标宋简体" w:hAnsi="宋体" w:eastAsia="方正小标宋简体" w:cs="Times New Roman"/>
          <w:b/>
          <w:bCs/>
          <w:color w:val="auto"/>
          <w:kern w:val="2"/>
          <w:sz w:val="52"/>
          <w:szCs w:val="52"/>
          <w:highlight w:val="none"/>
          <w:lang w:val="en-US" w:eastAsia="zh-CN" w:bidi="ar-SA"/>
        </w:rPr>
      </w:pPr>
      <w:r>
        <w:rPr>
          <w:rFonts w:hint="eastAsia" w:ascii="方正小标宋简体" w:hAnsi="宋体" w:eastAsia="方正小标宋简体" w:cs="Times New Roman"/>
          <w:b/>
          <w:bCs/>
          <w:color w:val="auto"/>
          <w:kern w:val="2"/>
          <w:sz w:val="52"/>
          <w:szCs w:val="52"/>
          <w:highlight w:val="none"/>
          <w:lang w:val="en-US" w:eastAsia="zh-CN" w:bidi="ar-SA"/>
        </w:rPr>
        <w:t>2024年度</w:t>
      </w:r>
      <w:bookmarkStart w:id="6" w:name="_Toc15396598"/>
      <w:bookmarkStart w:id="7" w:name="_Toc15378442"/>
      <w:bookmarkStart w:id="8" w:name="_Toc15377194"/>
      <w:bookmarkStart w:id="9" w:name="_Toc15396476"/>
      <w:bookmarkStart w:id="10" w:name="_Toc15306268"/>
      <w:bookmarkStart w:id="11" w:name="_Toc15377426"/>
    </w:p>
    <w:p w14:paraId="13A2AB8A">
      <w:pPr>
        <w:pStyle w:val="7"/>
        <w:jc w:val="center"/>
        <w:rPr>
          <w:rFonts w:hint="eastAsia" w:ascii="方正小标宋简体" w:hAnsi="宋体" w:eastAsia="方正小标宋简体" w:cs="Times New Roman"/>
          <w:b/>
          <w:bCs/>
          <w:color w:val="auto"/>
          <w:kern w:val="2"/>
          <w:sz w:val="52"/>
          <w:szCs w:val="52"/>
          <w:highlight w:val="none"/>
          <w:lang w:val="en-US" w:eastAsia="zh-CN" w:bidi="ar-SA"/>
        </w:rPr>
      </w:pPr>
      <w:r>
        <w:rPr>
          <w:rFonts w:hint="eastAsia" w:ascii="方正小标宋简体" w:hAnsi="宋体" w:eastAsia="方正小标宋简体" w:cs="Times New Roman"/>
          <w:b/>
          <w:bCs/>
          <w:color w:val="auto"/>
          <w:kern w:val="2"/>
          <w:sz w:val="52"/>
          <w:szCs w:val="52"/>
          <w:highlight w:val="none"/>
          <w:lang w:val="en-US" w:eastAsia="zh-CN" w:bidi="ar-SA"/>
        </w:rPr>
        <w:t>峨边彝族自治县新林镇人民政府</w:t>
      </w:r>
    </w:p>
    <w:p w14:paraId="1F8C5408">
      <w:pPr>
        <w:pStyle w:val="7"/>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b/>
          <w:bCs/>
          <w:color w:val="auto"/>
          <w:kern w:val="2"/>
          <w:sz w:val="52"/>
          <w:szCs w:val="52"/>
          <w:highlight w:val="none"/>
          <w:lang w:val="en-US" w:eastAsia="zh-CN" w:bidi="ar-SA"/>
        </w:rPr>
        <w:t>部门决算</w:t>
      </w:r>
      <w:bookmarkEnd w:id="6"/>
      <w:bookmarkEnd w:id="7"/>
      <w:bookmarkEnd w:id="8"/>
      <w:bookmarkEnd w:id="9"/>
      <w:bookmarkEnd w:id="10"/>
      <w:bookmarkEnd w:id="11"/>
    </w:p>
    <w:p w14:paraId="091C306D">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1FDFAA5A">
      <w:pPr>
        <w:widowControl/>
        <w:jc w:val="center"/>
        <w:rPr>
          <w:rFonts w:ascii="Times New Roman" w:hAnsi="Times New Roman" w:eastAsia="黑体" w:cstheme="minorBidi"/>
          <w:color w:val="auto"/>
          <w:sz w:val="28"/>
          <w:szCs w:val="28"/>
          <w:highlight w:val="none"/>
        </w:rPr>
      </w:pPr>
    </w:p>
    <w:p w14:paraId="38385245">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日</w:t>
      </w:r>
    </w:p>
    <w:p w14:paraId="69189D63">
      <w:pPr>
        <w:rPr>
          <w:rFonts w:ascii="Times New Roman" w:hAnsi="Times New Roman"/>
          <w:color w:val="auto"/>
          <w:highlight w:val="none"/>
        </w:rPr>
      </w:pPr>
    </w:p>
    <w:p w14:paraId="75E0DCBF">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...................................................................1</w:t>
      </w:r>
    </w:p>
    <w:p w14:paraId="3D607B2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.1</w:t>
      </w:r>
    </w:p>
    <w:p w14:paraId="1904178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....3</w:t>
      </w:r>
    </w:p>
    <w:p w14:paraId="4084C79F">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...................................4</w:t>
      </w:r>
    </w:p>
    <w:p w14:paraId="48A225F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.......................................4</w:t>
      </w:r>
    </w:p>
    <w:p w14:paraId="7DBA8C5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.......................................................4</w:t>
      </w:r>
    </w:p>
    <w:p w14:paraId="0ADADD86">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.......................................................5</w:t>
      </w:r>
    </w:p>
    <w:p w14:paraId="5AB615F3">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.......................6</w:t>
      </w:r>
    </w:p>
    <w:p w14:paraId="389F8F82">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...............6</w:t>
      </w:r>
    </w:p>
    <w:p w14:paraId="22D31A1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.....10</w:t>
      </w:r>
    </w:p>
    <w:p w14:paraId="14E76E7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.................10</w:t>
      </w:r>
    </w:p>
    <w:p w14:paraId="309B2D0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.........................12</w:t>
      </w:r>
      <w:bookmarkStart w:id="73" w:name="_GoBack"/>
      <w:bookmarkEnd w:id="73"/>
    </w:p>
    <w:p w14:paraId="4A1C4EF7">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.....................12</w:t>
      </w:r>
    </w:p>
    <w:p w14:paraId="406645E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.........................................13</w:t>
      </w:r>
    </w:p>
    <w:p w14:paraId="79CC631A">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.................................................................14</w:t>
      </w:r>
    </w:p>
    <w:p w14:paraId="6B71EA1B">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.........................................................................18</w:t>
      </w:r>
    </w:p>
    <w:p w14:paraId="6F457A99">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.........................................................................35</w:t>
      </w:r>
    </w:p>
    <w:p w14:paraId="210BE1A3">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47CABAA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45CA4F5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2AF2965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4C62E3A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0E787B36">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0E1813EE">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4AC628F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1904E993">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7447B45E">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74D766FE">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7473B10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3424F53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39A6F93A">
      <w:pPr>
        <w:pStyle w:val="3"/>
        <w:jc w:val="center"/>
        <w:rPr>
          <w:rFonts w:hint="eastAsia" w:ascii="Times New Roman" w:hAnsi="Times New Roman" w:eastAsia="方正小标宋简体" w:cs="方正小标宋简体"/>
          <w:b w:val="0"/>
          <w:color w:val="auto"/>
          <w:highlight w:val="none"/>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bookmarkStart w:id="12" w:name="_Toc15396599"/>
      <w:bookmarkStart w:id="13" w:name="_Toc15377196"/>
    </w:p>
    <w:p w14:paraId="488C5458">
      <w:pPr>
        <w:pStyle w:val="3"/>
        <w:jc w:val="center"/>
        <w:rPr>
          <w:rStyle w:val="32"/>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2"/>
          <w:rFonts w:hint="eastAsia" w:ascii="Times New Roman" w:hAnsi="Times New Roman" w:eastAsia="方正小标宋简体" w:cs="方正小标宋简体"/>
          <w:b w:val="0"/>
          <w:bCs w:val="0"/>
          <w:color w:val="auto"/>
          <w:highlight w:val="none"/>
        </w:rPr>
        <w:t>部门概况</w:t>
      </w:r>
      <w:bookmarkEnd w:id="12"/>
      <w:bookmarkEnd w:id="13"/>
    </w:p>
    <w:p w14:paraId="1E858FA8">
      <w:pPr>
        <w:widowControl/>
        <w:jc w:val="left"/>
        <w:rPr>
          <w:rFonts w:ascii="Times New Roman" w:hAnsi="Times New Roman" w:eastAsia="黑体"/>
          <w:color w:val="auto"/>
          <w:sz w:val="32"/>
          <w:szCs w:val="32"/>
          <w:highlight w:val="none"/>
        </w:rPr>
      </w:pPr>
    </w:p>
    <w:p w14:paraId="49E1F5CC">
      <w:pPr>
        <w:pStyle w:val="4"/>
        <w:rPr>
          <w:rFonts w:hint="eastAsia" w:ascii="Times New Roman" w:hAnsi="Times New Roman" w:eastAsia="黑体"/>
          <w:b w:val="0"/>
          <w:color w:val="auto"/>
          <w:highlight w:val="none"/>
          <w:lang w:eastAsia="zh-CN"/>
        </w:rPr>
      </w:pPr>
      <w:bookmarkStart w:id="14" w:name="_Toc15396600"/>
      <w:bookmarkStart w:id="15" w:name="_Toc15377197"/>
      <w:r>
        <w:rPr>
          <w:rFonts w:hint="eastAsia" w:ascii="Times New Roman" w:hAnsi="Times New Roman" w:eastAsia="黑体"/>
          <w:b w:val="0"/>
          <w:color w:val="auto"/>
          <w:highlight w:val="none"/>
        </w:rPr>
        <w:t>一、</w:t>
      </w:r>
      <w:bookmarkEnd w:id="14"/>
      <w:bookmarkEnd w:id="15"/>
      <w:r>
        <w:rPr>
          <w:rFonts w:hint="eastAsia" w:ascii="Times New Roman" w:hAnsi="Times New Roman" w:eastAsia="黑体"/>
          <w:b w:val="0"/>
          <w:color w:val="auto"/>
          <w:highlight w:val="none"/>
          <w:lang w:eastAsia="zh-CN"/>
        </w:rPr>
        <w:t>部门职责</w:t>
      </w:r>
    </w:p>
    <w:p w14:paraId="46F8A5EF">
      <w:pPr>
        <w:pageBreakBefore w:val="0"/>
        <w:widowControl/>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1、新林镇党委的职能：宣传和执行党的路线</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bidi="ar"/>
        </w:rPr>
        <w:t>方针</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bidi="ar"/>
        </w:rPr>
        <w:t>政策和执行党中央</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bidi="ar"/>
        </w:rPr>
        <w:t>上级组织和本组织的决议</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bidi="ar"/>
        </w:rPr>
        <w:t>发挥党组织的战斗堡垒和党员的先锋模范作用.支持和协助行政负责人完成本单位所担负的任务；组织党员认真学习马克思列宁主义</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bidi="ar"/>
        </w:rPr>
        <w:t>毛泽东思想</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bidi="ar"/>
        </w:rPr>
        <w:t>邓小平理论和党的路线</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bidi="ar"/>
        </w:rPr>
        <w:t>方针</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bidi="ar"/>
        </w:rPr>
        <w:t>政策以及决议，学习科学</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bidi="ar"/>
        </w:rPr>
        <w:t>文化和业务知识；对党员进行严格管理，督促党员履行义务，保障党员的权利不受侵犯；对党员进行监督，严格执行党的纪律，加强党风廉政建设，坚决同腐败现象作斗争；做好机关工作人员的思想政治工作，推进机关社会主义精神文明建设。了解反映群众意见，维护群众的正当利益，帮助群众解决实际困难；对入党积极分子进行教育.培养和考察，做好发展党员工作；协助党组管理机关党组织和群众组织的干部，配合干部人事部门对机关行政领导干部进行考核和民主评议；对机关行政干部的任免.调动和奖惩提出意见和建议；领导机关工会.共青团.妇联等群众组织，支持这些组织依照各自的章程独立负责地开展工作；按照党组织的隶属关系，领导直属单位的工作。</w:t>
      </w:r>
    </w:p>
    <w:p w14:paraId="185180F0">
      <w:pPr>
        <w:ind w:left="0" w:leftChars="0" w:firstLine="640" w:firstLineChars="200"/>
        <w:rPr>
          <w:rFonts w:hint="eastAsia"/>
          <w:lang w:eastAsia="zh-CN"/>
        </w:rPr>
      </w:pPr>
      <w:r>
        <w:rPr>
          <w:rFonts w:hint="eastAsia" w:ascii="仿宋_GB2312" w:hAnsi="仿宋_GB2312" w:eastAsia="仿宋_GB2312" w:cs="仿宋_GB2312"/>
          <w:color w:val="000000"/>
          <w:kern w:val="0"/>
          <w:sz w:val="32"/>
          <w:szCs w:val="32"/>
          <w:shd w:val="clear" w:color="auto" w:fill="FFFFFF"/>
          <w:lang w:bidi="ar"/>
        </w:rPr>
        <w:t>2、新林镇政府职能：宣传落实好党的路线.方针.政策和国家的法律.法规，稳定农村基本经济制度，坚持依法行政，推进政务公开，加强对村民委员会的指导，提高培养村民委员会自治能力；科学制定发展规划，营造农村经济发展环境，加强农村市场监督，培育提高市场功能，搞活市场流通，推广农业技术，完善农业社会化服务体系，引导农民发展现代农业，调整产业结构，加强农村劳动力技能培训，引导农村劳动力转移和就业，不断提高社会主义新农村建设水平；要坚持“立党为公，执政为民”，紧紧围绕实现和维护群众利益开展工作。突出解决人民群众最关心.最直接.最现实的利益问题。要加强和巩固农村基层政权建设和民主法制建设，加强社会治安综合治理，加强对突发事件的预警和管理，建立健全各种应急机制，加强民事纠纷调解，化解农村社会矛盾，开展农村扶贫和社会救助，切实保障农民合法权益，维护农村社会稳定；加强民政.教育.科技.文化.卫生.计划生育.安全生产.劳动保障和乡村规划等社会管理，加强社会主义精神文明建设，做好防灾减灾工作。加强环境保护，努力改善农村人居环境，不断提高农村人口素质和农民生活质量；进一步发展和完善农业社会服务体系，引导各类协会和农村专业合作经济组织发展并充分发挥其作用，发展农村社会公益事业和集体公益事业，加强农村基础设施建设，增加公益产品，提供政策.科技.市场信息和社会救济.救助服务，及时向上级党委.政府反映社情民意，进一步密切党和政府与人民群众的关系。</w:t>
      </w:r>
    </w:p>
    <w:p w14:paraId="0C867AE5">
      <w:pPr>
        <w:pStyle w:val="4"/>
        <w:rPr>
          <w:rStyle w:val="33"/>
          <w:rFonts w:ascii="Times New Roman" w:hAnsi="Times New Roman"/>
          <w:b w:val="0"/>
          <w:bCs w:val="0"/>
          <w:color w:val="auto"/>
          <w:highlight w:val="none"/>
        </w:rPr>
      </w:pPr>
      <w:bookmarkStart w:id="16" w:name="_Toc15396601"/>
      <w:bookmarkStart w:id="17" w:name="_Toc15377200"/>
      <w:r>
        <w:rPr>
          <w:rFonts w:hint="eastAsia" w:ascii="Times New Roman" w:hAnsi="Times New Roman" w:eastAsia="黑体"/>
          <w:b w:val="0"/>
          <w:color w:val="auto"/>
          <w:highlight w:val="none"/>
        </w:rPr>
        <w:t>二、机</w:t>
      </w:r>
      <w:r>
        <w:rPr>
          <w:rStyle w:val="33"/>
          <w:rFonts w:hint="eastAsia" w:ascii="Times New Roman" w:hAnsi="Times New Roman" w:eastAsia="黑体"/>
          <w:b w:val="0"/>
          <w:bCs w:val="0"/>
          <w:color w:val="auto"/>
          <w:highlight w:val="none"/>
        </w:rPr>
        <w:t>构设置</w:t>
      </w:r>
      <w:bookmarkEnd w:id="16"/>
      <w:bookmarkEnd w:id="17"/>
    </w:p>
    <w:p w14:paraId="10A4EDB6">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峨边彝族自治县新林镇人民政府</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5B908341">
      <w:pPr>
        <w:pStyle w:val="7"/>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峨边彝族自治县新林镇人民政府</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14:paraId="7105EC79">
      <w:pPr>
        <w:pStyle w:val="7"/>
        <w:numPr>
          <w:ilvl w:val="0"/>
          <w:numId w:val="1"/>
        </w:numPr>
        <w:adjustRightInd w:val="0"/>
        <w:snapToGrid w:val="0"/>
        <w:spacing w:before="93" w:line="600" w:lineRule="exact"/>
        <w:outlineLvl w:val="2"/>
        <w:rPr>
          <w:rFonts w:ascii="Times New Roman" w:hAnsi="Times New Roman" w:eastAsia="仿宋"/>
          <w:color w:val="auto"/>
          <w:kern w:val="0"/>
          <w:sz w:val="32"/>
          <w:szCs w:val="32"/>
          <w:highlight w:val="none"/>
        </w:rPr>
      </w:pPr>
      <w:bookmarkStart w:id="18" w:name="_Toc15377202"/>
      <w:bookmarkStart w:id="19" w:name="_Toc15378449"/>
      <w:bookmarkStart w:id="20" w:name="_Toc15377433"/>
      <w:bookmarkStart w:id="21" w:name="_Toc15306276"/>
      <w:r>
        <w:rPr>
          <w:rFonts w:hint="eastAsia" w:ascii="仿宋_GB2312" w:hAnsi="仿宋_GB2312" w:eastAsia="仿宋_GB2312" w:cs="仿宋_GB2312"/>
          <w:color w:val="auto"/>
          <w:sz w:val="32"/>
          <w:szCs w:val="32"/>
          <w:highlight w:val="none"/>
          <w:lang w:eastAsia="zh-CN"/>
        </w:rPr>
        <w:t>峨边彝族自治县新林镇人民政府</w:t>
      </w:r>
      <w:bookmarkEnd w:id="18"/>
      <w:bookmarkEnd w:id="19"/>
      <w:bookmarkEnd w:id="20"/>
      <w:bookmarkEnd w:id="21"/>
      <w:r>
        <w:rPr>
          <w:rFonts w:hint="eastAsia" w:hAnsi="仿宋_GB2312" w:cs="仿宋_GB2312"/>
          <w:color w:val="auto"/>
          <w:sz w:val="32"/>
          <w:szCs w:val="32"/>
          <w:highlight w:val="none"/>
          <w:lang w:eastAsia="zh-CN"/>
        </w:rPr>
        <w:t>。</w:t>
      </w:r>
      <w:r>
        <w:rPr>
          <w:rFonts w:ascii="Times New Roman" w:hAnsi="Times New Roman" w:eastAsia="仿宋"/>
          <w:color w:val="auto"/>
          <w:sz w:val="32"/>
          <w:szCs w:val="32"/>
          <w:highlight w:val="none"/>
        </w:rPr>
        <w:br w:type="page"/>
      </w:r>
    </w:p>
    <w:p w14:paraId="393AAF4B">
      <w:pPr>
        <w:pStyle w:val="3"/>
        <w:jc w:val="center"/>
        <w:rPr>
          <w:rFonts w:hint="eastAsia" w:ascii="Times New Roman" w:hAnsi="Times New Roman" w:eastAsia="方正小标宋简体" w:cs="方正小标宋简体"/>
          <w:b w:val="0"/>
          <w:color w:val="auto"/>
          <w:highlight w:val="none"/>
        </w:rPr>
      </w:pPr>
      <w:bookmarkStart w:id="22" w:name="_Toc15377204"/>
      <w:bookmarkStart w:id="23"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22"/>
      <w:bookmarkEnd w:id="23"/>
    </w:p>
    <w:p w14:paraId="058509DA">
      <w:pPr>
        <w:rPr>
          <w:rFonts w:ascii="Times New Roman" w:hAnsi="Times New Roman"/>
          <w:color w:val="auto"/>
          <w:highlight w:val="none"/>
        </w:rPr>
      </w:pPr>
    </w:p>
    <w:p w14:paraId="21D7FBA4">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3"/>
          <w:rFonts w:hint="eastAsia" w:ascii="Times New Roman" w:hAnsi="Times New Roman" w:eastAsia="黑体"/>
          <w:b w:val="0"/>
          <w:color w:val="auto"/>
          <w:highlight w:val="none"/>
        </w:rPr>
      </w:pPr>
      <w:bookmarkStart w:id="24" w:name="_Toc15396603"/>
      <w:bookmarkStart w:id="25"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3"/>
          <w:rFonts w:hint="eastAsia" w:ascii="Times New Roman" w:hAnsi="Times New Roman" w:eastAsia="黑体"/>
          <w:b w:val="0"/>
          <w:color w:val="auto"/>
          <w:highlight w:val="none"/>
        </w:rPr>
        <w:t>入支出决算总体情况说明</w:t>
      </w:r>
      <w:bookmarkEnd w:id="24"/>
      <w:bookmarkEnd w:id="25"/>
    </w:p>
    <w:p w14:paraId="22AB267D">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仿宋_GB2312"/>
          <w:color w:val="auto"/>
          <w:sz w:val="32"/>
          <w:szCs w:val="32"/>
          <w:highlight w:val="none"/>
          <w:lang w:val="en-US" w:eastAsia="zh-CN"/>
        </w:rPr>
        <w:t>1688.84</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30.61</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1.85</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2024年人员经费预算增加。</w:t>
      </w:r>
    </w:p>
    <w:p w14:paraId="3B2835AF">
      <w:pPr>
        <w:pStyle w:val="3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outlineLvl w:val="1"/>
        <w:rPr>
          <w:rFonts w:hint="default" w:eastAsia="仿宋_GB2312" w:cs="仿宋_GB2312"/>
          <w:color w:val="auto"/>
          <w:sz w:val="32"/>
          <w:szCs w:val="32"/>
          <w:highlight w:val="none"/>
          <w:lang w:val="en-US" w:eastAsia="zh-CN"/>
        </w:rPr>
      </w:pPr>
      <w:r>
        <w:drawing>
          <wp:inline distT="0" distB="0" distL="114300" distR="114300">
            <wp:extent cx="4562475" cy="29051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4562475" cy="2905125"/>
                    </a:xfrm>
                    <a:prstGeom prst="rect">
                      <a:avLst/>
                    </a:prstGeom>
                    <a:noFill/>
                    <a:ln>
                      <a:noFill/>
                    </a:ln>
                  </pic:spPr>
                </pic:pic>
              </a:graphicData>
            </a:graphic>
          </wp:inline>
        </w:drawing>
      </w:r>
    </w:p>
    <w:p w14:paraId="421D03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29D6C4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708A50EA">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6" w:name="_Toc15377206"/>
      <w:bookmarkStart w:id="27" w:name="_Toc15396604"/>
      <w:r>
        <w:rPr>
          <w:rFonts w:hint="eastAsia" w:ascii="Times New Roman" w:hAnsi="Times New Roman" w:eastAsia="黑体"/>
          <w:color w:val="auto"/>
          <w:sz w:val="32"/>
          <w:szCs w:val="32"/>
          <w:highlight w:val="none"/>
          <w:lang w:eastAsia="zh-CN"/>
        </w:rPr>
        <w:t>二、收入决算情况说明</w:t>
      </w:r>
      <w:bookmarkEnd w:id="26"/>
      <w:bookmarkEnd w:id="27"/>
    </w:p>
    <w:p w14:paraId="5B7431B6">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eastAsia="仿宋_GB2312" w:cs="仿宋_GB2312"/>
          <w:color w:val="auto"/>
          <w:sz w:val="32"/>
          <w:szCs w:val="32"/>
          <w:highlight w:val="none"/>
          <w:lang w:val="en-US" w:eastAsia="zh-CN"/>
        </w:rPr>
        <w:t>1681.55</w:t>
      </w:r>
      <w:r>
        <w:rPr>
          <w:rFonts w:hint="eastAsia" w:ascii="仿宋_GB2312" w:hAnsi="仿宋_GB2312" w:eastAsia="仿宋_GB2312" w:cs="仿宋_GB2312"/>
          <w:sz w:val="32"/>
          <w:szCs w:val="32"/>
        </w:rPr>
        <w:t>万元，其中：一般公共预算财政拨款收入</w:t>
      </w:r>
      <w:r>
        <w:rPr>
          <w:rFonts w:hint="eastAsia" w:eastAsia="仿宋_GB2312" w:cs="仿宋_GB2312"/>
          <w:color w:val="auto"/>
          <w:sz w:val="32"/>
          <w:szCs w:val="32"/>
          <w:highlight w:val="none"/>
          <w:lang w:val="en-US" w:eastAsia="zh-CN"/>
        </w:rPr>
        <w:t>1670.77</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99.36</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lang w:val="en-US" w:eastAsia="zh-CN"/>
        </w:rPr>
        <w:t>10.78</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sz w:val="32"/>
          <w:szCs w:val="32"/>
          <w:highlight w:val="none"/>
          <w:lang w:eastAsia="zh-CN"/>
        </w:rPr>
        <w:t>，占</w:t>
      </w:r>
      <w:r>
        <w:rPr>
          <w:rFonts w:hint="eastAsia" w:ascii="仿宋_GB2312" w:hAnsi="仿宋_GB2312" w:eastAsia="仿宋_GB2312" w:cs="仿宋_GB2312"/>
          <w:sz w:val="32"/>
          <w:szCs w:val="32"/>
          <w:lang w:val="en-US" w:eastAsia="zh-CN"/>
        </w:rPr>
        <w:t>0.64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eastAsia="zh-CN"/>
        </w:rPr>
        <w:t>。</w:t>
      </w:r>
    </w:p>
    <w:p w14:paraId="1490F52E">
      <w:pPr>
        <w:pStyle w:val="3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outlineLvl w:val="1"/>
        <w:rPr>
          <w:rFonts w:hint="eastAsia" w:ascii="仿宋_GB2312" w:hAnsi="仿宋_GB2312" w:eastAsia="仿宋_GB2312" w:cs="仿宋_GB2312"/>
          <w:color w:val="auto"/>
          <w:sz w:val="32"/>
          <w:szCs w:val="32"/>
          <w:highlight w:val="none"/>
          <w:lang w:eastAsia="zh-CN"/>
        </w:rPr>
      </w:pPr>
      <w:r>
        <w:drawing>
          <wp:inline distT="0" distB="0" distL="114300" distR="114300">
            <wp:extent cx="4562475" cy="29146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4562475" cy="2914650"/>
                    </a:xfrm>
                    <a:prstGeom prst="rect">
                      <a:avLst/>
                    </a:prstGeom>
                    <a:noFill/>
                    <a:ln>
                      <a:noFill/>
                    </a:ln>
                  </pic:spPr>
                </pic:pic>
              </a:graphicData>
            </a:graphic>
          </wp:inline>
        </w:drawing>
      </w:r>
    </w:p>
    <w:p w14:paraId="6DCBEBF6">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49AFA117">
      <w:pPr>
        <w:ind w:firstLine="800" w:firstLineChars="250"/>
        <w:rPr>
          <w:rFonts w:hint="eastAsia" w:ascii="Times New Roman" w:hAnsi="Times New Roman" w:eastAsia="仿宋_GB2312" w:cs="仿宋_GB2312"/>
          <w:color w:val="auto"/>
          <w:sz w:val="32"/>
          <w:szCs w:val="32"/>
          <w:highlight w:val="none"/>
          <w:lang w:eastAsia="zh-CN"/>
        </w:rPr>
      </w:pPr>
    </w:p>
    <w:p w14:paraId="25E51307">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3"/>
          <w:rFonts w:hint="eastAsia" w:ascii="Times New Roman" w:hAnsi="Times New Roman" w:eastAsia="黑体"/>
          <w:b w:val="0"/>
          <w:color w:val="auto"/>
          <w:highlight w:val="none"/>
        </w:rPr>
      </w:pPr>
      <w:bookmarkStart w:id="28" w:name="_Toc15377207"/>
      <w:bookmarkStart w:id="29"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3"/>
          <w:rFonts w:hint="eastAsia" w:ascii="Times New Roman" w:hAnsi="Times New Roman" w:eastAsia="黑体"/>
          <w:b w:val="0"/>
          <w:color w:val="auto"/>
          <w:highlight w:val="none"/>
        </w:rPr>
        <w:t>出决算情况说明</w:t>
      </w:r>
      <w:bookmarkEnd w:id="28"/>
      <w:bookmarkEnd w:id="29"/>
    </w:p>
    <w:p w14:paraId="7E3C4F3B">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eastAsia="仿宋_GB2312" w:cs="仿宋_GB2312"/>
          <w:color w:val="auto"/>
          <w:sz w:val="32"/>
          <w:szCs w:val="32"/>
          <w:highlight w:val="none"/>
          <w:lang w:val="en-US" w:eastAsia="zh-CN"/>
        </w:rPr>
        <w:t>1681.55</w:t>
      </w:r>
      <w:r>
        <w:rPr>
          <w:rFonts w:hint="eastAsia" w:ascii="仿宋_GB2312" w:hAnsi="仿宋_GB2312" w:eastAsia="仿宋_GB2312" w:cs="仿宋_GB2312"/>
          <w:color w:val="auto"/>
          <w:sz w:val="32"/>
          <w:szCs w:val="32"/>
          <w:highlight w:val="none"/>
          <w:lang w:eastAsia="zh-CN"/>
        </w:rPr>
        <w:t>万元，其中：基本支出</w:t>
      </w:r>
      <w:r>
        <w:rPr>
          <w:rFonts w:hint="eastAsia" w:ascii="Times New Roman" w:hAnsi="Times New Roman" w:eastAsia="仿宋_GB2312" w:cs="仿宋_GB2312"/>
          <w:color w:val="auto"/>
          <w:sz w:val="32"/>
          <w:szCs w:val="32"/>
          <w:highlight w:val="none"/>
        </w:rPr>
        <w:t>1465.12</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87.13</w:t>
      </w:r>
      <w:r>
        <w:rPr>
          <w:rFonts w:hint="eastAsia" w:ascii="仿宋_GB2312" w:hAnsi="仿宋_GB2312" w:eastAsia="仿宋_GB2312" w:cs="仿宋_GB2312"/>
          <w:color w:val="auto"/>
          <w:sz w:val="32"/>
          <w:szCs w:val="32"/>
          <w:highlight w:val="none"/>
          <w:lang w:eastAsia="zh-CN"/>
        </w:rPr>
        <w:t>%；项目支出</w:t>
      </w:r>
      <w:r>
        <w:rPr>
          <w:rFonts w:hint="eastAsia" w:ascii="Times New Roman" w:hAnsi="Times New Roman" w:eastAsia="仿宋_GB2312" w:cs="仿宋_GB2312"/>
          <w:color w:val="auto"/>
          <w:sz w:val="32"/>
          <w:szCs w:val="32"/>
          <w:highlight w:val="none"/>
        </w:rPr>
        <w:t>216.43</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12.87</w:t>
      </w:r>
      <w:r>
        <w:rPr>
          <w:rFonts w:hint="eastAsia" w:ascii="仿宋_GB2312" w:hAnsi="仿宋_GB2312" w:eastAsia="仿宋_GB2312" w:cs="仿宋_GB2312"/>
          <w:color w:val="auto"/>
          <w:sz w:val="32"/>
          <w:szCs w:val="32"/>
          <w:highlight w:val="none"/>
          <w:lang w:eastAsia="zh-CN"/>
        </w:rPr>
        <w:t>%。</w:t>
      </w:r>
    </w:p>
    <w:p w14:paraId="2F9D1C86">
      <w:pPr>
        <w:pStyle w:val="3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outlineLvl w:val="1"/>
        <w:rPr>
          <w:rFonts w:hint="eastAsia" w:ascii="仿宋_GB2312" w:hAnsi="仿宋_GB2312" w:eastAsia="仿宋_GB2312" w:cs="仿宋_GB2312"/>
          <w:color w:val="auto"/>
          <w:sz w:val="32"/>
          <w:szCs w:val="32"/>
          <w:highlight w:val="none"/>
          <w:lang w:eastAsia="zh-CN"/>
        </w:rPr>
      </w:pPr>
      <w:r>
        <w:drawing>
          <wp:inline distT="0" distB="0" distL="114300" distR="114300">
            <wp:extent cx="4562475" cy="29051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4562475" cy="2905125"/>
                    </a:xfrm>
                    <a:prstGeom prst="rect">
                      <a:avLst/>
                    </a:prstGeom>
                    <a:noFill/>
                    <a:ln>
                      <a:noFill/>
                    </a:ln>
                  </pic:spPr>
                </pic:pic>
              </a:graphicData>
            </a:graphic>
          </wp:inline>
        </w:drawing>
      </w:r>
    </w:p>
    <w:p w14:paraId="0A90A7DA">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430530DF">
      <w:pPr>
        <w:ind w:firstLine="800" w:firstLineChars="250"/>
        <w:rPr>
          <w:rFonts w:hint="eastAsia" w:ascii="Times New Roman" w:hAnsi="Times New Roman" w:eastAsia="仿宋_GB2312" w:cs="仿宋_GB2312"/>
          <w:color w:val="auto"/>
          <w:sz w:val="32"/>
          <w:szCs w:val="32"/>
          <w:highlight w:val="none"/>
          <w:lang w:eastAsia="zh-CN"/>
        </w:rPr>
      </w:pPr>
    </w:p>
    <w:p w14:paraId="3F580AA9">
      <w:pPr>
        <w:spacing w:line="600" w:lineRule="exact"/>
        <w:ind w:firstLine="640" w:firstLineChars="200"/>
        <w:outlineLvl w:val="1"/>
        <w:rPr>
          <w:rStyle w:val="33"/>
          <w:rFonts w:ascii="Times New Roman" w:hAnsi="Times New Roman" w:eastAsia="黑体"/>
          <w:b w:val="0"/>
          <w:color w:val="auto"/>
          <w:highlight w:val="none"/>
        </w:rPr>
      </w:pPr>
      <w:bookmarkStart w:id="30" w:name="_Toc15396606"/>
      <w:bookmarkStart w:id="31" w:name="_Toc15377208"/>
      <w:r>
        <w:rPr>
          <w:rFonts w:hint="eastAsia" w:ascii="Times New Roman" w:hAnsi="Times New Roman" w:eastAsia="黑体"/>
          <w:color w:val="auto"/>
          <w:sz w:val="32"/>
          <w:szCs w:val="32"/>
          <w:highlight w:val="none"/>
        </w:rPr>
        <w:t>四、财</w:t>
      </w:r>
      <w:r>
        <w:rPr>
          <w:rStyle w:val="33"/>
          <w:rFonts w:hint="eastAsia" w:ascii="Times New Roman" w:hAnsi="Times New Roman" w:eastAsia="黑体"/>
          <w:b w:val="0"/>
          <w:color w:val="auto"/>
          <w:highlight w:val="none"/>
        </w:rPr>
        <w:t>政拨款收入支出决算总体情况说明</w:t>
      </w:r>
      <w:bookmarkEnd w:id="30"/>
      <w:bookmarkEnd w:id="31"/>
    </w:p>
    <w:p w14:paraId="00F75347">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eastAsia="仿宋_GB2312" w:cs="仿宋_GB2312"/>
          <w:color w:val="auto"/>
          <w:sz w:val="32"/>
          <w:szCs w:val="32"/>
          <w:highlight w:val="none"/>
          <w:lang w:val="en-US" w:eastAsia="zh-CN"/>
        </w:rPr>
        <w:t>1688.84</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30.61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1.85</w:t>
      </w:r>
      <w:r>
        <w:rPr>
          <w:rFonts w:hint="eastAsia" w:ascii="Times New Roman" w:hAnsi="Times New Roman" w:eastAsia="仿宋_GB2312" w:cs="仿宋_GB2312"/>
          <w:color w:val="auto"/>
          <w:kern w:val="2"/>
          <w:sz w:val="32"/>
          <w:szCs w:val="32"/>
          <w:highlight w:val="none"/>
          <w:lang w:val="en-US" w:eastAsia="zh-CN" w:bidi="ar-SA"/>
        </w:rPr>
        <w:t>%。主要变动原因是2024年人员经费预算增加</w:t>
      </w:r>
      <w:r>
        <w:rPr>
          <w:rFonts w:hint="eastAsia" w:eastAsia="仿宋_GB2312" w:cs="仿宋_GB2312"/>
          <w:color w:val="auto"/>
          <w:kern w:val="2"/>
          <w:sz w:val="32"/>
          <w:szCs w:val="32"/>
          <w:highlight w:val="none"/>
          <w:lang w:val="en-US" w:eastAsia="zh-CN" w:bidi="ar-SA"/>
        </w:rPr>
        <w:t>。</w:t>
      </w:r>
    </w:p>
    <w:p w14:paraId="27284D4D">
      <w:pPr>
        <w:pStyle w:val="2"/>
        <w:jc w:val="center"/>
        <w:rPr>
          <w:rFonts w:hint="default"/>
          <w:lang w:val="en-US" w:eastAsia="zh-CN"/>
        </w:rPr>
      </w:pPr>
      <w:r>
        <w:drawing>
          <wp:inline distT="0" distB="0" distL="114300" distR="114300">
            <wp:extent cx="4562475" cy="29051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4562475" cy="2905125"/>
                    </a:xfrm>
                    <a:prstGeom prst="rect">
                      <a:avLst/>
                    </a:prstGeom>
                    <a:noFill/>
                    <a:ln>
                      <a:noFill/>
                    </a:ln>
                  </pic:spPr>
                </pic:pic>
              </a:graphicData>
            </a:graphic>
          </wp:inline>
        </w:drawing>
      </w:r>
    </w:p>
    <w:p w14:paraId="0F7DE7F6">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6A0ACAE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60DB549">
      <w:pPr>
        <w:spacing w:line="600" w:lineRule="exact"/>
        <w:ind w:firstLine="640" w:firstLineChars="200"/>
        <w:outlineLvl w:val="1"/>
        <w:rPr>
          <w:rStyle w:val="33"/>
          <w:rFonts w:ascii="Times New Roman" w:hAnsi="Times New Roman" w:eastAsia="黑体"/>
          <w:b w:val="0"/>
          <w:color w:val="auto"/>
          <w:highlight w:val="none"/>
        </w:rPr>
      </w:pPr>
      <w:bookmarkStart w:id="32" w:name="_Toc15377209"/>
      <w:bookmarkStart w:id="33"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3"/>
          <w:rFonts w:hint="eastAsia" w:ascii="Times New Roman" w:hAnsi="Times New Roman" w:eastAsia="黑体"/>
          <w:b w:val="0"/>
          <w:color w:val="auto"/>
          <w:highlight w:val="none"/>
        </w:rPr>
        <w:t>般公共预算财政拨款支出决算情况说明</w:t>
      </w:r>
      <w:bookmarkEnd w:id="32"/>
      <w:bookmarkEnd w:id="33"/>
    </w:p>
    <w:p w14:paraId="0F756A4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4"/>
    </w:p>
    <w:p w14:paraId="252EC1E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sz w:val="32"/>
          <w:szCs w:val="32"/>
          <w:highlight w:val="none"/>
          <w:lang w:val="en-US" w:eastAsia="zh-CN"/>
        </w:rPr>
        <w:t>1670.77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sz w:val="32"/>
          <w:szCs w:val="32"/>
          <w:highlight w:val="none"/>
          <w:lang w:val="en-US" w:eastAsia="zh-CN"/>
        </w:rPr>
        <w:t>99.36</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%。与2023年度相比，一般公共预算财政拨款支出增加71.58万元，增长4.48%。主要变动原因是2024年人员经费预算增加。</w:t>
      </w:r>
    </w:p>
    <w:p w14:paraId="33F91E28">
      <w:pPr>
        <w:pStyle w:val="2"/>
        <w:jc w:val="center"/>
        <w:rPr>
          <w:rFonts w:hint="default"/>
          <w:lang w:val="en-US" w:eastAsia="zh-CN"/>
        </w:rPr>
      </w:pPr>
      <w:r>
        <w:drawing>
          <wp:inline distT="0" distB="0" distL="114300" distR="114300">
            <wp:extent cx="4562475" cy="29051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4562475" cy="2905125"/>
                    </a:xfrm>
                    <a:prstGeom prst="rect">
                      <a:avLst/>
                    </a:prstGeom>
                    <a:noFill/>
                    <a:ln>
                      <a:noFill/>
                    </a:ln>
                  </pic:spPr>
                </pic:pic>
              </a:graphicData>
            </a:graphic>
          </wp:inline>
        </w:drawing>
      </w:r>
    </w:p>
    <w:p w14:paraId="11BF1FB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125A9B3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4C7E93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5"/>
    </w:p>
    <w:p w14:paraId="5E659FD4">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sz w:val="32"/>
          <w:szCs w:val="32"/>
          <w:highlight w:val="none"/>
          <w:lang w:val="en-US" w:eastAsia="zh-CN"/>
        </w:rPr>
        <w:t>1670.77</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913.13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54.65</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208.96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12.51</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26.85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1.61</w:t>
      </w:r>
      <w:r>
        <w:rPr>
          <w:rFonts w:hint="eastAsia" w:ascii="Times New Roman" w:hAnsi="Times New Roman" w:eastAsia="仿宋_GB2312" w:cs="仿宋_GB2312"/>
          <w:color w:val="auto"/>
          <w:kern w:val="2"/>
          <w:sz w:val="32"/>
          <w:szCs w:val="32"/>
          <w:highlight w:val="none"/>
          <w:lang w:val="en-US" w:eastAsia="zh-CN" w:bidi="ar-SA"/>
        </w:rPr>
        <w:t>%；农林水支出</w:t>
      </w:r>
      <w:r>
        <w:rPr>
          <w:rFonts w:hint="eastAsia" w:eastAsia="仿宋_GB2312" w:cs="仿宋_GB2312"/>
          <w:color w:val="auto"/>
          <w:kern w:val="2"/>
          <w:sz w:val="32"/>
          <w:szCs w:val="32"/>
          <w:highlight w:val="none"/>
          <w:lang w:val="en-US" w:eastAsia="zh-CN" w:bidi="ar-SA"/>
        </w:rPr>
        <w:t>442.84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26.50</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78.99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4.73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6AB2226">
      <w:pPr>
        <w:pStyle w:val="2"/>
        <w:jc w:val="center"/>
        <w:rPr>
          <w:rFonts w:hint="eastAsia"/>
          <w:lang w:val="en-US" w:eastAsia="zh-CN"/>
        </w:rPr>
      </w:pPr>
      <w:r>
        <w:drawing>
          <wp:inline distT="0" distB="0" distL="114300" distR="114300">
            <wp:extent cx="4552950" cy="29146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4552950" cy="2914650"/>
                    </a:xfrm>
                    <a:prstGeom prst="rect">
                      <a:avLst/>
                    </a:prstGeom>
                    <a:noFill/>
                    <a:ln>
                      <a:noFill/>
                    </a:ln>
                  </pic:spPr>
                </pic:pic>
              </a:graphicData>
            </a:graphic>
          </wp:inline>
        </w:drawing>
      </w:r>
    </w:p>
    <w:p w14:paraId="37B243D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49877C0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EFE439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6"/>
    </w:p>
    <w:p w14:paraId="41C6547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7" w:name="_Toc15378460"/>
      <w:bookmarkStart w:id="38" w:name="_Toc15377444"/>
      <w:bookmarkStart w:id="39"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eastAsia="仿宋_GB2312" w:cs="仿宋_GB2312"/>
          <w:color w:val="auto"/>
          <w:sz w:val="32"/>
          <w:szCs w:val="32"/>
          <w:highlight w:val="none"/>
          <w:lang w:val="en-US" w:eastAsia="zh-CN"/>
        </w:rPr>
        <w:t>1670.77</w:t>
      </w:r>
      <w:r>
        <w:rPr>
          <w:rFonts w:hint="eastAsia" w:eastAsia="仿宋_GB2312" w:cs="仿宋_GB2312"/>
          <w:color w:val="auto"/>
          <w:sz w:val="32"/>
          <w:szCs w:val="32"/>
          <w:highlight w:val="none"/>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99.57</w:t>
      </w:r>
      <w:r>
        <w:rPr>
          <w:rFonts w:hint="eastAsia" w:ascii="Times New Roman" w:hAnsi="Times New Roman" w:eastAsia="仿宋_GB2312" w:cs="仿宋_GB2312"/>
          <w:color w:val="auto"/>
          <w:kern w:val="2"/>
          <w:sz w:val="32"/>
          <w:szCs w:val="32"/>
          <w:highlight w:val="none"/>
          <w:lang w:val="en-US" w:eastAsia="zh-CN" w:bidi="ar-SA"/>
        </w:rPr>
        <w:t>%。其中：</w:t>
      </w:r>
      <w:bookmarkEnd w:id="37"/>
      <w:bookmarkEnd w:id="38"/>
      <w:bookmarkEnd w:id="39"/>
    </w:p>
    <w:p w14:paraId="6B83C9E9">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一般公共服务（类）政府办公厅（室）及相关机构事务（款）行政运行（项）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支出决算为588.98万元，完成预算</w:t>
      </w:r>
      <w:r>
        <w:rPr>
          <w:rFonts w:hint="eastAsia" w:eastAsia="仿宋_GB2312" w:cs="仿宋_GB2312"/>
          <w:color w:val="auto"/>
          <w:kern w:val="2"/>
          <w:sz w:val="32"/>
          <w:szCs w:val="32"/>
          <w:highlight w:val="none"/>
          <w:lang w:val="en-US" w:eastAsia="zh-CN" w:bidi="ar-SA"/>
        </w:rPr>
        <w:t>99.63</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w:t>
      </w:r>
      <w:r>
        <w:rPr>
          <w:rFonts w:hint="eastAsia" w:eastAsia="仿宋_GB2312" w:cs="仿宋_GB2312"/>
          <w:color w:val="auto"/>
          <w:kern w:val="2"/>
          <w:sz w:val="32"/>
          <w:szCs w:val="32"/>
          <w:highlight w:val="none"/>
          <w:lang w:val="en-US" w:eastAsia="zh-CN" w:bidi="ar-SA"/>
        </w:rPr>
        <w:t>行政运行公用经费存量结余，当年未使用。</w:t>
      </w:r>
    </w:p>
    <w:p w14:paraId="66085A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2.一般公共服务（类）政府办公厅（室）及相关机构事务（款）事业运行（项）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支出决算为324.15万元，完成预算</w:t>
      </w:r>
      <w:r>
        <w:rPr>
          <w:rFonts w:hint="eastAsia" w:eastAsia="仿宋_GB2312" w:cs="仿宋_GB2312"/>
          <w:color w:val="auto"/>
          <w:kern w:val="2"/>
          <w:sz w:val="32"/>
          <w:szCs w:val="32"/>
          <w:highlight w:val="none"/>
          <w:lang w:val="en-US" w:eastAsia="zh-CN" w:bidi="ar-SA"/>
        </w:rPr>
        <w:t>98.45</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%，决算数小于预算数的主要原因是事业运行</w:t>
      </w:r>
      <w:r>
        <w:rPr>
          <w:rFonts w:hint="eastAsia" w:eastAsia="仿宋_GB2312" w:cs="仿宋_GB2312"/>
          <w:color w:val="auto"/>
          <w:kern w:val="2"/>
          <w:sz w:val="32"/>
          <w:szCs w:val="32"/>
          <w:highlight w:val="none"/>
          <w:lang w:val="en-US" w:eastAsia="zh-CN" w:bidi="ar-SA"/>
        </w:rPr>
        <w:t>公用经费存量结余，当年未使用。</w:t>
      </w:r>
    </w:p>
    <w:p w14:paraId="6394EDC9">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3.社会保障和就业支出（类）行政事业单位养老支出（款）机关事业单位基本养老保险缴费支出（项）: 支出决算为9</w:t>
      </w:r>
      <w:r>
        <w:rPr>
          <w:rFonts w:hint="eastAsia" w:eastAsia="仿宋_GB2312" w:cs="仿宋_GB2312"/>
          <w:color w:val="auto"/>
          <w:kern w:val="2"/>
          <w:sz w:val="32"/>
          <w:szCs w:val="32"/>
          <w:highlight w:val="none"/>
          <w:lang w:val="en-US" w:eastAsia="zh-CN" w:bidi="ar-SA"/>
        </w:rPr>
        <w:t>2.79</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r>
        <w:rPr>
          <w:rFonts w:hint="eastAsia" w:eastAsia="仿宋_GB2312" w:cs="仿宋_GB2312"/>
          <w:color w:val="auto"/>
          <w:kern w:val="2"/>
          <w:sz w:val="32"/>
          <w:szCs w:val="32"/>
          <w:highlight w:val="none"/>
          <w:lang w:val="en-US" w:eastAsia="zh-CN" w:bidi="ar-SA"/>
        </w:rPr>
        <w:t>。</w:t>
      </w:r>
    </w:p>
    <w:p w14:paraId="34A0134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4.社会保障和就业支出（类）行政事业单位养老支出（款）机关事业单位职业年金缴费支出（项）:支出决算为4</w:t>
      </w:r>
      <w:r>
        <w:rPr>
          <w:rFonts w:hint="eastAsia" w:eastAsia="仿宋_GB2312" w:cs="仿宋_GB2312"/>
          <w:color w:val="auto"/>
          <w:kern w:val="2"/>
          <w:sz w:val="32"/>
          <w:szCs w:val="32"/>
          <w:highlight w:val="none"/>
          <w:lang w:val="en-US" w:eastAsia="zh-CN" w:bidi="ar-SA"/>
        </w:rPr>
        <w:t>6.94</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2D373408">
      <w:pPr>
        <w:spacing w:line="600" w:lineRule="exact"/>
        <w:ind w:firstLine="640"/>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t>5.社会保障和就业支出（类）抚恤（款）死亡抚恤（项）:支出决算为55.70万元，完成预算100%，决算数等于预算数。</w:t>
      </w:r>
    </w:p>
    <w:p w14:paraId="2BDE2CA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.社会保障和就业支出（类）其他社会保障和就业支出（款）其他社会保障和就业支出（项）:支出决算为</w:t>
      </w:r>
      <w:r>
        <w:rPr>
          <w:rFonts w:hint="eastAsia" w:eastAsia="仿宋_GB2312" w:cs="仿宋_GB2312"/>
          <w:color w:val="auto"/>
          <w:kern w:val="2"/>
          <w:sz w:val="32"/>
          <w:szCs w:val="32"/>
          <w:highlight w:val="none"/>
          <w:lang w:val="en-US" w:eastAsia="zh-CN" w:bidi="ar-SA"/>
        </w:rPr>
        <w:t>13.53</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71EF9F3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.卫生健康支出（类）行政事业单位医疗（款）行政单位医疗（项）:支出决算为2</w:t>
      </w:r>
      <w:r>
        <w:rPr>
          <w:rFonts w:hint="eastAsia" w:eastAsia="仿宋_GB2312" w:cs="仿宋_GB2312"/>
          <w:color w:val="auto"/>
          <w:kern w:val="2"/>
          <w:sz w:val="32"/>
          <w:szCs w:val="32"/>
          <w:highlight w:val="none"/>
          <w:lang w:val="en-US" w:eastAsia="zh-CN" w:bidi="ar-SA"/>
        </w:rPr>
        <w:t>6.85</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35A42C3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.农林水支出（类）巩固脱贫攻坚成果衔接乡村振兴（款） 一般行政管理事务支出（项）:支出决算为</w:t>
      </w:r>
      <w:r>
        <w:rPr>
          <w:rFonts w:hint="eastAsia" w:eastAsia="仿宋_GB2312" w:cs="仿宋_GB2312"/>
          <w:color w:val="auto"/>
          <w:kern w:val="2"/>
          <w:sz w:val="32"/>
          <w:szCs w:val="32"/>
          <w:highlight w:val="none"/>
          <w:lang w:val="en-US" w:eastAsia="zh-CN" w:bidi="ar-SA"/>
        </w:rPr>
        <w:t>3.00</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2EA1DD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.农林水支出（类）巩固脱贫攻坚成果衔接乡村振兴（款）其他巩固脱贫攻坚成果衔接乡村振兴支出（项）:支出决算为</w:t>
      </w:r>
      <w:r>
        <w:rPr>
          <w:rFonts w:hint="eastAsia" w:eastAsia="仿宋_GB2312" w:cs="仿宋_GB2312"/>
          <w:color w:val="auto"/>
          <w:kern w:val="2"/>
          <w:sz w:val="32"/>
          <w:szCs w:val="32"/>
          <w:highlight w:val="none"/>
          <w:lang w:val="en-US" w:eastAsia="zh-CN" w:bidi="ar-SA"/>
        </w:rPr>
        <w:t>27.10</w:t>
      </w:r>
      <w:r>
        <w:rPr>
          <w:rFonts w:hint="eastAsia" w:ascii="Times New Roman" w:hAnsi="Times New Roman" w:eastAsia="仿宋_GB2312" w:cs="仿宋_GB2312"/>
          <w:color w:val="auto"/>
          <w:kern w:val="2"/>
          <w:sz w:val="32"/>
          <w:szCs w:val="32"/>
          <w:highlight w:val="none"/>
          <w:lang w:val="en-US" w:eastAsia="zh-CN" w:bidi="ar-SA"/>
        </w:rPr>
        <w:t>万元，完成预算100%，</w:t>
      </w:r>
    </w:p>
    <w:p w14:paraId="48C389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.农林水支出（类）农村综合改革（款）对村民委员会和村党支部的补助（项）:支出决算为</w:t>
      </w:r>
      <w:r>
        <w:rPr>
          <w:rFonts w:hint="eastAsia" w:eastAsia="仿宋_GB2312" w:cs="仿宋_GB2312"/>
          <w:color w:val="auto"/>
          <w:kern w:val="2"/>
          <w:sz w:val="32"/>
          <w:szCs w:val="32"/>
          <w:highlight w:val="none"/>
          <w:lang w:val="en-US" w:eastAsia="zh-CN" w:bidi="ar-SA"/>
        </w:rPr>
        <w:t>245.11</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4F73855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.农林水支出（类）农村综合改革（款） 农村综合改革示范试点补助（项）:支出决算为</w:t>
      </w:r>
      <w:r>
        <w:rPr>
          <w:rFonts w:hint="eastAsia" w:eastAsia="仿宋_GB2312" w:cs="仿宋_GB2312"/>
          <w:color w:val="auto"/>
          <w:kern w:val="2"/>
          <w:sz w:val="32"/>
          <w:szCs w:val="32"/>
          <w:highlight w:val="none"/>
          <w:lang w:val="en-US" w:eastAsia="zh-CN" w:bidi="ar-SA"/>
        </w:rPr>
        <w:t>167.63</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4300013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 住房公积金（项）:支出决算为</w:t>
      </w:r>
      <w:r>
        <w:rPr>
          <w:rFonts w:hint="eastAsia" w:eastAsia="仿宋_GB2312" w:cs="仿宋_GB2312"/>
          <w:color w:val="auto"/>
          <w:kern w:val="2"/>
          <w:sz w:val="32"/>
          <w:szCs w:val="32"/>
          <w:highlight w:val="none"/>
          <w:lang w:val="en-US" w:eastAsia="zh-CN" w:bidi="ar-SA"/>
        </w:rPr>
        <w:t>78.99</w:t>
      </w:r>
      <w:r>
        <w:rPr>
          <w:rFonts w:hint="eastAsia" w:ascii="Times New Roman" w:hAnsi="Times New Roman" w:eastAsia="仿宋_GB2312" w:cs="仿宋_GB2312"/>
          <w:color w:val="auto"/>
          <w:kern w:val="2"/>
          <w:sz w:val="32"/>
          <w:szCs w:val="32"/>
          <w:highlight w:val="none"/>
          <w:lang w:val="en-US" w:eastAsia="zh-CN" w:bidi="ar-SA"/>
        </w:rPr>
        <w:t>万元，完成预算100%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决算数等于预算数。</w:t>
      </w:r>
    </w:p>
    <w:p w14:paraId="2FF24DC8">
      <w:pPr>
        <w:tabs>
          <w:tab w:val="right" w:pos="8306"/>
        </w:tabs>
        <w:spacing w:line="600" w:lineRule="exact"/>
        <w:ind w:firstLine="640"/>
        <w:outlineLvl w:val="1"/>
        <w:rPr>
          <w:rStyle w:val="33"/>
          <w:rFonts w:ascii="Times New Roman" w:hAnsi="Times New Roman"/>
          <w:color w:val="auto"/>
          <w:highlight w:val="none"/>
        </w:rPr>
      </w:pPr>
      <w:bookmarkStart w:id="40" w:name="_Toc15377214"/>
      <w:bookmarkStart w:id="41"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3"/>
          <w:rFonts w:hint="eastAsia" w:ascii="Times New Roman" w:hAnsi="Times New Roman" w:eastAsia="黑体"/>
          <w:b w:val="0"/>
          <w:color w:val="auto"/>
          <w:highlight w:val="none"/>
        </w:rPr>
        <w:t>般公共预算财政拨款基本支出决算情况说明</w:t>
      </w:r>
      <w:bookmarkEnd w:id="40"/>
      <w:bookmarkEnd w:id="41"/>
      <w:r>
        <w:rPr>
          <w:rStyle w:val="33"/>
          <w:rFonts w:ascii="Times New Roman" w:hAnsi="Times New Roman" w:eastAsia="黑体"/>
          <w:b w:val="0"/>
          <w:color w:val="auto"/>
          <w:highlight w:val="none"/>
        </w:rPr>
        <w:tab/>
      </w:r>
    </w:p>
    <w:p w14:paraId="07AC2B0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sz w:val="32"/>
          <w:szCs w:val="32"/>
          <w:highlight w:val="none"/>
          <w:lang w:val="en-US" w:eastAsia="zh-CN"/>
        </w:rPr>
        <w:t>1465.12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7085D12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eastAsia="仿宋_GB2312" w:cs="仿宋_GB2312"/>
          <w:color w:val="auto"/>
          <w:sz w:val="32"/>
          <w:szCs w:val="32"/>
          <w:highlight w:val="none"/>
          <w:lang w:val="en-US" w:eastAsia="zh-CN"/>
        </w:rPr>
        <w:t>1299.70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元，主要包括：基本工资、津贴补贴、奖金、伙食补助费、绩效工资、机关事业单位基本养老保险缴费、职业年金缴费、住房公积金</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其他社会保障缴费、其他工资福利支出、抚恤金、生活补助、住房公积金、其他对个人和家庭的补助支出等。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eastAsia="仿宋_GB2312" w:cs="仿宋_GB2312"/>
          <w:color w:val="auto"/>
          <w:sz w:val="32"/>
          <w:szCs w:val="32"/>
          <w:highlight w:val="none"/>
          <w:lang w:val="en-US" w:eastAsia="zh-CN"/>
        </w:rPr>
        <w:t>165.42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元，主要包括：办公费、印刷费、电费、邮电费、差旅费、维修（护）费、公务接待费、工会经费、福利费、公务用车运行维护费、其他交通费、其他商品和服务支出等。</w:t>
      </w:r>
    </w:p>
    <w:p w14:paraId="5C9333AC">
      <w:pPr>
        <w:spacing w:line="600" w:lineRule="exact"/>
        <w:ind w:firstLine="640"/>
        <w:outlineLvl w:val="1"/>
        <w:rPr>
          <w:rStyle w:val="33"/>
          <w:rFonts w:ascii="Times New Roman" w:hAnsi="Times New Roman" w:eastAsia="黑体"/>
          <w:b w:val="0"/>
          <w:color w:val="auto"/>
          <w:highlight w:val="none"/>
        </w:rPr>
      </w:pPr>
      <w:bookmarkStart w:id="42" w:name="_Toc15377215"/>
      <w:bookmarkStart w:id="43" w:name="_Toc15396609"/>
      <w:r>
        <w:rPr>
          <w:rFonts w:hint="eastAsia" w:ascii="Times New Roman" w:hAnsi="Times New Roman" w:eastAsia="黑体"/>
          <w:color w:val="auto"/>
          <w:sz w:val="32"/>
          <w:szCs w:val="32"/>
          <w:highlight w:val="none"/>
        </w:rPr>
        <w:t>七、</w:t>
      </w:r>
      <w:r>
        <w:rPr>
          <w:rStyle w:val="33"/>
          <w:rFonts w:hint="eastAsia" w:ascii="Times New Roman" w:hAnsi="Times New Roman" w:eastAsia="黑体"/>
          <w:b w:val="0"/>
          <w:color w:val="auto"/>
          <w:highlight w:val="none"/>
        </w:rPr>
        <w:t>财政拨款</w:t>
      </w:r>
      <w:r>
        <w:rPr>
          <w:rStyle w:val="33"/>
          <w:rFonts w:hint="eastAsia" w:ascii="Times New Roman" w:hAnsi="Times New Roman" w:eastAsia="黑体"/>
          <w:color w:val="auto"/>
          <w:highlight w:val="none"/>
        </w:rPr>
        <w:t>“</w:t>
      </w:r>
      <w:r>
        <w:rPr>
          <w:rStyle w:val="33"/>
          <w:rFonts w:hint="eastAsia" w:ascii="Times New Roman" w:hAnsi="Times New Roman" w:eastAsia="黑体"/>
          <w:b w:val="0"/>
          <w:color w:val="auto"/>
          <w:highlight w:val="none"/>
        </w:rPr>
        <w:t>三公”经费支出决算情况说明</w:t>
      </w:r>
      <w:bookmarkEnd w:id="42"/>
      <w:bookmarkEnd w:id="43"/>
    </w:p>
    <w:p w14:paraId="6E33F80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4"/>
    </w:p>
    <w:p w14:paraId="04D4A497">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sz w:val="32"/>
          <w:szCs w:val="32"/>
          <w:highlight w:val="none"/>
          <w:lang w:val="en-US" w:eastAsia="zh-CN"/>
        </w:rPr>
        <w:t>6.55</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eastAsia="仿宋_GB2312" w:cs="仿宋_GB2312"/>
          <w:color w:val="auto"/>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1.53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18.94</w:t>
      </w:r>
      <w:r>
        <w:rPr>
          <w:rFonts w:hint="eastAsia" w:ascii="Times New Roman" w:hAnsi="Times New Roman" w:eastAsia="仿宋_GB2312" w:cs="仿宋_GB2312"/>
          <w:color w:val="auto"/>
          <w:kern w:val="2"/>
          <w:sz w:val="32"/>
          <w:szCs w:val="32"/>
          <w:highlight w:val="none"/>
          <w:lang w:val="en-US" w:eastAsia="zh-CN" w:bidi="ar-SA"/>
        </w:rPr>
        <w:t>%。决算数与预算数持平的主要原因是</w:t>
      </w:r>
      <w:r>
        <w:rPr>
          <w:rFonts w:hint="eastAsia" w:eastAsia="仿宋_GB2312" w:cs="仿宋_GB2312"/>
          <w:color w:val="auto"/>
          <w:kern w:val="2"/>
          <w:sz w:val="32"/>
          <w:szCs w:val="32"/>
          <w:highlight w:val="none"/>
          <w:lang w:val="en-US" w:eastAsia="zh-CN" w:bidi="ar-SA"/>
        </w:rPr>
        <w:t>合理安排三公经费支出。</w:t>
      </w:r>
    </w:p>
    <w:p w14:paraId="0208100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5"/>
    </w:p>
    <w:p w14:paraId="4DCADFA3">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，占0%；公务用车购置及运行维护费支出决算</w:t>
      </w:r>
      <w:r>
        <w:rPr>
          <w:rFonts w:hint="eastAsia" w:eastAsia="仿宋_GB2312" w:cs="仿宋_GB2312"/>
          <w:color w:val="auto"/>
          <w:sz w:val="32"/>
          <w:szCs w:val="32"/>
          <w:highlight w:val="none"/>
          <w:lang w:val="en-US" w:eastAsia="zh-CN"/>
        </w:rPr>
        <w:t>4.94</w:t>
      </w:r>
      <w:r>
        <w:rPr>
          <w:rFonts w:hint="eastAsia" w:ascii="仿宋_GB2312" w:hAnsi="仿宋_GB2312" w:eastAsia="仿宋_GB2312" w:cs="仿宋_GB2312"/>
          <w:color w:val="auto"/>
          <w:kern w:val="2"/>
          <w:sz w:val="32"/>
          <w:szCs w:val="32"/>
          <w:highlight w:val="none"/>
          <w:lang w:val="en-US" w:eastAsia="zh-CN" w:bidi="ar-SA"/>
        </w:rPr>
        <w:t>万元，占75.42%；公务接待费支出决算</w:t>
      </w:r>
      <w:r>
        <w:rPr>
          <w:rFonts w:hint="eastAsia" w:eastAsia="仿宋_GB2312" w:cs="仿宋_GB2312"/>
          <w:color w:val="auto"/>
          <w:sz w:val="32"/>
          <w:szCs w:val="32"/>
          <w:highlight w:val="none"/>
          <w:lang w:val="en-US" w:eastAsia="zh-CN"/>
        </w:rPr>
        <w:t>1.61</w:t>
      </w:r>
      <w:r>
        <w:rPr>
          <w:rFonts w:hint="eastAsia" w:ascii="仿宋_GB2312" w:hAnsi="仿宋_GB2312" w:eastAsia="仿宋_GB2312" w:cs="仿宋_GB2312"/>
          <w:color w:val="auto"/>
          <w:kern w:val="2"/>
          <w:sz w:val="32"/>
          <w:szCs w:val="32"/>
          <w:highlight w:val="none"/>
          <w:lang w:val="en-US" w:eastAsia="zh-CN" w:bidi="ar-SA"/>
        </w:rPr>
        <w:t>万元，占24.58%。具体情况如下：</w:t>
      </w:r>
    </w:p>
    <w:p w14:paraId="18C58119">
      <w:pPr>
        <w:pStyle w:val="2"/>
        <w:jc w:val="center"/>
        <w:rPr>
          <w:rFonts w:hint="eastAsia"/>
          <w:lang w:val="en-US" w:eastAsia="zh-CN"/>
        </w:rPr>
      </w:pPr>
      <w:r>
        <w:drawing>
          <wp:inline distT="0" distB="0" distL="114300" distR="114300">
            <wp:extent cx="4552950" cy="29051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stretch>
                      <a:fillRect/>
                    </a:stretch>
                  </pic:blipFill>
                  <pic:spPr>
                    <a:xfrm>
                      <a:off x="0" y="0"/>
                      <a:ext cx="4552950" cy="2905125"/>
                    </a:xfrm>
                    <a:prstGeom prst="rect">
                      <a:avLst/>
                    </a:prstGeom>
                    <a:noFill/>
                    <a:ln>
                      <a:noFill/>
                    </a:ln>
                  </pic:spPr>
                </pic:pic>
              </a:graphicData>
            </a:graphic>
          </wp:inline>
        </w:drawing>
      </w:r>
    </w:p>
    <w:p w14:paraId="3464387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7F7E2F8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BF84CDA">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color w:val="auto"/>
          <w:sz w:val="32"/>
          <w:szCs w:val="32"/>
          <w:highlight w:val="none"/>
          <w:lang w:val="en-US" w:eastAsia="zh-CN"/>
        </w:rPr>
        <w:t>4.94</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0.57</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13.04</w:t>
      </w:r>
      <w:r>
        <w:rPr>
          <w:rFonts w:hint="eastAsia" w:ascii="Times New Roman" w:hAnsi="Times New Roman" w:eastAsia="仿宋_GB2312" w:cs="仿宋_GB2312"/>
          <w:color w:val="auto"/>
          <w:kern w:val="2"/>
          <w:sz w:val="32"/>
          <w:szCs w:val="32"/>
          <w:highlight w:val="none"/>
          <w:lang w:val="en-US" w:eastAsia="zh-CN" w:bidi="ar-SA"/>
        </w:rPr>
        <w:t>%。主要原因是开展巩固脱贫工作组织下乡增加，安全工作检查、矿山检查等业务增加</w:t>
      </w:r>
      <w:r>
        <w:rPr>
          <w:rFonts w:hint="eastAsia" w:eastAsia="仿宋_GB2312" w:cs="仿宋_GB2312"/>
          <w:color w:val="auto"/>
          <w:kern w:val="2"/>
          <w:sz w:val="32"/>
          <w:szCs w:val="32"/>
          <w:highlight w:val="none"/>
          <w:lang w:val="en-US" w:eastAsia="zh-CN" w:bidi="ar-SA"/>
        </w:rPr>
        <w:t>。</w:t>
      </w:r>
    </w:p>
    <w:p w14:paraId="014F6DEE">
      <w:pPr>
        <w:spacing w:line="600" w:lineRule="exact"/>
        <w:ind w:firstLine="640"/>
        <w:rPr>
          <w:rFonts w:hint="eastAsia" w:ascii="Times New Roman" w:hAnsi="Times New Roman" w:eastAsia="仿宋_GB2312" w:cs="仿宋_GB2312"/>
          <w:color w:val="auto"/>
          <w:kern w:val="2"/>
          <w:sz w:val="32"/>
          <w:szCs w:val="32"/>
          <w:highlight w:val="yellow"/>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0A39713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sz w:val="32"/>
          <w:szCs w:val="32"/>
          <w:highlight w:val="none"/>
          <w:lang w:val="en-US" w:eastAsia="zh-CN"/>
        </w:rPr>
        <w:t>4.94</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乡镇工作</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14:paraId="118EEDB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color w:val="auto"/>
          <w:sz w:val="32"/>
          <w:szCs w:val="32"/>
          <w:highlight w:val="none"/>
          <w:lang w:val="en-US" w:eastAsia="zh-CN"/>
        </w:rPr>
        <w:t>1.61</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2.10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下降56.60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2024年接待人次减少</w:t>
      </w:r>
      <w:r>
        <w:rPr>
          <w:rFonts w:hint="eastAsia" w:ascii="Times New Roman" w:hAnsi="Times New Roman" w:eastAsia="仿宋_GB2312" w:cs="仿宋_GB2312"/>
          <w:color w:val="auto"/>
          <w:kern w:val="2"/>
          <w:sz w:val="32"/>
          <w:szCs w:val="32"/>
          <w:highlight w:val="none"/>
          <w:lang w:val="en-US" w:eastAsia="zh-CN" w:bidi="ar-SA"/>
        </w:rPr>
        <w:t>。其中：</w:t>
      </w:r>
    </w:p>
    <w:p w14:paraId="1BA78C1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sz w:val="32"/>
          <w:szCs w:val="32"/>
          <w:highlight w:val="none"/>
          <w:lang w:val="en-US" w:eastAsia="zh-CN"/>
        </w:rPr>
        <w:t>1.61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eastAsia="仿宋_GB2312" w:cs="仿宋_GB2312"/>
          <w:color w:val="auto"/>
          <w:sz w:val="32"/>
          <w:szCs w:val="32"/>
          <w:highlight w:val="none"/>
          <w:lang w:val="en-US" w:eastAsia="zh-CN"/>
        </w:rPr>
        <w:t>52</w:t>
      </w:r>
      <w:r>
        <w:rPr>
          <w:rFonts w:hint="eastAsia" w:ascii="仿宋_GB2312" w:hAnsi="仿宋_GB2312" w:eastAsia="仿宋_GB2312" w:cs="仿宋_GB2312"/>
          <w:color w:val="auto"/>
          <w:kern w:val="2"/>
          <w:sz w:val="32"/>
          <w:szCs w:val="32"/>
          <w:highlight w:val="none"/>
          <w:lang w:val="en-US" w:eastAsia="zh-CN" w:bidi="ar-SA"/>
        </w:rPr>
        <w:t>批次，</w:t>
      </w:r>
      <w:r>
        <w:rPr>
          <w:rFonts w:hint="eastAsia" w:eastAsia="仿宋_GB2312" w:cs="仿宋_GB2312"/>
          <w:color w:val="auto"/>
          <w:sz w:val="32"/>
          <w:szCs w:val="32"/>
          <w:highlight w:val="none"/>
          <w:lang w:val="en-US" w:eastAsia="zh-CN"/>
        </w:rPr>
        <w:t>322</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1.61</w:t>
      </w:r>
      <w:r>
        <w:rPr>
          <w:rFonts w:hint="eastAsia" w:ascii="Times New Roman" w:hAnsi="Times New Roman" w:eastAsia="仿宋_GB2312" w:cs="仿宋_GB2312"/>
          <w:color w:val="auto"/>
          <w:kern w:val="2"/>
          <w:sz w:val="32"/>
          <w:szCs w:val="32"/>
          <w:highlight w:val="none"/>
          <w:lang w:val="en-US" w:eastAsia="zh-CN" w:bidi="ar-SA"/>
        </w:rPr>
        <w:t>万元，具体内容包括：接待信访上访、县级、市级巩固脱贫攻坚成果、乡村振兴、环保整治、移风易俗等相关工作调研人员。</w:t>
      </w:r>
    </w:p>
    <w:p w14:paraId="01446DA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。外事接待</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46" w:name="_Toc15396610"/>
      <w:bookmarkStart w:id="47" w:name="_Toc15377218"/>
    </w:p>
    <w:p w14:paraId="708DCC2F">
      <w:pPr>
        <w:spacing w:line="600" w:lineRule="exact"/>
        <w:ind w:firstLine="640"/>
        <w:outlineLvl w:val="1"/>
        <w:rPr>
          <w:rStyle w:val="33"/>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3"/>
          <w:rFonts w:hint="eastAsia" w:ascii="Times New Roman" w:hAnsi="Times New Roman" w:eastAsia="黑体"/>
          <w:b w:val="0"/>
          <w:color w:val="auto"/>
          <w:highlight w:val="none"/>
        </w:rPr>
        <w:t>政府性基金预算支出决算情况说明</w:t>
      </w:r>
      <w:bookmarkEnd w:id="46"/>
      <w:bookmarkEnd w:id="47"/>
    </w:p>
    <w:p w14:paraId="1C9127A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lang w:val="en-US" w:eastAsia="zh-CN"/>
        </w:rPr>
        <w:t>10.78</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ascii="仿宋_GB2312" w:hAnsi="仿宋_GB2312" w:eastAsia="仿宋_GB2312" w:cs="仿宋_GB2312"/>
          <w:sz w:val="32"/>
          <w:szCs w:val="32"/>
          <w:lang w:val="en-US" w:eastAsia="zh-CN"/>
        </w:rPr>
        <w:t>0.64</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40.97</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79.17</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2024年政府性基金预算的项目经费减少。</w:t>
      </w:r>
    </w:p>
    <w:p w14:paraId="27BCDB4A">
      <w:pPr>
        <w:numPr>
          <w:ilvl w:val="0"/>
          <w:numId w:val="0"/>
        </w:numPr>
        <w:spacing w:line="600" w:lineRule="exact"/>
        <w:ind w:left="630" w:leftChars="0"/>
        <w:outlineLvl w:val="1"/>
        <w:rPr>
          <w:rStyle w:val="33"/>
          <w:rFonts w:ascii="Times New Roman" w:hAnsi="Times New Roman" w:eastAsia="黑体"/>
          <w:b w:val="0"/>
          <w:color w:val="auto"/>
          <w:highlight w:val="none"/>
        </w:rPr>
      </w:pPr>
      <w:bookmarkStart w:id="48" w:name="_Toc15396611"/>
      <w:bookmarkStart w:id="49" w:name="_Toc15377219"/>
      <w:r>
        <w:rPr>
          <w:rStyle w:val="33"/>
          <w:rFonts w:hint="eastAsia" w:ascii="Times New Roman" w:hAnsi="Times New Roman" w:eastAsia="黑体"/>
          <w:b w:val="0"/>
          <w:color w:val="auto"/>
          <w:highlight w:val="none"/>
          <w:lang w:eastAsia="zh-CN"/>
        </w:rPr>
        <w:t>九、</w:t>
      </w:r>
      <w:r>
        <w:rPr>
          <w:rStyle w:val="33"/>
          <w:rFonts w:hint="eastAsia" w:ascii="Times New Roman" w:hAnsi="Times New Roman" w:eastAsia="黑体"/>
          <w:b w:val="0"/>
          <w:color w:val="auto"/>
          <w:highlight w:val="none"/>
        </w:rPr>
        <w:t>国有资本经营预算支出决算情况说明</w:t>
      </w:r>
      <w:bookmarkEnd w:id="48"/>
      <w:bookmarkEnd w:id="49"/>
    </w:p>
    <w:p w14:paraId="40ECB3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05FB274">
      <w:pPr>
        <w:numPr>
          <w:ilvl w:val="0"/>
          <w:numId w:val="0"/>
        </w:numPr>
        <w:spacing w:line="600" w:lineRule="exact"/>
        <w:ind w:left="630" w:leftChars="0"/>
        <w:outlineLvl w:val="1"/>
        <w:rPr>
          <w:rStyle w:val="33"/>
          <w:rFonts w:hint="eastAsia" w:ascii="Times New Roman" w:hAnsi="Times New Roman" w:eastAsia="黑体"/>
          <w:b w:val="0"/>
          <w:color w:val="auto"/>
          <w:highlight w:val="none"/>
        </w:rPr>
      </w:pPr>
      <w:bookmarkStart w:id="50" w:name="_Toc15396612"/>
      <w:bookmarkStart w:id="51" w:name="_Toc15377221"/>
      <w:r>
        <w:rPr>
          <w:rStyle w:val="33"/>
          <w:rFonts w:hint="eastAsia" w:ascii="Times New Roman" w:hAnsi="Times New Roman" w:eastAsia="黑体"/>
          <w:b w:val="0"/>
          <w:color w:val="auto"/>
          <w:highlight w:val="none"/>
          <w:lang w:eastAsia="zh-CN"/>
        </w:rPr>
        <w:t>十、</w:t>
      </w:r>
      <w:r>
        <w:rPr>
          <w:rStyle w:val="33"/>
          <w:rFonts w:hint="eastAsia" w:ascii="Times New Roman" w:hAnsi="Times New Roman" w:eastAsia="黑体"/>
          <w:b w:val="0"/>
          <w:color w:val="auto"/>
          <w:highlight w:val="none"/>
        </w:rPr>
        <w:t>其他重要事项的情况说明</w:t>
      </w:r>
      <w:bookmarkEnd w:id="50"/>
      <w:bookmarkEnd w:id="51"/>
    </w:p>
    <w:p w14:paraId="702B85E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2" w:name="_Toc15377222"/>
      <w:r>
        <w:rPr>
          <w:rFonts w:hint="eastAsia" w:ascii="Times New Roman" w:hAnsi="Times New Roman" w:eastAsia="楷体_GB2312" w:cs="楷体_GB2312"/>
          <w:b/>
          <w:color w:val="auto"/>
          <w:sz w:val="32"/>
          <w:szCs w:val="32"/>
          <w:highlight w:val="none"/>
        </w:rPr>
        <w:t>（一）机关运行经费支出情况</w:t>
      </w:r>
      <w:bookmarkEnd w:id="52"/>
    </w:p>
    <w:p w14:paraId="0D42310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eastAsia="仿宋_GB2312" w:cs="仿宋_GB2312"/>
          <w:color w:val="auto"/>
          <w:sz w:val="32"/>
          <w:szCs w:val="32"/>
          <w:highlight w:val="none"/>
          <w:lang w:val="en-US" w:eastAsia="zh-CN"/>
        </w:rPr>
        <w:t>165.42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11.34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6.42</w:t>
      </w:r>
      <w:r>
        <w:rPr>
          <w:rFonts w:hint="eastAsia" w:ascii="Times New Roman" w:hAnsi="Times New Roman" w:eastAsia="仿宋_GB2312" w:cs="仿宋_GB2312"/>
          <w:color w:val="auto"/>
          <w:kern w:val="2"/>
          <w:sz w:val="32"/>
          <w:szCs w:val="32"/>
          <w:highlight w:val="none"/>
          <w:lang w:val="en-US" w:eastAsia="zh-CN" w:bidi="ar-SA"/>
        </w:rPr>
        <w:t>%。主要原因是业务活动经费减少</w:t>
      </w:r>
      <w:r>
        <w:rPr>
          <w:rFonts w:hint="eastAsia" w:eastAsia="仿宋_GB2312" w:cs="仿宋_GB2312"/>
          <w:color w:val="auto"/>
          <w:kern w:val="2"/>
          <w:sz w:val="32"/>
          <w:szCs w:val="32"/>
          <w:highlight w:val="none"/>
          <w:lang w:val="en-US" w:eastAsia="zh-CN" w:bidi="ar-SA"/>
        </w:rPr>
        <w:t>。</w:t>
      </w:r>
    </w:p>
    <w:p w14:paraId="1613BEE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3" w:name="_Toc15377223"/>
      <w:r>
        <w:rPr>
          <w:rFonts w:hint="eastAsia" w:ascii="Times New Roman" w:hAnsi="Times New Roman" w:eastAsia="楷体_GB2312" w:cs="楷体_GB2312"/>
          <w:b/>
          <w:color w:val="auto"/>
          <w:sz w:val="32"/>
          <w:szCs w:val="32"/>
          <w:highlight w:val="none"/>
        </w:rPr>
        <w:t>（二）政府采购支出情况</w:t>
      </w:r>
      <w:bookmarkEnd w:id="53"/>
    </w:p>
    <w:p w14:paraId="24C1501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2024年度，政府采购支出总额</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w:t>
      </w:r>
    </w:p>
    <w:p w14:paraId="1F689DB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4" w:name="_Toc15377224"/>
      <w:r>
        <w:rPr>
          <w:rFonts w:hint="eastAsia" w:ascii="Times New Roman" w:hAnsi="Times New Roman" w:eastAsia="楷体_GB2312" w:cs="楷体_GB2312"/>
          <w:b/>
          <w:color w:val="auto"/>
          <w:sz w:val="32"/>
          <w:szCs w:val="32"/>
          <w:highlight w:val="none"/>
        </w:rPr>
        <w:t>（三）国有资产占有使用情况</w:t>
      </w:r>
      <w:bookmarkEnd w:id="54"/>
    </w:p>
    <w:p w14:paraId="25F47B1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截至2024年12月31日，共有车辆</w:t>
      </w:r>
      <w:r>
        <w:rPr>
          <w:rFonts w:hint="eastAsia" w:eastAsia="仿宋_GB2312" w:cs="仿宋_GB2312"/>
          <w:color w:val="auto"/>
          <w:sz w:val="32"/>
          <w:szCs w:val="32"/>
          <w:highlight w:val="none"/>
          <w:lang w:val="en-US" w:eastAsia="zh-CN"/>
        </w:rPr>
        <w:t>5</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eastAsia="仿宋_GB2312" w:cs="仿宋_GB2312"/>
          <w:color w:val="auto"/>
          <w:sz w:val="32"/>
          <w:szCs w:val="32"/>
          <w:highlight w:val="none"/>
          <w:lang w:val="en-US" w:eastAsia="zh-CN"/>
        </w:rPr>
        <w:t>5</w:t>
      </w:r>
      <w:r>
        <w:rPr>
          <w:rFonts w:hint="eastAsia" w:ascii="仿宋_GB2312" w:hAnsi="仿宋_GB2312" w:eastAsia="仿宋_GB2312" w:cs="仿宋_GB2312"/>
          <w:color w:val="auto"/>
          <w:kern w:val="2"/>
          <w:sz w:val="32"/>
          <w:szCs w:val="32"/>
          <w:highlight w:val="none"/>
          <w:lang w:val="en-US" w:eastAsia="zh-CN" w:bidi="ar-SA"/>
        </w:rPr>
        <w:t>辆，其他用车主要是用于下村出差。单价100万元（含）以上设备（不含车辆）</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763B7DA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251226D7">
      <w:pPr>
        <w:keepNext w:val="0"/>
        <w:keepLines w:val="0"/>
        <w:pageBreakBefore w:val="0"/>
        <w:widowControl w:val="0"/>
        <w:suppressAutoHyphens/>
        <w:kinsoku/>
        <w:wordWrap/>
        <w:overflowPunct/>
        <w:topLinePunct w:val="0"/>
        <w:bidi w:val="0"/>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w:t>
      </w:r>
      <w:r>
        <w:rPr>
          <w:rFonts w:hint="eastAsia" w:ascii="仿宋_GB2312"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lang w:val="en-US" w:eastAsia="zh-CN"/>
        </w:rPr>
        <w:t>年度</w:t>
      </w:r>
      <w:r>
        <w:rPr>
          <w:rFonts w:hint="eastAsia" w:ascii="仿宋_GB2312" w:hAnsi="Times New Roman" w:eastAsia="仿宋_GB2312" w:cs="Times New Roman"/>
          <w:color w:val="auto"/>
          <w:sz w:val="32"/>
          <w:szCs w:val="32"/>
          <w:highlight w:val="none"/>
          <w:lang w:eastAsia="zh-CN"/>
        </w:rPr>
        <w:t>预算编制阶段，组织对</w:t>
      </w:r>
      <w:r>
        <w:rPr>
          <w:rFonts w:hint="eastAsia" w:ascii="仿宋_GB2312" w:hAnsi="仿宋_GB2312" w:eastAsia="仿宋_GB2312"/>
          <w:b w:val="0"/>
          <w:bCs/>
          <w:color w:val="000000"/>
          <w:kern w:val="2"/>
          <w:sz w:val="32"/>
          <w:lang w:val="zh-CN"/>
        </w:rPr>
        <w:t>农村公共服务运行维护经费</w:t>
      </w:r>
      <w:r>
        <w:rPr>
          <w:rFonts w:hint="eastAsia" w:ascii="仿宋_GB2312" w:hAnsi="Times New Roman" w:eastAsia="仿宋_GB2312" w:cs="Times New Roman"/>
          <w:color w:val="auto"/>
          <w:sz w:val="32"/>
          <w:szCs w:val="32"/>
          <w:highlight w:val="none"/>
          <w:lang w:eastAsia="zh-CN"/>
        </w:rPr>
        <w:t>项目等</w:t>
      </w:r>
      <w:r>
        <w:rPr>
          <w:rFonts w:hint="eastAsia" w:ascii="仿宋_GB2312" w:hAnsi="Times New Roman" w:eastAsia="仿宋_GB2312" w:cs="Times New Roman"/>
          <w:color w:val="auto"/>
          <w:sz w:val="32"/>
          <w:szCs w:val="32"/>
          <w:highlight w:val="none"/>
          <w:lang w:val="en-US" w:eastAsia="zh-CN"/>
        </w:rPr>
        <w:t>1个项目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hAnsi="Times New Roman" w:eastAsia="仿宋_GB2312" w:cs="Times New Roman"/>
          <w:color w:val="auto"/>
          <w:sz w:val="32"/>
          <w:szCs w:val="32"/>
          <w:highlight w:val="none"/>
          <w:lang w:val="en-US" w:eastAsia="zh-CN"/>
        </w:rPr>
        <w:t>1</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hAnsi="Times New Roman" w:eastAsia="仿宋_GB2312" w:cs="Times New Roman"/>
          <w:color w:val="auto"/>
          <w:sz w:val="32"/>
          <w:szCs w:val="32"/>
          <w:highlight w:val="none"/>
          <w:lang w:val="en-US" w:eastAsia="zh-CN"/>
        </w:rPr>
        <w:t>1</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hAnsi="Times New Roman" w:eastAsia="仿宋_GB2312" w:cs="Times New Roman"/>
          <w:color w:val="auto"/>
          <w:sz w:val="32"/>
          <w:szCs w:val="32"/>
          <w:highlight w:val="none"/>
          <w:lang w:val="en-US" w:eastAsia="zh-CN"/>
        </w:rPr>
        <w:t>1个项目开展绩效自评，绩效自评表详见第四部分附件。</w:t>
      </w:r>
    </w:p>
    <w:p w14:paraId="521484B7">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5" w:name="_Toc15396613"/>
      <w:bookmarkStart w:id="56"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5"/>
      <w:bookmarkEnd w:id="56"/>
    </w:p>
    <w:p w14:paraId="04E139B4">
      <w:pPr>
        <w:spacing w:line="600" w:lineRule="exact"/>
        <w:jc w:val="left"/>
        <w:rPr>
          <w:rFonts w:ascii="Times New Roman" w:hAnsi="Times New Roman"/>
          <w:b/>
          <w:color w:val="auto"/>
          <w:sz w:val="44"/>
          <w:szCs w:val="44"/>
          <w:highlight w:val="none"/>
        </w:rPr>
      </w:pPr>
    </w:p>
    <w:p w14:paraId="643B5C1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1E5AE14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 xml:space="preserve">.使用非财政拨款结余（含专用结余）：指事业单位使用以前年度积累的非财政拨款结余弥补当年收支差额的金额。 </w:t>
      </w:r>
    </w:p>
    <w:p w14:paraId="18831C0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 xml:space="preserve">.年初结转和结余：指以前年度尚未完成、结转到本年按有关规定继续使用的资金。 </w:t>
      </w:r>
    </w:p>
    <w:p w14:paraId="38ED8C0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.结余分配：指事业单位按照会计制度规定缴纳的所得税、提取的专用结余以及转入非财政拨款结余的金额等。</w:t>
      </w:r>
    </w:p>
    <w:p w14:paraId="4C4BEF4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.年末结转和结余：指单位按有关规定结转到下年或以后年度继续使用的资金。</w:t>
      </w:r>
    </w:p>
    <w:p w14:paraId="067AE6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.一般公共服务支出（类）政府办公厅（室）及相关机构事务（款）行政运行（项）: 指反映行政单位（包括实行公务员管理的事业单位）的基本支出。</w:t>
      </w:r>
    </w:p>
    <w:p w14:paraId="55F11D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.一般公共服务支出（类）政府办公厅（室）及相关机构事务（款）事业运行（项）:指反映事业单位的基本支出不包括行政单位（包括实行公务员管理的事业单位）后勤服务中心、医务室等附属事业单位。</w:t>
      </w:r>
    </w:p>
    <w:p w14:paraId="7B05EB4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.社会保障和就业支出（类）行政事业单位养老支出（款）机关事业单位基本养老保险缴费支出（项）: 指反映机关事业单位实施养老保险制度由单位缴纳的基本养老保险费支出。</w:t>
      </w:r>
    </w:p>
    <w:p w14:paraId="268052D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.社会保障和就业支出（类）行政事业单位养老支出（款）机关事业单位职业年金缴费支出（项）:指反映机关事业单位实施养老保险制度由单位实际缴纳的职业年金支出。</w:t>
      </w:r>
    </w:p>
    <w:p w14:paraId="46531F5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.社会保障和就业支出（类）其他社会保障和就业支出（款）其他社会保障和就业支出（项）:指反映除上述项目以外其他用于社会保障和就业方面的支出。</w:t>
      </w:r>
    </w:p>
    <w:p w14:paraId="01FF23E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.卫生健康支出（类）计划生育事务（款）其他计划生育事务支出（项）:指反映村计生专干补经费。</w:t>
      </w:r>
    </w:p>
    <w:p w14:paraId="34D86C7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行政单位医疗（项）:指反映财政部门安排的行政单位（包括实行公务员管理的事业单位）基本医疗保险缴费经费，未参加医疗保险的行政单位的公费医疗经费，按国家规定享受离休人员待遇的医疗经费。</w:t>
      </w:r>
    </w:p>
    <w:p w14:paraId="1AE577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.卫生健康支出（类）行政事业单位医疗（款）公务员医疗补助（项）:指反映财政部门安排的公务员医疗补助经费。</w:t>
      </w:r>
    </w:p>
    <w:p w14:paraId="748312F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.农林水支出（类）农村综合改革（款）对村级公益事业建设的补助（项）:指反映农村税费改革后对村级公益事业建设的补助支出。</w:t>
      </w:r>
    </w:p>
    <w:p w14:paraId="377BAE4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.农林水支出（类）农村综合改革（款）对村民委员会和村党支部的补助（项）:指各级财政对村民委员会和村党支部的补助支出，以及支持建立县级基本财力保障机制安排的村级组织运转奖补资金。</w:t>
      </w:r>
    </w:p>
    <w:p w14:paraId="4B57244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.农林水支出（类）农村综合改革（款） 农村综合改革示范试点补助（项）:指各级财政对农村综合改革示范试点、新型农村社会化服务体系建设等补助支出。</w:t>
      </w:r>
    </w:p>
    <w:p w14:paraId="713AF5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 住房公积金（项）:指行政事业单位安人力资源和社会保障部、财政部规定的基本工资和津贴补贴以及规定比列为职工缴纳的住房公积金。</w:t>
      </w:r>
    </w:p>
    <w:p w14:paraId="355B34D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2BF2974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0B3E54F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6296669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w:t>
      </w:r>
      <w:r>
        <w:rPr>
          <w:rFonts w:hint="eastAsia" w:ascii="Times New Roman" w:hAnsi="Times New Roman" w:eastAsia="仿宋_GB2312" w:cs="仿宋_GB2312"/>
          <w:color w:val="auto"/>
          <w:kern w:val="2"/>
          <w:sz w:val="32"/>
          <w:szCs w:val="32"/>
          <w:highlight w:val="none"/>
          <w:lang w:val="en-US" w:eastAsia="zh-CN" w:bidi="ar-SA"/>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771AC7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08D5B95">
      <w:pPr>
        <w:spacing w:line="600" w:lineRule="exact"/>
        <w:jc w:val="both"/>
        <w:rPr>
          <w:rStyle w:val="32"/>
          <w:rFonts w:hint="eastAsia" w:ascii="Times New Roman" w:hAnsi="Times New Roman" w:eastAsia="黑体"/>
          <w:b w:val="0"/>
          <w:color w:val="auto"/>
          <w:highlight w:val="none"/>
          <w:lang w:eastAsia="zh-CN"/>
        </w:rPr>
      </w:pPr>
      <w:bookmarkStart w:id="57"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8"/>
    </w:p>
    <w:p w14:paraId="5C50D056">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00215DF7">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21C0A5BE">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2A5F34EA">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报告范本</w:t>
      </w:r>
    </w:p>
    <w:p w14:paraId="5E907F85">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18E8C629">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58EE5F6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一、部门基本情况</w:t>
      </w:r>
    </w:p>
    <w:p w14:paraId="7ACF0FC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（一）机构组成。</w:t>
      </w:r>
    </w:p>
    <w:p w14:paraId="052C56E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新林人民政府属行政单位，内设六办三中心。包括党政办、党建办公室、社会事务和社会治理办公室、经济发展和规划建设办公室、综合执法办公室、应急管理办公室、便民服务中心、农业综合服务中心、高山果蔬产业规划中心。</w:t>
      </w:r>
    </w:p>
    <w:p w14:paraId="61FA9A9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（二）机构职能和人员概况。</w:t>
      </w:r>
    </w:p>
    <w:p w14:paraId="7BE49B7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落实国家政策，严格依法行政，发挥经济管理职能，加强政策引导，制定发展规划，服务市场主体和营造发展环境，搞好市场监管，大力促进社会事业发展，发展镇村经济、文化和社会事业，提供公共服务，维护社会稳定，执行本级人民代表大会的决议和上级国家行政机关的决定和命令，发布决定和命令，执行本行政区域内的经济和社会发展计划、预算，管理本行政区域内的经济、教育、科学、文化、卫生、体育事业和财政、民政、公安、司法行政、计划生育等行政工作，构建社会主义和谐社会。新林镇总编制58名，其中：行政编制26名，工勤编制0名，事业编制32名。在职人员总数53名，其中：行政32名，工勤0名，事业21名。</w:t>
      </w:r>
    </w:p>
    <w:p w14:paraId="23AAAC0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（三）年度主要工作任务。</w:t>
      </w:r>
    </w:p>
    <w:p w14:paraId="582FBFE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（1）扎实开展党建引领“六大行动”</w:t>
      </w:r>
    </w:p>
    <w:p w14:paraId="24BDB1D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是坚定政治武装。围绕习近平新时代中国特色社会主义思想、党的二十届三中全会、省委市委县委系列全会，开展理论中心组学习10次。党委会第一议题做好重要论述、重要会议、重要文件精神学习传达。开展意识形态及网络安全专题研究3次，镇村两级开展理论政策宣讲80余次，组织开展“书香峨边、全民阅读”、趣味运动会等文化宣传活动，黄泥村村志编纂形成初稿。建立“每周固定学习日”制度，协助开展“有事来协商”“人大代表之家”讨论活动10次，组织党员干部围绕乡镇产业升级、乡村振兴等实际问题，并向县人大、县政协提供有效建议3条。</w:t>
      </w:r>
    </w:p>
    <w:p w14:paraId="5C4A183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二是强化队伍建设。按照新林镇2023-2024年度农村党员冬训计划，集中培训在家党员226名，流动党员6名。11名党政班子、63名镇村干部先后参加2024年东西部协作▪乡村振兴视野拓展培训班、村（社区）党组织书记进修班、“百日炼钢”成长计划等培训班。积极推荐“两优一先”，茗新村党组织获评省级先进基层党组织、1名镇干部（邓松）荣评县级优秀共产党员。开展驻村工作队培训6次、驻村干部集中谈心谈话4次、驻村干部履职工作情况暗访督查6次，发现并现场交办整改问题21个。</w:t>
      </w:r>
    </w:p>
    <w:p w14:paraId="1F1DA95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三是严格正风肃纪。将党的纪律学习教育与“三会一课”、中心组学习等紧密结合，召开党纪学习教育专题课8次，交流研讨6次，廉政教育学习2次，观看教育警示片2次，组织参观廉洁阵地1次。围绕镇村干部违纪、巩脱工作迎检，开展党政班子廉政建设专题民主生活会1次、镇党委主要领导带头开展工作反思会2次。形成《新林镇干部工作管理六项要求》和《新林镇干部8小时之外六项纪律要求》等管理制度2项。</w:t>
      </w:r>
    </w:p>
    <w:p w14:paraId="7112383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（2）持续巩固脱贫攻坚成果接续奋斗乡村振兴</w:t>
      </w:r>
    </w:p>
    <w:p w14:paraId="6060A8F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是常态化开展风险监测。始终做到“能纳尽纳”“应消尽消”“动态管理”。全年新增监测户27户107人，消除风险15户59人，动态新增71人、减少75人。开展大小凉山夯基强本行动和全覆盖集中大排查工作,通过“户户见面+家家通话”，纳入检测对象8户39人，消除风险1户5人，监测户脱贫户123户476人，均落实“双联户”，完善收入测算和佐证材料。</w:t>
      </w:r>
    </w:p>
    <w:p w14:paraId="0E67538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二是针对性落实问题整改。对标国省市县三级督导反馈的20个问题，现已整改13个，7个正在整改中；镇村两级对标举一反三自查问题36个，落实整改措施112条，目前已整改27个，9个正在整改中。每村形成1个工作报告，共计44户的重点关注户。完成2024年“秋季雨露计划”资金拨付134人，实现2024年脱贫户、监测户医疗保险全覆盖购买，养老保险购买2268人，医疗二次救助10人，引导就业2100人次。</w:t>
      </w:r>
    </w:p>
    <w:p w14:paraId="4877D7B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三是精准化做好国检准备。开展镇村两级干部应知应会学习4轮次，11个村迎检模拟演练1次，由联村领导牵头，对各村“收入最低、条件最弱、满意最差、信访最多、卫生最脏”各5户群众全覆盖走访2次。全年召开控辍保学专题会议4次，先后劝返厌学逃学生32人次。争取资金10余万元，更新饮水管道9千米、水池建设2个，解决270户780人临时缺水困难。新建D级危房3户，维修改造C级危房3户。精心制定了每个村迎检方案、迎检线路，妥善安排了带路人和翻译人员，确定了镇村两级资料明白人和所有脱贫户、监测户家庭明白人。</w:t>
      </w:r>
    </w:p>
    <w:p w14:paraId="381AE33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（3）推动经济发展</w:t>
      </w:r>
    </w:p>
    <w:p w14:paraId="3775EB2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是项目建设方面。实施551.47万的新林镇麻柳村以工代赈示范项目建设，已完成主体进入整改阶段，预计12月10日完成整改。实施黄泥村连户路提升项目建设，目前完成3.5米宽的入户路1千米、10.5米便民桥一座，预计12月底之前交工验收。推动百里林竹产业园配套南环线改扩建项目，目前开挖1.1千米，完成新林镇麻柳村村内道路15公里畅通工程。</w:t>
      </w:r>
    </w:p>
    <w:p w14:paraId="62DEF52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二是农业发展方面。完成生猪检疫出栏6200头、生猪保险母猪878头10536元、肥猪1945头17116元、肉牛160头8000元。完成种植业保险10905，66亩45908.3元、农房保险387户3715.2元。聚焦江湾畜牧养殖场和九龙刘洪荣养殖场、金星村廖长萤养殖场和辖区内二水厂建设、饮用水源地保护，开展环保督察工作65人次。落实农村沼气及有限空间、农村秸秆焚烧及农村废弃物排查工作120人次。推进农村宅基地建设审批10户，其中原拆原建农房9户，异地新建农房1户。</w:t>
      </w:r>
    </w:p>
    <w:p w14:paraId="3EE5022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三是产业发展方面。鼓励农民发展农业产业，完成8个村2533户9060.15亩补贴面积的耕地地力保护补贴清查核实上报工作，5个村42个组724户1429.2亩油菜补贴工作。鼓励茗新、黄泥、九龙、麻柳、红椿、白杨、瓦洛、大香等村发展三月竹，让群众户均增收7000元以上。茗新农文旅融合蓬勃发展，今年节假日民宿房间供不应求，累计产生收益20万元以上。</w:t>
      </w:r>
    </w:p>
    <w:p w14:paraId="1779957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四是坚守底线方面。新林镇2024年地质灾害避险搬迁目标任务83户，地灾工程治理3处，截至目前已完成验收拨款120户，超额完成45%， 3处地灾治理工程已接近完工。全年完成新增耕地恢复126.74亩，完成下达就地整改耕地3.422亩（最新下达6.2亩），涉及卫片执法图斑6宗已完成1宗整改，3宗整改在即。</w:t>
      </w:r>
    </w:p>
    <w:p w14:paraId="0F7D31F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（4）构建社会和谐稳定</w:t>
      </w:r>
    </w:p>
    <w:p w14:paraId="1F81F51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是民生福祉向善向好。落实41人特殊困难群体补贴9万余元，分别兑现215人困难残疾人生活补贴、352人重度残疾人护理补贴25.56万元、29.42万元。新增完成残疾人评残和换证46人、残疾人扶持发展19户、残疾人灵活就业91户，落实残疾人实用技术培训21人，对55名残疾人分别慰问500元现金或物资。充分利用彝族年等重大节日和单位帮扶，慰问困难党员43名、困难家庭286户共计12.8万元。</w:t>
      </w:r>
    </w:p>
    <w:p w14:paraId="324D1F8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二是安全工作求精求细。集中组织开展形式多样的“安全宣传月”“安全宣传咨询日”活动，发放各类宣传1800余份。常态化对全镇8个地灾点、27个山洪点、17个野外戏水点、22个水电站、2个非煤矿山以及118家“九小场所”等开展集中大排查大整治6次，及时排除安全隐患53个。全镇全年自然灾害转移避险3200人次左右，落实应急避险经费19000元左右。</w:t>
      </w:r>
    </w:p>
    <w:p w14:paraId="03508AF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三是信访维稳有力有序。运用德古工作法、亲情工作法、赶场工作法和法律援助服务，排查化解矛盾纠纷74起，调解率100%，高质量办理心连心152条，处理信访件13件。精细开展网格管理，登录走访完成率100%。排查易制毒高危场所12次287个，参观2.21警示教育基地和沙坪镇6.26警示教育基地2次；推进“强基固垒”工程三年行动，全覆盖走访13名邪教人员，成功转教2人。全年党委议军4次，开展国防动员潜力调查和民兵整组，兵役登记165人，应征兵报名35人，入伍4人。</w:t>
      </w:r>
    </w:p>
    <w:p w14:paraId="15DFF0A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（5）凝心聚力创先争优</w:t>
      </w:r>
    </w:p>
    <w:p w14:paraId="0C735DA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1月1日，新林镇成功举办跨年音乐现场会；2024年3月6日市总工会带领各区县工会主席到茗新村召开工会现场会；2024年4月24日成功举办全市政协重点工作推广现场会；2024年6月13日成功举办推普进农村现场会。推进新林镇创建全国民族团结进步示范乡镇和茗新村创建全国民族团结进步示范村，新林镇便民服务中心被确认为第三批省级“示范便民服务中心”。新林镇政协工作联络站被政协四川省委员会表彰为“有事来协商”工作先进协商平台。</w:t>
      </w:r>
    </w:p>
    <w:p w14:paraId="72A3CA7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eastAsia" w:ascii="Times New Roman" w:hAnsi="Times New Roman" w:eastAsia="黑体" w:cs="Times New Roman"/>
          <w:color w:val="000000"/>
          <w:kern w:val="0"/>
          <w:sz w:val="32"/>
          <w:szCs w:val="32"/>
          <w:highlight w:val="none"/>
          <w:shd w:val="clear" w:color="auto" w:fill="FFFFFF"/>
          <w:lang w:val="zh-CN" w:eastAsia="zh-CN"/>
        </w:rPr>
        <w:t>二、部门财政资金收支情况</w:t>
      </w:r>
    </w:p>
    <w:p w14:paraId="3B99F474">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（一）部门财政资金收入情况。</w:t>
      </w:r>
    </w:p>
    <w:p w14:paraId="2361A0B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2024年度部门收入总额1681.55万元</w:t>
      </w:r>
      <w:r>
        <w:rPr>
          <w:rFonts w:hint="eastAsia" w:eastAsia="仿宋_GB2312" w:cs="仿宋_GB2312"/>
          <w:color w:val="auto"/>
          <w:kern w:val="2"/>
          <w:sz w:val="32"/>
          <w:szCs w:val="32"/>
          <w:highlight w:val="none"/>
          <w:lang w:val="en-US" w:eastAsia="zh-CN" w:bidi="ar-SA"/>
        </w:rPr>
        <w:t>。</w:t>
      </w:r>
    </w:p>
    <w:p w14:paraId="2253A904">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（二）部门财政资金支出情况。</w:t>
      </w:r>
    </w:p>
    <w:p w14:paraId="5A4C0D9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2024年度部门支出总额1681.55万元</w:t>
      </w:r>
      <w:r>
        <w:rPr>
          <w:rFonts w:hint="eastAsia" w:eastAsia="仿宋_GB2312" w:cs="仿宋_GB2312"/>
          <w:color w:val="auto"/>
          <w:kern w:val="2"/>
          <w:sz w:val="32"/>
          <w:szCs w:val="32"/>
          <w:highlight w:val="none"/>
          <w:lang w:val="en-US" w:eastAsia="zh-CN" w:bidi="ar-SA"/>
        </w:rPr>
        <w:t>。</w:t>
      </w:r>
    </w:p>
    <w:p w14:paraId="64AE3D1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（三）部门财政资金结转结余情况。</w:t>
      </w:r>
    </w:p>
    <w:p w14:paraId="691931C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 xml:space="preserve"> </w:t>
      </w:r>
      <w:r>
        <w:rPr>
          <w:rFonts w:hint="eastAsia" w:ascii="Times New Roman" w:hAnsi="Times New Roman" w:eastAsia="仿宋_GB2312" w:cs="仿宋_GB2312"/>
          <w:color w:val="auto"/>
          <w:kern w:val="2"/>
          <w:sz w:val="32"/>
          <w:szCs w:val="32"/>
          <w:highlight w:val="none"/>
          <w:lang w:val="en-US" w:eastAsia="zh-CN" w:bidi="ar-SA"/>
        </w:rPr>
        <w:t>无结转结余</w:t>
      </w:r>
    </w:p>
    <w:p w14:paraId="62C5655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eastAsia="zh-CN"/>
        </w:rPr>
      </w:pPr>
      <w:r>
        <w:rPr>
          <w:rFonts w:hint="eastAsia" w:ascii="Times New Roman" w:hAnsi="Times New Roman" w:eastAsia="黑体" w:cs="Times New Roman"/>
          <w:color w:val="000000"/>
          <w:kern w:val="0"/>
          <w:sz w:val="32"/>
          <w:szCs w:val="32"/>
          <w:highlight w:val="none"/>
          <w:shd w:val="clear" w:color="auto" w:fill="FFFFFF"/>
          <w:lang w:val="zh-CN" w:eastAsia="zh-CN"/>
        </w:rPr>
        <w:t>三、部门整体绩效管理情况（根据自评体系进行描述）</w:t>
      </w:r>
    </w:p>
    <w:p w14:paraId="2E7EB8CF">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（一）部门整体履职绩效分析。</w:t>
      </w:r>
    </w:p>
    <w:p w14:paraId="47BA371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预算管理方面，编制内在职人员控制率小于100%，支出总额控制在预算总额以内。制度执行总体较为有效，但仍需进一步强化，资金使用管理需进一步加强。</w:t>
      </w:r>
      <w:r>
        <w:rPr>
          <w:rFonts w:hint="eastAsia" w:ascii="Times New Roman" w:hAnsi="Times New Roman" w:eastAsia="仿宋_GB2312" w:cs="仿宋_GB2312"/>
          <w:color w:val="auto"/>
          <w:kern w:val="2"/>
          <w:sz w:val="32"/>
          <w:szCs w:val="32"/>
          <w:highlight w:val="none"/>
          <w:lang w:val="en-US" w:eastAsia="zh-CN" w:bidi="ar-SA"/>
        </w:rPr>
        <w:t>单位内部控制制度需进一步健全，内控制度执行还需进一步规范。</w:t>
      </w:r>
    </w:p>
    <w:p w14:paraId="7D888384">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（二）特定目标类项目绩效分析。</w:t>
      </w:r>
    </w:p>
    <w:p w14:paraId="3A18964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新林镇人民政府绩效目标按要求向社会公开，部门整体绩效自评情况和自行组织的评价情况向社会公开，及时整改了绩效管理发现问题，向财政部门反馈结果应用情况。资金主要投入在2024年基层组织和农村公共服务运行维护费（上级）</w:t>
      </w:r>
      <w:r>
        <w:rPr>
          <w:rFonts w:hint="eastAsia" w:ascii="Times New Roman" w:hAnsi="Times New Roman" w:eastAsia="仿宋_GB2312" w:cs="仿宋_GB2312"/>
          <w:color w:val="auto"/>
          <w:kern w:val="2"/>
          <w:sz w:val="32"/>
          <w:szCs w:val="32"/>
          <w:highlight w:val="none"/>
          <w:lang w:val="en-US" w:eastAsia="zh-CN" w:bidi="ar-SA"/>
        </w:rPr>
        <w:t>131.26万</w:t>
      </w:r>
      <w:r>
        <w:rPr>
          <w:rFonts w:hint="eastAsia" w:ascii="Times New Roman" w:hAnsi="Times New Roman" w:eastAsia="仿宋_GB2312" w:cs="仿宋_GB2312"/>
          <w:color w:val="auto"/>
          <w:kern w:val="2"/>
          <w:sz w:val="32"/>
          <w:szCs w:val="32"/>
          <w:highlight w:val="none"/>
          <w:lang w:val="zh-CN" w:eastAsia="zh-CN" w:bidi="ar-SA"/>
        </w:rPr>
        <w:t>元，2024年基层组织和农村公共服务运行维护费（上级）</w:t>
      </w:r>
      <w:r>
        <w:rPr>
          <w:rFonts w:hint="eastAsia" w:ascii="Times New Roman" w:hAnsi="Times New Roman" w:eastAsia="仿宋_GB2312" w:cs="仿宋_GB2312"/>
          <w:color w:val="auto"/>
          <w:kern w:val="2"/>
          <w:sz w:val="32"/>
          <w:szCs w:val="32"/>
          <w:highlight w:val="none"/>
          <w:lang w:val="en-US" w:eastAsia="zh-CN" w:bidi="ar-SA"/>
        </w:rPr>
        <w:t>65.63万</w:t>
      </w:r>
      <w:r>
        <w:rPr>
          <w:rFonts w:hint="eastAsia" w:ascii="Times New Roman" w:hAnsi="Times New Roman" w:eastAsia="仿宋_GB2312" w:cs="仿宋_GB2312"/>
          <w:color w:val="auto"/>
          <w:kern w:val="2"/>
          <w:sz w:val="32"/>
          <w:szCs w:val="32"/>
          <w:highlight w:val="none"/>
          <w:lang w:val="zh-CN" w:eastAsia="zh-CN" w:bidi="ar-SA"/>
        </w:rPr>
        <w:t>元，拖欠企业账款清偿项目</w:t>
      </w:r>
      <w:r>
        <w:rPr>
          <w:rFonts w:hint="eastAsia" w:ascii="Times New Roman" w:hAnsi="Times New Roman" w:eastAsia="仿宋_GB2312" w:cs="仿宋_GB2312"/>
          <w:color w:val="auto"/>
          <w:kern w:val="2"/>
          <w:sz w:val="32"/>
          <w:szCs w:val="32"/>
          <w:highlight w:val="none"/>
          <w:lang w:val="en-US" w:eastAsia="zh-CN" w:bidi="ar-SA"/>
        </w:rPr>
        <w:t>8万</w:t>
      </w:r>
      <w:r>
        <w:rPr>
          <w:rFonts w:hint="eastAsia" w:ascii="Times New Roman" w:hAnsi="Times New Roman" w:eastAsia="仿宋_GB2312" w:cs="仿宋_GB2312"/>
          <w:color w:val="auto"/>
          <w:kern w:val="2"/>
          <w:sz w:val="32"/>
          <w:szCs w:val="32"/>
          <w:highlight w:val="none"/>
          <w:lang w:val="zh-CN" w:eastAsia="zh-CN" w:bidi="ar-SA"/>
        </w:rPr>
        <w:t>元，交通安全经费</w:t>
      </w:r>
      <w:r>
        <w:rPr>
          <w:rFonts w:hint="eastAsia" w:ascii="Times New Roman" w:hAnsi="Times New Roman" w:eastAsia="仿宋_GB2312" w:cs="仿宋_GB2312"/>
          <w:color w:val="auto"/>
          <w:kern w:val="2"/>
          <w:sz w:val="32"/>
          <w:szCs w:val="32"/>
          <w:highlight w:val="none"/>
          <w:lang w:val="en-US" w:eastAsia="zh-CN" w:bidi="ar-SA"/>
        </w:rPr>
        <w:t>3万</w:t>
      </w:r>
      <w:r>
        <w:rPr>
          <w:rFonts w:hint="eastAsia" w:ascii="Times New Roman" w:hAnsi="Times New Roman" w:eastAsia="仿宋_GB2312" w:cs="仿宋_GB2312"/>
          <w:color w:val="auto"/>
          <w:kern w:val="2"/>
          <w:sz w:val="32"/>
          <w:szCs w:val="32"/>
          <w:highlight w:val="none"/>
          <w:lang w:val="zh-CN" w:eastAsia="zh-CN" w:bidi="ar-SA"/>
        </w:rPr>
        <w:t>元，新林镇新林村至金星村路面整治工程错车道占用耕地补偿</w:t>
      </w:r>
      <w:r>
        <w:rPr>
          <w:rFonts w:hint="eastAsia" w:ascii="Times New Roman" w:hAnsi="Times New Roman" w:eastAsia="仿宋_GB2312" w:cs="仿宋_GB2312"/>
          <w:color w:val="auto"/>
          <w:kern w:val="2"/>
          <w:sz w:val="32"/>
          <w:szCs w:val="32"/>
          <w:highlight w:val="none"/>
          <w:lang w:val="en-US" w:eastAsia="zh-CN" w:bidi="ar-SA"/>
        </w:rPr>
        <w:t>2.78万元</w:t>
      </w:r>
      <w:r>
        <w:rPr>
          <w:rFonts w:hint="eastAsia" w:ascii="Times New Roman" w:hAnsi="Times New Roman" w:eastAsia="仿宋_GB2312" w:cs="仿宋_GB2312"/>
          <w:color w:val="auto"/>
          <w:kern w:val="2"/>
          <w:sz w:val="32"/>
          <w:szCs w:val="32"/>
          <w:highlight w:val="none"/>
          <w:lang w:val="zh-CN" w:eastAsia="zh-CN" w:bidi="ar-SA"/>
        </w:rPr>
        <w:t>。通过统计分析获取了人民群众对生态环境的健康度、居住生活的舒适度、工作出行的便捷度、居住生活的安全度、信访稳定各方面的良好评价。</w:t>
      </w:r>
    </w:p>
    <w:p w14:paraId="6207682A">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（三）结果应用情况。</w:t>
      </w:r>
    </w:p>
    <w:p w14:paraId="772D05A8">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Times New Roman" w:hAnsi="Times New Roman" w:eastAsia="仿宋_GB2312" w:cs="仿宋_GB2312"/>
          <w:color w:val="auto"/>
          <w:kern w:val="2"/>
          <w:sz w:val="32"/>
          <w:szCs w:val="32"/>
          <w:highlight w:val="none"/>
          <w:lang w:val="zh-CN" w:eastAsia="zh-CN" w:bidi="ar-SA"/>
        </w:rPr>
        <w:t>本单位按照财政局下达的预算指标，严格执行预算内开支，保障了单位正常运转。本部门的预决算编制均按照县财政局下达的相关文件指标进行了编制，按时完成经、编制工作，决算报表和说明均在峨边彝族自治县政府门户网站公开。绩效目标也按照有关文件如实进行了填报</w:t>
      </w:r>
      <w:r>
        <w:rPr>
          <w:rFonts w:hint="eastAsia" w:ascii="仿宋_GB2312" w:hAnsi="宋体" w:eastAsia="仿宋_GB2312" w:cs="宋体"/>
          <w:color w:val="000000"/>
          <w:kern w:val="0"/>
          <w:sz w:val="32"/>
          <w:szCs w:val="32"/>
          <w:shd w:val="clear" w:color="auto" w:fill="FFFFFF"/>
          <w:lang w:val="zh-CN"/>
        </w:rPr>
        <w:t>。</w:t>
      </w:r>
    </w:p>
    <w:p w14:paraId="1436346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eastAsia="zh-CN"/>
        </w:rPr>
      </w:pPr>
      <w:r>
        <w:rPr>
          <w:rFonts w:hint="eastAsia" w:ascii="Times New Roman" w:hAnsi="Times New Roman" w:eastAsia="黑体" w:cs="Times New Roman"/>
          <w:color w:val="000000"/>
          <w:kern w:val="0"/>
          <w:sz w:val="32"/>
          <w:szCs w:val="32"/>
          <w:highlight w:val="none"/>
          <w:shd w:val="clear" w:color="auto" w:fill="FFFFFF"/>
          <w:lang w:val="zh-CN" w:eastAsia="zh-CN"/>
        </w:rPr>
        <w:t>四、评价结论及建议</w:t>
      </w:r>
    </w:p>
    <w:p w14:paraId="073366E5">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（一）评价结论。</w:t>
      </w:r>
    </w:p>
    <w:p w14:paraId="6732A1D7">
      <w:pPr>
        <w:widowControl/>
        <w:adjustRightInd w:val="0"/>
        <w:snapToGrid w:val="0"/>
        <w:spacing w:line="580" w:lineRule="exact"/>
        <w:ind w:firstLine="640" w:firstLineChars="200"/>
        <w:contextualSpacing/>
        <w:jc w:val="left"/>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 xml:space="preserve">根据《峨边彝族自治县财政局 关于开展2022年度部门整体、项目支出预算绩效评价工作的通知》文件精神，新林镇人民政府认真组织开展了部门整体支出绩效评价工作，绩效评价得分： </w:t>
      </w:r>
      <w:r>
        <w:rPr>
          <w:rFonts w:hint="eastAsia" w:ascii="Times New Roman" w:hAnsi="Times New Roman"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zh-CN" w:eastAsia="zh-CN" w:bidi="ar-SA"/>
        </w:rPr>
        <w:t xml:space="preserve"> 分。</w:t>
      </w:r>
    </w:p>
    <w:p w14:paraId="6BB6B7BE">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（二）存在问题。</w:t>
      </w:r>
    </w:p>
    <w:p w14:paraId="4A39029E">
      <w:pPr>
        <w:widowControl/>
        <w:adjustRightInd w:val="0"/>
        <w:snapToGrid w:val="0"/>
        <w:spacing w:line="580" w:lineRule="exact"/>
        <w:ind w:firstLine="640" w:firstLineChars="200"/>
        <w:contextualSpacing/>
        <w:jc w:val="left"/>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财务人员业务水平还需进一步加强等问题。</w:t>
      </w:r>
    </w:p>
    <w:p w14:paraId="2AC0FCE5">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（三）改进建议。</w:t>
      </w:r>
    </w:p>
    <w:p w14:paraId="62013612">
      <w:pPr>
        <w:widowControl/>
        <w:adjustRightInd w:val="0"/>
        <w:snapToGrid w:val="0"/>
        <w:spacing w:line="580" w:lineRule="exact"/>
        <w:ind w:firstLine="640" w:firstLineChars="200"/>
        <w:contextualSpacing/>
        <w:jc w:val="left"/>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1.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21EA27DB">
      <w:pPr>
        <w:widowControl/>
        <w:adjustRightInd w:val="0"/>
        <w:snapToGrid w:val="0"/>
        <w:spacing w:line="580" w:lineRule="exact"/>
        <w:ind w:firstLine="640" w:firstLineChars="200"/>
        <w:contextualSpacing/>
        <w:jc w:val="left"/>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34C619A5">
      <w:pPr>
        <w:widowControl/>
        <w:adjustRightInd w:val="0"/>
        <w:snapToGrid w:val="0"/>
        <w:spacing w:line="580" w:lineRule="exact"/>
        <w:ind w:firstLine="640" w:firstLineChars="200"/>
        <w:contextualSpacing/>
        <w:jc w:val="left"/>
        <w:rPr>
          <w:rFonts w:hint="eastAsia" w:ascii="Times New Roman" w:hAnsi="Times New Roman" w:eastAsia="仿宋_GB2312" w:cs="仿宋_GB2312"/>
          <w:color w:val="auto"/>
          <w:kern w:val="2"/>
          <w:sz w:val="32"/>
          <w:szCs w:val="32"/>
          <w:highlight w:val="none"/>
          <w:lang w:val="zh-CN" w:eastAsia="zh-CN" w:bidi="ar-SA"/>
        </w:rPr>
      </w:pPr>
    </w:p>
    <w:p w14:paraId="124F5F33">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A3D9C7B">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D7657E0">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28598ED">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22D6F5D">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60740B8">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1ACF653">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06608D4">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38C541F">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DFB14A1">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508FC11">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E6D8851">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C9ABF76">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22ECA60">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069BC29">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871E54C">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F1EBC4D">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29D3F6B7">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drawing>
          <wp:inline distT="0" distB="0" distL="114300" distR="114300">
            <wp:extent cx="5269865" cy="5182235"/>
            <wp:effectExtent l="0" t="0" r="6985" b="18415"/>
            <wp:docPr id="9" name="图片 9" descr="{077a7abd-d48e-4bd9-9f08-03af537cfb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77a7abd-d48e-4bd9-9f08-03af537cfbdc}"/>
                    <pic:cNvPicPr>
                      <a:picLocks noChangeAspect="1"/>
                    </pic:cNvPicPr>
                  </pic:nvPicPr>
                  <pic:blipFill>
                    <a:blip r:embed="rId15"/>
                    <a:stretch>
                      <a:fillRect/>
                    </a:stretch>
                  </pic:blipFill>
                  <pic:spPr>
                    <a:xfrm>
                      <a:off x="0" y="0"/>
                      <a:ext cx="5269865" cy="5182235"/>
                    </a:xfrm>
                    <a:prstGeom prst="rect">
                      <a:avLst/>
                    </a:prstGeom>
                  </pic:spPr>
                </pic:pic>
              </a:graphicData>
            </a:graphic>
          </wp:inline>
        </w:drawing>
      </w:r>
    </w:p>
    <w:p w14:paraId="5248A5D6">
      <w:pPr>
        <w:pStyle w:val="7"/>
        <w:rPr>
          <w:rFonts w:hint="eastAsia" w:ascii="Times New Roman" w:hAnsi="Times New Roman" w:eastAsia="黑体" w:cs="黑体"/>
          <w:color w:val="auto"/>
          <w:kern w:val="0"/>
          <w:sz w:val="32"/>
          <w:szCs w:val="32"/>
          <w:highlight w:val="none"/>
          <w:shd w:val="clear" w:color="auto" w:fill="FFFFFF"/>
          <w:lang w:val="zh-CN"/>
        </w:rPr>
      </w:pPr>
    </w:p>
    <w:p w14:paraId="7E7F201A">
      <w:pPr>
        <w:pStyle w:val="7"/>
        <w:rPr>
          <w:rFonts w:hint="eastAsia" w:ascii="Times New Roman" w:hAnsi="Times New Roman" w:eastAsia="黑体" w:cs="黑体"/>
          <w:color w:val="auto"/>
          <w:kern w:val="0"/>
          <w:sz w:val="32"/>
          <w:szCs w:val="32"/>
          <w:highlight w:val="none"/>
          <w:shd w:val="clear" w:color="auto" w:fill="FFFFFF"/>
          <w:lang w:val="zh-CN"/>
        </w:rPr>
      </w:pPr>
    </w:p>
    <w:p w14:paraId="5AB261F0">
      <w:pPr>
        <w:pStyle w:val="7"/>
        <w:rPr>
          <w:rFonts w:hint="eastAsia" w:ascii="Times New Roman" w:hAnsi="Times New Roman" w:eastAsia="黑体" w:cs="黑体"/>
          <w:color w:val="auto"/>
          <w:kern w:val="0"/>
          <w:sz w:val="32"/>
          <w:szCs w:val="32"/>
          <w:highlight w:val="none"/>
          <w:shd w:val="clear" w:color="auto" w:fill="FFFFFF"/>
          <w:lang w:val="zh-CN"/>
        </w:rPr>
      </w:pPr>
    </w:p>
    <w:p w14:paraId="796647A1">
      <w:pPr>
        <w:pStyle w:val="7"/>
        <w:rPr>
          <w:rFonts w:hint="eastAsia" w:ascii="Times New Roman" w:hAnsi="Times New Roman" w:eastAsia="黑体" w:cs="黑体"/>
          <w:color w:val="auto"/>
          <w:kern w:val="0"/>
          <w:sz w:val="32"/>
          <w:szCs w:val="32"/>
          <w:highlight w:val="none"/>
          <w:shd w:val="clear" w:color="auto" w:fill="FFFFFF"/>
          <w:lang w:val="zh-CN"/>
        </w:rPr>
      </w:pPr>
    </w:p>
    <w:p w14:paraId="0AA8C65D">
      <w:pPr>
        <w:pStyle w:val="7"/>
        <w:rPr>
          <w:rFonts w:hint="eastAsia" w:ascii="Times New Roman" w:hAnsi="Times New Roman" w:eastAsia="黑体" w:cs="黑体"/>
          <w:color w:val="auto"/>
          <w:kern w:val="0"/>
          <w:sz w:val="32"/>
          <w:szCs w:val="32"/>
          <w:highlight w:val="none"/>
          <w:shd w:val="clear" w:color="auto" w:fill="FFFFFF"/>
          <w:lang w:val="zh-CN"/>
        </w:rPr>
      </w:pPr>
    </w:p>
    <w:p w14:paraId="4868CAED">
      <w:pPr>
        <w:pStyle w:val="7"/>
        <w:rPr>
          <w:rFonts w:hint="eastAsia" w:ascii="Times New Roman" w:hAnsi="Times New Roman" w:eastAsia="黑体" w:cs="黑体"/>
          <w:color w:val="auto"/>
          <w:kern w:val="0"/>
          <w:sz w:val="32"/>
          <w:szCs w:val="32"/>
          <w:highlight w:val="none"/>
          <w:shd w:val="clear" w:color="auto" w:fill="FFFFFF"/>
          <w:lang w:val="zh-CN"/>
        </w:rPr>
      </w:pPr>
    </w:p>
    <w:p w14:paraId="4CE12A8D">
      <w:pPr>
        <w:pStyle w:val="7"/>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5CCA2984">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6194F9E3">
      <w:pPr>
        <w:pStyle w:val="17"/>
        <w:keepNext w:val="0"/>
        <w:keepLines w:val="0"/>
        <w:widowControl w:val="0"/>
        <w:suppressLineNumbers w:val="0"/>
        <w:spacing w:before="0" w:beforeAutospacing="0" w:after="0" w:afterAutospacing="0" w:line="600" w:lineRule="exact"/>
        <w:ind w:left="0" w:right="0"/>
        <w:jc w:val="center"/>
        <w:rPr>
          <w:rFonts w:hint="eastAsia" w:ascii="方正小标宋简体" w:hAnsi="宋体" w:eastAsia="方正小标宋简体" w:cs="Times New Roman"/>
          <w:color w:val="000000"/>
          <w:kern w:val="0"/>
          <w:sz w:val="44"/>
          <w:szCs w:val="44"/>
        </w:rPr>
      </w:pPr>
      <w:r>
        <w:rPr>
          <w:rFonts w:hint="eastAsia" w:ascii="方正小标宋简体" w:hAnsi="方正小标宋简体" w:eastAsia="方正小标宋简体" w:cs="方正小标宋简体"/>
          <w:color w:val="000000"/>
          <w:kern w:val="0"/>
          <w:sz w:val="44"/>
          <w:szCs w:val="44"/>
          <w:lang w:val="en-US" w:eastAsia="zh-CN" w:bidi="ar"/>
        </w:rPr>
        <w:t>项目支出绩效自评报告</w:t>
      </w:r>
    </w:p>
    <w:p w14:paraId="44160F32">
      <w:pPr>
        <w:pStyle w:val="17"/>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jc w:val="center"/>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color w:val="000000"/>
          <w:kern w:val="2"/>
          <w:sz w:val="32"/>
          <w:szCs w:val="32"/>
          <w:lang w:val="en-US" w:eastAsia="zh-CN" w:bidi="ar"/>
        </w:rPr>
        <w:t>（</w:t>
      </w:r>
      <w:r>
        <w:rPr>
          <w:rFonts w:hint="eastAsia" w:ascii="楷体_GB2312" w:hAnsi="楷体_GB2312" w:eastAsia="楷体_GB2312" w:cs="楷体_GB2312"/>
          <w:color w:val="000000"/>
          <w:kern w:val="0"/>
          <w:sz w:val="32"/>
          <w:szCs w:val="32"/>
          <w:lang w:val="en-US" w:eastAsia="zh-CN" w:bidi="ar"/>
        </w:rPr>
        <w:t>农村公共服务运行</w:t>
      </w:r>
      <w:r>
        <w:rPr>
          <w:rFonts w:hint="eastAsia" w:ascii="楷体_GB2312" w:hAnsi="楷体_GB2312" w:eastAsia="楷体_GB2312" w:cs="楷体_GB2312"/>
          <w:color w:val="000000"/>
          <w:kern w:val="2"/>
          <w:sz w:val="32"/>
          <w:szCs w:val="32"/>
          <w:lang w:val="en-US" w:eastAsia="zh-CN" w:bidi="ar"/>
        </w:rPr>
        <w:t>项目）</w:t>
      </w:r>
    </w:p>
    <w:p w14:paraId="4F2E902B">
      <w:pPr>
        <w:pStyle w:val="17"/>
        <w:keepNext w:val="0"/>
        <w:keepLines w:val="0"/>
        <w:widowControl w:val="0"/>
        <w:suppressLineNumbers w:val="0"/>
        <w:autoSpaceDE w:val="0"/>
        <w:autoSpaceDN/>
        <w:spacing w:before="0" w:beforeAutospacing="0" w:after="0" w:afterAutospacing="0" w:line="560" w:lineRule="exact"/>
        <w:ind w:left="0" w:right="0" w:firstLine="640"/>
        <w:jc w:val="center"/>
        <w:rPr>
          <w:rFonts w:hint="eastAsia" w:ascii="宋体" w:hAnsi="宋体" w:eastAsia="宋体" w:cs="Times New Roman"/>
          <w:kern w:val="2"/>
          <w:sz w:val="32"/>
          <w:szCs w:val="32"/>
        </w:rPr>
      </w:pPr>
      <w:r>
        <w:rPr>
          <w:rFonts w:hint="eastAsia" w:ascii="宋体" w:hAnsi="宋体" w:eastAsia="宋体" w:cs="Times New Roman"/>
          <w:color w:val="000000"/>
          <w:kern w:val="2"/>
          <w:sz w:val="32"/>
          <w:szCs w:val="32"/>
          <w:lang w:val="en-US" w:eastAsia="zh-CN" w:bidi="ar"/>
        </w:rPr>
        <w:t xml:space="preserve"> </w:t>
      </w:r>
    </w:p>
    <w:p w14:paraId="34DC5EA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eastAsia="zh-CN"/>
        </w:rPr>
      </w:pPr>
      <w:r>
        <w:rPr>
          <w:rFonts w:hint="eastAsia" w:ascii="Times New Roman" w:hAnsi="Times New Roman" w:eastAsia="黑体" w:cs="Times New Roman"/>
          <w:color w:val="000000"/>
          <w:kern w:val="0"/>
          <w:sz w:val="32"/>
          <w:szCs w:val="32"/>
          <w:highlight w:val="none"/>
          <w:shd w:val="clear" w:color="auto" w:fill="FFFFFF"/>
          <w:lang w:val="en-US" w:eastAsia="zh-CN"/>
        </w:rPr>
        <w:t>一、项目概况</w:t>
      </w:r>
    </w:p>
    <w:p w14:paraId="2B855E00">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en-US" w:eastAsia="zh-CN"/>
        </w:rPr>
        <w:t>（一）项目基本情况。</w:t>
      </w:r>
    </w:p>
    <w:p w14:paraId="2DE846E5">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仿宋_GB2312" w:hAnsi="宋体" w:eastAsia="仿宋_GB2312" w:cs="Times New Roman"/>
          <w:kern w:val="2"/>
          <w:sz w:val="32"/>
          <w:szCs w:val="32"/>
        </w:rPr>
      </w:pPr>
      <w:r>
        <w:rPr>
          <w:rFonts w:hint="eastAsia" w:ascii="Times New Roman" w:hAnsi="Times New Roman" w:eastAsia="仿宋_GB2312" w:cs="仿宋_GB2312"/>
          <w:color w:val="auto"/>
          <w:kern w:val="2"/>
          <w:sz w:val="32"/>
          <w:szCs w:val="32"/>
          <w:highlight w:val="none"/>
          <w:lang w:val="en-US" w:eastAsia="zh-CN" w:bidi="ar-SA"/>
        </w:rPr>
        <w:t>农村公共服务设施运行维护项目是党的十八大报告提出“让广大农民平等参与现代化进程、共同分享现代化成果”。是落实十八大精神，实现公共财政覆盖农村，促进城乡基本服务均等化的一项重大制度创新，是深化农村综合改革的重要抓手和加强基层民主政治建设的助推器。</w:t>
      </w:r>
    </w:p>
    <w:p w14:paraId="0E6C9FB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en-US" w:eastAsia="zh-CN"/>
        </w:rPr>
      </w:pPr>
      <w:r>
        <w:rPr>
          <w:rFonts w:hint="eastAsia" w:ascii="Times New Roman" w:hAnsi="Times New Roman" w:eastAsia="楷体_GB2312" w:cs="Times New Roman"/>
          <w:b/>
          <w:bCs/>
          <w:color w:val="000000"/>
          <w:kern w:val="0"/>
          <w:sz w:val="32"/>
          <w:szCs w:val="32"/>
          <w:highlight w:val="none"/>
          <w:shd w:val="clear" w:color="auto" w:fill="FFFFFF"/>
          <w:lang w:val="en-US" w:eastAsia="zh-CN"/>
        </w:rPr>
        <w:t>（二）项目绩效目标。</w:t>
      </w:r>
    </w:p>
    <w:p w14:paraId="76326144">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新林镇2024年农村公共服务设施运行维护项目涉及11个村，分别是：黄泥村、茗新村、九龙村、麻柳村、金星村、红椿村、瓦洛村、楠木村、新林村、大香村、白杨村11个村.具体项目主要内容为：（1）村级运行日常办公经费；（2）环境卫生整治和垃圾清运(4)饮水管道维护维修；（5）水毁堡坎维修维护、道路边沟清运等。</w:t>
      </w:r>
    </w:p>
    <w:p w14:paraId="3013A31F">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en-US" w:eastAsia="zh-CN"/>
        </w:rPr>
      </w:pPr>
      <w:r>
        <w:rPr>
          <w:rFonts w:hint="eastAsia" w:ascii="Times New Roman" w:hAnsi="Times New Roman" w:eastAsia="楷体_GB2312" w:cs="Times New Roman"/>
          <w:b/>
          <w:bCs/>
          <w:color w:val="000000"/>
          <w:kern w:val="0"/>
          <w:sz w:val="32"/>
          <w:szCs w:val="32"/>
          <w:highlight w:val="none"/>
          <w:shd w:val="clear" w:color="auto" w:fill="FFFFFF"/>
          <w:lang w:val="en-US" w:eastAsia="zh-CN"/>
        </w:rPr>
        <w:t>（三）项目自评步骤及方法。</w:t>
      </w:r>
    </w:p>
    <w:p w14:paraId="1AE030CC">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由财务人员拟自评报告，分别报分管领导、主要领导审阅后再报送。按照2024年项目支持绩效评价体系，从通用指标、共性指标、特性指标三个大方面和项目决策、项目实施、完成结果、项目效果、产出指标、效益指标、满意度指标等8个方面进行自评打分。</w:t>
      </w:r>
    </w:p>
    <w:p w14:paraId="5C56E39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en-US" w:eastAsia="zh-CN"/>
        </w:rPr>
      </w:pPr>
      <w:r>
        <w:rPr>
          <w:rFonts w:hint="eastAsia" w:ascii="Times New Roman" w:hAnsi="Times New Roman" w:eastAsia="黑体" w:cs="Times New Roman"/>
          <w:color w:val="000000"/>
          <w:kern w:val="0"/>
          <w:sz w:val="32"/>
          <w:szCs w:val="32"/>
          <w:highlight w:val="none"/>
          <w:shd w:val="clear" w:color="auto" w:fill="FFFFFF"/>
          <w:lang w:val="en-US" w:eastAsia="zh-CN"/>
        </w:rPr>
        <w:t>二、项目资金申报及使用情况</w:t>
      </w:r>
    </w:p>
    <w:p w14:paraId="18C7F26B">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en-US" w:eastAsia="zh-CN"/>
        </w:rPr>
      </w:pPr>
      <w:r>
        <w:rPr>
          <w:rFonts w:hint="eastAsia" w:ascii="Times New Roman" w:hAnsi="Times New Roman" w:eastAsia="楷体_GB2312" w:cs="Times New Roman"/>
          <w:b/>
          <w:bCs/>
          <w:color w:val="000000"/>
          <w:kern w:val="0"/>
          <w:sz w:val="32"/>
          <w:szCs w:val="32"/>
          <w:highlight w:val="none"/>
          <w:shd w:val="clear" w:color="auto" w:fill="FFFFFF"/>
          <w:lang w:val="en-US" w:eastAsia="zh-CN"/>
        </w:rPr>
        <w:t>（一）项目资金申报及批复情况。</w:t>
      </w:r>
    </w:p>
    <w:p w14:paraId="375F88E3">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新林镇农村公共服务设施运行维护项目资金分配按照预算申报财政资金196.89万元，进行分配，具体情况如下：</w:t>
      </w:r>
    </w:p>
    <w:p w14:paraId="5A48623E">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    1.黄泥村申报15.53万元，已批复。</w:t>
      </w:r>
    </w:p>
    <w:p w14:paraId="3E925BC5">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2.茗新村申报19.56万元，已批复。</w:t>
      </w:r>
    </w:p>
    <w:p w14:paraId="6A473C93">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3.九龙村申报15.53万元，已批复。</w:t>
      </w:r>
    </w:p>
    <w:p w14:paraId="276E9249">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4.大香村申报20.53万元，已批复。</w:t>
      </w:r>
    </w:p>
    <w:p w14:paraId="3220DF3D">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5.白杨村申报20.53万元，已批复。</w:t>
      </w:r>
    </w:p>
    <w:p w14:paraId="3A4BE73F">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6.金星村申报17.56万元，已批复。</w:t>
      </w:r>
    </w:p>
    <w:p w14:paraId="7D54E9E3">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7.新林村申报25.53万元，已批复。</w:t>
      </w:r>
    </w:p>
    <w:p w14:paraId="064ED519">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8.麻柳村申报15.53万元，已批复。</w:t>
      </w:r>
    </w:p>
    <w:p w14:paraId="5DA36207">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9.红椿村申报15.53万元，已批复。</w:t>
      </w:r>
    </w:p>
    <w:p w14:paraId="41F7DFA0">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10.楠木村申报15.53万元，已批复。</w:t>
      </w:r>
    </w:p>
    <w:p w14:paraId="198B1384">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11.瓦洛村申报15.53万元，已批复。</w:t>
      </w:r>
    </w:p>
    <w:p w14:paraId="3911CE71">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en-US" w:eastAsia="zh-CN"/>
        </w:rPr>
      </w:pPr>
      <w:r>
        <w:rPr>
          <w:rFonts w:hint="eastAsia" w:ascii="Times New Roman" w:hAnsi="Times New Roman" w:eastAsia="楷体_GB2312" w:cs="Times New Roman"/>
          <w:b/>
          <w:bCs/>
          <w:color w:val="000000"/>
          <w:kern w:val="0"/>
          <w:sz w:val="32"/>
          <w:szCs w:val="32"/>
          <w:highlight w:val="none"/>
          <w:shd w:val="clear" w:color="auto" w:fill="FFFFFF"/>
          <w:lang w:val="en-US" w:eastAsia="zh-CN"/>
        </w:rPr>
        <w:t>（二）资金计划、到位及使用情况。</w:t>
      </w:r>
    </w:p>
    <w:p w14:paraId="1E3CBF26">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2024年县财局拨入我镇农村公共服务运行项目资金196.89万元。项目资金实际支出196.89万元，全部按照项目实施计划分配至项目涉及的11个村。</w:t>
      </w:r>
    </w:p>
    <w:p w14:paraId="30B97D00">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     1.黄泥村支出如下：基层组织活动1.6万元；公共服务运行维护9.13万元；村级办公运转费4.8万元。</w:t>
      </w:r>
    </w:p>
    <w:p w14:paraId="2FBAA99F">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2.茗新村支出如下：基层组织活动2万元；公共服务运行维护13.56万元；村级办公运转费5万元。</w:t>
      </w:r>
    </w:p>
    <w:p w14:paraId="5179D675">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3.九龙村支出如下：基层组织活动1.6万元；公共服务运行维护9.13万元；村级办公运转费4.8万元。</w:t>
      </w:r>
    </w:p>
    <w:p w14:paraId="1A07B631">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4.大香村支出如下：基层组织活动2.1万元；公共服务运行维护12.23万元；村级办公运转费6.3万元。</w:t>
      </w:r>
    </w:p>
    <w:p w14:paraId="5C172BB1">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5.白杨村支出如下：基层组织活动2.1万元；公共服务运行维护12.23万元；村级办公运转费6.3万元。</w:t>
      </w:r>
    </w:p>
    <w:p w14:paraId="1FA955B4">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6.金星村支出如下：基层组织活动2万元；公共服务运行维护10.56万元；村级办公运转费5万元。</w:t>
      </w:r>
    </w:p>
    <w:p w14:paraId="12674A38">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7.新林村支出如下：基层组织活动3万元；公共服务运行维护14.33万元；村级办公运转费8.2万元。</w:t>
      </w:r>
    </w:p>
    <w:p w14:paraId="51886F7E">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8.麻柳村支出如下：基层组织活动1.4万元；公共服务运行维护10.6万元；村级办公运转费4万元。</w:t>
      </w:r>
    </w:p>
    <w:p w14:paraId="40FAA544">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9.红椿村支出如下：基层组织活动1.6万元；公共服务运行维护8.13万元；村级办公运转费5.8万元。</w:t>
      </w:r>
    </w:p>
    <w:p w14:paraId="3A0CB0AE">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10.楠木村支出如下：基层组织活动1.6万元；公共服务运行维护9.33万元；村级办公运转费4.6万元。</w:t>
      </w:r>
    </w:p>
    <w:p w14:paraId="24385359">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11.瓦洛村支出如下：基层组织活动1.6万元；公共服务运行维护9.13万元；村级办公运转费4.8万元。</w:t>
      </w:r>
    </w:p>
    <w:p w14:paraId="628AE925">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en-US" w:eastAsia="zh-CN"/>
        </w:rPr>
      </w:pPr>
      <w:r>
        <w:rPr>
          <w:rFonts w:hint="eastAsia" w:ascii="Times New Roman" w:hAnsi="Times New Roman" w:eastAsia="楷体_GB2312" w:cs="Times New Roman"/>
          <w:b/>
          <w:bCs/>
          <w:color w:val="000000"/>
          <w:kern w:val="0"/>
          <w:sz w:val="32"/>
          <w:szCs w:val="32"/>
          <w:highlight w:val="none"/>
          <w:shd w:val="clear" w:color="auto" w:fill="FFFFFF"/>
          <w:lang w:val="en-US" w:eastAsia="zh-CN"/>
        </w:rPr>
        <w:t>（三）项目财务管理情况。</w:t>
      </w:r>
    </w:p>
    <w:p w14:paraId="5A932DF2">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新林镇农村公共服务运行项目资金使用符合国家财经法规和财务管理制度及有关专项资金管理办法规定；资金拨付有完整的审批程序和手续；符合项目预算批复或合同规定用途；不存在截留、挤占、挪用、虚列支出等情况。</w:t>
      </w:r>
    </w:p>
    <w:p w14:paraId="5243DDF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en-US" w:eastAsia="zh-CN"/>
        </w:rPr>
      </w:pPr>
      <w:r>
        <w:rPr>
          <w:rFonts w:hint="eastAsia" w:ascii="Times New Roman" w:hAnsi="Times New Roman" w:eastAsia="黑体" w:cs="Times New Roman"/>
          <w:color w:val="000000"/>
          <w:kern w:val="0"/>
          <w:sz w:val="32"/>
          <w:szCs w:val="32"/>
          <w:highlight w:val="none"/>
          <w:shd w:val="clear" w:color="auto" w:fill="FFFFFF"/>
          <w:lang w:val="en-US" w:eastAsia="zh-CN"/>
        </w:rPr>
        <w:t>三、项目实施及管理情况</w:t>
      </w:r>
    </w:p>
    <w:p w14:paraId="07D05EC5">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en-US" w:eastAsia="zh-CN"/>
        </w:rPr>
      </w:pPr>
      <w:r>
        <w:rPr>
          <w:rFonts w:hint="eastAsia" w:ascii="Times New Roman" w:hAnsi="Times New Roman" w:eastAsia="楷体_GB2312" w:cs="Times New Roman"/>
          <w:b/>
          <w:bCs/>
          <w:color w:val="000000"/>
          <w:kern w:val="0"/>
          <w:sz w:val="32"/>
          <w:szCs w:val="32"/>
          <w:highlight w:val="none"/>
          <w:shd w:val="clear" w:color="auto" w:fill="FFFFFF"/>
          <w:lang w:val="en-US" w:eastAsia="zh-CN"/>
        </w:rPr>
        <w:t>（一）项目组织架构及实施流程。</w:t>
      </w:r>
    </w:p>
    <w:p w14:paraId="46E142C2">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我镇领导高度重视农村公共服务运行经费项目运行，通过党委会研究决定各村实际经费使用范围，通知各村上报使用资金计划，年底按照资金计划实施，有变动情况的，先通过村级申请再上报镇政府审批，通过后实施。但是项目实施目标不够具体，根据《四川省项目支出绩效评价指标体系》的评分标准，需对项目目标进行量化。</w:t>
      </w:r>
    </w:p>
    <w:p w14:paraId="22A6151B">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en-US" w:eastAsia="zh-CN"/>
        </w:rPr>
      </w:pPr>
      <w:r>
        <w:rPr>
          <w:rFonts w:hint="eastAsia" w:ascii="Times New Roman" w:hAnsi="Times New Roman" w:eastAsia="楷体_GB2312" w:cs="Times New Roman"/>
          <w:b/>
          <w:bCs/>
          <w:color w:val="000000"/>
          <w:kern w:val="0"/>
          <w:sz w:val="32"/>
          <w:szCs w:val="32"/>
          <w:highlight w:val="none"/>
          <w:shd w:val="clear" w:color="auto" w:fill="FFFFFF"/>
          <w:lang w:val="en-US" w:eastAsia="zh-CN"/>
        </w:rPr>
        <w:t>（二）项目管理情况。</w:t>
      </w:r>
    </w:p>
    <w:p w14:paraId="3ECA140C">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严格按照相关法律法规及项目管理制度推进相关工作。</w:t>
      </w:r>
    </w:p>
    <w:p w14:paraId="5959725C">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en-US" w:eastAsia="zh-CN"/>
        </w:rPr>
      </w:pPr>
      <w:r>
        <w:rPr>
          <w:rFonts w:hint="eastAsia" w:ascii="Times New Roman" w:hAnsi="Times New Roman" w:eastAsia="楷体_GB2312" w:cs="Times New Roman"/>
          <w:b/>
          <w:bCs/>
          <w:color w:val="000000"/>
          <w:kern w:val="0"/>
          <w:sz w:val="32"/>
          <w:szCs w:val="32"/>
          <w:highlight w:val="none"/>
          <w:shd w:val="clear" w:color="auto" w:fill="FFFFFF"/>
          <w:lang w:val="en-US" w:eastAsia="zh-CN"/>
        </w:rPr>
        <w:t>（三）项目监管情况。</w:t>
      </w:r>
    </w:p>
    <w:p w14:paraId="6A7D38BF">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由镇党委政府、镇纪委、村级纪检组、村级理财小组对项目实施全过程进行监督管理。</w:t>
      </w:r>
    </w:p>
    <w:p w14:paraId="40BB723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en-US" w:eastAsia="zh-CN"/>
        </w:rPr>
      </w:pPr>
      <w:r>
        <w:rPr>
          <w:rFonts w:hint="eastAsia" w:ascii="Times New Roman" w:hAnsi="Times New Roman" w:eastAsia="黑体" w:cs="Times New Roman"/>
          <w:color w:val="000000"/>
          <w:kern w:val="0"/>
          <w:sz w:val="32"/>
          <w:szCs w:val="32"/>
          <w:highlight w:val="none"/>
          <w:shd w:val="clear" w:color="auto" w:fill="FFFFFF"/>
          <w:lang w:val="en-US" w:eastAsia="zh-CN"/>
        </w:rPr>
        <w:t>四、项目绩效情况</w:t>
      </w:r>
      <w:r>
        <w:rPr>
          <w:rFonts w:hint="eastAsia" w:ascii="Times New Roman" w:hAnsi="Times New Roman" w:eastAsia="黑体" w:cs="Times New Roman"/>
          <w:color w:val="000000"/>
          <w:kern w:val="0"/>
          <w:sz w:val="32"/>
          <w:szCs w:val="32"/>
          <w:highlight w:val="none"/>
          <w:shd w:val="clear" w:color="auto" w:fill="FFFFFF"/>
          <w:lang w:val="en-US" w:eastAsia="zh-CN"/>
        </w:rPr>
        <w:tab/>
      </w:r>
    </w:p>
    <w:p w14:paraId="2E721C30">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en-US" w:eastAsia="zh-CN"/>
        </w:rPr>
      </w:pPr>
      <w:r>
        <w:rPr>
          <w:rFonts w:hint="eastAsia" w:ascii="Times New Roman" w:hAnsi="Times New Roman" w:eastAsia="楷体_GB2312" w:cs="Times New Roman"/>
          <w:b/>
          <w:bCs/>
          <w:color w:val="000000"/>
          <w:kern w:val="0"/>
          <w:sz w:val="32"/>
          <w:szCs w:val="32"/>
          <w:highlight w:val="none"/>
          <w:shd w:val="clear" w:color="auto" w:fill="FFFFFF"/>
          <w:lang w:val="en-US" w:eastAsia="zh-CN"/>
        </w:rPr>
        <w:t>（一）项目完成情况。</w:t>
      </w:r>
    </w:p>
    <w:p w14:paraId="3AF97939">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现场查看、查阅相关资料，我镇11个村公共服务运行项目在党委政府领导下，均顺利推进，圆满完成任务，并经各村村委会公示栏向各村村民公示，达到预期目的。但是有部分资金报账进度缓慢，完成质量不佳，大多都统一在12月份报账。</w:t>
      </w:r>
    </w:p>
    <w:p w14:paraId="267E61E4">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en-US" w:eastAsia="zh-CN"/>
        </w:rPr>
      </w:pPr>
      <w:r>
        <w:rPr>
          <w:rFonts w:hint="eastAsia" w:ascii="Times New Roman" w:hAnsi="Times New Roman" w:eastAsia="楷体_GB2312" w:cs="Times New Roman"/>
          <w:b/>
          <w:bCs/>
          <w:color w:val="000000"/>
          <w:kern w:val="0"/>
          <w:sz w:val="32"/>
          <w:szCs w:val="32"/>
          <w:highlight w:val="none"/>
          <w:shd w:val="clear" w:color="auto" w:fill="FFFFFF"/>
          <w:lang w:val="en-US" w:eastAsia="zh-CN"/>
        </w:rPr>
        <w:t>（二）项目效益情况。</w:t>
      </w:r>
    </w:p>
    <w:p w14:paraId="0055CB94">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项目资金按时拨付，保障了村民的基本生活，农村公共服务设施运行维护项目的长效实施改善了群众的生产生活条件，提高了群众生活质量，完善农村基础设施功能，该项目取得了较好的社会效益。</w:t>
      </w:r>
    </w:p>
    <w:p w14:paraId="29CD192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en-US" w:eastAsia="zh-CN"/>
        </w:rPr>
      </w:pPr>
      <w:r>
        <w:rPr>
          <w:rFonts w:hint="eastAsia" w:ascii="Times New Roman" w:hAnsi="Times New Roman" w:eastAsia="黑体" w:cs="Times New Roman"/>
          <w:color w:val="000000"/>
          <w:kern w:val="0"/>
          <w:sz w:val="32"/>
          <w:szCs w:val="32"/>
          <w:highlight w:val="none"/>
          <w:shd w:val="clear" w:color="auto" w:fill="FFFFFF"/>
          <w:lang w:val="en-US" w:eastAsia="zh-CN"/>
        </w:rPr>
        <w:t>五、评价结论及建议</w:t>
      </w:r>
    </w:p>
    <w:p w14:paraId="174CE331">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en-US" w:eastAsia="zh-CN"/>
        </w:rPr>
      </w:pPr>
      <w:r>
        <w:rPr>
          <w:rFonts w:hint="eastAsia" w:ascii="Times New Roman" w:hAnsi="Times New Roman" w:eastAsia="楷体_GB2312" w:cs="Times New Roman"/>
          <w:b/>
          <w:bCs/>
          <w:color w:val="000000"/>
          <w:kern w:val="0"/>
          <w:sz w:val="32"/>
          <w:szCs w:val="32"/>
          <w:highlight w:val="none"/>
          <w:shd w:val="clear" w:color="auto" w:fill="FFFFFF"/>
          <w:lang w:val="en-US" w:eastAsia="zh-CN"/>
        </w:rPr>
        <w:t>（一）评价结论。</w:t>
      </w:r>
    </w:p>
    <w:p w14:paraId="565BAAFC">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总体上看，项目目标明确、资金到位率高、组织监管体系完善。峨边彝族自治县新林镇人民政府县级农村公共服务设施运行维护项目资金较好地实现了绩效目标。</w:t>
      </w:r>
    </w:p>
    <w:p w14:paraId="224A53F5">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项目绩效评价得分为100分。</w:t>
      </w:r>
    </w:p>
    <w:p w14:paraId="00E95835">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en-US" w:eastAsia="zh-CN"/>
        </w:rPr>
      </w:pPr>
      <w:r>
        <w:rPr>
          <w:rFonts w:hint="eastAsia" w:ascii="Times New Roman" w:hAnsi="Times New Roman" w:eastAsia="楷体_GB2312" w:cs="Times New Roman"/>
          <w:b/>
          <w:bCs/>
          <w:color w:val="000000"/>
          <w:kern w:val="0"/>
          <w:sz w:val="32"/>
          <w:szCs w:val="32"/>
          <w:highlight w:val="none"/>
          <w:shd w:val="clear" w:color="auto" w:fill="FFFFFF"/>
          <w:lang w:val="en-US" w:eastAsia="zh-CN"/>
        </w:rPr>
        <w:t>（二）存在的问题。</w:t>
      </w:r>
    </w:p>
    <w:p w14:paraId="0EDD32E9">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1.每年度项目实施目标不够具体，根据《四川省项目支出绩效评价指标体系》的评分标准，需对项目目标进行量化。</w:t>
      </w:r>
    </w:p>
    <w:p w14:paraId="26D5878D">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2.资金拨付进度相对滞后。</w:t>
      </w:r>
    </w:p>
    <w:p w14:paraId="61DBA3BB">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3.项目相关财务资料记账凭证未装订</w:t>
      </w:r>
      <w:r>
        <w:rPr>
          <w:rFonts w:hint="eastAsia" w:ascii="Times New Roman" w:hAnsi="Times New Roman" w:eastAsia="仿宋_GB2312" w:cs="仿宋_GB2312"/>
          <w:color w:val="auto"/>
          <w:kern w:val="2"/>
          <w:sz w:val="32"/>
          <w:szCs w:val="32"/>
          <w:highlight w:val="none"/>
          <w:lang w:val="en-US" w:eastAsia="zh-CN" w:bidi="ar-SA"/>
        </w:rPr>
        <w:tab/>
      </w:r>
      <w:r>
        <w:rPr>
          <w:rFonts w:hint="eastAsia" w:ascii="Times New Roman" w:hAnsi="Times New Roman" w:eastAsia="仿宋_GB2312" w:cs="仿宋_GB2312"/>
          <w:color w:val="auto"/>
          <w:kern w:val="2"/>
          <w:sz w:val="32"/>
          <w:szCs w:val="32"/>
          <w:highlight w:val="none"/>
          <w:lang w:val="en-US" w:eastAsia="zh-CN" w:bidi="ar-SA"/>
        </w:rPr>
        <w:t>。</w:t>
      </w:r>
    </w:p>
    <w:p w14:paraId="2EC0872F">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en-US" w:eastAsia="zh-CN"/>
        </w:rPr>
      </w:pPr>
      <w:r>
        <w:rPr>
          <w:rFonts w:hint="eastAsia" w:ascii="Times New Roman" w:hAnsi="Times New Roman" w:eastAsia="楷体_GB2312" w:cs="Times New Roman"/>
          <w:b/>
          <w:bCs/>
          <w:color w:val="000000"/>
          <w:kern w:val="0"/>
          <w:sz w:val="32"/>
          <w:szCs w:val="32"/>
          <w:highlight w:val="none"/>
          <w:shd w:val="clear" w:color="auto" w:fill="FFFFFF"/>
          <w:lang w:val="en-US" w:eastAsia="zh-CN"/>
        </w:rPr>
        <w:t>（三）相关建议。</w:t>
      </w:r>
    </w:p>
    <w:p w14:paraId="7580CC85">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1、参考《四川省项目支出绩效评价指标体系》，根据每年项目开展的实际情况，提出明确、合理的目标，制定绩效目标时应对目标进行量化，使项目实施做到科学合理，进一步完善相关资金管理制度。</w:t>
      </w:r>
    </w:p>
    <w:p w14:paraId="4F387BBD">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2.财政下达资金后，及时与各村对接，尽量按季度报账，杜绝年底一次性报账的现象。</w:t>
      </w:r>
    </w:p>
    <w:p w14:paraId="6BA009F8">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3.加强财务管理，及时将凭证装订成册。</w:t>
      </w:r>
    </w:p>
    <w:p w14:paraId="7E387D5B">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p>
    <w:p w14:paraId="6AFFA70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9" w:name="_Toc15396618"/>
    </w:p>
    <w:p w14:paraId="15E7476C">
      <w:pPr>
        <w:pStyle w:val="2"/>
        <w:rPr>
          <w:rFonts w:hint="eastAsia" w:ascii="Times New Roman" w:hAnsi="Times New Roman" w:eastAsia="仿宋_GB2312" w:cs="仿宋_GB2312"/>
          <w:b w:val="0"/>
          <w:bCs w:val="0"/>
          <w:kern w:val="0"/>
          <w:position w:val="0"/>
          <w:sz w:val="32"/>
          <w:szCs w:val="32"/>
          <w:highlight w:val="none"/>
          <w:lang w:val="en-US" w:eastAsia="zh-CN" w:bidi="ar-SA"/>
        </w:rPr>
      </w:pPr>
    </w:p>
    <w:p w14:paraId="08BA75AE">
      <w:pPr>
        <w:pStyle w:val="2"/>
        <w:rPr>
          <w:rFonts w:hint="eastAsia" w:ascii="Times New Roman" w:hAnsi="Times New Roman" w:eastAsia="仿宋_GB2312" w:cs="仿宋_GB2312"/>
          <w:b w:val="0"/>
          <w:bCs w:val="0"/>
          <w:kern w:val="0"/>
          <w:position w:val="0"/>
          <w:sz w:val="32"/>
          <w:szCs w:val="32"/>
          <w:highlight w:val="none"/>
          <w:lang w:val="en-US" w:eastAsia="zh-CN" w:bidi="ar-SA"/>
        </w:rPr>
      </w:pPr>
    </w:p>
    <w:p w14:paraId="7E1F9F13">
      <w:pPr>
        <w:pStyle w:val="2"/>
        <w:rPr>
          <w:rFonts w:hint="eastAsia" w:ascii="Times New Roman" w:hAnsi="Times New Roman" w:eastAsia="仿宋_GB2312" w:cs="仿宋_GB2312"/>
          <w:b w:val="0"/>
          <w:bCs w:val="0"/>
          <w:kern w:val="0"/>
          <w:position w:val="0"/>
          <w:sz w:val="32"/>
          <w:szCs w:val="32"/>
          <w:highlight w:val="none"/>
          <w:lang w:val="en-US" w:eastAsia="zh-CN" w:bidi="ar-SA"/>
        </w:rPr>
      </w:pPr>
    </w:p>
    <w:tbl>
      <w:tblPr>
        <w:tblStyle w:val="19"/>
        <w:tblW w:w="8520" w:type="dxa"/>
        <w:tblInd w:w="0" w:type="dxa"/>
        <w:shd w:val="clear" w:color="auto" w:fill="auto"/>
        <w:tblLayout w:type="autofit"/>
        <w:tblCellMar>
          <w:top w:w="0" w:type="dxa"/>
          <w:left w:w="0" w:type="dxa"/>
          <w:bottom w:w="0" w:type="dxa"/>
          <w:right w:w="0" w:type="dxa"/>
        </w:tblCellMar>
      </w:tblPr>
      <w:tblGrid>
        <w:gridCol w:w="597"/>
        <w:gridCol w:w="2"/>
        <w:gridCol w:w="914"/>
        <w:gridCol w:w="6"/>
        <w:gridCol w:w="909"/>
        <w:gridCol w:w="10"/>
        <w:gridCol w:w="905"/>
        <w:gridCol w:w="14"/>
        <w:gridCol w:w="901"/>
        <w:gridCol w:w="18"/>
        <w:gridCol w:w="655"/>
        <w:gridCol w:w="22"/>
        <w:gridCol w:w="565"/>
        <w:gridCol w:w="25"/>
        <w:gridCol w:w="890"/>
        <w:gridCol w:w="29"/>
        <w:gridCol w:w="657"/>
        <w:gridCol w:w="33"/>
        <w:gridCol w:w="704"/>
        <w:gridCol w:w="36"/>
        <w:gridCol w:w="589"/>
        <w:gridCol w:w="39"/>
      </w:tblGrid>
      <w:tr w14:paraId="70AE997E">
        <w:tblPrEx>
          <w:tblCellMar>
            <w:top w:w="0" w:type="dxa"/>
            <w:left w:w="0" w:type="dxa"/>
            <w:bottom w:w="0" w:type="dxa"/>
            <w:right w:w="0" w:type="dxa"/>
          </w:tblCellMar>
        </w:tblPrEx>
        <w:trPr>
          <w:trHeight w:val="390" w:hRule="atLeast"/>
        </w:trPr>
        <w:tc>
          <w:tcPr>
            <w:tcW w:w="852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663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b/>
                <w:i w:val="0"/>
                <w:iCs w:val="0"/>
                <w:color w:val="000000"/>
                <w:sz w:val="30"/>
                <w:szCs w:val="30"/>
                <w:u w:val="none"/>
              </w:rPr>
            </w:pPr>
            <w:r>
              <w:rPr>
                <w:rFonts w:hint="eastAsia" w:ascii="黑体" w:hAnsi="宋体" w:eastAsia="黑体" w:cs="黑体"/>
                <w:b/>
                <w:i w:val="0"/>
                <w:iCs w:val="0"/>
                <w:color w:val="000000"/>
                <w:kern w:val="0"/>
                <w:sz w:val="30"/>
                <w:szCs w:val="30"/>
                <w:u w:val="none"/>
                <w:lang w:val="en-US" w:eastAsia="zh-CN" w:bidi="ar"/>
              </w:rPr>
              <w:t>部门预算项目支出绩效自评表（2024年度）</w:t>
            </w:r>
          </w:p>
        </w:tc>
      </w:tr>
      <w:tr w14:paraId="76BC81D0">
        <w:tblPrEx>
          <w:shd w:val="clear" w:color="auto" w:fill="auto"/>
          <w:tblCellMar>
            <w:top w:w="0" w:type="dxa"/>
            <w:left w:w="0" w:type="dxa"/>
            <w:bottom w:w="0" w:type="dxa"/>
            <w:right w:w="0" w:type="dxa"/>
          </w:tblCellMar>
        </w:tblPrEx>
        <w:trPr>
          <w:trHeight w:val="270" w:hRule="atLeast"/>
        </w:trPr>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D40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01"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7AD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51113224T000011937525-2024年基层组织组织和农村公共服务运行经费（县级）</w:t>
            </w:r>
          </w:p>
        </w:tc>
      </w:tr>
      <w:tr w14:paraId="0422CAE4">
        <w:tblPrEx>
          <w:tblCellMar>
            <w:top w:w="0" w:type="dxa"/>
            <w:left w:w="0" w:type="dxa"/>
            <w:bottom w:w="0" w:type="dxa"/>
            <w:right w:w="0" w:type="dxa"/>
          </w:tblCellMar>
        </w:tblPrEx>
        <w:trPr>
          <w:trHeight w:val="450" w:hRule="atLeast"/>
        </w:trPr>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DD5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2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136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峨边彝族自治县新林镇人民政府本级</w:t>
            </w:r>
          </w:p>
        </w:tc>
        <w:tc>
          <w:tcPr>
            <w:tcW w:w="919" w:type="dxa"/>
            <w:gridSpan w:val="2"/>
            <w:tcBorders>
              <w:top w:val="nil"/>
              <w:left w:val="nil"/>
              <w:bottom w:val="nil"/>
              <w:right w:val="nil"/>
            </w:tcBorders>
            <w:shd w:val="clear" w:color="auto" w:fill="auto"/>
            <w:tcMar>
              <w:top w:w="15" w:type="dxa"/>
              <w:left w:w="15" w:type="dxa"/>
              <w:right w:w="15" w:type="dxa"/>
            </w:tcMar>
            <w:vAlign w:val="center"/>
          </w:tcPr>
          <w:p w14:paraId="03A388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5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4B9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峨边彝族自治县新林镇人民政府</w:t>
            </w:r>
          </w:p>
        </w:tc>
      </w:tr>
      <w:tr w14:paraId="13CD7AEE">
        <w:tblPrEx>
          <w:tblCellMar>
            <w:top w:w="0" w:type="dxa"/>
            <w:left w:w="0" w:type="dxa"/>
            <w:bottom w:w="0" w:type="dxa"/>
            <w:right w:w="0" w:type="dxa"/>
          </w:tblCellMar>
        </w:tblPrEx>
        <w:trPr>
          <w:trHeight w:val="270" w:hRule="atLeast"/>
        </w:trPr>
        <w:tc>
          <w:tcPr>
            <w:tcW w:w="5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69F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8D8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2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7E7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7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694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62C9115">
        <w:tblPrEx>
          <w:shd w:val="clear" w:color="auto" w:fill="auto"/>
          <w:tblCellMar>
            <w:top w:w="0" w:type="dxa"/>
            <w:left w:w="0" w:type="dxa"/>
            <w:bottom w:w="0" w:type="dxa"/>
            <w:right w:w="0" w:type="dxa"/>
          </w:tblCellMar>
        </w:tblPrEx>
        <w:trPr>
          <w:trHeight w:val="740" w:hRule="atLeast"/>
        </w:trPr>
        <w:tc>
          <w:tcPr>
            <w:tcW w:w="5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8BFE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D04E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02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C2C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保障全镇合并前11个村移风易俗、环境卫生、民生保障，日常办公各项工作正常开展，提高群众满意度。</w:t>
            </w:r>
          </w:p>
        </w:tc>
        <w:tc>
          <w:tcPr>
            <w:tcW w:w="297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9B0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保障全镇合并前11个村移风易俗、环境卫生、民生保障，日常办公各项工作正常开展，提高群众满意度。</w:t>
            </w:r>
          </w:p>
        </w:tc>
      </w:tr>
      <w:tr w14:paraId="1DD35ED9">
        <w:tblPrEx>
          <w:tblCellMar>
            <w:top w:w="0" w:type="dxa"/>
            <w:left w:w="0" w:type="dxa"/>
            <w:bottom w:w="0" w:type="dxa"/>
            <w:right w:w="0" w:type="dxa"/>
          </w:tblCellMar>
        </w:tblPrEx>
        <w:trPr>
          <w:trHeight w:val="675" w:hRule="atLeast"/>
        </w:trPr>
        <w:tc>
          <w:tcPr>
            <w:tcW w:w="5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A728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EF6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01"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C860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32F89C64">
        <w:tblPrEx>
          <w:tblCellMar>
            <w:top w:w="0" w:type="dxa"/>
            <w:left w:w="0" w:type="dxa"/>
            <w:bottom w:w="0" w:type="dxa"/>
            <w:right w:w="0" w:type="dxa"/>
          </w:tblCellMar>
        </w:tblPrEx>
        <w:trPr>
          <w:trHeight w:val="450" w:hRule="atLeast"/>
        </w:trPr>
        <w:tc>
          <w:tcPr>
            <w:tcW w:w="5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729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8AA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959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F2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8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D57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09E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E26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6F6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33F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E949ABD">
        <w:tblPrEx>
          <w:tblCellMar>
            <w:top w:w="0" w:type="dxa"/>
            <w:left w:w="0" w:type="dxa"/>
            <w:bottom w:w="0" w:type="dxa"/>
            <w:right w:w="0" w:type="dxa"/>
          </w:tblCellMar>
        </w:tblPrEx>
        <w:trPr>
          <w:trHeight w:val="270" w:hRule="atLeast"/>
        </w:trPr>
        <w:tc>
          <w:tcPr>
            <w:tcW w:w="5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993A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7A9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F13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CAD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65.63</w:t>
            </w:r>
          </w:p>
        </w:tc>
        <w:tc>
          <w:tcPr>
            <w:tcW w:w="218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00B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65.63</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26F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A21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1E0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CBB6B">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8"/>
                <w:szCs w:val="18"/>
                <w:u w:val="none"/>
              </w:rPr>
            </w:pPr>
          </w:p>
        </w:tc>
      </w:tr>
      <w:tr w14:paraId="69D5A83B">
        <w:tblPrEx>
          <w:shd w:val="clear" w:color="auto" w:fill="auto"/>
          <w:tblCellMar>
            <w:top w:w="0" w:type="dxa"/>
            <w:left w:w="0" w:type="dxa"/>
            <w:bottom w:w="0" w:type="dxa"/>
            <w:right w:w="0" w:type="dxa"/>
          </w:tblCellMar>
        </w:tblPrEx>
        <w:trPr>
          <w:trHeight w:val="450" w:hRule="atLeast"/>
        </w:trPr>
        <w:tc>
          <w:tcPr>
            <w:tcW w:w="5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781F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76E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AB0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B73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65.63</w:t>
            </w:r>
          </w:p>
        </w:tc>
        <w:tc>
          <w:tcPr>
            <w:tcW w:w="218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E27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65.63</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DE4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A6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8BE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A1E67">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8"/>
                <w:szCs w:val="18"/>
                <w:u w:val="none"/>
              </w:rPr>
            </w:pPr>
          </w:p>
        </w:tc>
      </w:tr>
      <w:tr w14:paraId="5895C82B">
        <w:tblPrEx>
          <w:tblCellMar>
            <w:top w:w="0" w:type="dxa"/>
            <w:left w:w="0" w:type="dxa"/>
            <w:bottom w:w="0" w:type="dxa"/>
            <w:right w:w="0" w:type="dxa"/>
          </w:tblCellMar>
        </w:tblPrEx>
        <w:trPr>
          <w:trHeight w:val="450" w:hRule="atLeast"/>
        </w:trPr>
        <w:tc>
          <w:tcPr>
            <w:tcW w:w="5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0C5B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B32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8B1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5A5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8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39F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5DB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CD2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A47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B41F1">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8"/>
                <w:szCs w:val="18"/>
                <w:u w:val="none"/>
              </w:rPr>
            </w:pPr>
          </w:p>
        </w:tc>
      </w:tr>
      <w:tr w14:paraId="2B25B4E6">
        <w:tblPrEx>
          <w:tblCellMar>
            <w:top w:w="0" w:type="dxa"/>
            <w:left w:w="0" w:type="dxa"/>
            <w:bottom w:w="0" w:type="dxa"/>
            <w:right w:w="0" w:type="dxa"/>
          </w:tblCellMar>
        </w:tblPrEx>
        <w:trPr>
          <w:trHeight w:val="270" w:hRule="atLeast"/>
        </w:trPr>
        <w:tc>
          <w:tcPr>
            <w:tcW w:w="5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E32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4A1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633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B1D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8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3F4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7CF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A1A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73B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6C7EE">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8"/>
                <w:szCs w:val="18"/>
                <w:u w:val="none"/>
              </w:rPr>
            </w:pPr>
          </w:p>
        </w:tc>
      </w:tr>
      <w:tr w14:paraId="1F0843ED">
        <w:tblPrEx>
          <w:tblCellMar>
            <w:top w:w="0" w:type="dxa"/>
            <w:left w:w="0" w:type="dxa"/>
            <w:bottom w:w="0" w:type="dxa"/>
            <w:right w:w="0" w:type="dxa"/>
          </w:tblCellMar>
        </w:tblPrEx>
        <w:trPr>
          <w:trHeight w:val="270" w:hRule="atLeast"/>
        </w:trPr>
        <w:tc>
          <w:tcPr>
            <w:tcW w:w="5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FDD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207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AAB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D69D6">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218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F04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71FA2">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301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231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586A6">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8"/>
                <w:szCs w:val="18"/>
                <w:u w:val="none"/>
              </w:rPr>
            </w:pPr>
          </w:p>
        </w:tc>
      </w:tr>
      <w:tr w14:paraId="7CD7D01D">
        <w:tblPrEx>
          <w:shd w:val="clear" w:color="auto" w:fill="auto"/>
          <w:tblCellMar>
            <w:top w:w="0" w:type="dxa"/>
            <w:left w:w="0" w:type="dxa"/>
            <w:bottom w:w="0" w:type="dxa"/>
            <w:right w:w="0" w:type="dxa"/>
          </w:tblCellMar>
        </w:tblPrEx>
        <w:trPr>
          <w:trHeight w:val="450" w:hRule="atLeast"/>
        </w:trPr>
        <w:tc>
          <w:tcPr>
            <w:tcW w:w="5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715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F22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1D6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980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078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4C9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A11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226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38F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3D8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8C0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BFD6D31">
        <w:tblPrEx>
          <w:tblCellMar>
            <w:top w:w="0" w:type="dxa"/>
            <w:left w:w="0" w:type="dxa"/>
            <w:bottom w:w="0" w:type="dxa"/>
            <w:right w:w="0" w:type="dxa"/>
          </w:tblCellMar>
        </w:tblPrEx>
        <w:trPr>
          <w:trHeight w:val="675" w:hRule="atLeast"/>
        </w:trPr>
        <w:tc>
          <w:tcPr>
            <w:tcW w:w="5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6D7F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73F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4C0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B59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保障行政村经费运转个数</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71A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15E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238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B2F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430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848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F386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0C7CD48A">
        <w:tblPrEx>
          <w:tblCellMar>
            <w:top w:w="0" w:type="dxa"/>
            <w:left w:w="0" w:type="dxa"/>
            <w:bottom w:w="0" w:type="dxa"/>
            <w:right w:w="0" w:type="dxa"/>
          </w:tblCellMar>
        </w:tblPrEx>
        <w:trPr>
          <w:trHeight w:val="360" w:hRule="atLeast"/>
        </w:trPr>
        <w:tc>
          <w:tcPr>
            <w:tcW w:w="5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27B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48D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351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645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本年底完成</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485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340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44C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2A8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C94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093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121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6C034C1E">
        <w:tblPrEx>
          <w:tblCellMar>
            <w:top w:w="0" w:type="dxa"/>
            <w:left w:w="0" w:type="dxa"/>
            <w:bottom w:w="0" w:type="dxa"/>
            <w:right w:w="0" w:type="dxa"/>
          </w:tblCellMar>
        </w:tblPrEx>
        <w:trPr>
          <w:trHeight w:val="1350" w:hRule="atLeast"/>
        </w:trPr>
        <w:tc>
          <w:tcPr>
            <w:tcW w:w="5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9BFA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288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77F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93C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提高村级工作效率，全镇11个村村级公共运行服务经费保障</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934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8C2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5D98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29E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849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1A4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72F4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39253758">
        <w:tblPrEx>
          <w:tblCellMar>
            <w:top w:w="0" w:type="dxa"/>
            <w:left w:w="0" w:type="dxa"/>
            <w:bottom w:w="0" w:type="dxa"/>
            <w:right w:w="0" w:type="dxa"/>
          </w:tblCellMar>
        </w:tblPrEx>
        <w:trPr>
          <w:trHeight w:val="450" w:hRule="atLeast"/>
        </w:trPr>
        <w:tc>
          <w:tcPr>
            <w:tcW w:w="5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D800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33E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EFA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5B8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DF2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975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367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65F59">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263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A07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87F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6FBC2AD7">
        <w:tblPrEx>
          <w:shd w:val="clear" w:color="auto" w:fill="auto"/>
          <w:tblCellMar>
            <w:top w:w="0" w:type="dxa"/>
            <w:left w:w="0" w:type="dxa"/>
            <w:bottom w:w="0" w:type="dxa"/>
            <w:right w:w="0" w:type="dxa"/>
          </w:tblCellMar>
        </w:tblPrEx>
        <w:trPr>
          <w:trHeight w:val="450" w:hRule="atLeast"/>
        </w:trPr>
        <w:tc>
          <w:tcPr>
            <w:tcW w:w="5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7078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67E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CC5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369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2E1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387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65.63</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2A0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566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DDB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17C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E13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r>
      <w:tr w14:paraId="64300C92">
        <w:tblPrEx>
          <w:shd w:val="clear" w:color="auto" w:fill="auto"/>
          <w:tblCellMar>
            <w:top w:w="0" w:type="dxa"/>
            <w:left w:w="0" w:type="dxa"/>
            <w:bottom w:w="0" w:type="dxa"/>
            <w:right w:w="0" w:type="dxa"/>
          </w:tblCellMar>
        </w:tblPrEx>
        <w:trPr>
          <w:trHeight w:val="270" w:hRule="atLeast"/>
        </w:trPr>
        <w:tc>
          <w:tcPr>
            <w:tcW w:w="646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93F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BF4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2177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4550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10DC8567">
        <w:tblPrEx>
          <w:tblCellMar>
            <w:top w:w="0" w:type="dxa"/>
            <w:left w:w="0" w:type="dxa"/>
            <w:bottom w:w="0" w:type="dxa"/>
            <w:right w:w="0" w:type="dxa"/>
          </w:tblCellMar>
        </w:tblPrEx>
        <w:trPr>
          <w:trHeight w:val="270" w:hRule="atLeast"/>
        </w:trPr>
        <w:tc>
          <w:tcPr>
            <w:tcW w:w="5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3F2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2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EBA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保障全镇合并前11个村移风易俗、环境卫生、民生保障，日常办公各项工作正常开展，提高群众满意度。</w:t>
            </w:r>
          </w:p>
        </w:tc>
      </w:tr>
      <w:tr w14:paraId="49C6E574">
        <w:tblPrEx>
          <w:tblCellMar>
            <w:top w:w="0" w:type="dxa"/>
            <w:left w:w="0" w:type="dxa"/>
            <w:bottom w:w="0" w:type="dxa"/>
            <w:right w:w="0" w:type="dxa"/>
          </w:tblCellMar>
        </w:tblPrEx>
        <w:trPr>
          <w:gridAfter w:val="1"/>
          <w:wAfter w:w="39" w:type="dxa"/>
          <w:trHeight w:val="390" w:hRule="atLeast"/>
        </w:trPr>
        <w:tc>
          <w:tcPr>
            <w:tcW w:w="8481"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603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b/>
                <w:i w:val="0"/>
                <w:iCs w:val="0"/>
                <w:color w:val="000000"/>
                <w:sz w:val="30"/>
                <w:szCs w:val="30"/>
                <w:u w:val="none"/>
              </w:rPr>
            </w:pPr>
            <w:r>
              <w:rPr>
                <w:rFonts w:hint="eastAsia" w:ascii="黑体" w:hAnsi="宋体" w:eastAsia="黑体" w:cs="黑体"/>
                <w:b/>
                <w:i w:val="0"/>
                <w:iCs w:val="0"/>
                <w:color w:val="000000"/>
                <w:kern w:val="0"/>
                <w:sz w:val="30"/>
                <w:szCs w:val="30"/>
                <w:u w:val="none"/>
                <w:lang w:val="en-US" w:eastAsia="zh-CN" w:bidi="ar"/>
              </w:rPr>
              <w:t>部门预算项目支出绩效自评表（2024年度）</w:t>
            </w:r>
          </w:p>
        </w:tc>
      </w:tr>
      <w:tr w14:paraId="57026CF4">
        <w:tblPrEx>
          <w:tblCellMar>
            <w:top w:w="0" w:type="dxa"/>
            <w:left w:w="0" w:type="dxa"/>
            <w:bottom w:w="0" w:type="dxa"/>
            <w:right w:w="0" w:type="dxa"/>
          </w:tblCellMar>
        </w:tblPrEx>
        <w:trPr>
          <w:gridAfter w:val="1"/>
          <w:wAfter w:w="39" w:type="dxa"/>
          <w:trHeight w:val="270" w:hRule="atLeast"/>
        </w:trPr>
        <w:tc>
          <w:tcPr>
            <w:tcW w:w="15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CD7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96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A17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51113224T000011937525-2024年基层组织组织和农村公共服务运行经费（县级）</w:t>
            </w:r>
          </w:p>
        </w:tc>
      </w:tr>
      <w:tr w14:paraId="5691E2AB">
        <w:tblPrEx>
          <w:tblCellMar>
            <w:top w:w="0" w:type="dxa"/>
            <w:left w:w="0" w:type="dxa"/>
            <w:bottom w:w="0" w:type="dxa"/>
            <w:right w:w="0" w:type="dxa"/>
          </w:tblCellMar>
        </w:tblPrEx>
        <w:trPr>
          <w:gridAfter w:val="1"/>
          <w:wAfter w:w="39" w:type="dxa"/>
          <w:trHeight w:val="450" w:hRule="atLeast"/>
        </w:trPr>
        <w:tc>
          <w:tcPr>
            <w:tcW w:w="15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F2E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EAC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峨边彝族自治县新林镇人民政府本级</w:t>
            </w:r>
          </w:p>
        </w:tc>
        <w:tc>
          <w:tcPr>
            <w:tcW w:w="915" w:type="dxa"/>
            <w:gridSpan w:val="2"/>
            <w:tcBorders>
              <w:top w:val="nil"/>
              <w:left w:val="nil"/>
              <w:bottom w:val="nil"/>
              <w:right w:val="nil"/>
            </w:tcBorders>
            <w:shd w:val="clear" w:color="auto" w:fill="auto"/>
            <w:tcMar>
              <w:top w:w="15" w:type="dxa"/>
              <w:left w:w="15" w:type="dxa"/>
              <w:right w:w="15" w:type="dxa"/>
            </w:tcMar>
            <w:vAlign w:val="center"/>
          </w:tcPr>
          <w:p w14:paraId="353566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4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F8A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峨边彝族自治县新林镇人民政府</w:t>
            </w:r>
          </w:p>
        </w:tc>
      </w:tr>
      <w:tr w14:paraId="6A34955C">
        <w:tblPrEx>
          <w:shd w:val="clear" w:color="auto" w:fill="auto"/>
          <w:tblCellMar>
            <w:top w:w="0" w:type="dxa"/>
            <w:left w:w="0" w:type="dxa"/>
            <w:bottom w:w="0" w:type="dxa"/>
            <w:right w:w="0" w:type="dxa"/>
          </w:tblCellMar>
        </w:tblPrEx>
        <w:trPr>
          <w:gridAfter w:val="1"/>
          <w:wAfter w:w="39" w:type="dxa"/>
          <w:trHeight w:val="270"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BC7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D92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FA5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6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3E0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475F438">
        <w:tblPrEx>
          <w:tblCellMar>
            <w:top w:w="0" w:type="dxa"/>
            <w:left w:w="0" w:type="dxa"/>
            <w:bottom w:w="0" w:type="dxa"/>
            <w:right w:w="0" w:type="dxa"/>
          </w:tblCellMar>
        </w:tblPrEx>
        <w:trPr>
          <w:gridAfter w:val="1"/>
          <w:wAfter w:w="39" w:type="dxa"/>
          <w:trHeight w:val="740"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21E5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352A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0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D15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保障全镇合并前11个村移风易俗、环境卫生、民生保障，日常办公各项工作正常开展，提高群众满意度。</w:t>
            </w:r>
          </w:p>
        </w:tc>
        <w:tc>
          <w:tcPr>
            <w:tcW w:w="296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A7B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保障全镇合并前11个村移风易俗、环境卫生、民生保障，日常办公各项工作正常开展，提高群众满意度。</w:t>
            </w:r>
          </w:p>
        </w:tc>
      </w:tr>
      <w:tr w14:paraId="072B79F0">
        <w:tblPrEx>
          <w:shd w:val="clear" w:color="auto" w:fill="auto"/>
          <w:tblCellMar>
            <w:top w:w="0" w:type="dxa"/>
            <w:left w:w="0" w:type="dxa"/>
            <w:bottom w:w="0" w:type="dxa"/>
            <w:right w:w="0" w:type="dxa"/>
          </w:tblCellMar>
        </w:tblPrEx>
        <w:trPr>
          <w:gridAfter w:val="1"/>
          <w:wAfter w:w="39" w:type="dxa"/>
          <w:trHeight w:val="675"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D3CC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309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968"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C46B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4D4E97A8">
        <w:tblPrEx>
          <w:tblCellMar>
            <w:top w:w="0" w:type="dxa"/>
            <w:left w:w="0" w:type="dxa"/>
            <w:bottom w:w="0" w:type="dxa"/>
            <w:right w:w="0" w:type="dxa"/>
          </w:tblCellMar>
        </w:tblPrEx>
        <w:trPr>
          <w:gridAfter w:val="1"/>
          <w:wAfter w:w="39" w:type="dxa"/>
          <w:trHeight w:val="450"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B07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B7D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ED3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DF8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7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F5F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81E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032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FD6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6BE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E7F8F6D">
        <w:tblPrEx>
          <w:shd w:val="clear" w:color="auto" w:fill="auto"/>
          <w:tblCellMar>
            <w:top w:w="0" w:type="dxa"/>
            <w:left w:w="0" w:type="dxa"/>
            <w:bottom w:w="0" w:type="dxa"/>
            <w:right w:w="0" w:type="dxa"/>
          </w:tblCellMar>
        </w:tblPrEx>
        <w:trPr>
          <w:gridAfter w:val="1"/>
          <w:wAfter w:w="39" w:type="dxa"/>
          <w:trHeight w:val="270"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0F3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33A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57A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DE6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65.63</w:t>
            </w:r>
          </w:p>
        </w:tc>
        <w:tc>
          <w:tcPr>
            <w:tcW w:w="217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FF1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65.63</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FE8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585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D8A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54848">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8"/>
                <w:szCs w:val="18"/>
                <w:u w:val="none"/>
              </w:rPr>
            </w:pPr>
          </w:p>
        </w:tc>
      </w:tr>
      <w:tr w14:paraId="45AC53AC">
        <w:tblPrEx>
          <w:tblCellMar>
            <w:top w:w="0" w:type="dxa"/>
            <w:left w:w="0" w:type="dxa"/>
            <w:bottom w:w="0" w:type="dxa"/>
            <w:right w:w="0" w:type="dxa"/>
          </w:tblCellMar>
        </w:tblPrEx>
        <w:trPr>
          <w:gridAfter w:val="1"/>
          <w:wAfter w:w="39" w:type="dxa"/>
          <w:trHeight w:val="450"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DFCF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C19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78E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4EB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65.63</w:t>
            </w:r>
          </w:p>
        </w:tc>
        <w:tc>
          <w:tcPr>
            <w:tcW w:w="217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651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65.63</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05A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5F8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4EF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128D7">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8"/>
                <w:szCs w:val="18"/>
                <w:u w:val="none"/>
              </w:rPr>
            </w:pPr>
          </w:p>
        </w:tc>
      </w:tr>
      <w:tr w14:paraId="21422718">
        <w:tblPrEx>
          <w:shd w:val="clear" w:color="auto" w:fill="auto"/>
          <w:tblCellMar>
            <w:top w:w="0" w:type="dxa"/>
            <w:left w:w="0" w:type="dxa"/>
            <w:bottom w:w="0" w:type="dxa"/>
            <w:right w:w="0" w:type="dxa"/>
          </w:tblCellMar>
        </w:tblPrEx>
        <w:trPr>
          <w:gridAfter w:val="1"/>
          <w:wAfter w:w="39" w:type="dxa"/>
          <w:trHeight w:val="450"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6703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0F9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0C0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EBA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7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26D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90E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F16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CD1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4D83F">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8"/>
                <w:szCs w:val="18"/>
                <w:u w:val="none"/>
              </w:rPr>
            </w:pPr>
          </w:p>
        </w:tc>
      </w:tr>
      <w:tr w14:paraId="570B7061">
        <w:tblPrEx>
          <w:tblCellMar>
            <w:top w:w="0" w:type="dxa"/>
            <w:left w:w="0" w:type="dxa"/>
            <w:bottom w:w="0" w:type="dxa"/>
            <w:right w:w="0" w:type="dxa"/>
          </w:tblCellMar>
        </w:tblPrEx>
        <w:trPr>
          <w:gridAfter w:val="1"/>
          <w:wAfter w:w="39" w:type="dxa"/>
          <w:trHeight w:val="270"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ACB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A61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33E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B11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7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8E5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F67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0C8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470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D13E7">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8"/>
                <w:szCs w:val="18"/>
                <w:u w:val="none"/>
              </w:rPr>
            </w:pPr>
          </w:p>
        </w:tc>
      </w:tr>
      <w:tr w14:paraId="6BD89484">
        <w:tblPrEx>
          <w:shd w:val="clear" w:color="auto" w:fill="auto"/>
          <w:tblCellMar>
            <w:top w:w="0" w:type="dxa"/>
            <w:left w:w="0" w:type="dxa"/>
            <w:bottom w:w="0" w:type="dxa"/>
            <w:right w:w="0" w:type="dxa"/>
          </w:tblCellMar>
        </w:tblPrEx>
        <w:trPr>
          <w:gridAfter w:val="1"/>
          <w:wAfter w:w="39" w:type="dxa"/>
          <w:trHeight w:val="270"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2086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46B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860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9B7CE">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217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5057A">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178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8D0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F2F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1AE16">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8"/>
                <w:szCs w:val="18"/>
                <w:u w:val="none"/>
              </w:rPr>
            </w:pPr>
          </w:p>
        </w:tc>
      </w:tr>
      <w:tr w14:paraId="76B45D0D">
        <w:tblPrEx>
          <w:shd w:val="clear" w:color="auto" w:fill="auto"/>
          <w:tblCellMar>
            <w:top w:w="0" w:type="dxa"/>
            <w:left w:w="0" w:type="dxa"/>
            <w:bottom w:w="0" w:type="dxa"/>
            <w:right w:w="0" w:type="dxa"/>
          </w:tblCellMar>
        </w:tblPrEx>
        <w:trPr>
          <w:gridAfter w:val="1"/>
          <w:wAfter w:w="39" w:type="dxa"/>
          <w:trHeight w:val="450"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29C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7DA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273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26B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37F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811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A19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BD1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0C9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C70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29B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1D8DABB">
        <w:tblPrEx>
          <w:tblCellMar>
            <w:top w:w="0" w:type="dxa"/>
            <w:left w:w="0" w:type="dxa"/>
            <w:bottom w:w="0" w:type="dxa"/>
            <w:right w:w="0" w:type="dxa"/>
          </w:tblCellMar>
        </w:tblPrEx>
        <w:trPr>
          <w:gridAfter w:val="1"/>
          <w:wAfter w:w="39" w:type="dxa"/>
          <w:trHeight w:val="675"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9B1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E64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975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F2A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保障行政村经费运转个数</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C9E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0E9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3E0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C82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D7B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A73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3C1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1FA129B4">
        <w:tblPrEx>
          <w:tblCellMar>
            <w:top w:w="0" w:type="dxa"/>
            <w:left w:w="0" w:type="dxa"/>
            <w:bottom w:w="0" w:type="dxa"/>
            <w:right w:w="0" w:type="dxa"/>
          </w:tblCellMar>
        </w:tblPrEx>
        <w:trPr>
          <w:gridAfter w:val="1"/>
          <w:wAfter w:w="39" w:type="dxa"/>
          <w:trHeight w:val="360"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70A4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6BDA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01F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D45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本年底完成</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988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BB6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BBD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B44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989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6EB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959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5342A038">
        <w:tblPrEx>
          <w:tblCellMar>
            <w:top w:w="0" w:type="dxa"/>
            <w:left w:w="0" w:type="dxa"/>
            <w:bottom w:w="0" w:type="dxa"/>
            <w:right w:w="0" w:type="dxa"/>
          </w:tblCellMar>
        </w:tblPrEx>
        <w:trPr>
          <w:gridAfter w:val="1"/>
          <w:wAfter w:w="39" w:type="dxa"/>
          <w:trHeight w:val="1350"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AFCB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994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F29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0A5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提高村级工作效率，全镇11个村村级公共运行服务经费保障</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18E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28F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D34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994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ABF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990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51B8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2FEE2645">
        <w:tblPrEx>
          <w:shd w:val="clear" w:color="auto" w:fill="auto"/>
          <w:tblCellMar>
            <w:top w:w="0" w:type="dxa"/>
            <w:left w:w="0" w:type="dxa"/>
            <w:bottom w:w="0" w:type="dxa"/>
            <w:right w:w="0" w:type="dxa"/>
          </w:tblCellMar>
        </w:tblPrEx>
        <w:trPr>
          <w:gridAfter w:val="1"/>
          <w:wAfter w:w="39" w:type="dxa"/>
          <w:trHeight w:val="450"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888E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064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9F4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3E1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AA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D11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0F2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84B5B">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E20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021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2A42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76877E89">
        <w:tblPrEx>
          <w:tblCellMar>
            <w:top w:w="0" w:type="dxa"/>
            <w:left w:w="0" w:type="dxa"/>
            <w:bottom w:w="0" w:type="dxa"/>
            <w:right w:w="0" w:type="dxa"/>
          </w:tblCellMar>
        </w:tblPrEx>
        <w:trPr>
          <w:gridAfter w:val="1"/>
          <w:wAfter w:w="39" w:type="dxa"/>
          <w:trHeight w:val="450"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49D5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C1B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54A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085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5A4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83B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65.63</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93E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382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D2D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49A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1C7BE">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r>
      <w:tr w14:paraId="58C8A0B1">
        <w:tblPrEx>
          <w:shd w:val="clear" w:color="auto" w:fill="auto"/>
          <w:tblCellMar>
            <w:top w:w="0" w:type="dxa"/>
            <w:left w:w="0" w:type="dxa"/>
            <w:bottom w:w="0" w:type="dxa"/>
            <w:right w:w="0" w:type="dxa"/>
          </w:tblCellMar>
        </w:tblPrEx>
        <w:trPr>
          <w:gridAfter w:val="1"/>
          <w:wAfter w:w="39" w:type="dxa"/>
          <w:trHeight w:val="270" w:hRule="atLeast"/>
        </w:trPr>
        <w:tc>
          <w:tcPr>
            <w:tcW w:w="643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D93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37B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7AEB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1A34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7FA15967">
        <w:tblPrEx>
          <w:tblCellMar>
            <w:top w:w="0" w:type="dxa"/>
            <w:left w:w="0" w:type="dxa"/>
            <w:bottom w:w="0" w:type="dxa"/>
            <w:right w:w="0" w:type="dxa"/>
          </w:tblCellMar>
        </w:tblPrEx>
        <w:trPr>
          <w:gridAfter w:val="1"/>
          <w:wAfter w:w="39" w:type="dxa"/>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717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84"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DE6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保障全镇合并前11个村移风易俗、环境卫生、民生保障，日常办公各项工作正常开展，提高群众满意度。</w:t>
            </w:r>
          </w:p>
        </w:tc>
      </w:tr>
    </w:tbl>
    <w:p w14:paraId="514100A7">
      <w:pPr>
        <w:widowControl/>
        <w:jc w:val="both"/>
        <w:rPr>
          <w:rFonts w:hint="eastAsia" w:ascii="Times New Roman" w:hAnsi="Times New Roman" w:eastAsia="黑体"/>
          <w:color w:val="auto"/>
          <w:sz w:val="44"/>
          <w:szCs w:val="44"/>
          <w:highlight w:val="none"/>
        </w:rPr>
      </w:pPr>
    </w:p>
    <w:p w14:paraId="18F00C1A">
      <w:pPr>
        <w:widowControl/>
        <w:jc w:val="center"/>
        <w:rPr>
          <w:rFonts w:hint="eastAsia" w:ascii="Times New Roman" w:hAnsi="Times New Roman" w:eastAsia="黑体"/>
          <w:color w:val="auto"/>
          <w:sz w:val="44"/>
          <w:szCs w:val="44"/>
          <w:highlight w:val="none"/>
        </w:rPr>
      </w:pPr>
    </w:p>
    <w:p w14:paraId="71E23E9A">
      <w:pPr>
        <w:widowControl/>
        <w:jc w:val="center"/>
        <w:rPr>
          <w:rFonts w:hint="eastAsia" w:ascii="Times New Roman" w:hAnsi="Times New Roman" w:eastAsia="黑体"/>
          <w:color w:val="auto"/>
          <w:sz w:val="44"/>
          <w:szCs w:val="44"/>
          <w:highlight w:val="none"/>
        </w:rPr>
      </w:pPr>
    </w:p>
    <w:p w14:paraId="79337C8E">
      <w:pPr>
        <w:widowControl/>
        <w:jc w:val="center"/>
        <w:rPr>
          <w:rFonts w:hint="eastAsia" w:ascii="Times New Roman" w:hAnsi="Times New Roman" w:eastAsia="黑体"/>
          <w:color w:val="auto"/>
          <w:sz w:val="44"/>
          <w:szCs w:val="44"/>
          <w:highlight w:val="none"/>
        </w:rPr>
      </w:pPr>
    </w:p>
    <w:p w14:paraId="394D0B8E">
      <w:pPr>
        <w:widowControl/>
        <w:jc w:val="center"/>
        <w:rPr>
          <w:rFonts w:hint="eastAsia" w:ascii="Times New Roman" w:hAnsi="Times New Roman" w:eastAsia="黑体"/>
          <w:color w:val="auto"/>
          <w:sz w:val="44"/>
          <w:szCs w:val="44"/>
          <w:highlight w:val="none"/>
        </w:rPr>
      </w:pPr>
    </w:p>
    <w:p w14:paraId="092CCDA4">
      <w:pPr>
        <w:widowControl/>
        <w:jc w:val="center"/>
        <w:rPr>
          <w:rFonts w:hint="eastAsia" w:ascii="Times New Roman" w:hAnsi="Times New Roman" w:eastAsia="黑体"/>
          <w:color w:val="auto"/>
          <w:sz w:val="44"/>
          <w:szCs w:val="44"/>
          <w:highlight w:val="none"/>
        </w:rPr>
      </w:pPr>
    </w:p>
    <w:p w14:paraId="3C1DA85E">
      <w:pPr>
        <w:widowControl/>
        <w:jc w:val="center"/>
        <w:rPr>
          <w:rFonts w:hint="eastAsia" w:ascii="Times New Roman" w:hAnsi="Times New Roman" w:eastAsia="黑体"/>
          <w:color w:val="auto"/>
          <w:sz w:val="44"/>
          <w:szCs w:val="44"/>
          <w:highlight w:val="none"/>
        </w:rPr>
      </w:pPr>
    </w:p>
    <w:p w14:paraId="6892DF2C">
      <w:pPr>
        <w:widowControl/>
        <w:jc w:val="center"/>
        <w:rPr>
          <w:rFonts w:hint="eastAsia" w:ascii="Times New Roman" w:hAnsi="Times New Roman" w:eastAsia="黑体"/>
          <w:color w:val="auto"/>
          <w:sz w:val="44"/>
          <w:szCs w:val="44"/>
          <w:highlight w:val="none"/>
        </w:rPr>
      </w:pPr>
    </w:p>
    <w:p w14:paraId="3893311F">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2"/>
          <w:rFonts w:hint="eastAsia" w:ascii="Times New Roman" w:hAnsi="Times New Roman" w:eastAsia="黑体"/>
          <w:b w:val="0"/>
          <w:color w:val="auto"/>
          <w:highlight w:val="none"/>
        </w:rPr>
        <w:t>五部分 附表</w:t>
      </w:r>
      <w:bookmarkEnd w:id="57"/>
      <w:bookmarkEnd w:id="59"/>
      <w:bookmarkStart w:id="60" w:name="_Toc15396619"/>
    </w:p>
    <w:p w14:paraId="6E34A552">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793E1062">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60"/>
    </w:p>
    <w:p w14:paraId="0A081276">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0"/>
      <w:r>
        <w:rPr>
          <w:rFonts w:hint="eastAsia" w:ascii="Times New Roman" w:hAnsi="Times New Roman" w:eastAsia="仿宋_GB2312" w:cs="仿宋_GB2312"/>
          <w:color w:val="auto"/>
          <w:sz w:val="32"/>
          <w:szCs w:val="32"/>
          <w:highlight w:val="none"/>
        </w:rPr>
        <w:t>二、收入决算表</w:t>
      </w:r>
      <w:bookmarkEnd w:id="61"/>
    </w:p>
    <w:p w14:paraId="02BF78C7">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1"/>
      <w:r>
        <w:rPr>
          <w:rFonts w:hint="eastAsia" w:ascii="Times New Roman" w:hAnsi="Times New Roman" w:eastAsia="仿宋_GB2312" w:cs="仿宋_GB2312"/>
          <w:color w:val="auto"/>
          <w:sz w:val="32"/>
          <w:szCs w:val="32"/>
          <w:highlight w:val="none"/>
        </w:rPr>
        <w:t>三、支出决算表</w:t>
      </w:r>
      <w:bookmarkEnd w:id="62"/>
    </w:p>
    <w:p w14:paraId="483A8A08">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2"/>
      <w:r>
        <w:rPr>
          <w:rFonts w:hint="eastAsia" w:ascii="Times New Roman" w:hAnsi="Times New Roman" w:eastAsia="仿宋_GB2312" w:cs="仿宋_GB2312"/>
          <w:color w:val="auto"/>
          <w:sz w:val="32"/>
          <w:szCs w:val="32"/>
          <w:highlight w:val="none"/>
        </w:rPr>
        <w:t>四、财政拨款收入支出决算总表</w:t>
      </w:r>
      <w:bookmarkEnd w:id="63"/>
    </w:p>
    <w:p w14:paraId="1871934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3"/>
      <w:r>
        <w:rPr>
          <w:rFonts w:hint="eastAsia" w:ascii="Times New Roman" w:hAnsi="Times New Roman" w:eastAsia="仿宋_GB2312" w:cs="仿宋_GB2312"/>
          <w:color w:val="auto"/>
          <w:sz w:val="32"/>
          <w:szCs w:val="32"/>
          <w:highlight w:val="none"/>
        </w:rPr>
        <w:t>五、财政拨款支出决算明细表</w:t>
      </w:r>
      <w:bookmarkEnd w:id="64"/>
      <w:bookmarkStart w:id="65" w:name="_Toc15396624"/>
    </w:p>
    <w:p w14:paraId="287B9CB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5"/>
    </w:p>
    <w:p w14:paraId="0A718B05">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5"/>
      <w:r>
        <w:rPr>
          <w:rFonts w:hint="eastAsia" w:ascii="Times New Roman" w:hAnsi="Times New Roman" w:eastAsia="仿宋_GB2312" w:cs="仿宋_GB2312"/>
          <w:color w:val="auto"/>
          <w:sz w:val="32"/>
          <w:szCs w:val="32"/>
          <w:highlight w:val="none"/>
        </w:rPr>
        <w:t>七、一般公共预算财政拨款支出决算明细表</w:t>
      </w:r>
      <w:bookmarkEnd w:id="66"/>
    </w:p>
    <w:p w14:paraId="783CE7C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6"/>
      <w:r>
        <w:rPr>
          <w:rFonts w:hint="eastAsia" w:ascii="Times New Roman" w:hAnsi="Times New Roman" w:eastAsia="仿宋_GB2312" w:cs="仿宋_GB2312"/>
          <w:color w:val="auto"/>
          <w:sz w:val="32"/>
          <w:szCs w:val="32"/>
          <w:highlight w:val="none"/>
        </w:rPr>
        <w:t>八、一般公共预算财政拨款基本支出决算表</w:t>
      </w:r>
      <w:bookmarkEnd w:id="67"/>
    </w:p>
    <w:p w14:paraId="0F536EF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27"/>
      <w:r>
        <w:rPr>
          <w:rFonts w:hint="eastAsia" w:ascii="Times New Roman" w:hAnsi="Times New Roman" w:eastAsia="仿宋_GB2312" w:cs="仿宋_GB2312"/>
          <w:color w:val="auto"/>
          <w:sz w:val="32"/>
          <w:szCs w:val="32"/>
          <w:highlight w:val="none"/>
        </w:rPr>
        <w:t>九、一般公共预算财政拨款项目支出决算表</w:t>
      </w:r>
      <w:bookmarkEnd w:id="68"/>
    </w:p>
    <w:p w14:paraId="2B474587">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28"/>
      <w:r>
        <w:rPr>
          <w:rFonts w:hint="eastAsia" w:ascii="Times New Roman" w:hAnsi="Times New Roman" w:eastAsia="仿宋_GB2312" w:cs="仿宋_GB2312"/>
          <w:color w:val="auto"/>
          <w:sz w:val="32"/>
          <w:szCs w:val="32"/>
          <w:highlight w:val="none"/>
        </w:rPr>
        <w:t>十、</w:t>
      </w:r>
      <w:bookmarkEnd w:id="69"/>
      <w:r>
        <w:rPr>
          <w:rFonts w:hint="eastAsia" w:ascii="Times New Roman" w:hAnsi="Times New Roman" w:eastAsia="仿宋_GB2312" w:cs="仿宋_GB2312"/>
          <w:color w:val="auto"/>
          <w:sz w:val="32"/>
          <w:szCs w:val="32"/>
          <w:highlight w:val="none"/>
        </w:rPr>
        <w:t>政府性基金预算财政拨款收入支出决算表</w:t>
      </w:r>
    </w:p>
    <w:p w14:paraId="421A7A95">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0" w:name="_Toc15396629"/>
      <w:r>
        <w:rPr>
          <w:rFonts w:hint="eastAsia" w:ascii="Times New Roman" w:hAnsi="Times New Roman" w:eastAsia="仿宋_GB2312" w:cs="仿宋_GB2312"/>
          <w:color w:val="auto"/>
          <w:sz w:val="32"/>
          <w:szCs w:val="32"/>
          <w:highlight w:val="none"/>
        </w:rPr>
        <w:t>十一、</w:t>
      </w:r>
      <w:bookmarkEnd w:id="7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0F3B9F7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1" w:name="_Toc15396630"/>
      <w:r>
        <w:rPr>
          <w:rFonts w:hint="eastAsia" w:ascii="Times New Roman" w:hAnsi="Times New Roman" w:eastAsia="仿宋_GB2312" w:cs="仿宋_GB2312"/>
          <w:color w:val="auto"/>
          <w:sz w:val="32"/>
          <w:szCs w:val="32"/>
          <w:highlight w:val="none"/>
        </w:rPr>
        <w:t>十二、</w:t>
      </w:r>
      <w:bookmarkEnd w:id="71"/>
      <w:r>
        <w:rPr>
          <w:rFonts w:hint="eastAsia" w:ascii="Times New Roman" w:hAnsi="Times New Roman" w:eastAsia="仿宋_GB2312" w:cs="仿宋_GB2312"/>
          <w:color w:val="auto"/>
          <w:sz w:val="32"/>
          <w:szCs w:val="32"/>
          <w:highlight w:val="none"/>
          <w:lang w:eastAsia="zh-CN"/>
        </w:rPr>
        <w:t>国有资本经营预算财政拨款支出决算表</w:t>
      </w:r>
    </w:p>
    <w:p w14:paraId="30A5656C">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2" w:name="_Toc15396631"/>
      <w:r>
        <w:rPr>
          <w:rFonts w:hint="eastAsia" w:ascii="Times New Roman" w:hAnsi="Times New Roman" w:eastAsia="仿宋_GB2312" w:cs="仿宋_GB2312"/>
          <w:color w:val="auto"/>
          <w:sz w:val="32"/>
          <w:szCs w:val="32"/>
          <w:highlight w:val="none"/>
        </w:rPr>
        <w:t>十三、</w:t>
      </w:r>
      <w:bookmarkEnd w:id="72"/>
      <w:r>
        <w:rPr>
          <w:rFonts w:hint="eastAsia" w:ascii="Times New Roman" w:hAnsi="Times New Roman" w:eastAsia="仿宋_GB2312" w:cs="仿宋_GB2312"/>
          <w:color w:val="auto"/>
          <w:sz w:val="32"/>
          <w:szCs w:val="32"/>
          <w:highlight w:val="none"/>
          <w:lang w:eastAsia="zh-CN"/>
        </w:rPr>
        <w:t>财政拨款“三公”经费支出决算表</w:t>
      </w:r>
    </w:p>
    <w:p w14:paraId="47E00788">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8B40F">
    <w:pPr>
      <w:pStyle w:val="12"/>
      <w:jc w:val="center"/>
    </w:pPr>
  </w:p>
  <w:p w14:paraId="07E3BF47">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091E">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92F08D">
                          <w:pPr>
                            <w:pStyle w:val="1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F92F08D">
                    <w:pPr>
                      <w:pStyle w:val="1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5CF568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0FCC7">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66AA4">
                          <w:pPr>
                            <w:pStyle w:val="1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6A66AA4">
                    <w:pPr>
                      <w:pStyle w:val="1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FD6A3">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YzAwMWMxODU1NjNkMzk2ODBlZmM1ZjY1ZmFhOD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115DB3"/>
    <w:rsid w:val="04916F1E"/>
    <w:rsid w:val="061E35DE"/>
    <w:rsid w:val="066E0107"/>
    <w:rsid w:val="07996F6E"/>
    <w:rsid w:val="07DFD8BA"/>
    <w:rsid w:val="097C160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5A4474"/>
    <w:rsid w:val="14B17F78"/>
    <w:rsid w:val="165E0673"/>
    <w:rsid w:val="16B831D5"/>
    <w:rsid w:val="16BB723D"/>
    <w:rsid w:val="16D47E4B"/>
    <w:rsid w:val="175D080C"/>
    <w:rsid w:val="17E50567"/>
    <w:rsid w:val="183910E0"/>
    <w:rsid w:val="186504BB"/>
    <w:rsid w:val="18A5077C"/>
    <w:rsid w:val="194514CF"/>
    <w:rsid w:val="198D0BF0"/>
    <w:rsid w:val="19A445FC"/>
    <w:rsid w:val="1BE8440E"/>
    <w:rsid w:val="1D155CEE"/>
    <w:rsid w:val="1D1638FE"/>
    <w:rsid w:val="1E312DEB"/>
    <w:rsid w:val="1E740ACF"/>
    <w:rsid w:val="1FF35744"/>
    <w:rsid w:val="1FF6BC77"/>
    <w:rsid w:val="20187FB3"/>
    <w:rsid w:val="2186353C"/>
    <w:rsid w:val="22364F87"/>
    <w:rsid w:val="228A6EEA"/>
    <w:rsid w:val="23860B96"/>
    <w:rsid w:val="240371BF"/>
    <w:rsid w:val="244F3473"/>
    <w:rsid w:val="24C97D99"/>
    <w:rsid w:val="25A718F0"/>
    <w:rsid w:val="25BB59F6"/>
    <w:rsid w:val="260F557C"/>
    <w:rsid w:val="26970054"/>
    <w:rsid w:val="281408E2"/>
    <w:rsid w:val="29832427"/>
    <w:rsid w:val="29FD04D3"/>
    <w:rsid w:val="2BFF7BC6"/>
    <w:rsid w:val="2C8A61B5"/>
    <w:rsid w:val="2DF04E50"/>
    <w:rsid w:val="2E586DFA"/>
    <w:rsid w:val="2EA744FC"/>
    <w:rsid w:val="2F040D46"/>
    <w:rsid w:val="2F6B035B"/>
    <w:rsid w:val="2FAE5751"/>
    <w:rsid w:val="2FB1A395"/>
    <w:rsid w:val="2FD9A7D8"/>
    <w:rsid w:val="2FDBF714"/>
    <w:rsid w:val="30AB6865"/>
    <w:rsid w:val="31592331"/>
    <w:rsid w:val="31750675"/>
    <w:rsid w:val="319F7F4E"/>
    <w:rsid w:val="32847C00"/>
    <w:rsid w:val="32BD1EF1"/>
    <w:rsid w:val="3304709D"/>
    <w:rsid w:val="338834BA"/>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B62EFA"/>
    <w:rsid w:val="3DEE7CF3"/>
    <w:rsid w:val="3E740A63"/>
    <w:rsid w:val="3E78745D"/>
    <w:rsid w:val="3EE17838"/>
    <w:rsid w:val="3F55381A"/>
    <w:rsid w:val="3F7F7599"/>
    <w:rsid w:val="3FF4CAE0"/>
    <w:rsid w:val="3FF7B227"/>
    <w:rsid w:val="44E268DA"/>
    <w:rsid w:val="450D13D7"/>
    <w:rsid w:val="45506656"/>
    <w:rsid w:val="47641D41"/>
    <w:rsid w:val="486A6C7A"/>
    <w:rsid w:val="4A627F82"/>
    <w:rsid w:val="4B0E749A"/>
    <w:rsid w:val="4B2477C4"/>
    <w:rsid w:val="4B4F25DA"/>
    <w:rsid w:val="4BE068DB"/>
    <w:rsid w:val="4D577224"/>
    <w:rsid w:val="4DBF1CEB"/>
    <w:rsid w:val="4DF0007C"/>
    <w:rsid w:val="4EAB630A"/>
    <w:rsid w:val="4ECE2238"/>
    <w:rsid w:val="4F4021AE"/>
    <w:rsid w:val="4F833267"/>
    <w:rsid w:val="4FB14DB7"/>
    <w:rsid w:val="4FE9BD67"/>
    <w:rsid w:val="4FFB052F"/>
    <w:rsid w:val="537E6D0A"/>
    <w:rsid w:val="53F74C96"/>
    <w:rsid w:val="55170BA8"/>
    <w:rsid w:val="553218C9"/>
    <w:rsid w:val="566A7553"/>
    <w:rsid w:val="567E1AA5"/>
    <w:rsid w:val="56E47B74"/>
    <w:rsid w:val="57175D52"/>
    <w:rsid w:val="57BD3DD4"/>
    <w:rsid w:val="5AF92295"/>
    <w:rsid w:val="5B250254"/>
    <w:rsid w:val="5BDD79E6"/>
    <w:rsid w:val="5BF561CA"/>
    <w:rsid w:val="5BFF5DFC"/>
    <w:rsid w:val="5CD71FC4"/>
    <w:rsid w:val="5D1F11B5"/>
    <w:rsid w:val="5D695134"/>
    <w:rsid w:val="5DAE1B18"/>
    <w:rsid w:val="5DB524FD"/>
    <w:rsid w:val="5DE7D9E5"/>
    <w:rsid w:val="5ECEC941"/>
    <w:rsid w:val="5EF97F4F"/>
    <w:rsid w:val="5F2525CE"/>
    <w:rsid w:val="5FBF9FF3"/>
    <w:rsid w:val="5FCD4E2C"/>
    <w:rsid w:val="5FEF394A"/>
    <w:rsid w:val="5FF67715"/>
    <w:rsid w:val="62BF3928"/>
    <w:rsid w:val="63B33F27"/>
    <w:rsid w:val="63B3701E"/>
    <w:rsid w:val="647F5392"/>
    <w:rsid w:val="65903A5A"/>
    <w:rsid w:val="65E66580"/>
    <w:rsid w:val="664B1D71"/>
    <w:rsid w:val="664B4E8E"/>
    <w:rsid w:val="67277B67"/>
    <w:rsid w:val="67AA3209"/>
    <w:rsid w:val="698D0931"/>
    <w:rsid w:val="6A7FE5F3"/>
    <w:rsid w:val="6B053271"/>
    <w:rsid w:val="6BDD78B3"/>
    <w:rsid w:val="6C4A05C8"/>
    <w:rsid w:val="6C7C198A"/>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72E1A"/>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B80B66"/>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BodyText"/>
    <w:qFormat/>
    <w:uiPriority w:val="0"/>
    <w:pPr>
      <w:widowControl w:val="0"/>
      <w:spacing w:after="120"/>
      <w:jc w:val="both"/>
      <w:textAlignment w:val="baseline"/>
    </w:pPr>
    <w:rPr>
      <w:rFonts w:ascii="Times New Roman" w:hAnsi="Times New Roman" w:eastAsia="宋体" w:cs="Times New Roman"/>
      <w:kern w:val="2"/>
      <w:sz w:val="32"/>
      <w:szCs w:val="21"/>
      <w:lang w:val="en-US" w:eastAsia="zh-CN" w:bidi="ar-SA"/>
    </w:rPr>
  </w:style>
  <w:style w:type="paragraph" w:styleId="6">
    <w:name w:val="annotation text"/>
    <w:basedOn w:val="1"/>
    <w:semiHidden/>
    <w:unhideWhenUsed/>
    <w:qFormat/>
    <w:uiPriority w:val="99"/>
    <w:pPr>
      <w:jc w:val="left"/>
    </w:pPr>
  </w:style>
  <w:style w:type="paragraph" w:styleId="7">
    <w:name w:val="Body Text"/>
    <w:basedOn w:val="1"/>
    <w:link w:val="29"/>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5"/>
    <w:semiHidden/>
    <w:unhideWhenUsed/>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spacing w:before="100" w:beforeAutospacing="1" w:after="100" w:afterAutospacing="1"/>
      <w:jc w:val="left"/>
    </w:pPr>
    <w:rPr>
      <w:rFonts w:ascii="Calibri" w:hAnsi="Calibri" w:eastAsia="宋体"/>
      <w:kern w:val="0"/>
      <w:sz w:val="24"/>
      <w:szCs w:val="24"/>
    </w:rPr>
  </w:style>
  <w:style w:type="paragraph" w:styleId="18">
    <w:name w:val="Title"/>
    <w:next w:val="1"/>
    <w:qFormat/>
    <w:uiPriority w:val="0"/>
    <w:pPr>
      <w:widowControl w:val="0"/>
      <w:spacing w:line="700" w:lineRule="exact"/>
      <w:jc w:val="center"/>
    </w:pPr>
    <w:rPr>
      <w:rFonts w:ascii="Times New Roman" w:hAnsi="Times New Roman" w:eastAsia="方正小标宋简体" w:cs="Times New Roman"/>
      <w:color w:val="000000"/>
      <w:kern w:val="0"/>
      <w:sz w:val="44"/>
      <w:szCs w:val="44"/>
      <w:lang w:val="en-US" w:eastAsia="zh-CN" w:bidi="ar-SA"/>
    </w:r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
    <w:basedOn w:val="20"/>
    <w:semiHidden/>
    <w:qFormat/>
    <w:uiPriority w:val="99"/>
    <w:rPr>
      <w:rFonts w:ascii="Times New Roman" w:hAnsi="Times New Roman"/>
      <w:sz w:val="18"/>
      <w:szCs w:val="18"/>
    </w:rPr>
  </w:style>
  <w:style w:type="character" w:customStyle="1" w:styleId="25">
    <w:name w:val="页眉 Char"/>
    <w:link w:val="13"/>
    <w:semiHidden/>
    <w:qFormat/>
    <w:locked/>
    <w:uiPriority w:val="99"/>
    <w:rPr>
      <w:sz w:val="18"/>
    </w:rPr>
  </w:style>
  <w:style w:type="character" w:customStyle="1" w:styleId="26">
    <w:name w:val="Footer Char"/>
    <w:basedOn w:val="20"/>
    <w:semiHidden/>
    <w:qFormat/>
    <w:uiPriority w:val="99"/>
    <w:rPr>
      <w:rFonts w:ascii="Times New Roman" w:hAnsi="Times New Roman"/>
      <w:sz w:val="18"/>
      <w:szCs w:val="18"/>
    </w:rPr>
  </w:style>
  <w:style w:type="character" w:customStyle="1" w:styleId="27">
    <w:name w:val="页脚 Char"/>
    <w:link w:val="12"/>
    <w:qFormat/>
    <w:locked/>
    <w:uiPriority w:val="99"/>
    <w:rPr>
      <w:sz w:val="18"/>
    </w:rPr>
  </w:style>
  <w:style w:type="character" w:customStyle="1" w:styleId="28">
    <w:name w:val="Body Text Char"/>
    <w:basedOn w:val="20"/>
    <w:semiHidden/>
    <w:qFormat/>
    <w:uiPriority w:val="99"/>
    <w:rPr>
      <w:rFonts w:ascii="Times New Roman" w:hAnsi="Times New Roman"/>
      <w:szCs w:val="24"/>
    </w:rPr>
  </w:style>
  <w:style w:type="character" w:customStyle="1" w:styleId="29">
    <w:name w:val="正文文本 Char"/>
    <w:link w:val="7"/>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20"/>
    <w:link w:val="3"/>
    <w:qFormat/>
    <w:uiPriority w:val="9"/>
    <w:rPr>
      <w:rFonts w:ascii="Times New Roman" w:hAnsi="Times New Roman"/>
      <w:b/>
      <w:bCs/>
      <w:kern w:val="44"/>
      <w:sz w:val="44"/>
      <w:szCs w:val="44"/>
    </w:rPr>
  </w:style>
  <w:style w:type="character" w:customStyle="1" w:styleId="33">
    <w:name w:val="标题 2 Char"/>
    <w:basedOn w:val="20"/>
    <w:link w:val="4"/>
    <w:qFormat/>
    <w:uiPriority w:val="9"/>
    <w:rPr>
      <w:rFonts w:asciiTheme="majorHAnsi" w:hAnsiTheme="majorHAnsi" w:eastAsiaTheme="majorEastAsia" w:cstheme="majorBidi"/>
      <w:b/>
      <w:bCs/>
      <w:kern w:val="2"/>
      <w:sz w:val="32"/>
      <w:szCs w:val="32"/>
    </w:r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0"/>
    <w:link w:val="11"/>
    <w:semiHidden/>
    <w:qFormat/>
    <w:uiPriority w:val="99"/>
    <w:rPr>
      <w:rFonts w:ascii="Times New Roman" w:hAnsi="Times New Roman"/>
      <w:kern w:val="2"/>
      <w:sz w:val="18"/>
      <w:szCs w:val="18"/>
    </w:rPr>
  </w:style>
  <w:style w:type="character" w:customStyle="1" w:styleId="36">
    <w:name w:val="标题 3 Char"/>
    <w:basedOn w:val="20"/>
    <w:link w:val="5"/>
    <w:qFormat/>
    <w:uiPriority w:val="9"/>
    <w:rPr>
      <w:rFonts w:ascii="Times New Roman" w:hAnsi="Times New Roman"/>
      <w:b/>
      <w:bCs/>
      <w:kern w:val="2"/>
      <w:sz w:val="32"/>
      <w:szCs w:val="32"/>
    </w:rPr>
  </w:style>
  <w:style w:type="paragraph" w:customStyle="1" w:styleId="37">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38</Pages>
  <Words>12617</Words>
  <Characters>14419</Characters>
  <Lines>61</Lines>
  <Paragraphs>17</Paragraphs>
  <TotalTime>6</TotalTime>
  <ScaleCrop>false</ScaleCrop>
  <LinksUpToDate>false</LinksUpToDate>
  <CharactersWithSpaces>14463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理想胡敏</cp:lastModifiedBy>
  <cp:lastPrinted>2025-12-05T07:05:00Z</cp:lastPrinted>
  <dcterms:modified xsi:type="dcterms:W3CDTF">2025-12-05T07:15:12Z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7D7DC6DB45C7450B9956169B097F724C_13</vt:lpwstr>
  </property>
  <property fmtid="{D5CDD505-2E9C-101B-9397-08002B2CF9AE}" pid="4" name="KSOTemplateDocerSaveRecord">
    <vt:lpwstr>eyJoZGlkIjoiNTRlZTZkOTAxMzMxYzQ4ODJlMmMxZjRjYjgyZjVhMTkiLCJ1c2VySWQiOiI0OTk5NzAyMzgifQ==</vt:lpwstr>
  </property>
</Properties>
</file>