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9F1BAF">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p w14:paraId="51344FC4">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p w14:paraId="44C04DFD">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p w14:paraId="157675DC">
      <w:pPr>
        <w:pStyle w:val="5"/>
        <w:bidi w:val="0"/>
        <w:rPr>
          <w:rFonts w:hint="eastAsia"/>
          <w:lang w:val="en-US" w:eastAsia="zh-CN"/>
        </w:rPr>
      </w:pPr>
    </w:p>
    <w:p w14:paraId="711745D0">
      <w:pPr>
        <w:pStyle w:val="8"/>
        <w:jc w:val="center"/>
        <w:rPr>
          <w:rFonts w:hint="eastAsia" w:ascii="Times New Roman" w:eastAsia="方正小标宋简体" w:cs="Times New Roman"/>
          <w:color w:val="auto"/>
          <w:kern w:val="2"/>
          <w:sz w:val="44"/>
          <w:szCs w:val="44"/>
          <w:highlight w:val="none"/>
          <w:lang w:val="en-US" w:eastAsia="zh-CN" w:bidi="ar-SA"/>
        </w:rPr>
      </w:pPr>
      <w:bookmarkStart w:id="0" w:name="_Toc15306268"/>
      <w:r>
        <w:rPr>
          <w:rFonts w:hint="eastAsia" w:ascii="Times New Roman" w:eastAsia="方正小标宋简体" w:cs="Times New Roman"/>
          <w:color w:val="auto"/>
          <w:kern w:val="2"/>
          <w:sz w:val="44"/>
          <w:szCs w:val="44"/>
          <w:highlight w:val="none"/>
          <w:lang w:val="en-US" w:eastAsia="zh-CN" w:bidi="ar-SA"/>
        </w:rPr>
        <w:t>峨边彝族自治县新场乡人民政府</w:t>
      </w:r>
    </w:p>
    <w:p w14:paraId="1C2F4303">
      <w:pPr>
        <w:pStyle w:val="8"/>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2024年度部门决算</w:t>
      </w:r>
      <w:bookmarkEnd w:id="0"/>
    </w:p>
    <w:p w14:paraId="5F59E7C7">
      <w:pPr>
        <w:widowControl/>
        <w:jc w:val="center"/>
        <w:rPr>
          <w:rFonts w:hint="eastAsia" w:ascii="Times New Roman" w:hAnsi="Times New Roman" w:eastAsia="黑体"/>
          <w:color w:val="auto"/>
          <w:sz w:val="48"/>
          <w:szCs w:val="48"/>
          <w:highlight w:val="none"/>
        </w:rPr>
      </w:pPr>
    </w:p>
    <w:p w14:paraId="6C87B2E2">
      <w:pPr>
        <w:widowControl/>
        <w:jc w:val="center"/>
        <w:rPr>
          <w:rFonts w:hint="eastAsia" w:ascii="Times New Roman" w:hAnsi="Times New Roman" w:eastAsia="黑体"/>
          <w:color w:val="auto"/>
          <w:sz w:val="48"/>
          <w:szCs w:val="48"/>
          <w:highlight w:val="none"/>
        </w:rPr>
      </w:pPr>
    </w:p>
    <w:p w14:paraId="798A3EE7">
      <w:pPr>
        <w:widowControl/>
        <w:jc w:val="center"/>
        <w:rPr>
          <w:rFonts w:hint="eastAsia" w:ascii="Times New Roman" w:hAnsi="Times New Roman" w:eastAsia="黑体"/>
          <w:color w:val="auto"/>
          <w:sz w:val="48"/>
          <w:szCs w:val="48"/>
          <w:highlight w:val="none"/>
        </w:rPr>
      </w:pPr>
    </w:p>
    <w:p w14:paraId="64062CBF">
      <w:pPr>
        <w:widowControl/>
        <w:jc w:val="center"/>
        <w:rPr>
          <w:rFonts w:hint="eastAsia" w:ascii="Times New Roman" w:hAnsi="Times New Roman" w:eastAsia="黑体"/>
          <w:color w:val="auto"/>
          <w:sz w:val="48"/>
          <w:szCs w:val="48"/>
          <w:highlight w:val="none"/>
        </w:rPr>
      </w:pPr>
    </w:p>
    <w:p w14:paraId="594C2ECE">
      <w:pPr>
        <w:widowControl/>
        <w:jc w:val="center"/>
        <w:rPr>
          <w:rFonts w:hint="eastAsia" w:ascii="Times New Roman" w:hAnsi="Times New Roman" w:eastAsia="黑体"/>
          <w:color w:val="auto"/>
          <w:sz w:val="48"/>
          <w:szCs w:val="48"/>
          <w:highlight w:val="none"/>
        </w:rPr>
      </w:pPr>
    </w:p>
    <w:p w14:paraId="2F2FF3EE">
      <w:pPr>
        <w:widowControl/>
        <w:jc w:val="center"/>
        <w:rPr>
          <w:rFonts w:hint="eastAsia" w:ascii="Times New Roman" w:hAnsi="Times New Roman" w:eastAsia="黑体"/>
          <w:color w:val="auto"/>
          <w:sz w:val="48"/>
          <w:szCs w:val="48"/>
          <w:highlight w:val="none"/>
        </w:rPr>
      </w:pPr>
    </w:p>
    <w:p w14:paraId="1C060F05">
      <w:pPr>
        <w:widowControl/>
        <w:jc w:val="center"/>
        <w:rPr>
          <w:rFonts w:hint="eastAsia" w:ascii="Times New Roman" w:hAnsi="Times New Roman" w:eastAsia="黑体"/>
          <w:color w:val="auto"/>
          <w:sz w:val="48"/>
          <w:szCs w:val="48"/>
          <w:highlight w:val="none"/>
        </w:rPr>
      </w:pPr>
    </w:p>
    <w:p w14:paraId="0DDAAB26">
      <w:pPr>
        <w:widowControl/>
        <w:jc w:val="center"/>
        <w:rPr>
          <w:rFonts w:hint="eastAsia" w:ascii="Times New Roman" w:hAnsi="Times New Roman" w:eastAsia="黑体"/>
          <w:color w:val="auto"/>
          <w:sz w:val="48"/>
          <w:szCs w:val="48"/>
          <w:highlight w:val="none"/>
        </w:rPr>
      </w:pPr>
    </w:p>
    <w:p w14:paraId="5E7D7B8A">
      <w:pPr>
        <w:widowControl/>
        <w:jc w:val="center"/>
        <w:rPr>
          <w:rFonts w:hint="eastAsia" w:ascii="Times New Roman" w:hAnsi="Times New Roman" w:eastAsia="黑体"/>
          <w:color w:val="auto"/>
          <w:sz w:val="48"/>
          <w:szCs w:val="48"/>
          <w:highlight w:val="none"/>
        </w:rPr>
      </w:pPr>
    </w:p>
    <w:p w14:paraId="556342DC">
      <w:pPr>
        <w:widowControl/>
        <w:jc w:val="center"/>
        <w:rPr>
          <w:rFonts w:hint="eastAsia" w:ascii="Times New Roman" w:hAnsi="Times New Roman" w:eastAsia="黑体"/>
          <w:color w:val="auto"/>
          <w:sz w:val="48"/>
          <w:szCs w:val="48"/>
          <w:highlight w:val="none"/>
        </w:rPr>
      </w:pPr>
    </w:p>
    <w:p w14:paraId="4E578506">
      <w:pPr>
        <w:widowControl/>
        <w:jc w:val="center"/>
        <w:rPr>
          <w:rFonts w:hint="eastAsia" w:ascii="Times New Roman" w:hAnsi="Times New Roman" w:eastAsia="黑体"/>
          <w:color w:val="auto"/>
          <w:sz w:val="48"/>
          <w:szCs w:val="48"/>
          <w:highlight w:val="none"/>
        </w:rPr>
      </w:pPr>
    </w:p>
    <w:p w14:paraId="434B7702">
      <w:pPr>
        <w:widowControl/>
        <w:jc w:val="center"/>
        <w:rPr>
          <w:rFonts w:hint="eastAsia" w:ascii="Times New Roman" w:hAnsi="Times New Roman" w:eastAsia="黑体"/>
          <w:color w:val="auto"/>
          <w:sz w:val="48"/>
          <w:szCs w:val="48"/>
          <w:highlight w:val="none"/>
        </w:rPr>
      </w:pPr>
    </w:p>
    <w:p w14:paraId="200E041C">
      <w:pPr>
        <w:widowControl/>
        <w:jc w:val="center"/>
        <w:rPr>
          <w:rFonts w:hint="eastAsia" w:ascii="Times New Roman" w:hAnsi="Times New Roman" w:eastAsia="黑体"/>
          <w:color w:val="auto"/>
          <w:sz w:val="48"/>
          <w:szCs w:val="48"/>
          <w:highlight w:val="none"/>
        </w:rPr>
      </w:pPr>
    </w:p>
    <w:p w14:paraId="0A1CB80F">
      <w:pPr>
        <w:widowControl/>
        <w:jc w:val="both"/>
        <w:rPr>
          <w:rFonts w:hint="eastAsia" w:ascii="Times New Roman" w:hAnsi="Times New Roman" w:eastAsia="黑体"/>
          <w:color w:val="auto"/>
          <w:sz w:val="48"/>
          <w:szCs w:val="48"/>
          <w:highlight w:val="none"/>
        </w:rPr>
      </w:pPr>
      <w:bookmarkStart w:id="56" w:name="_GoBack"/>
      <w:bookmarkEnd w:id="56"/>
    </w:p>
    <w:p w14:paraId="0C53D99D">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5B79D317">
      <w:pPr>
        <w:widowControl/>
        <w:jc w:val="center"/>
        <w:rPr>
          <w:rFonts w:ascii="Times New Roman" w:hAnsi="Times New Roman" w:eastAsia="黑体" w:cstheme="minorBidi"/>
          <w:color w:val="auto"/>
          <w:sz w:val="28"/>
          <w:szCs w:val="28"/>
          <w:highlight w:val="none"/>
        </w:rPr>
      </w:pPr>
    </w:p>
    <w:p w14:paraId="343BDEE6">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12</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日</w:t>
      </w:r>
    </w:p>
    <w:p w14:paraId="441C1922">
      <w:pPr>
        <w:rPr>
          <w:rFonts w:ascii="Times New Roman" w:hAnsi="Times New Roman"/>
          <w:color w:val="auto"/>
          <w:highlight w:val="none"/>
        </w:rPr>
      </w:pPr>
    </w:p>
    <w:p w14:paraId="25A7A687">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第一部分 部门概况</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w:t>
      </w:r>
    </w:p>
    <w:p w14:paraId="0A0E83AA">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w:t>
      </w:r>
    </w:p>
    <w:p w14:paraId="40E84282">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二、机构设置</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5</w:t>
      </w:r>
    </w:p>
    <w:p w14:paraId="6A1A1822">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6</w:t>
      </w:r>
    </w:p>
    <w:p w14:paraId="4E8CCC01">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w:t>
      </w:r>
    </w:p>
    <w:p w14:paraId="39CE724D">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w:t>
      </w:r>
    </w:p>
    <w:p w14:paraId="19A86A7B">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7</w:t>
      </w:r>
    </w:p>
    <w:p w14:paraId="0F483FEB">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7</w:t>
      </w:r>
    </w:p>
    <w:p w14:paraId="116073FA">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8</w:t>
      </w:r>
    </w:p>
    <w:p w14:paraId="7DB54D35">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9</w:t>
      </w:r>
    </w:p>
    <w:p w14:paraId="7E60BADF">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11</w:t>
      </w:r>
    </w:p>
    <w:p w14:paraId="7EA2C76D">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13</w:t>
      </w:r>
    </w:p>
    <w:p w14:paraId="02187EE5">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13</w:t>
      </w:r>
    </w:p>
    <w:p w14:paraId="2C7A71CC">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14</w:t>
      </w:r>
    </w:p>
    <w:p w14:paraId="24FB8C5A">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16</w:t>
      </w:r>
    </w:p>
    <w:p w14:paraId="15852217">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19</w:t>
      </w:r>
    </w:p>
    <w:p w14:paraId="14FF914D">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40</w:t>
      </w:r>
    </w:p>
    <w:p w14:paraId="4DF848CB">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40</w:t>
      </w:r>
    </w:p>
    <w:p w14:paraId="450756B4">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40</w:t>
      </w:r>
    </w:p>
    <w:p w14:paraId="2062B81A">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sectPr>
          <w:footerReference r:id="rId6" w:type="first"/>
          <w:footerReference r:id="rId5" w:type="default"/>
          <w:pgSz w:w="11906" w:h="16838"/>
          <w:pgMar w:top="1440" w:right="1800" w:bottom="1440" w:left="1800" w:header="851" w:footer="992" w:gutter="0"/>
          <w:pgNumType w:fmt="numberInDash" w:start="1"/>
          <w:cols w:space="425" w:num="1"/>
          <w:docGrid w:type="lines" w:linePitch="312" w:charSpace="0"/>
        </w:sectPr>
      </w:pPr>
    </w:p>
    <w:p w14:paraId="4D563749">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40</w:t>
      </w:r>
    </w:p>
    <w:p w14:paraId="423E3C4C">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40</w:t>
      </w:r>
    </w:p>
    <w:p w14:paraId="09A8D305">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五、财政拨款支出决算明细表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40</w:t>
      </w:r>
    </w:p>
    <w:p w14:paraId="142150D2">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40</w:t>
      </w:r>
    </w:p>
    <w:p w14:paraId="0F09A9AB">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40</w:t>
      </w:r>
    </w:p>
    <w:p w14:paraId="684E661C">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40</w:t>
      </w:r>
    </w:p>
    <w:p w14:paraId="3D5860B5">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40</w:t>
      </w:r>
    </w:p>
    <w:p w14:paraId="56468DCE">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40</w:t>
      </w:r>
    </w:p>
    <w:p w14:paraId="304D6A2A">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40</w:t>
      </w:r>
    </w:p>
    <w:p w14:paraId="25337158">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40</w:t>
      </w:r>
    </w:p>
    <w:p w14:paraId="3417F2DB">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十三、财政拨款“三公”经费支出决算表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40</w:t>
      </w:r>
    </w:p>
    <w:p w14:paraId="613B09E3">
      <w:pPr>
        <w:rPr>
          <w:rFonts w:hint="eastAsia" w:ascii="Times New Roman" w:hAnsi="Times New Roman" w:eastAsia="仿宋_GB2312" w:cs="仿宋_GB2312"/>
          <w:b/>
          <w:bCs/>
          <w:color w:val="auto"/>
          <w:sz w:val="32"/>
          <w:szCs w:val="32"/>
          <w:highlight w:val="none"/>
          <w:lang w:eastAsia="zh-CN"/>
        </w:rPr>
      </w:pPr>
    </w:p>
    <w:p w14:paraId="2677FA26">
      <w:pPr>
        <w:pStyle w:val="2"/>
        <w:rPr>
          <w:rFonts w:hint="eastAsia" w:ascii="Times New Roman" w:hAnsi="Times New Roman" w:eastAsia="仿宋_GB2312" w:cs="仿宋_GB2312"/>
          <w:b/>
          <w:bCs/>
          <w:color w:val="auto"/>
          <w:sz w:val="32"/>
          <w:szCs w:val="32"/>
          <w:highlight w:val="none"/>
          <w:lang w:eastAsia="zh-CN"/>
        </w:rPr>
      </w:pPr>
    </w:p>
    <w:p w14:paraId="609BBCAB">
      <w:pPr>
        <w:rPr>
          <w:rFonts w:hint="eastAsia" w:ascii="Times New Roman" w:hAnsi="Times New Roman" w:eastAsia="仿宋_GB2312" w:cs="仿宋_GB2312"/>
          <w:b/>
          <w:bCs/>
          <w:color w:val="auto"/>
          <w:sz w:val="32"/>
          <w:szCs w:val="32"/>
          <w:highlight w:val="none"/>
          <w:lang w:eastAsia="zh-CN"/>
        </w:rPr>
      </w:pPr>
    </w:p>
    <w:p w14:paraId="1EE98252">
      <w:pPr>
        <w:pStyle w:val="2"/>
        <w:rPr>
          <w:rFonts w:hint="eastAsia" w:ascii="Times New Roman" w:hAnsi="Times New Roman" w:eastAsia="仿宋_GB2312" w:cs="仿宋_GB2312"/>
          <w:b/>
          <w:bCs/>
          <w:color w:val="auto"/>
          <w:sz w:val="32"/>
          <w:szCs w:val="32"/>
          <w:highlight w:val="none"/>
          <w:lang w:eastAsia="zh-CN"/>
        </w:rPr>
      </w:pPr>
    </w:p>
    <w:p w14:paraId="0FBAC802">
      <w:pPr>
        <w:rPr>
          <w:rFonts w:hint="eastAsia" w:ascii="Times New Roman" w:hAnsi="Times New Roman" w:eastAsia="仿宋_GB2312" w:cs="仿宋_GB2312"/>
          <w:b/>
          <w:bCs/>
          <w:color w:val="auto"/>
          <w:sz w:val="32"/>
          <w:szCs w:val="32"/>
          <w:highlight w:val="none"/>
          <w:lang w:eastAsia="zh-CN"/>
        </w:rPr>
      </w:pPr>
    </w:p>
    <w:p w14:paraId="164FEB2A">
      <w:pPr>
        <w:pStyle w:val="2"/>
        <w:rPr>
          <w:rFonts w:hint="eastAsia" w:ascii="Times New Roman" w:hAnsi="Times New Roman" w:eastAsia="仿宋_GB2312" w:cs="仿宋_GB2312"/>
          <w:b/>
          <w:bCs/>
          <w:color w:val="auto"/>
          <w:sz w:val="32"/>
          <w:szCs w:val="32"/>
          <w:highlight w:val="none"/>
          <w:lang w:eastAsia="zh-CN"/>
        </w:rPr>
      </w:pPr>
    </w:p>
    <w:p w14:paraId="1151FBF2">
      <w:pPr>
        <w:rPr>
          <w:rFonts w:hint="eastAsia" w:ascii="Times New Roman" w:hAnsi="Times New Roman" w:eastAsia="仿宋_GB2312" w:cs="仿宋_GB2312"/>
          <w:b/>
          <w:bCs/>
          <w:color w:val="auto"/>
          <w:sz w:val="32"/>
          <w:szCs w:val="32"/>
          <w:highlight w:val="none"/>
          <w:lang w:eastAsia="zh-CN"/>
        </w:rPr>
      </w:pPr>
    </w:p>
    <w:p w14:paraId="133FF21D">
      <w:pPr>
        <w:pStyle w:val="2"/>
        <w:jc w:val="both"/>
        <w:rPr>
          <w:rFonts w:hint="eastAsia"/>
          <w:lang w:eastAsia="zh-CN"/>
        </w:rPr>
      </w:pPr>
    </w:p>
    <w:p w14:paraId="60AFFDBD">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lang w:eastAsia="zh-CN"/>
        </w:rPr>
      </w:pPr>
      <w:bookmarkStart w:id="1" w:name="_Toc15396599"/>
      <w:bookmarkStart w:id="2" w:name="_Toc15377196"/>
    </w:p>
    <w:p w14:paraId="63FCB114">
      <w:pPr>
        <w:pStyle w:val="3"/>
        <w:jc w:val="center"/>
        <w:rPr>
          <w:rStyle w:val="19"/>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19"/>
          <w:rFonts w:hint="eastAsia" w:ascii="Times New Roman" w:hAnsi="Times New Roman" w:eastAsia="方正小标宋简体" w:cs="方正小标宋简体"/>
          <w:b w:val="0"/>
          <w:bCs w:val="0"/>
          <w:color w:val="auto"/>
          <w:highlight w:val="none"/>
        </w:rPr>
        <w:t>部门概况</w:t>
      </w:r>
      <w:bookmarkEnd w:id="1"/>
      <w:bookmarkEnd w:id="2"/>
    </w:p>
    <w:p w14:paraId="13030A79">
      <w:pPr>
        <w:widowControl/>
        <w:jc w:val="left"/>
        <w:rPr>
          <w:rFonts w:ascii="Times New Roman" w:hAnsi="Times New Roman" w:eastAsia="黑体"/>
          <w:color w:val="auto"/>
          <w:sz w:val="32"/>
          <w:szCs w:val="32"/>
          <w:highlight w:val="none"/>
        </w:rPr>
      </w:pPr>
    </w:p>
    <w:p w14:paraId="09229625">
      <w:pPr>
        <w:pStyle w:val="4"/>
        <w:numPr>
          <w:ilvl w:val="0"/>
          <w:numId w:val="1"/>
        </w:numPr>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eastAsia="zh-CN"/>
        </w:rPr>
        <w:t>部门职责</w:t>
      </w:r>
    </w:p>
    <w:p w14:paraId="23B66AD0">
      <w:pPr>
        <w:pageBreakBefore w:val="0"/>
        <w:widowControl/>
        <w:shd w:val="clear" w:color="auto" w:fill="FFFFFF"/>
        <w:kinsoku/>
        <w:wordWrap/>
        <w:overflowPunct/>
        <w:topLinePunct w:val="0"/>
        <w:autoSpaceDE/>
        <w:autoSpaceDN/>
        <w:bidi w:val="0"/>
        <w:spacing w:line="600" w:lineRule="exact"/>
        <w:ind w:left="0" w:right="0" w:firstLine="420" w:firstLineChars="200"/>
        <w:jc w:val="both"/>
        <w:textAlignment w:val="auto"/>
      </w:pPr>
      <w:r>
        <w:rPr>
          <w:rFonts w:hint="eastAsia"/>
          <w:lang w:val="en-US" w:eastAsia="zh-CN"/>
        </w:rPr>
        <w:t xml:space="preserve">   </w:t>
      </w:r>
      <w:r>
        <w:rPr>
          <w:rFonts w:ascii="仿宋_GB2312" w:hAnsi="仿宋_GB2312" w:eastAsia="仿宋_GB2312" w:cs="仿宋_GB2312"/>
          <w:b/>
          <w:bCs/>
          <w:kern w:val="0"/>
          <w:sz w:val="32"/>
          <w:szCs w:val="32"/>
          <w:shd w:val="clear" w:color="auto" w:fill="FFFFFF"/>
        </w:rPr>
        <w:t>1</w:t>
      </w:r>
      <w:r>
        <w:rPr>
          <w:rFonts w:hint="eastAsia" w:ascii="仿宋_GB2312" w:hAnsi="仿宋_GB2312" w:eastAsia="仿宋_GB2312" w:cs="仿宋_GB2312"/>
          <w:b/>
          <w:bCs/>
          <w:kern w:val="0"/>
          <w:sz w:val="32"/>
          <w:szCs w:val="32"/>
          <w:shd w:val="clear" w:color="auto" w:fill="FFFFFF"/>
          <w:lang w:val="en-US" w:eastAsia="zh-CN"/>
        </w:rPr>
        <w:t>.</w:t>
      </w:r>
      <w:r>
        <w:rPr>
          <w:rFonts w:hint="eastAsia" w:ascii="仿宋_GB2312" w:hAnsi="仿宋_GB2312" w:eastAsia="仿宋_GB2312" w:cs="仿宋_GB2312"/>
          <w:b/>
          <w:bCs/>
          <w:kern w:val="0"/>
          <w:sz w:val="32"/>
          <w:szCs w:val="32"/>
          <w:shd w:val="clear" w:color="auto" w:fill="FFFFFF"/>
          <w:lang w:eastAsia="zh-CN"/>
        </w:rPr>
        <w:t>新场乡</w:t>
      </w:r>
      <w:r>
        <w:rPr>
          <w:rFonts w:ascii="仿宋_GB2312" w:hAnsi="仿宋_GB2312" w:eastAsia="仿宋_GB2312" w:cs="仿宋_GB2312"/>
          <w:b/>
          <w:bCs/>
          <w:kern w:val="0"/>
          <w:sz w:val="32"/>
          <w:szCs w:val="32"/>
          <w:shd w:val="clear" w:color="auto" w:fill="FFFFFF"/>
        </w:rPr>
        <w:t>党委的职能：</w:t>
      </w:r>
      <w:r>
        <w:rPr>
          <w:rFonts w:ascii="仿宋_GB2312" w:hAnsi="仿宋_GB2312" w:eastAsia="仿宋_GB2312" w:cs="仿宋_GB2312"/>
          <w:kern w:val="0"/>
          <w:sz w:val="32"/>
          <w:szCs w:val="32"/>
          <w:shd w:val="clear" w:color="auto" w:fill="FFFFFF"/>
        </w:rPr>
        <w:t>宣传和执行党的路线方针政策和执行党中央上级组织和本组织的决议发挥党组织的战斗堡垒和党员的先锋模范作用支持和协助行政负责人完成本单位所担负的任务；组织党员认真学习</w:t>
      </w:r>
      <w:r>
        <w:rPr>
          <w:rFonts w:hint="eastAsia" w:ascii="仿宋_GB2312" w:hAnsi="仿宋_GB2312" w:eastAsia="仿宋_GB2312" w:cs="仿宋_GB2312"/>
          <w:kern w:val="0"/>
          <w:sz w:val="32"/>
          <w:szCs w:val="32"/>
          <w:shd w:val="clear" w:color="auto" w:fill="FFFFFF"/>
          <w:lang w:eastAsia="zh-CN"/>
        </w:rPr>
        <w:t>马克思列宁主义、毛泽东思想、邓小平理论</w:t>
      </w:r>
      <w:r>
        <w:rPr>
          <w:rFonts w:ascii="仿宋_GB2312" w:hAnsi="仿宋_GB2312" w:eastAsia="仿宋_GB2312" w:cs="仿宋_GB2312"/>
          <w:kern w:val="0"/>
          <w:sz w:val="32"/>
          <w:szCs w:val="32"/>
          <w:shd w:val="clear" w:color="auto" w:fill="FFFFFF"/>
        </w:rPr>
        <w:t>和党的路线方针政策以及决议，学习科学文化和业务知识；对党员进行严格管理，督促党员履行义务，</w:t>
      </w:r>
      <w:r>
        <w:rPr>
          <w:rFonts w:hint="eastAsia" w:ascii="仿宋_GB2312" w:hAnsi="仿宋_GB2312" w:eastAsia="仿宋_GB2312" w:cs="仿宋_GB2312"/>
          <w:kern w:val="0"/>
          <w:sz w:val="32"/>
          <w:szCs w:val="32"/>
          <w:shd w:val="clear" w:color="auto" w:fill="FFFFFF"/>
          <w:lang w:eastAsia="zh-CN"/>
        </w:rPr>
        <w:t>保障党员权利</w:t>
      </w:r>
      <w:r>
        <w:rPr>
          <w:rFonts w:ascii="仿宋_GB2312" w:hAnsi="仿宋_GB2312" w:eastAsia="仿宋_GB2312" w:cs="仿宋_GB2312"/>
          <w:kern w:val="0"/>
          <w:sz w:val="32"/>
          <w:szCs w:val="32"/>
          <w:shd w:val="clear" w:color="auto" w:fill="FFFFFF"/>
        </w:rPr>
        <w:t>不受侵犯；对党员进行监督，严格执行党的纪律，加强党风廉政建设，坚决同腐败现象作斗争；做好机关工作人员的思想政治工作，推进机关社会主义精神文明建设。了解反映群众意见，维护群众的正当利益，帮助群众解决实际困难；对入党积极分子进行教育培养和考察，做好发展党员工作；协助党</w:t>
      </w:r>
      <w:r>
        <w:rPr>
          <w:rFonts w:hint="eastAsia" w:ascii="仿宋_GB2312" w:hAnsi="仿宋_GB2312" w:eastAsia="仿宋_GB2312" w:cs="仿宋_GB2312"/>
          <w:kern w:val="0"/>
          <w:sz w:val="32"/>
          <w:szCs w:val="32"/>
          <w:shd w:val="clear" w:color="auto" w:fill="FFFFFF"/>
          <w:lang w:eastAsia="zh-CN"/>
        </w:rPr>
        <w:t>组织</w:t>
      </w:r>
      <w:r>
        <w:rPr>
          <w:rFonts w:ascii="仿宋_GB2312" w:hAnsi="仿宋_GB2312" w:eastAsia="仿宋_GB2312" w:cs="仿宋_GB2312"/>
          <w:kern w:val="0"/>
          <w:sz w:val="32"/>
          <w:szCs w:val="32"/>
          <w:shd w:val="clear" w:color="auto" w:fill="FFFFFF"/>
        </w:rPr>
        <w:t>管理机关党组织和群众组织的干部，配合干部人事部门对机关行政领导干部进行考核和民主评议；对机关行政干部的任免调动和奖惩提出意见和建议；领导机关工会</w:t>
      </w:r>
      <w:r>
        <w:rPr>
          <w:rFonts w:hint="eastAsia" w:ascii="仿宋_GB2312" w:hAnsi="仿宋_GB2312" w:eastAsia="仿宋_GB2312" w:cs="仿宋_GB2312"/>
          <w:kern w:val="0"/>
          <w:sz w:val="32"/>
          <w:szCs w:val="32"/>
          <w:shd w:val="clear" w:color="auto" w:fill="FFFFFF"/>
          <w:lang w:eastAsia="zh-CN"/>
        </w:rPr>
        <w:t>、</w:t>
      </w:r>
      <w:r>
        <w:rPr>
          <w:rFonts w:ascii="仿宋_GB2312" w:hAnsi="仿宋_GB2312" w:eastAsia="仿宋_GB2312" w:cs="仿宋_GB2312"/>
          <w:kern w:val="0"/>
          <w:sz w:val="32"/>
          <w:szCs w:val="32"/>
          <w:shd w:val="clear" w:color="auto" w:fill="FFFFFF"/>
        </w:rPr>
        <w:t>共青团</w:t>
      </w:r>
      <w:r>
        <w:rPr>
          <w:rFonts w:hint="eastAsia" w:ascii="仿宋_GB2312" w:hAnsi="仿宋_GB2312" w:eastAsia="仿宋_GB2312" w:cs="仿宋_GB2312"/>
          <w:kern w:val="0"/>
          <w:sz w:val="32"/>
          <w:szCs w:val="32"/>
          <w:shd w:val="clear" w:color="auto" w:fill="FFFFFF"/>
          <w:lang w:eastAsia="zh-CN"/>
        </w:rPr>
        <w:t>、</w:t>
      </w:r>
      <w:r>
        <w:rPr>
          <w:rFonts w:ascii="仿宋_GB2312" w:hAnsi="仿宋_GB2312" w:eastAsia="仿宋_GB2312" w:cs="仿宋_GB2312"/>
          <w:kern w:val="0"/>
          <w:sz w:val="32"/>
          <w:szCs w:val="32"/>
          <w:shd w:val="clear" w:color="auto" w:fill="FFFFFF"/>
        </w:rPr>
        <w:t>妇联等群众组织，支持这些组织依照各自的章程独立负责地开展工作；按照党组织的隶属关系，领导直属单位的工作。</w:t>
      </w:r>
    </w:p>
    <w:p w14:paraId="67367631">
      <w:pPr>
        <w:pageBreakBefore w:val="0"/>
        <w:widowControl/>
        <w:shd w:val="clear" w:color="auto" w:fill="FFFFFF"/>
        <w:kinsoku/>
        <w:overflowPunct/>
        <w:bidi w:val="0"/>
        <w:spacing w:line="560" w:lineRule="exact"/>
        <w:ind w:left="0" w:right="0" w:firstLine="640"/>
        <w:jc w:val="left"/>
        <w:textAlignment w:val="auto"/>
      </w:pPr>
      <w:r>
        <w:rPr>
          <w:rFonts w:ascii="仿宋_GB2312" w:hAnsi="仿宋_GB2312" w:eastAsia="仿宋_GB2312" w:cs="仿宋_GB2312"/>
          <w:b/>
          <w:bCs/>
          <w:kern w:val="0"/>
          <w:sz w:val="32"/>
          <w:szCs w:val="32"/>
          <w:shd w:val="clear" w:color="auto" w:fill="FFFFFF"/>
        </w:rPr>
        <w:t>2</w:t>
      </w:r>
      <w:r>
        <w:rPr>
          <w:rFonts w:hint="eastAsia" w:ascii="仿宋_GB2312" w:hAnsi="仿宋_GB2312" w:eastAsia="仿宋_GB2312" w:cs="仿宋_GB2312"/>
          <w:b/>
          <w:bCs/>
          <w:kern w:val="0"/>
          <w:sz w:val="32"/>
          <w:szCs w:val="32"/>
          <w:shd w:val="clear" w:color="auto" w:fill="FFFFFF"/>
          <w:lang w:val="en-US" w:eastAsia="zh-CN"/>
        </w:rPr>
        <w:t>.</w:t>
      </w:r>
      <w:r>
        <w:rPr>
          <w:rFonts w:hint="eastAsia" w:ascii="仿宋_GB2312" w:hAnsi="仿宋_GB2312" w:eastAsia="仿宋_GB2312" w:cs="仿宋_GB2312"/>
          <w:b/>
          <w:bCs/>
          <w:kern w:val="0"/>
          <w:sz w:val="32"/>
          <w:szCs w:val="32"/>
          <w:shd w:val="clear" w:color="auto" w:fill="FFFFFF"/>
          <w:lang w:eastAsia="zh-CN"/>
        </w:rPr>
        <w:t>新场乡</w:t>
      </w:r>
      <w:r>
        <w:rPr>
          <w:rFonts w:ascii="仿宋_GB2312" w:hAnsi="仿宋_GB2312" w:eastAsia="仿宋_GB2312" w:cs="仿宋_GB2312"/>
          <w:b/>
          <w:bCs/>
          <w:kern w:val="0"/>
          <w:sz w:val="32"/>
          <w:szCs w:val="32"/>
          <w:shd w:val="clear" w:color="auto" w:fill="FFFFFF"/>
        </w:rPr>
        <w:t>政府职能：</w:t>
      </w:r>
      <w:r>
        <w:rPr>
          <w:rFonts w:ascii="仿宋_GB2312" w:hAnsi="仿宋_GB2312" w:eastAsia="仿宋_GB2312" w:cs="仿宋_GB2312"/>
          <w:kern w:val="0"/>
          <w:sz w:val="32"/>
          <w:szCs w:val="32"/>
          <w:shd w:val="clear" w:color="auto" w:fill="FFFFFF"/>
        </w:rPr>
        <w:t>宣传落实好党的路线方针政策和国家的法律法规，稳定农村基本经济制度，坚持依法行政，推进政务公开，加强对村民委员会的指导，提高培养村民委员会自治能力；科学制定发展规划，营造农村经济发展环境，加强农村市场监督，培育提高市场功能，搞活市场流通，推广农业技术，完善农业社会化服务体系，引导农民发展现代农业，调整产业结构，加强农村劳动力技能培训，引导农村劳动力转移和就业，不断提高社会主义新农村建设水平；要坚持“</w:t>
      </w:r>
      <w:r>
        <w:rPr>
          <w:rFonts w:hint="eastAsia" w:ascii="仿宋_GB2312" w:hAnsi="仿宋_GB2312" w:eastAsia="仿宋_GB2312" w:cs="仿宋_GB2312"/>
          <w:kern w:val="0"/>
          <w:sz w:val="32"/>
          <w:szCs w:val="32"/>
          <w:shd w:val="clear" w:color="auto" w:fill="FFFFFF"/>
          <w:lang w:eastAsia="zh-CN"/>
        </w:rPr>
        <w:t>立党为公、执政为民</w:t>
      </w:r>
      <w:r>
        <w:rPr>
          <w:rFonts w:ascii="仿宋_GB2312" w:hAnsi="仿宋_GB2312" w:eastAsia="仿宋_GB2312" w:cs="仿宋_GB2312"/>
          <w:kern w:val="0"/>
          <w:sz w:val="32"/>
          <w:szCs w:val="32"/>
          <w:shd w:val="clear" w:color="auto" w:fill="FFFFFF"/>
        </w:rPr>
        <w:t>”，紧紧围绕实现和维护群众利益开展工作。突出解决人民群众最关心最直接最现实的利益问题。要加强和巩固农村基层政权建设和民主法制建设，加强社会治安综合治理，加强对突发事件的预警和管理，建立健全各种应急机制，加强民事纠纷调解，化解农村社会矛盾，开展农村扶贫和社会救助，切实保障农民合法权益，维护农村社会稳定；加强民政</w:t>
      </w:r>
      <w:r>
        <w:rPr>
          <w:rFonts w:hint="eastAsia" w:ascii="仿宋_GB2312" w:hAnsi="仿宋_GB2312" w:eastAsia="仿宋_GB2312" w:cs="仿宋_GB2312"/>
          <w:kern w:val="0"/>
          <w:sz w:val="32"/>
          <w:szCs w:val="32"/>
          <w:shd w:val="clear" w:color="auto" w:fill="FFFFFF"/>
          <w:lang w:eastAsia="zh-CN"/>
        </w:rPr>
        <w:t>、</w:t>
      </w:r>
      <w:r>
        <w:rPr>
          <w:rFonts w:ascii="仿宋_GB2312" w:hAnsi="仿宋_GB2312" w:eastAsia="仿宋_GB2312" w:cs="仿宋_GB2312"/>
          <w:kern w:val="0"/>
          <w:sz w:val="32"/>
          <w:szCs w:val="32"/>
          <w:shd w:val="clear" w:color="auto" w:fill="FFFFFF"/>
        </w:rPr>
        <w:t>教育</w:t>
      </w:r>
      <w:r>
        <w:rPr>
          <w:rFonts w:hint="eastAsia" w:ascii="仿宋_GB2312" w:hAnsi="仿宋_GB2312" w:eastAsia="仿宋_GB2312" w:cs="仿宋_GB2312"/>
          <w:kern w:val="0"/>
          <w:sz w:val="32"/>
          <w:szCs w:val="32"/>
          <w:shd w:val="clear" w:color="auto" w:fill="FFFFFF"/>
          <w:lang w:eastAsia="zh-CN"/>
        </w:rPr>
        <w:t>、</w:t>
      </w:r>
      <w:r>
        <w:rPr>
          <w:rFonts w:ascii="仿宋_GB2312" w:hAnsi="仿宋_GB2312" w:eastAsia="仿宋_GB2312" w:cs="仿宋_GB2312"/>
          <w:kern w:val="0"/>
          <w:sz w:val="32"/>
          <w:szCs w:val="32"/>
          <w:shd w:val="clear" w:color="auto" w:fill="FFFFFF"/>
        </w:rPr>
        <w:t>科技</w:t>
      </w:r>
      <w:r>
        <w:rPr>
          <w:rFonts w:hint="eastAsia" w:ascii="仿宋_GB2312" w:hAnsi="仿宋_GB2312" w:eastAsia="仿宋_GB2312" w:cs="仿宋_GB2312"/>
          <w:kern w:val="0"/>
          <w:sz w:val="32"/>
          <w:szCs w:val="32"/>
          <w:shd w:val="clear" w:color="auto" w:fill="FFFFFF"/>
          <w:lang w:eastAsia="zh-CN"/>
        </w:rPr>
        <w:t>、</w:t>
      </w:r>
      <w:r>
        <w:rPr>
          <w:rFonts w:ascii="仿宋_GB2312" w:hAnsi="仿宋_GB2312" w:eastAsia="仿宋_GB2312" w:cs="仿宋_GB2312"/>
          <w:kern w:val="0"/>
          <w:sz w:val="32"/>
          <w:szCs w:val="32"/>
          <w:shd w:val="clear" w:color="auto" w:fill="FFFFFF"/>
        </w:rPr>
        <w:t>文化</w:t>
      </w:r>
      <w:r>
        <w:rPr>
          <w:rFonts w:hint="eastAsia" w:ascii="仿宋_GB2312" w:hAnsi="仿宋_GB2312" w:eastAsia="仿宋_GB2312" w:cs="仿宋_GB2312"/>
          <w:kern w:val="0"/>
          <w:sz w:val="32"/>
          <w:szCs w:val="32"/>
          <w:shd w:val="clear" w:color="auto" w:fill="FFFFFF"/>
          <w:lang w:eastAsia="zh-CN"/>
        </w:rPr>
        <w:t>、</w:t>
      </w:r>
      <w:r>
        <w:rPr>
          <w:rFonts w:ascii="仿宋_GB2312" w:hAnsi="仿宋_GB2312" w:eastAsia="仿宋_GB2312" w:cs="仿宋_GB2312"/>
          <w:kern w:val="0"/>
          <w:sz w:val="32"/>
          <w:szCs w:val="32"/>
          <w:shd w:val="clear" w:color="auto" w:fill="FFFFFF"/>
        </w:rPr>
        <w:t>卫生</w:t>
      </w:r>
      <w:r>
        <w:rPr>
          <w:rFonts w:hint="eastAsia" w:ascii="仿宋_GB2312" w:hAnsi="仿宋_GB2312" w:eastAsia="仿宋_GB2312" w:cs="仿宋_GB2312"/>
          <w:kern w:val="0"/>
          <w:sz w:val="32"/>
          <w:szCs w:val="32"/>
          <w:shd w:val="clear" w:color="auto" w:fill="FFFFFF"/>
          <w:lang w:eastAsia="zh-CN"/>
        </w:rPr>
        <w:t>、</w:t>
      </w:r>
      <w:r>
        <w:rPr>
          <w:rFonts w:ascii="仿宋_GB2312" w:hAnsi="仿宋_GB2312" w:eastAsia="仿宋_GB2312" w:cs="仿宋_GB2312"/>
          <w:kern w:val="0"/>
          <w:sz w:val="32"/>
          <w:szCs w:val="32"/>
          <w:shd w:val="clear" w:color="auto" w:fill="FFFFFF"/>
        </w:rPr>
        <w:t>计划生育</w:t>
      </w:r>
      <w:r>
        <w:rPr>
          <w:rFonts w:hint="eastAsia" w:ascii="仿宋_GB2312" w:hAnsi="仿宋_GB2312" w:eastAsia="仿宋_GB2312" w:cs="仿宋_GB2312"/>
          <w:kern w:val="0"/>
          <w:sz w:val="32"/>
          <w:szCs w:val="32"/>
          <w:shd w:val="clear" w:color="auto" w:fill="FFFFFF"/>
          <w:lang w:eastAsia="zh-CN"/>
        </w:rPr>
        <w:t>、</w:t>
      </w:r>
      <w:r>
        <w:rPr>
          <w:rFonts w:ascii="仿宋_GB2312" w:hAnsi="仿宋_GB2312" w:eastAsia="仿宋_GB2312" w:cs="仿宋_GB2312"/>
          <w:kern w:val="0"/>
          <w:sz w:val="32"/>
          <w:szCs w:val="32"/>
          <w:shd w:val="clear" w:color="auto" w:fill="FFFFFF"/>
        </w:rPr>
        <w:t>安全生产</w:t>
      </w:r>
      <w:r>
        <w:rPr>
          <w:rFonts w:hint="eastAsia" w:ascii="仿宋_GB2312" w:hAnsi="仿宋_GB2312" w:eastAsia="仿宋_GB2312" w:cs="仿宋_GB2312"/>
          <w:kern w:val="0"/>
          <w:sz w:val="32"/>
          <w:szCs w:val="32"/>
          <w:shd w:val="clear" w:color="auto" w:fill="FFFFFF"/>
          <w:lang w:eastAsia="zh-CN"/>
        </w:rPr>
        <w:t>、</w:t>
      </w:r>
      <w:r>
        <w:rPr>
          <w:rFonts w:ascii="仿宋_GB2312" w:hAnsi="仿宋_GB2312" w:eastAsia="仿宋_GB2312" w:cs="仿宋_GB2312"/>
          <w:kern w:val="0"/>
          <w:sz w:val="32"/>
          <w:szCs w:val="32"/>
          <w:shd w:val="clear" w:color="auto" w:fill="FFFFFF"/>
        </w:rPr>
        <w:t>劳动保障和乡村规划等社会管理，加强社会主义精神文明建设，做好防灾减灾工作。加强环境保护，努力改善农村人居环境，不断提高农村人口素质和农民生活质量；进一步发展和完善农业社会服务体系，引导各类协会和农村专业合作经济组织发展并充分发挥其作用，发展农村社会公益事业和集体公益事业，加强农村基础设施建设，增加公益产品，提供政策</w:t>
      </w:r>
      <w:r>
        <w:rPr>
          <w:rFonts w:hint="eastAsia" w:ascii="仿宋_GB2312" w:hAnsi="仿宋_GB2312" w:eastAsia="仿宋_GB2312" w:cs="仿宋_GB2312"/>
          <w:kern w:val="0"/>
          <w:sz w:val="32"/>
          <w:szCs w:val="32"/>
          <w:shd w:val="clear" w:color="auto" w:fill="FFFFFF"/>
          <w:lang w:eastAsia="zh-CN"/>
        </w:rPr>
        <w:t>、</w:t>
      </w:r>
      <w:r>
        <w:rPr>
          <w:rFonts w:ascii="仿宋_GB2312" w:hAnsi="仿宋_GB2312" w:eastAsia="仿宋_GB2312" w:cs="仿宋_GB2312"/>
          <w:kern w:val="0"/>
          <w:sz w:val="32"/>
          <w:szCs w:val="32"/>
          <w:shd w:val="clear" w:color="auto" w:fill="FFFFFF"/>
        </w:rPr>
        <w:t>科技</w:t>
      </w:r>
      <w:r>
        <w:rPr>
          <w:rFonts w:hint="eastAsia" w:ascii="仿宋_GB2312" w:hAnsi="仿宋_GB2312" w:eastAsia="仿宋_GB2312" w:cs="仿宋_GB2312"/>
          <w:kern w:val="0"/>
          <w:sz w:val="32"/>
          <w:szCs w:val="32"/>
          <w:shd w:val="clear" w:color="auto" w:fill="FFFFFF"/>
          <w:lang w:eastAsia="zh-CN"/>
        </w:rPr>
        <w:t>、</w:t>
      </w:r>
      <w:r>
        <w:rPr>
          <w:rFonts w:ascii="仿宋_GB2312" w:hAnsi="仿宋_GB2312" w:eastAsia="仿宋_GB2312" w:cs="仿宋_GB2312"/>
          <w:kern w:val="0"/>
          <w:sz w:val="32"/>
          <w:szCs w:val="32"/>
          <w:shd w:val="clear" w:color="auto" w:fill="FFFFFF"/>
        </w:rPr>
        <w:t>市场信息和社会救济救助服务，及时向上级</w:t>
      </w:r>
      <w:r>
        <w:rPr>
          <w:rFonts w:hint="eastAsia" w:ascii="仿宋_GB2312" w:hAnsi="仿宋_GB2312" w:eastAsia="仿宋_GB2312" w:cs="仿宋_GB2312"/>
          <w:kern w:val="0"/>
          <w:sz w:val="32"/>
          <w:szCs w:val="32"/>
          <w:shd w:val="clear" w:color="auto" w:fill="FFFFFF"/>
          <w:lang w:eastAsia="zh-CN"/>
        </w:rPr>
        <w:t>党委、政府</w:t>
      </w:r>
      <w:r>
        <w:rPr>
          <w:rFonts w:ascii="仿宋_GB2312" w:hAnsi="仿宋_GB2312" w:eastAsia="仿宋_GB2312" w:cs="仿宋_GB2312"/>
          <w:kern w:val="0"/>
          <w:sz w:val="32"/>
          <w:szCs w:val="32"/>
          <w:shd w:val="clear" w:color="auto" w:fill="FFFFFF"/>
        </w:rPr>
        <w:t>反映社情民意，进一步密切党和政府与人民群众的关系。</w:t>
      </w:r>
    </w:p>
    <w:p w14:paraId="3A4C8A19">
      <w:pPr>
        <w:widowControl/>
        <w:numPr>
          <w:ilvl w:val="0"/>
          <w:numId w:val="0"/>
        </w:numPr>
        <w:shd w:val="clear" w:color="auto" w:fill="FFFFFF"/>
        <w:kinsoku/>
        <w:overflowPunct/>
        <w:bidi w:val="0"/>
        <w:snapToGrid w:val="0"/>
        <w:spacing w:before="93" w:after="0" w:line="560" w:lineRule="exact"/>
        <w:ind w:left="0" w:right="0" w:firstLine="640"/>
        <w:jc w:val="left"/>
        <w:textAlignment w:val="auto"/>
        <w:rPr>
          <w:rFonts w:hint="default"/>
          <w:lang w:val="en-US" w:eastAsia="zh-CN"/>
        </w:rPr>
      </w:pPr>
      <w:r>
        <w:rPr>
          <w:rFonts w:hint="eastAsia" w:ascii="仿宋_GB2312" w:hAnsi="仿宋_GB2312" w:eastAsia="仿宋_GB2312" w:cs="仿宋_GB2312"/>
          <w:b/>
          <w:bCs w:val="0"/>
          <w:color w:val="000000"/>
          <w:kern w:val="0"/>
          <w:sz w:val="32"/>
          <w:szCs w:val="32"/>
          <w:shd w:val="clear" w:color="auto" w:fill="FFFFFF"/>
          <w:lang w:val="en-US" w:eastAsia="zh-CN"/>
        </w:rPr>
        <w:t>3.</w:t>
      </w:r>
      <w:r>
        <w:rPr>
          <w:rFonts w:hint="eastAsia" w:ascii="仿宋_GB2312" w:hAnsi="仿宋_GB2312" w:eastAsia="仿宋_GB2312" w:cs="仿宋_GB2312"/>
          <w:b/>
          <w:bCs w:val="0"/>
          <w:color w:val="000000"/>
          <w:kern w:val="0"/>
          <w:sz w:val="32"/>
          <w:szCs w:val="32"/>
          <w:shd w:val="clear" w:color="auto" w:fill="FFFFFF"/>
          <w:lang w:eastAsia="zh-CN"/>
        </w:rPr>
        <w:t>新场乡</w:t>
      </w:r>
      <w:r>
        <w:rPr>
          <w:rFonts w:hint="eastAsia" w:ascii="仿宋_GB2312" w:hAnsi="仿宋_GB2312" w:eastAsia="仿宋_GB2312" w:cs="仿宋_GB2312"/>
          <w:b/>
          <w:bCs w:val="0"/>
          <w:color w:val="000000"/>
          <w:kern w:val="0"/>
          <w:sz w:val="32"/>
          <w:szCs w:val="32"/>
          <w:shd w:val="clear" w:color="auto" w:fill="FFFFFF"/>
        </w:rPr>
        <w:t>事业单位主要承担公益性职能：</w:t>
      </w:r>
      <w:r>
        <w:rPr>
          <w:rFonts w:hint="eastAsia" w:ascii="仿宋_GB2312" w:hAnsi="仿宋_GB2312" w:eastAsia="仿宋_GB2312" w:cs="仿宋_GB2312"/>
          <w:bCs/>
          <w:color w:val="000000"/>
          <w:kern w:val="0"/>
          <w:sz w:val="32"/>
          <w:szCs w:val="32"/>
          <w:shd w:val="clear" w:color="auto" w:fill="FFFFFF"/>
        </w:rPr>
        <w:t>计划生育技术服务</w:t>
      </w:r>
      <w:r>
        <w:rPr>
          <w:rFonts w:hint="eastAsia" w:ascii="仿宋_GB2312" w:hAnsi="仿宋_GB2312" w:eastAsia="仿宋_GB2312" w:cs="仿宋_GB2312"/>
          <w:bCs/>
          <w:color w:val="000000"/>
          <w:kern w:val="0"/>
          <w:sz w:val="32"/>
          <w:szCs w:val="32"/>
          <w:shd w:val="clear" w:color="auto" w:fill="FFFFFF"/>
          <w:lang w:eastAsia="zh-CN"/>
        </w:rPr>
        <w:t>、</w:t>
      </w:r>
      <w:r>
        <w:rPr>
          <w:rFonts w:hint="eastAsia" w:ascii="仿宋_GB2312" w:hAnsi="仿宋_GB2312" w:eastAsia="仿宋_GB2312" w:cs="仿宋_GB2312"/>
          <w:bCs/>
          <w:color w:val="000000"/>
          <w:kern w:val="0"/>
          <w:sz w:val="32"/>
          <w:szCs w:val="32"/>
          <w:shd w:val="clear" w:color="auto" w:fill="FFFFFF"/>
        </w:rPr>
        <w:t>宣传咨询.人员培训和药具发放；农林牧业生产中关键技术和新品种.新农具的引进.实验.示范；农作物和林木病虫害.动物疫病及农业灾害的监测.预报</w:t>
      </w:r>
      <w:r>
        <w:rPr>
          <w:rFonts w:hint="eastAsia" w:ascii="仿宋_GB2312" w:hAnsi="仿宋_GB2312" w:eastAsia="仿宋_GB2312" w:cs="仿宋_GB2312"/>
          <w:bCs/>
          <w:color w:val="000000"/>
          <w:kern w:val="0"/>
          <w:sz w:val="32"/>
          <w:szCs w:val="32"/>
          <w:shd w:val="clear" w:color="auto" w:fill="FFFFFF"/>
          <w:lang w:eastAsia="zh-CN"/>
        </w:rPr>
        <w:t>防治</w:t>
      </w:r>
      <w:r>
        <w:rPr>
          <w:rFonts w:hint="eastAsia" w:ascii="仿宋_GB2312" w:hAnsi="仿宋_GB2312" w:eastAsia="仿宋_GB2312" w:cs="仿宋_GB2312"/>
          <w:bCs/>
          <w:color w:val="000000"/>
          <w:kern w:val="0"/>
          <w:sz w:val="32"/>
          <w:szCs w:val="32"/>
          <w:shd w:val="clear" w:color="auto" w:fill="FFFFFF"/>
        </w:rPr>
        <w:t>和处置；农作物苗情监测和农牧产品生产过程中的质量安全检查.监测和强制性检验；农业资源.林业资源.农业生态环境和农业投入品使用监测；农业公共信息和培训教育服务；小型水利工程及病害水库的整治；水资源管理和防汛抗旱技术服务；水土保持的预防及水土流失的治理；农机安全检查和事故的预防.报告及处理；乡村机耕道德规划.建设；承担农村低保.农村医疗救助.农村医疗合作保险的组织实施</w:t>
      </w:r>
      <w:r>
        <w:rPr>
          <w:rFonts w:hint="eastAsia" w:ascii="仿宋_GB2312" w:hAnsi="仿宋_GB2312" w:eastAsia="仿宋_GB2312" w:cs="仿宋_GB2312"/>
          <w:bCs/>
          <w:color w:val="000000"/>
          <w:kern w:val="0"/>
          <w:sz w:val="32"/>
          <w:szCs w:val="32"/>
          <w:shd w:val="clear" w:color="auto" w:fill="FFFFFF"/>
          <w:lang w:eastAsia="zh-CN"/>
        </w:rPr>
        <w:t>.以</w:t>
      </w:r>
      <w:r>
        <w:rPr>
          <w:rFonts w:hint="eastAsia" w:ascii="仿宋_GB2312" w:hAnsi="仿宋_GB2312" w:eastAsia="仿宋_GB2312" w:cs="仿宋_GB2312"/>
          <w:bCs/>
          <w:color w:val="000000"/>
          <w:kern w:val="0"/>
          <w:sz w:val="32"/>
          <w:szCs w:val="32"/>
          <w:shd w:val="clear" w:color="auto" w:fill="FFFFFF"/>
        </w:rPr>
        <w:t>及初步审核；城乡登记失业人员和农村劳动力转移就业人员的社会化管理服务；广播电视“村村通”工程的建设.运行.维护和节目的安全播出；制订年度农村公益性文化项目实施计划；开展多种形式的文娱体育活动和宣传教育活动。</w:t>
      </w:r>
    </w:p>
    <w:p w14:paraId="7DBEDBFB">
      <w:pPr>
        <w:pStyle w:val="4"/>
        <w:rPr>
          <w:rStyle w:val="20"/>
          <w:rFonts w:ascii="Times New Roman" w:hAnsi="Times New Roman"/>
          <w:b w:val="0"/>
          <w:bCs w:val="0"/>
          <w:color w:val="auto"/>
          <w:highlight w:val="none"/>
        </w:rPr>
      </w:pPr>
      <w:bookmarkStart w:id="3" w:name="_Toc15377200"/>
      <w:bookmarkStart w:id="4" w:name="_Toc15396601"/>
      <w:r>
        <w:rPr>
          <w:rFonts w:hint="eastAsia" w:ascii="Times New Roman" w:hAnsi="Times New Roman" w:eastAsia="黑体"/>
          <w:b w:val="0"/>
          <w:color w:val="auto"/>
          <w:highlight w:val="none"/>
        </w:rPr>
        <w:t>二、机</w:t>
      </w:r>
      <w:r>
        <w:rPr>
          <w:rStyle w:val="20"/>
          <w:rFonts w:hint="eastAsia" w:ascii="Times New Roman" w:hAnsi="Times New Roman" w:eastAsia="黑体"/>
          <w:b w:val="0"/>
          <w:bCs w:val="0"/>
          <w:color w:val="auto"/>
          <w:highlight w:val="none"/>
        </w:rPr>
        <w:t>构设置</w:t>
      </w:r>
      <w:bookmarkEnd w:id="3"/>
      <w:bookmarkEnd w:id="4"/>
    </w:p>
    <w:p w14:paraId="4FAB3DC8">
      <w:pPr>
        <w:ind w:firstLine="800" w:firstLineChars="250"/>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峨边彝族自治县</w:t>
      </w:r>
      <w:r>
        <w:rPr>
          <w:rFonts w:hint="eastAsia" w:ascii="仿宋_GB2312" w:hAnsi="仿宋_GB2312" w:eastAsia="仿宋_GB2312" w:cs="仿宋_GB2312"/>
          <w:color w:val="auto"/>
          <w:sz w:val="32"/>
          <w:szCs w:val="32"/>
          <w:highlight w:val="none"/>
          <w:lang w:eastAsia="zh-CN"/>
        </w:rPr>
        <w:t>新场乡</w:t>
      </w:r>
      <w:r>
        <w:rPr>
          <w:rFonts w:hint="eastAsia" w:ascii="仿宋_GB2312" w:hAnsi="仿宋_GB2312" w:eastAsia="仿宋_GB2312" w:cs="仿宋_GB2312"/>
          <w:color w:val="auto"/>
          <w:sz w:val="32"/>
          <w:szCs w:val="32"/>
          <w:highlight w:val="none"/>
        </w:rPr>
        <w:t>人民政府</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2</w:t>
      </w:r>
      <w:r>
        <w:rPr>
          <w:rFonts w:hint="eastAsia" w:ascii="Times New Roman" w:hAnsi="Times New Roman" w:eastAsia="仿宋_GB2312" w:cs="仿宋_GB2312"/>
          <w:color w:val="auto"/>
          <w:sz w:val="32"/>
          <w:szCs w:val="32"/>
          <w:highlight w:val="none"/>
        </w:rPr>
        <w:t>个，</w:t>
      </w:r>
      <w:r>
        <w:rPr>
          <w:rFonts w:hint="eastAsia" w:eastAsia="仿宋_GB2312" w:cs="仿宋_GB2312"/>
          <w:color w:val="auto"/>
          <w:sz w:val="32"/>
          <w:szCs w:val="32"/>
          <w:highlight w:val="none"/>
          <w:lang w:val="en-US" w:eastAsia="zh-CN"/>
        </w:rPr>
        <w:t>一个便民服务中心，一个农业综合服务中心</w:t>
      </w:r>
      <w:r>
        <w:rPr>
          <w:rFonts w:hint="eastAsia" w:ascii="Times New Roman" w:hAnsi="Times New Roman" w:eastAsia="仿宋_GB2312" w:cs="仿宋_GB2312"/>
          <w:color w:val="auto"/>
          <w:sz w:val="32"/>
          <w:szCs w:val="32"/>
          <w:highlight w:val="none"/>
        </w:rPr>
        <w:t>。</w:t>
      </w:r>
    </w:p>
    <w:p w14:paraId="133BA48A">
      <w:pPr>
        <w:pStyle w:val="8"/>
        <w:adjustRightInd w:val="0"/>
        <w:snapToGrid w:val="0"/>
        <w:spacing w:before="93" w:line="600" w:lineRule="exact"/>
        <w:ind w:firstLine="672" w:firstLineChars="21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纳入</w:t>
      </w:r>
      <w:r>
        <w:rPr>
          <w:sz w:val="32"/>
          <w:szCs w:val="32"/>
        </w:rPr>
        <w:t>峨边彝族自治县</w:t>
      </w:r>
      <w:r>
        <w:rPr>
          <w:rFonts w:hint="eastAsia"/>
          <w:sz w:val="32"/>
          <w:szCs w:val="32"/>
          <w:lang w:eastAsia="zh-CN"/>
        </w:rPr>
        <w:t>新场乡</w:t>
      </w:r>
      <w:r>
        <w:rPr>
          <w:sz w:val="32"/>
          <w:szCs w:val="32"/>
        </w:rPr>
        <w:t>人民政府</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部门决算编制范围的二级预算单位包括：</w:t>
      </w:r>
      <w:r>
        <w:rPr>
          <w:rFonts w:hint="eastAsia" w:ascii="Times New Roman" w:cs="仿宋_GB2312"/>
          <w:color w:val="auto"/>
          <w:sz w:val="32"/>
          <w:szCs w:val="32"/>
          <w:highlight w:val="none"/>
          <w:lang w:val="en-US" w:eastAsia="zh-CN"/>
        </w:rPr>
        <w:t>无</w:t>
      </w:r>
    </w:p>
    <w:p w14:paraId="7415D9DC">
      <w:pPr>
        <w:widowControl/>
        <w:jc w:val="left"/>
        <w:rPr>
          <w:rFonts w:hint="eastAsia" w:ascii="Times New Roman" w:hAnsi="Times New Roman" w:eastAsia="仿宋"/>
          <w:color w:val="auto"/>
          <w:kern w:val="0"/>
          <w:sz w:val="32"/>
          <w:szCs w:val="32"/>
          <w:highlight w:val="none"/>
          <w:lang w:eastAsia="zh-CN"/>
        </w:rPr>
      </w:pPr>
    </w:p>
    <w:p w14:paraId="2E20F0A4">
      <w:pPr>
        <w:widowControl/>
        <w:jc w:val="left"/>
        <w:rPr>
          <w:rFonts w:hint="eastAsia" w:ascii="Times New Roman" w:hAnsi="Times New Roman" w:eastAsia="仿宋"/>
          <w:color w:val="auto"/>
          <w:kern w:val="0"/>
          <w:sz w:val="32"/>
          <w:szCs w:val="32"/>
          <w:highlight w:val="none"/>
          <w:lang w:eastAsia="zh-CN"/>
        </w:rPr>
      </w:pPr>
      <w:bookmarkStart w:id="5" w:name="_Toc15396613"/>
      <w:bookmarkStart w:id="6" w:name="_Toc15377225"/>
    </w:p>
    <w:p w14:paraId="31E0D247">
      <w:pPr>
        <w:pStyle w:val="3"/>
        <w:jc w:val="center"/>
        <w:rPr>
          <w:rFonts w:hint="eastAsia" w:ascii="Times New Roman" w:hAnsi="Times New Roman" w:eastAsia="方正小标宋简体" w:cs="方正小标宋简体"/>
          <w:b w:val="0"/>
          <w:color w:val="auto"/>
          <w:highlight w:val="none"/>
        </w:rPr>
      </w:pPr>
      <w:bookmarkStart w:id="7" w:name="_Toc15396602"/>
      <w:bookmarkStart w:id="8"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7"/>
      <w:bookmarkEnd w:id="8"/>
    </w:p>
    <w:p w14:paraId="02FCC3C7">
      <w:pPr>
        <w:rPr>
          <w:rFonts w:ascii="Times New Roman" w:hAnsi="Times New Roman"/>
          <w:color w:val="auto"/>
          <w:highlight w:val="none"/>
        </w:rPr>
      </w:pPr>
    </w:p>
    <w:p w14:paraId="2EF2022D">
      <w:pPr>
        <w:pStyle w:val="2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0"/>
          <w:rFonts w:hint="eastAsia" w:ascii="Times New Roman" w:hAnsi="Times New Roman" w:eastAsia="黑体"/>
          <w:b w:val="0"/>
          <w:color w:val="auto"/>
          <w:highlight w:val="none"/>
        </w:rPr>
      </w:pPr>
      <w:bookmarkStart w:id="9" w:name="_Toc15377205"/>
      <w:bookmarkStart w:id="10"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0"/>
          <w:rFonts w:hint="eastAsia" w:ascii="Times New Roman" w:hAnsi="Times New Roman" w:eastAsia="黑体"/>
          <w:b w:val="0"/>
          <w:color w:val="auto"/>
          <w:highlight w:val="none"/>
        </w:rPr>
        <w:t>入支出决算总体情况说明</w:t>
      </w:r>
      <w:bookmarkEnd w:id="9"/>
      <w:bookmarkEnd w:id="10"/>
    </w:p>
    <w:p w14:paraId="0D43828C">
      <w:pPr>
        <w:pStyle w:val="2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yellow"/>
          <w:lang w:val="en-US"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color w:val="auto"/>
          <w:sz w:val="32"/>
          <w:szCs w:val="32"/>
          <w:highlight w:val="none"/>
          <w:lang w:val="en-US" w:eastAsia="zh-CN"/>
        </w:rPr>
        <w:t>909.41</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w:t>
      </w:r>
      <w:r>
        <w:rPr>
          <w:rFonts w:hint="eastAsia" w:eastAsia="仿宋_GB2312" w:cs="仿宋_GB2312"/>
          <w:color w:val="auto"/>
          <w:sz w:val="32"/>
          <w:szCs w:val="32"/>
          <w:highlight w:val="none"/>
          <w:lang w:val="en-US" w:eastAsia="zh-CN"/>
        </w:rPr>
        <w:t>减少66.18</w:t>
      </w:r>
      <w:r>
        <w:rPr>
          <w:rFonts w:hint="eastAsia" w:ascii="Times New Roman" w:hAnsi="Times New Roman" w:eastAsia="仿宋_GB2312" w:cs="仿宋_GB2312"/>
          <w:color w:val="auto"/>
          <w:sz w:val="32"/>
          <w:szCs w:val="32"/>
          <w:highlight w:val="none"/>
        </w:rPr>
        <w:t>万元，</w:t>
      </w:r>
      <w:r>
        <w:rPr>
          <w:rFonts w:hint="eastAsia" w:eastAsia="仿宋_GB2312" w:cs="仿宋_GB2312"/>
          <w:color w:val="auto"/>
          <w:sz w:val="32"/>
          <w:szCs w:val="32"/>
          <w:highlight w:val="none"/>
          <w:lang w:val="en-US" w:eastAsia="zh-CN"/>
        </w:rPr>
        <w:t>减少6.78</w:t>
      </w:r>
      <w:r>
        <w:rPr>
          <w:rFonts w:hint="eastAsia" w:ascii="Times New Roman" w:hAnsi="Times New Roman" w:eastAsia="仿宋_GB2312" w:cs="仿宋_GB2312"/>
          <w:color w:val="auto"/>
          <w:sz w:val="32"/>
          <w:szCs w:val="32"/>
          <w:highlight w:val="none"/>
        </w:rPr>
        <w:t>%。主要变动原</w:t>
      </w:r>
      <w:commentRangeStart w:id="0"/>
      <w:r>
        <w:rPr>
          <w:rFonts w:hint="eastAsia" w:ascii="Times New Roman" w:hAnsi="Times New Roman" w:eastAsia="仿宋_GB2312" w:cs="仿宋_GB2312"/>
          <w:color w:val="auto"/>
          <w:sz w:val="32"/>
          <w:szCs w:val="32"/>
          <w:highlight w:val="none"/>
        </w:rPr>
        <w:t>因是</w:t>
      </w:r>
      <w:r>
        <w:rPr>
          <w:rFonts w:hint="eastAsia" w:eastAsia="仿宋_GB2312" w:cs="仿宋_GB2312"/>
          <w:color w:val="auto"/>
          <w:sz w:val="32"/>
          <w:szCs w:val="32"/>
          <w:highlight w:val="none"/>
          <w:lang w:val="en-US" w:eastAsia="zh-CN"/>
        </w:rPr>
        <w:t>人员经费减少。</w:t>
      </w:r>
      <w:commentRangeEnd w:id="0"/>
      <w:r>
        <w:rPr>
          <w:highlight w:val="none"/>
        </w:rPr>
        <w:commentReference w:id="0"/>
      </w:r>
    </w:p>
    <w:p w14:paraId="69EF13AF">
      <w:pPr>
        <w:pStyle w:val="2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r>
        <w:rPr>
          <w:rFonts w:hint="eastAsia" w:eastAsia="仿宋_GB2312" w:cs="仿宋_GB2312"/>
          <w:color w:val="auto"/>
          <w:sz w:val="32"/>
          <w:szCs w:val="32"/>
          <w:highlight w:val="none"/>
          <w:lang w:val="en-US" w:eastAsia="zh-CN"/>
        </w:rPr>
        <w:drawing>
          <wp:anchor distT="0" distB="0" distL="114300" distR="114300" simplePos="0" relativeHeight="251660288" behindDoc="1" locked="0" layoutInCell="1" allowOverlap="1">
            <wp:simplePos x="0" y="0"/>
            <wp:positionH relativeFrom="column">
              <wp:posOffset>323215</wp:posOffset>
            </wp:positionH>
            <wp:positionV relativeFrom="paragraph">
              <wp:posOffset>249555</wp:posOffset>
            </wp:positionV>
            <wp:extent cx="4848225" cy="2686050"/>
            <wp:effectExtent l="0" t="0" r="9525" b="0"/>
            <wp:wrapTight wrapText="bothSides">
              <wp:wrapPolygon>
                <wp:start x="0" y="0"/>
                <wp:lineTo x="0" y="21447"/>
                <wp:lineTo x="21558" y="21447"/>
                <wp:lineTo x="21558" y="0"/>
                <wp:lineTo x="0" y="0"/>
              </wp:wrapPolygon>
            </wp:wrapTight>
            <wp:docPr id="9" name="图片 9" descr="0e0275fd8523c697833f005f648fa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0e0275fd8523c697833f005f648fa258"/>
                    <pic:cNvPicPr>
                      <a:picLocks noChangeAspect="1"/>
                    </pic:cNvPicPr>
                  </pic:nvPicPr>
                  <pic:blipFill>
                    <a:blip r:embed="rId9"/>
                    <a:stretch>
                      <a:fillRect/>
                    </a:stretch>
                  </pic:blipFill>
                  <pic:spPr>
                    <a:xfrm>
                      <a:off x="0" y="0"/>
                      <a:ext cx="4848225" cy="2686050"/>
                    </a:xfrm>
                    <a:prstGeom prst="rect">
                      <a:avLst/>
                    </a:prstGeom>
                  </pic:spPr>
                </pic:pic>
              </a:graphicData>
            </a:graphic>
          </wp:anchor>
        </w:drawing>
      </w:r>
    </w:p>
    <w:p w14:paraId="7E076D0A">
      <w:pPr>
        <w:pStyle w:val="2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79E86D86">
      <w:pPr>
        <w:pStyle w:val="2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596A4C0B">
      <w:pPr>
        <w:pStyle w:val="2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10C55F0B">
      <w:pPr>
        <w:pStyle w:val="2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535D3596">
      <w:pPr>
        <w:pStyle w:val="2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709D5397">
      <w:pPr>
        <w:pStyle w:val="2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495943CE">
      <w:pPr>
        <w:pStyle w:val="2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eastAsia="仿宋_GB2312" w:cs="仿宋_GB2312"/>
          <w:color w:val="auto"/>
          <w:sz w:val="32"/>
          <w:szCs w:val="32"/>
          <w:highlight w:val="none"/>
          <w:lang w:val="en-US" w:eastAsia="zh-CN"/>
        </w:rPr>
      </w:pPr>
    </w:p>
    <w:p w14:paraId="56BDF0CA">
      <w:pPr>
        <w:pStyle w:val="2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1" w:name="_Toc15377206"/>
      <w:bookmarkStart w:id="12" w:name="_Toc15396604"/>
      <w:r>
        <w:rPr>
          <w:rFonts w:hint="eastAsia" w:ascii="Times New Roman" w:hAnsi="Times New Roman" w:eastAsia="黑体"/>
          <w:color w:val="auto"/>
          <w:sz w:val="32"/>
          <w:szCs w:val="32"/>
          <w:highlight w:val="none"/>
          <w:lang w:eastAsia="zh-CN"/>
        </w:rPr>
        <w:t>二、收入决算情况说明</w:t>
      </w:r>
      <w:bookmarkEnd w:id="11"/>
      <w:bookmarkEnd w:id="12"/>
    </w:p>
    <w:p w14:paraId="463530DE">
      <w:pPr>
        <w:pStyle w:val="2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yellow"/>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color w:val="auto"/>
          <w:sz w:val="32"/>
          <w:szCs w:val="32"/>
          <w:highlight w:val="none"/>
          <w:lang w:val="en-US" w:eastAsia="zh-CN"/>
        </w:rPr>
        <w:t>909.41</w:t>
      </w:r>
      <w:r>
        <w:rPr>
          <w:rFonts w:hint="eastAsia" w:ascii="仿宋_GB2312" w:hAnsi="仿宋_GB2312" w:eastAsia="仿宋_GB2312" w:cs="仿宋_GB2312"/>
          <w:color w:val="auto"/>
          <w:sz w:val="32"/>
          <w:szCs w:val="32"/>
          <w:highlight w:val="none"/>
        </w:rPr>
        <w:t>万元，其中：一般公共预算财政拨款收入</w:t>
      </w:r>
      <w:r>
        <w:rPr>
          <w:rFonts w:hint="eastAsia" w:ascii="仿宋_GB2312" w:hAnsi="仿宋_GB2312" w:eastAsia="仿宋_GB2312" w:cs="仿宋_GB2312"/>
          <w:color w:val="auto"/>
          <w:sz w:val="32"/>
          <w:szCs w:val="32"/>
          <w:highlight w:val="none"/>
          <w:lang w:val="en-US" w:eastAsia="zh-CN"/>
        </w:rPr>
        <w:t>877.11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color w:val="auto"/>
          <w:sz w:val="32"/>
          <w:szCs w:val="32"/>
          <w:lang w:val="en-US" w:eastAsia="zh-CN"/>
        </w:rPr>
        <w:t>96</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color w:val="auto"/>
          <w:sz w:val="32"/>
          <w:szCs w:val="32"/>
          <w:lang w:val="en-US" w:eastAsia="zh-CN"/>
        </w:rPr>
        <w:t>32.30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highlight w:val="none"/>
          <w:lang w:eastAsia="zh-CN"/>
        </w:rPr>
        <w:t>%。</w:t>
      </w:r>
    </w:p>
    <w:p w14:paraId="3E6337F8">
      <w:pPr>
        <w:pStyle w:val="21"/>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1"/>
        <w:rPr>
          <w:rFonts w:hint="eastAsia" w:ascii="仿宋_GB2312" w:hAnsi="仿宋_GB2312" w:eastAsia="仿宋_GB2312" w:cs="仿宋_GB2312"/>
          <w:color w:val="auto"/>
          <w:sz w:val="32"/>
          <w:szCs w:val="32"/>
          <w:highlight w:val="none"/>
          <w:lang w:eastAsia="zh-CN"/>
        </w:rPr>
      </w:pPr>
    </w:p>
    <w:p w14:paraId="54DFB016">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4772025" cy="2695575"/>
            <wp:effectExtent l="0" t="0" r="9525" b="9525"/>
            <wp:docPr id="10" name="图片 10" descr="8dca6a595b52a33b390cf42d1e6943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8dca6a595b52a33b390cf42d1e69431e"/>
                    <pic:cNvPicPr>
                      <a:picLocks noChangeAspect="1"/>
                    </pic:cNvPicPr>
                  </pic:nvPicPr>
                  <pic:blipFill>
                    <a:blip r:embed="rId10"/>
                    <a:stretch>
                      <a:fillRect/>
                    </a:stretch>
                  </pic:blipFill>
                  <pic:spPr>
                    <a:xfrm>
                      <a:off x="0" y="0"/>
                      <a:ext cx="4772025" cy="2695575"/>
                    </a:xfrm>
                    <a:prstGeom prst="rect">
                      <a:avLst/>
                    </a:prstGeom>
                  </pic:spPr>
                </pic:pic>
              </a:graphicData>
            </a:graphic>
          </wp:inline>
        </w:drawing>
      </w:r>
    </w:p>
    <w:p w14:paraId="0FDDACCA">
      <w:pPr>
        <w:pStyle w:val="2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0"/>
          <w:rFonts w:hint="eastAsia" w:ascii="Times New Roman" w:hAnsi="Times New Roman" w:eastAsia="黑体"/>
          <w:b w:val="0"/>
          <w:color w:val="auto"/>
          <w:highlight w:val="none"/>
        </w:rPr>
      </w:pPr>
      <w:bookmarkStart w:id="13" w:name="_Toc15396605"/>
      <w:bookmarkStart w:id="14"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0"/>
          <w:rFonts w:hint="eastAsia" w:ascii="Times New Roman" w:hAnsi="Times New Roman" w:eastAsia="黑体"/>
          <w:b w:val="0"/>
          <w:color w:val="auto"/>
          <w:highlight w:val="none"/>
        </w:rPr>
        <w:t>出决算情况说明</w:t>
      </w:r>
      <w:bookmarkEnd w:id="13"/>
      <w:bookmarkEnd w:id="14"/>
    </w:p>
    <w:p w14:paraId="703E4420">
      <w:pPr>
        <w:pStyle w:val="2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yellow"/>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color w:val="auto"/>
          <w:sz w:val="32"/>
          <w:szCs w:val="32"/>
          <w:highlight w:val="none"/>
          <w:lang w:val="en-US" w:eastAsia="zh-CN"/>
        </w:rPr>
        <w:t>909.41</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color w:val="auto"/>
          <w:sz w:val="32"/>
          <w:szCs w:val="32"/>
          <w:highlight w:val="none"/>
          <w:lang w:val="en-US" w:eastAsia="zh-CN"/>
        </w:rPr>
        <w:t>810.38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color w:val="auto"/>
          <w:sz w:val="32"/>
          <w:szCs w:val="32"/>
          <w:highlight w:val="none"/>
          <w:lang w:val="en-US" w:eastAsia="zh-CN"/>
        </w:rPr>
        <w:t>89.11</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color w:val="auto"/>
          <w:sz w:val="32"/>
          <w:szCs w:val="32"/>
          <w:highlight w:val="none"/>
          <w:lang w:val="en-US" w:eastAsia="zh-CN"/>
        </w:rPr>
        <w:t>99.03</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color w:val="auto"/>
          <w:sz w:val="32"/>
          <w:szCs w:val="32"/>
          <w:highlight w:val="none"/>
          <w:lang w:val="en-US" w:eastAsia="zh-CN"/>
        </w:rPr>
        <w:t>10.89</w:t>
      </w:r>
      <w:r>
        <w:rPr>
          <w:rFonts w:hint="eastAsia" w:ascii="仿宋_GB2312" w:hAnsi="仿宋_GB2312" w:eastAsia="仿宋_GB2312" w:cs="仿宋_GB2312"/>
          <w:color w:val="auto"/>
          <w:sz w:val="32"/>
          <w:szCs w:val="32"/>
          <w:highlight w:val="none"/>
          <w:lang w:eastAsia="zh-CN"/>
        </w:rPr>
        <w:t>%。</w:t>
      </w:r>
    </w:p>
    <w:p w14:paraId="7D602A74">
      <w:pPr>
        <w:pStyle w:val="2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35DD1539">
      <w:pPr>
        <w:pStyle w:val="2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513E86C0">
      <w:pPr>
        <w:pStyle w:val="2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081F7BDE">
      <w:pPr>
        <w:pStyle w:val="2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1F59E6C0">
      <w:pPr>
        <w:pStyle w:val="2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61AFEA95">
      <w:pPr>
        <w:pStyle w:val="2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drawing>
          <wp:anchor distT="0" distB="0" distL="114300" distR="114300" simplePos="0" relativeHeight="251661312" behindDoc="0" locked="0" layoutInCell="1" allowOverlap="1">
            <wp:simplePos x="0" y="0"/>
            <wp:positionH relativeFrom="column">
              <wp:posOffset>406400</wp:posOffset>
            </wp:positionH>
            <wp:positionV relativeFrom="paragraph">
              <wp:posOffset>-1828800</wp:posOffset>
            </wp:positionV>
            <wp:extent cx="4511040" cy="2308860"/>
            <wp:effectExtent l="0" t="0" r="3810" b="15240"/>
            <wp:wrapSquare wrapText="bothSides"/>
            <wp:docPr id="11" name="图片 11" descr="5a9181964c6cbecf842ab732e08a1f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5a9181964c6cbecf842ab732e08a1f26"/>
                    <pic:cNvPicPr>
                      <a:picLocks noChangeAspect="1"/>
                    </pic:cNvPicPr>
                  </pic:nvPicPr>
                  <pic:blipFill>
                    <a:blip r:embed="rId11"/>
                    <a:stretch>
                      <a:fillRect/>
                    </a:stretch>
                  </pic:blipFill>
                  <pic:spPr>
                    <a:xfrm>
                      <a:off x="0" y="0"/>
                      <a:ext cx="4511040" cy="2308860"/>
                    </a:xfrm>
                    <a:prstGeom prst="rect">
                      <a:avLst/>
                    </a:prstGeom>
                  </pic:spPr>
                </pic:pic>
              </a:graphicData>
            </a:graphic>
          </wp:anchor>
        </w:drawing>
      </w:r>
    </w:p>
    <w:p w14:paraId="705684A1">
      <w:pPr>
        <w:ind w:firstLine="800" w:firstLineChars="250"/>
        <w:rPr>
          <w:rFonts w:hint="eastAsia" w:ascii="Times New Roman" w:hAnsi="Times New Roman" w:eastAsia="仿宋_GB2312" w:cs="仿宋_GB2312"/>
          <w:color w:val="auto"/>
          <w:sz w:val="32"/>
          <w:szCs w:val="32"/>
          <w:highlight w:val="none"/>
          <w:lang w:eastAsia="zh-CN"/>
        </w:rPr>
      </w:pPr>
    </w:p>
    <w:p w14:paraId="1AE0CA81">
      <w:pPr>
        <w:spacing w:line="600" w:lineRule="exact"/>
        <w:ind w:firstLine="640" w:firstLineChars="200"/>
        <w:outlineLvl w:val="1"/>
        <w:rPr>
          <w:rStyle w:val="20"/>
          <w:rFonts w:ascii="Times New Roman" w:hAnsi="Times New Roman" w:eastAsia="黑体"/>
          <w:b w:val="0"/>
          <w:color w:val="auto"/>
          <w:highlight w:val="none"/>
        </w:rPr>
      </w:pPr>
      <w:bookmarkStart w:id="15" w:name="_Toc15377208"/>
      <w:bookmarkStart w:id="16" w:name="_Toc15396606"/>
      <w:r>
        <w:rPr>
          <w:rFonts w:hint="eastAsia" w:ascii="Times New Roman" w:hAnsi="Times New Roman" w:eastAsia="黑体"/>
          <w:color w:val="auto"/>
          <w:sz w:val="32"/>
          <w:szCs w:val="32"/>
          <w:highlight w:val="none"/>
        </w:rPr>
        <w:t>四、财</w:t>
      </w:r>
      <w:r>
        <w:rPr>
          <w:rStyle w:val="20"/>
          <w:rFonts w:hint="eastAsia" w:ascii="Times New Roman" w:hAnsi="Times New Roman" w:eastAsia="黑体"/>
          <w:b w:val="0"/>
          <w:color w:val="auto"/>
          <w:highlight w:val="none"/>
        </w:rPr>
        <w:t>政拨款收入支出决算总体情况说明</w:t>
      </w:r>
      <w:bookmarkEnd w:id="15"/>
      <w:bookmarkEnd w:id="16"/>
    </w:p>
    <w:p w14:paraId="06CF401C">
      <w:pPr>
        <w:pStyle w:val="2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color w:val="auto"/>
          <w:sz w:val="32"/>
          <w:szCs w:val="32"/>
          <w:highlight w:val="none"/>
          <w:lang w:val="en-US" w:eastAsia="zh-CN"/>
        </w:rPr>
        <w:t>909.41</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sz w:val="32"/>
          <w:szCs w:val="32"/>
          <w:highlight w:val="none"/>
        </w:rPr>
        <w:t>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w:t>
      </w:r>
      <w:r>
        <w:rPr>
          <w:rFonts w:hint="eastAsia" w:eastAsia="仿宋_GB2312" w:cs="仿宋_GB2312"/>
          <w:color w:val="auto"/>
          <w:sz w:val="32"/>
          <w:szCs w:val="32"/>
          <w:highlight w:val="none"/>
          <w:lang w:val="en-US" w:eastAsia="zh-CN"/>
        </w:rPr>
        <w:t>减少66.18</w:t>
      </w:r>
      <w:r>
        <w:rPr>
          <w:rFonts w:hint="eastAsia" w:ascii="Times New Roman" w:hAnsi="Times New Roman" w:eastAsia="仿宋_GB2312" w:cs="仿宋_GB2312"/>
          <w:color w:val="auto"/>
          <w:sz w:val="32"/>
          <w:szCs w:val="32"/>
          <w:highlight w:val="none"/>
        </w:rPr>
        <w:t>万元，</w:t>
      </w:r>
      <w:r>
        <w:rPr>
          <w:rFonts w:hint="eastAsia" w:eastAsia="仿宋_GB2312" w:cs="仿宋_GB2312"/>
          <w:color w:val="auto"/>
          <w:sz w:val="32"/>
          <w:szCs w:val="32"/>
          <w:highlight w:val="none"/>
          <w:lang w:val="en-US" w:eastAsia="zh-CN"/>
        </w:rPr>
        <w:t>减少6.78</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人员经费减少。</w:t>
      </w:r>
    </w:p>
    <w:p w14:paraId="02D9DDFE">
      <w:pP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inline distT="0" distB="0" distL="114300" distR="114300">
            <wp:extent cx="4940300" cy="2409825"/>
            <wp:effectExtent l="0" t="0" r="12700" b="9525"/>
            <wp:docPr id="14" name="图片 14" descr="ea9dfdb3023b2d4c5ea365c587b4ae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ea9dfdb3023b2d4c5ea365c587b4aecc"/>
                    <pic:cNvPicPr>
                      <a:picLocks noChangeAspect="1"/>
                    </pic:cNvPicPr>
                  </pic:nvPicPr>
                  <pic:blipFill>
                    <a:blip r:embed="rId12"/>
                    <a:stretch>
                      <a:fillRect/>
                    </a:stretch>
                  </pic:blipFill>
                  <pic:spPr>
                    <a:xfrm>
                      <a:off x="0" y="0"/>
                      <a:ext cx="4940300" cy="2409825"/>
                    </a:xfrm>
                    <a:prstGeom prst="rect">
                      <a:avLst/>
                    </a:prstGeom>
                  </pic:spPr>
                </pic:pic>
              </a:graphicData>
            </a:graphic>
          </wp:inline>
        </w:drawing>
      </w:r>
    </w:p>
    <w:p w14:paraId="5BDDA68A">
      <w:pPr>
        <w:spacing w:line="600" w:lineRule="exact"/>
        <w:ind w:firstLine="640" w:firstLineChars="200"/>
        <w:outlineLvl w:val="1"/>
        <w:rPr>
          <w:rStyle w:val="20"/>
          <w:rFonts w:ascii="Times New Roman" w:hAnsi="Times New Roman" w:eastAsia="黑体"/>
          <w:b w:val="0"/>
          <w:color w:val="auto"/>
          <w:highlight w:val="none"/>
        </w:rPr>
      </w:pPr>
      <w:bookmarkStart w:id="17" w:name="_Toc15377209"/>
      <w:bookmarkStart w:id="18"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0"/>
          <w:rFonts w:hint="eastAsia" w:ascii="Times New Roman" w:hAnsi="Times New Roman" w:eastAsia="黑体"/>
          <w:b w:val="0"/>
          <w:color w:val="auto"/>
          <w:highlight w:val="none"/>
        </w:rPr>
        <w:t>般公共预算财政拨款支出决算情况说明</w:t>
      </w:r>
      <w:bookmarkEnd w:id="17"/>
      <w:bookmarkEnd w:id="18"/>
    </w:p>
    <w:p w14:paraId="2309C72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19"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19"/>
    </w:p>
    <w:p w14:paraId="388F86B1">
      <w:pPr>
        <w:spacing w:line="600" w:lineRule="exact"/>
        <w:ind w:firstLine="640"/>
        <w:rPr>
          <w:rFonts w:hint="eastAsia"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color w:val="auto"/>
          <w:sz w:val="32"/>
          <w:szCs w:val="32"/>
          <w:highlight w:val="none"/>
          <w:lang w:val="en-US" w:eastAsia="zh-CN"/>
        </w:rPr>
        <w:t>877.11</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color w:val="auto"/>
          <w:sz w:val="32"/>
          <w:szCs w:val="32"/>
          <w:highlight w:val="none"/>
          <w:lang w:val="en-US" w:eastAsia="zh-CN"/>
        </w:rPr>
        <w:t>96</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%。与2023年度相比，一般公共预算财政拨款支出减少</w:t>
      </w:r>
      <w:r>
        <w:rPr>
          <w:rFonts w:hint="eastAsia" w:eastAsia="仿宋_GB2312" w:cs="仿宋_GB2312"/>
          <w:color w:val="auto"/>
          <w:sz w:val="32"/>
          <w:szCs w:val="32"/>
          <w:highlight w:val="none"/>
          <w:lang w:val="en-US" w:eastAsia="zh-CN"/>
        </w:rPr>
        <w:t>61.05</w:t>
      </w:r>
      <w:r>
        <w:rPr>
          <w:rFonts w:hint="eastAsia" w:ascii="仿宋_GB2312" w:hAnsi="仿宋_GB2312" w:eastAsia="仿宋_GB2312" w:cs="仿宋_GB2312"/>
          <w:color w:val="auto"/>
          <w:kern w:val="2"/>
          <w:sz w:val="32"/>
          <w:szCs w:val="32"/>
          <w:highlight w:val="none"/>
          <w:lang w:val="en-US" w:eastAsia="zh-CN" w:bidi="ar-SA"/>
        </w:rPr>
        <w:t>万元，减少6.50</w:t>
      </w:r>
      <w:r>
        <w:rPr>
          <w:rFonts w:hint="eastAsia" w:ascii="Times New Roman" w:hAnsi="Times New Roman" w:eastAsia="仿宋_GB2312" w:cs="仿宋_GB2312"/>
          <w:color w:val="auto"/>
          <w:sz w:val="32"/>
          <w:szCs w:val="32"/>
          <w:highlight w:val="none"/>
        </w:rPr>
        <w:t>%</w:t>
      </w:r>
      <w:r>
        <w:rPr>
          <w:rFonts w:hint="eastAsia" w:ascii="仿宋_GB2312" w:hAnsi="仿宋_GB2312" w:eastAsia="仿宋_GB2312" w:cs="仿宋_GB2312"/>
          <w:color w:val="auto"/>
          <w:kern w:val="2"/>
          <w:sz w:val="32"/>
          <w:szCs w:val="32"/>
          <w:highlight w:val="none"/>
          <w:lang w:val="en-US" w:eastAsia="zh-CN" w:bidi="ar-SA"/>
        </w:rPr>
        <w:t>。主要变动原因是</w:t>
      </w:r>
      <w:r>
        <w:rPr>
          <w:rFonts w:hint="eastAsia" w:eastAsia="仿宋_GB2312" w:cs="仿宋_GB2312"/>
          <w:color w:val="auto"/>
          <w:sz w:val="32"/>
          <w:szCs w:val="32"/>
          <w:highlight w:val="none"/>
          <w:lang w:val="en-US" w:eastAsia="zh-CN"/>
        </w:rPr>
        <w:t>人员经费减少。</w:t>
      </w:r>
    </w:p>
    <w:p w14:paraId="2D4FBC97">
      <w:pPr>
        <w:pStyle w:val="2"/>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inline distT="0" distB="0" distL="114300" distR="114300">
            <wp:extent cx="4733925" cy="2657475"/>
            <wp:effectExtent l="0" t="0" r="9525" b="9525"/>
            <wp:docPr id="13" name="图片 13" descr="ba9d80d4efb15cc751e6fe2fc22f2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ba9d80d4efb15cc751e6fe2fc22f2f10"/>
                    <pic:cNvPicPr>
                      <a:picLocks noChangeAspect="1"/>
                    </pic:cNvPicPr>
                  </pic:nvPicPr>
                  <pic:blipFill>
                    <a:blip r:embed="rId13"/>
                    <a:stretch>
                      <a:fillRect/>
                    </a:stretch>
                  </pic:blipFill>
                  <pic:spPr>
                    <a:xfrm>
                      <a:off x="0" y="0"/>
                      <a:ext cx="4733925" cy="2657475"/>
                    </a:xfrm>
                    <a:prstGeom prst="rect">
                      <a:avLst/>
                    </a:prstGeom>
                  </pic:spPr>
                </pic:pic>
              </a:graphicData>
            </a:graphic>
          </wp:inline>
        </w:drawing>
      </w:r>
    </w:p>
    <w:p w14:paraId="1447773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0"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0"/>
    </w:p>
    <w:p w14:paraId="381AC11E">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color w:val="auto"/>
          <w:sz w:val="32"/>
          <w:szCs w:val="32"/>
          <w:highlight w:val="none"/>
          <w:lang w:val="en-US" w:eastAsia="zh-CN"/>
        </w:rPr>
        <w:t>877.11</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ascii="仿宋_GB2312" w:hAnsi="仿宋" w:eastAsia="仿宋_GB2312" w:cs="Times New Roman"/>
          <w:color w:val="auto"/>
          <w:sz w:val="32"/>
          <w:szCs w:val="32"/>
          <w:highlight w:val="none"/>
          <w:lang w:val="en-US" w:eastAsia="zh-CN"/>
        </w:rPr>
        <w:t>545.71</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62.21</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89.13</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10.17</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15.99</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1.82</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47.57</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5.42</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农林水支出178.71，占20.38%。</w:t>
      </w:r>
    </w:p>
    <w:p w14:paraId="64FD1CE2">
      <w:pPr>
        <w:pStyle w:val="2"/>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drawing>
          <wp:inline distT="0" distB="0" distL="114300" distR="114300">
            <wp:extent cx="4438650" cy="2590800"/>
            <wp:effectExtent l="0" t="0" r="0" b="0"/>
            <wp:docPr id="12" name="图片 12" descr="2e2f81d8430eac653aacfbd50aca1f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2e2f81d8430eac653aacfbd50aca1fb6"/>
                    <pic:cNvPicPr>
                      <a:picLocks noChangeAspect="1"/>
                    </pic:cNvPicPr>
                  </pic:nvPicPr>
                  <pic:blipFill>
                    <a:blip r:embed="rId14"/>
                    <a:stretch>
                      <a:fillRect/>
                    </a:stretch>
                  </pic:blipFill>
                  <pic:spPr>
                    <a:xfrm>
                      <a:off x="0" y="0"/>
                      <a:ext cx="4438650" cy="2590800"/>
                    </a:xfrm>
                    <a:prstGeom prst="rect">
                      <a:avLst/>
                    </a:prstGeom>
                  </pic:spPr>
                </pic:pic>
              </a:graphicData>
            </a:graphic>
          </wp:inline>
        </w:drawing>
      </w:r>
    </w:p>
    <w:p w14:paraId="1A54D657">
      <w:pPr>
        <w:rPr>
          <w:rFonts w:hint="default"/>
          <w:color w:val="auto"/>
          <w:lang w:val="en-US" w:eastAsia="zh-CN"/>
        </w:rPr>
      </w:pPr>
    </w:p>
    <w:p w14:paraId="6E508FE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1"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1"/>
    </w:p>
    <w:p w14:paraId="0E0740A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2" w:name="_Toc15377444"/>
      <w:bookmarkStart w:id="23" w:name="_Toc15378460"/>
      <w:bookmarkStart w:id="24"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color w:val="auto"/>
          <w:sz w:val="32"/>
          <w:szCs w:val="32"/>
          <w:lang w:val="en-US" w:eastAsia="zh-CN"/>
        </w:rPr>
        <w:t>877.11万元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22"/>
      <w:bookmarkEnd w:id="23"/>
      <w:bookmarkEnd w:id="24"/>
    </w:p>
    <w:p w14:paraId="09355B65">
      <w:pPr>
        <w:numPr>
          <w:ilvl w:val="0"/>
          <w:numId w:val="0"/>
        </w:num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政府办公厅（室）及相关机构事务行政运行</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371.05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606E8E00">
      <w:pPr>
        <w:numPr>
          <w:ilvl w:val="0"/>
          <w:numId w:val="0"/>
        </w:num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政府办公厅（室）及相关机构事务事业运行</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174.66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180A91C0">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.社会保障和就业（类）</w:t>
      </w:r>
      <w:r>
        <w:rPr>
          <w:rFonts w:hint="eastAsia" w:ascii="仿宋" w:hAnsi="仿宋" w:eastAsia="仿宋" w:cs="仿宋"/>
          <w:color w:val="auto"/>
          <w:sz w:val="32"/>
          <w:szCs w:val="32"/>
        </w:rPr>
        <w:t>行政事业单位养老支出</w:t>
      </w:r>
      <w:r>
        <w:rPr>
          <w:rFonts w:hint="eastAsia" w:ascii="Times New Roman" w:hAnsi="Times New Roman" w:eastAsia="仿宋_GB2312" w:cs="仿宋_GB2312"/>
          <w:color w:val="auto"/>
          <w:kern w:val="2"/>
          <w:sz w:val="32"/>
          <w:szCs w:val="32"/>
          <w:highlight w:val="none"/>
          <w:lang w:val="en-US" w:eastAsia="zh-CN" w:bidi="ar-SA"/>
        </w:rPr>
        <w:t>（款）</w:t>
      </w:r>
      <w:r>
        <w:rPr>
          <w:rFonts w:hint="eastAsia" w:ascii="仿宋" w:hAnsi="仿宋" w:eastAsia="仿宋" w:cs="仿宋"/>
          <w:color w:val="auto"/>
          <w:sz w:val="32"/>
          <w:szCs w:val="32"/>
        </w:rPr>
        <w:t>机关事业单位基本养老保险缴费支出</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54.99</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4D3457C4">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.社会保障和就业（类）</w:t>
      </w:r>
      <w:r>
        <w:rPr>
          <w:rFonts w:hint="eastAsia" w:ascii="仿宋" w:hAnsi="仿宋" w:eastAsia="仿宋" w:cs="仿宋"/>
          <w:color w:val="auto"/>
          <w:sz w:val="32"/>
          <w:szCs w:val="32"/>
        </w:rPr>
        <w:t>行政事业单位养老支出</w:t>
      </w:r>
      <w:r>
        <w:rPr>
          <w:rFonts w:hint="eastAsia" w:ascii="Times New Roman" w:hAnsi="Times New Roman" w:eastAsia="仿宋_GB2312" w:cs="仿宋_GB2312"/>
          <w:color w:val="auto"/>
          <w:kern w:val="2"/>
          <w:sz w:val="32"/>
          <w:szCs w:val="32"/>
          <w:highlight w:val="none"/>
          <w:lang w:val="en-US" w:eastAsia="zh-CN" w:bidi="ar-SA"/>
        </w:rPr>
        <w:t>（款）</w:t>
      </w:r>
      <w:r>
        <w:rPr>
          <w:rFonts w:hint="eastAsia" w:ascii="仿宋" w:hAnsi="仿宋" w:eastAsia="仿宋" w:cs="仿宋"/>
          <w:color w:val="auto"/>
          <w:sz w:val="32"/>
          <w:szCs w:val="32"/>
        </w:rPr>
        <w:t>机关事业单位职业年金缴费支出</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27.27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68FB4D2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 w:cs="Times New Roman"/>
          <w:color w:val="auto"/>
          <w:kern w:val="2"/>
          <w:sz w:val="32"/>
          <w:szCs w:val="32"/>
          <w:highlight w:val="none"/>
          <w:lang w:val="en-US" w:eastAsia="zh-CN" w:bidi="ar-SA"/>
        </w:rPr>
        <w:t>5</w:t>
      </w:r>
      <w:r>
        <w:rPr>
          <w:rFonts w:hint="default" w:ascii="Times New Roman" w:hAnsi="Times New Roman" w:eastAsia="仿宋" w:cs="Times New Roman"/>
          <w:color w:val="auto"/>
          <w:kern w:val="2"/>
          <w:sz w:val="32"/>
          <w:szCs w:val="32"/>
          <w:highlight w:val="none"/>
          <w:lang w:val="en-US" w:eastAsia="zh-CN" w:bidi="ar-SA"/>
        </w:rPr>
        <w:t>.</w:t>
      </w:r>
      <w:r>
        <w:rPr>
          <w:rFonts w:hint="eastAsia" w:ascii="仿宋" w:hAnsi="仿宋" w:eastAsia="仿宋" w:cs="仿宋"/>
          <w:color w:val="auto"/>
          <w:kern w:val="2"/>
          <w:sz w:val="32"/>
          <w:szCs w:val="32"/>
          <w:highlight w:val="none"/>
          <w:lang w:val="en-US" w:eastAsia="zh-CN" w:bidi="ar-SA"/>
        </w:rPr>
        <w:t>社会保障和就业（类）</w:t>
      </w:r>
      <w:r>
        <w:rPr>
          <w:rFonts w:hint="eastAsia" w:ascii="仿宋" w:hAnsi="仿宋" w:eastAsia="仿宋" w:cs="仿宋"/>
          <w:color w:val="auto"/>
          <w:sz w:val="32"/>
          <w:szCs w:val="32"/>
        </w:rPr>
        <w:t>其他社会保障和就业支出</w:t>
      </w:r>
      <w:r>
        <w:rPr>
          <w:rFonts w:hint="eastAsia" w:ascii="仿宋" w:hAnsi="仿宋" w:eastAsia="仿宋" w:cs="仿宋"/>
          <w:color w:val="auto"/>
          <w:kern w:val="2"/>
          <w:sz w:val="32"/>
          <w:szCs w:val="32"/>
          <w:highlight w:val="none"/>
          <w:lang w:val="en-US" w:eastAsia="zh-CN" w:bidi="ar-SA"/>
        </w:rPr>
        <w:t>（款）</w:t>
      </w:r>
      <w:r>
        <w:rPr>
          <w:rFonts w:hint="eastAsia" w:ascii="仿宋" w:hAnsi="仿宋" w:eastAsia="仿宋" w:cs="仿宋"/>
          <w:color w:val="auto"/>
          <w:sz w:val="32"/>
          <w:szCs w:val="32"/>
        </w:rPr>
        <w:t>其他社会保障和就业支出</w:t>
      </w:r>
      <w:r>
        <w:rPr>
          <w:rFonts w:hint="eastAsia" w:ascii="仿宋" w:hAnsi="仿宋" w:eastAsia="仿宋" w:cs="仿宋"/>
          <w:color w:val="auto"/>
          <w:kern w:val="2"/>
          <w:sz w:val="32"/>
          <w:szCs w:val="32"/>
          <w:highlight w:val="none"/>
          <w:lang w:val="en-US" w:eastAsia="zh-CN" w:bidi="ar-SA"/>
        </w:rPr>
        <w:t>（项）：支出决算为</w:t>
      </w:r>
      <w:r>
        <w:rPr>
          <w:rFonts w:hint="eastAsia" w:eastAsia="仿宋_GB2312" w:cs="仿宋_GB2312"/>
          <w:color w:val="auto"/>
          <w:kern w:val="2"/>
          <w:sz w:val="32"/>
          <w:szCs w:val="32"/>
          <w:highlight w:val="none"/>
          <w:lang w:val="en-US" w:eastAsia="zh-CN" w:bidi="ar-SA"/>
        </w:rPr>
        <w:t>6.87</w:t>
      </w:r>
      <w:r>
        <w:rPr>
          <w:rFonts w:hint="eastAsia" w:ascii="仿宋" w:hAnsi="仿宋" w:eastAsia="仿宋" w:cs="仿宋"/>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 w:hAnsi="仿宋" w:eastAsia="仿宋" w:cs="仿宋"/>
          <w:color w:val="auto"/>
          <w:kern w:val="2"/>
          <w:sz w:val="32"/>
          <w:szCs w:val="32"/>
          <w:highlight w:val="none"/>
          <w:lang w:val="en-US" w:eastAsia="zh-CN" w:bidi="ar-SA"/>
        </w:rPr>
        <w:t>，决算数等于预算数。</w:t>
      </w:r>
    </w:p>
    <w:p w14:paraId="0D749B7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.卫生健康（类）</w:t>
      </w:r>
      <w:r>
        <w:rPr>
          <w:rFonts w:hint="eastAsia" w:ascii="仿宋" w:hAnsi="仿宋" w:eastAsia="仿宋" w:cs="仿宋"/>
          <w:color w:val="auto"/>
          <w:sz w:val="32"/>
          <w:szCs w:val="32"/>
        </w:rPr>
        <w:t>行政事业单位医疗</w:t>
      </w:r>
      <w:r>
        <w:rPr>
          <w:rFonts w:hint="eastAsia" w:ascii="仿宋" w:hAnsi="仿宋" w:eastAsia="仿宋" w:cs="仿宋"/>
          <w:color w:val="auto"/>
          <w:kern w:val="2"/>
          <w:sz w:val="32"/>
          <w:szCs w:val="32"/>
          <w:highlight w:val="none"/>
          <w:lang w:val="en-US" w:eastAsia="zh-CN" w:bidi="ar-SA"/>
        </w:rPr>
        <w:t>（款）</w:t>
      </w:r>
      <w:r>
        <w:rPr>
          <w:rFonts w:hint="eastAsia" w:ascii="仿宋" w:hAnsi="仿宋" w:eastAsia="仿宋" w:cs="仿宋"/>
          <w:color w:val="auto"/>
          <w:sz w:val="32"/>
          <w:szCs w:val="32"/>
        </w:rPr>
        <w:t>行政单位医</w:t>
      </w:r>
      <w:r>
        <w:rPr>
          <w:rFonts w:hint="eastAsia" w:ascii="仿宋" w:hAnsi="仿宋" w:eastAsia="仿宋" w:cs="仿宋"/>
          <w:sz w:val="32"/>
          <w:szCs w:val="32"/>
        </w:rPr>
        <w:t>疗</w:t>
      </w:r>
      <w:r>
        <w:rPr>
          <w:rFonts w:hint="eastAsia" w:ascii="仿宋" w:hAnsi="仿宋" w:eastAsia="仿宋" w:cs="仿宋"/>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15.99</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05770789">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.农林水支出（类）</w:t>
      </w:r>
      <w:r>
        <w:rPr>
          <w:rFonts w:hint="eastAsia" w:ascii="仿宋" w:hAnsi="仿宋" w:eastAsia="仿宋" w:cs="仿宋"/>
          <w:sz w:val="32"/>
          <w:szCs w:val="32"/>
        </w:rPr>
        <w:t>巩固脱贫攻坚成果衔接乡村振兴</w:t>
      </w:r>
      <w:r>
        <w:rPr>
          <w:rFonts w:hint="eastAsia" w:ascii="仿宋" w:hAnsi="仿宋" w:eastAsia="仿宋" w:cs="仿宋"/>
          <w:color w:val="auto"/>
          <w:kern w:val="2"/>
          <w:sz w:val="32"/>
          <w:szCs w:val="32"/>
          <w:highlight w:val="none"/>
          <w:lang w:val="en-US" w:eastAsia="zh-CN" w:bidi="ar-SA"/>
        </w:rPr>
        <w:t>（款）</w:t>
      </w:r>
      <w:r>
        <w:rPr>
          <w:rFonts w:hint="eastAsia" w:ascii="仿宋" w:hAnsi="仿宋" w:eastAsia="仿宋" w:cs="仿宋"/>
          <w:sz w:val="32"/>
          <w:szCs w:val="32"/>
        </w:rPr>
        <w:t>一般行政管理事务</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万元，完成预算100%，决算数等于预算数。</w:t>
      </w:r>
    </w:p>
    <w:p w14:paraId="2DA877EB">
      <w:pPr>
        <w:keepNext w:val="0"/>
        <w:keepLines w:val="0"/>
        <w:widowControl/>
        <w:suppressLineNumbers w:val="0"/>
        <w:ind w:firstLine="640" w:firstLineChars="200"/>
        <w:jc w:val="left"/>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农林水支出（类）</w:t>
      </w:r>
      <w:r>
        <w:rPr>
          <w:rFonts w:hint="eastAsia" w:ascii="仿宋" w:hAnsi="仿宋" w:eastAsia="仿宋" w:cs="仿宋"/>
          <w:sz w:val="32"/>
          <w:szCs w:val="32"/>
          <w:lang w:val="en-US" w:eastAsia="zh-CN"/>
        </w:rPr>
        <w:t>农业农村</w:t>
      </w:r>
      <w:r>
        <w:rPr>
          <w:rFonts w:hint="eastAsia" w:ascii="仿宋" w:hAnsi="仿宋" w:eastAsia="仿宋" w:cs="仿宋"/>
          <w:color w:val="auto"/>
          <w:kern w:val="2"/>
          <w:sz w:val="32"/>
          <w:szCs w:val="32"/>
          <w:highlight w:val="none"/>
          <w:lang w:val="en-US" w:eastAsia="zh-CN" w:bidi="ar-SA"/>
        </w:rPr>
        <w:t>（款）</w:t>
      </w:r>
      <w:r>
        <w:rPr>
          <w:rFonts w:hint="eastAsia" w:ascii="仿宋" w:hAnsi="仿宋" w:eastAsia="仿宋" w:cs="仿宋"/>
          <w:sz w:val="32"/>
          <w:szCs w:val="32"/>
          <w:lang w:val="en-US" w:eastAsia="zh-CN"/>
        </w:rPr>
        <w:t>其他农业农村支出</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万元，完成预算100%，决算数等于预算数。</w:t>
      </w:r>
    </w:p>
    <w:p w14:paraId="4E477EB9">
      <w:pPr>
        <w:keepNext w:val="0"/>
        <w:keepLines w:val="0"/>
        <w:widowControl/>
        <w:suppressLineNumbers w:val="0"/>
        <w:ind w:firstLine="640" w:firstLineChars="200"/>
        <w:jc w:val="left"/>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.农林水支出（类）</w:t>
      </w:r>
      <w:r>
        <w:rPr>
          <w:rFonts w:hint="eastAsia" w:ascii="仿宋" w:hAnsi="仿宋" w:eastAsia="仿宋" w:cs="仿宋"/>
          <w:sz w:val="32"/>
          <w:szCs w:val="32"/>
        </w:rPr>
        <w:t>巩固脱贫攻坚成果衔接乡村振兴</w:t>
      </w:r>
      <w:r>
        <w:rPr>
          <w:rFonts w:hint="eastAsia" w:ascii="Times New Roman" w:hAnsi="Times New Roman" w:eastAsia="仿宋_GB2312" w:cs="仿宋_GB2312"/>
          <w:color w:val="auto"/>
          <w:kern w:val="2"/>
          <w:sz w:val="32"/>
          <w:szCs w:val="32"/>
          <w:highlight w:val="none"/>
          <w:lang w:val="en-US" w:eastAsia="zh-CN" w:bidi="ar-SA"/>
        </w:rPr>
        <w:t>（款）</w:t>
      </w:r>
      <w:r>
        <w:rPr>
          <w:rFonts w:hint="eastAsia" w:ascii="仿宋" w:hAnsi="仿宋" w:eastAsia="仿宋" w:cs="仿宋"/>
          <w:kern w:val="0"/>
          <w:sz w:val="32"/>
          <w:szCs w:val="32"/>
          <w:lang w:val="en-US" w:eastAsia="zh-CN" w:bidi="ar"/>
        </w:rPr>
        <w:t>其他巩固脱贫攻坚成果衔接乡村振兴支出</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29.75</w:t>
      </w:r>
      <w:r>
        <w:rPr>
          <w:rFonts w:hint="eastAsia" w:ascii="Times New Roman" w:hAnsi="Times New Roman" w:eastAsia="仿宋_GB2312" w:cs="仿宋_GB2312"/>
          <w:color w:val="auto"/>
          <w:kern w:val="2"/>
          <w:sz w:val="32"/>
          <w:szCs w:val="32"/>
          <w:highlight w:val="none"/>
          <w:lang w:val="en-US" w:eastAsia="zh-CN" w:bidi="ar-SA"/>
        </w:rPr>
        <w:t>万元，完成预算100%，决算数等于预算数。</w:t>
      </w:r>
    </w:p>
    <w:p w14:paraId="525D5384">
      <w:pPr>
        <w:keepNext w:val="0"/>
        <w:keepLines w:val="0"/>
        <w:widowControl/>
        <w:suppressLineNumbers w:val="0"/>
        <w:ind w:firstLine="640" w:firstLineChars="200"/>
        <w:jc w:val="left"/>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.农林水支出（类）</w:t>
      </w:r>
      <w:r>
        <w:rPr>
          <w:rFonts w:hint="eastAsia" w:ascii="仿宋" w:hAnsi="仿宋" w:eastAsia="仿宋" w:cs="仿宋"/>
          <w:sz w:val="32"/>
          <w:szCs w:val="32"/>
        </w:rPr>
        <w:t>农村综合改革</w:t>
      </w:r>
      <w:r>
        <w:rPr>
          <w:rFonts w:hint="eastAsia" w:ascii="仿宋" w:hAnsi="仿宋" w:eastAsia="仿宋" w:cs="仿宋"/>
          <w:color w:val="auto"/>
          <w:kern w:val="2"/>
          <w:sz w:val="32"/>
          <w:szCs w:val="32"/>
          <w:highlight w:val="none"/>
          <w:lang w:val="en-US" w:eastAsia="zh-CN" w:bidi="ar-SA"/>
        </w:rPr>
        <w:t>（款）</w:t>
      </w:r>
      <w:r>
        <w:rPr>
          <w:rFonts w:hint="eastAsia" w:ascii="仿宋" w:hAnsi="仿宋" w:eastAsia="仿宋" w:cs="仿宋"/>
          <w:kern w:val="0"/>
          <w:sz w:val="32"/>
          <w:szCs w:val="32"/>
          <w:lang w:val="en-US" w:eastAsia="zh-CN" w:bidi="ar"/>
        </w:rPr>
        <w:t>对村民委员会和村党支部的补助</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96.96</w:t>
      </w:r>
      <w:r>
        <w:rPr>
          <w:rFonts w:hint="eastAsia" w:ascii="Times New Roman" w:hAnsi="Times New Roman" w:eastAsia="仿宋_GB2312" w:cs="仿宋_GB2312"/>
          <w:color w:val="auto"/>
          <w:kern w:val="2"/>
          <w:sz w:val="32"/>
          <w:szCs w:val="32"/>
          <w:highlight w:val="none"/>
          <w:lang w:val="en-US" w:eastAsia="zh-CN" w:bidi="ar-SA"/>
        </w:rPr>
        <w:t>万元，完成预算100%，决算数等于预算数。</w:t>
      </w:r>
    </w:p>
    <w:p w14:paraId="4D5B88F3">
      <w:pPr>
        <w:keepNext w:val="0"/>
        <w:keepLines w:val="0"/>
        <w:widowControl/>
        <w:suppressLineNumbers w:val="0"/>
        <w:ind w:firstLine="640" w:firstLineChars="200"/>
        <w:jc w:val="left"/>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农林水支出（类）</w:t>
      </w:r>
      <w:r>
        <w:rPr>
          <w:rFonts w:hint="eastAsia" w:ascii="仿宋" w:hAnsi="仿宋" w:eastAsia="仿宋" w:cs="仿宋"/>
          <w:sz w:val="32"/>
          <w:szCs w:val="32"/>
        </w:rPr>
        <w:t>农村综合改革</w:t>
      </w:r>
      <w:r>
        <w:rPr>
          <w:rFonts w:hint="eastAsia" w:ascii="仿宋" w:hAnsi="仿宋" w:eastAsia="仿宋" w:cs="仿宋"/>
          <w:color w:val="auto"/>
          <w:kern w:val="2"/>
          <w:sz w:val="32"/>
          <w:szCs w:val="32"/>
          <w:highlight w:val="none"/>
          <w:lang w:val="en-US" w:eastAsia="zh-CN" w:bidi="ar-SA"/>
        </w:rPr>
        <w:t>（款）</w:t>
      </w:r>
      <w:r>
        <w:rPr>
          <w:rFonts w:hint="eastAsia" w:ascii="仿宋" w:hAnsi="仿宋" w:eastAsia="仿宋" w:cs="仿宋"/>
          <w:kern w:val="0"/>
          <w:sz w:val="32"/>
          <w:szCs w:val="32"/>
          <w:lang w:val="en-US" w:eastAsia="zh-CN" w:bidi="ar"/>
        </w:rPr>
        <w:t>农村综合改革示范试点补助</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38</w:t>
      </w:r>
      <w:r>
        <w:rPr>
          <w:rFonts w:hint="eastAsia" w:ascii="Times New Roman" w:hAnsi="Times New Roman" w:eastAsia="仿宋_GB2312" w:cs="仿宋_GB2312"/>
          <w:color w:val="auto"/>
          <w:kern w:val="2"/>
          <w:sz w:val="32"/>
          <w:szCs w:val="32"/>
          <w:highlight w:val="none"/>
          <w:lang w:val="en-US" w:eastAsia="zh-CN" w:bidi="ar-SA"/>
        </w:rPr>
        <w:t>万元，完成预算100%，决算数等于预算数。</w:t>
      </w:r>
    </w:p>
    <w:p w14:paraId="2A587D0D">
      <w:pPr>
        <w:keepNext w:val="0"/>
        <w:keepLines w:val="0"/>
        <w:widowControl/>
        <w:suppressLineNumbers w:val="0"/>
        <w:ind w:firstLine="640" w:firstLineChars="200"/>
        <w:jc w:val="left"/>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 w:hAnsi="仿宋" w:eastAsia="仿宋" w:cs="仿宋"/>
          <w:kern w:val="0"/>
          <w:sz w:val="32"/>
          <w:szCs w:val="32"/>
          <w:lang w:val="en-US" w:eastAsia="zh-CN" w:bidi="ar"/>
        </w:rPr>
        <w:t>住房保障支出</w:t>
      </w:r>
      <w:r>
        <w:rPr>
          <w:rFonts w:hint="eastAsia" w:ascii="Times New Roman" w:hAnsi="Times New Roman" w:eastAsia="仿宋_GB2312" w:cs="仿宋_GB2312"/>
          <w:color w:val="auto"/>
          <w:kern w:val="2"/>
          <w:sz w:val="32"/>
          <w:szCs w:val="32"/>
          <w:highlight w:val="none"/>
          <w:lang w:val="en-US" w:eastAsia="zh-CN" w:bidi="ar-SA"/>
        </w:rPr>
        <w:t>（类）</w:t>
      </w:r>
      <w:r>
        <w:rPr>
          <w:rFonts w:hint="eastAsia" w:ascii="仿宋" w:hAnsi="仿宋" w:eastAsia="仿宋" w:cs="仿宋"/>
          <w:kern w:val="0"/>
          <w:sz w:val="32"/>
          <w:szCs w:val="32"/>
          <w:lang w:val="en-US" w:eastAsia="zh-CN" w:bidi="ar"/>
        </w:rPr>
        <w:t>住房保障支出</w:t>
      </w:r>
      <w:r>
        <w:rPr>
          <w:rFonts w:hint="eastAsia" w:ascii="仿宋" w:hAnsi="仿宋" w:eastAsia="仿宋" w:cs="仿宋"/>
          <w:color w:val="auto"/>
          <w:kern w:val="2"/>
          <w:sz w:val="32"/>
          <w:szCs w:val="32"/>
          <w:highlight w:val="none"/>
          <w:lang w:val="en-US" w:eastAsia="zh-CN" w:bidi="ar-SA"/>
        </w:rPr>
        <w:t>（款）</w:t>
      </w:r>
      <w:r>
        <w:rPr>
          <w:rFonts w:hint="eastAsia" w:ascii="仿宋" w:hAnsi="仿宋" w:eastAsia="仿宋" w:cs="仿宋"/>
          <w:kern w:val="0"/>
          <w:sz w:val="32"/>
          <w:szCs w:val="32"/>
          <w:lang w:val="en-US" w:eastAsia="zh-CN" w:bidi="ar"/>
        </w:rPr>
        <w:t>住房公积金</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支出决算为42.29万元，完成预算100%，决算数等于预算数。</w:t>
      </w:r>
    </w:p>
    <w:p w14:paraId="19587538">
      <w:pPr>
        <w:tabs>
          <w:tab w:val="right" w:pos="8306"/>
        </w:tabs>
        <w:spacing w:line="600" w:lineRule="exact"/>
        <w:ind w:firstLine="640"/>
        <w:outlineLvl w:val="1"/>
        <w:rPr>
          <w:rStyle w:val="20"/>
          <w:rFonts w:ascii="Times New Roman" w:hAnsi="Times New Roman"/>
          <w:color w:val="auto"/>
          <w:highlight w:val="none"/>
        </w:rPr>
      </w:pPr>
      <w:bookmarkStart w:id="25" w:name="_Toc15396608"/>
      <w:bookmarkStart w:id="26"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0"/>
          <w:rFonts w:hint="eastAsia" w:ascii="Times New Roman" w:hAnsi="Times New Roman" w:eastAsia="黑体"/>
          <w:b w:val="0"/>
          <w:color w:val="auto"/>
          <w:highlight w:val="none"/>
        </w:rPr>
        <w:t>般公共预算财政拨款基本支出决算情况说明</w:t>
      </w:r>
      <w:bookmarkEnd w:id="25"/>
      <w:bookmarkEnd w:id="26"/>
      <w:r>
        <w:rPr>
          <w:rStyle w:val="20"/>
          <w:rFonts w:ascii="Times New Roman" w:hAnsi="Times New Roman" w:eastAsia="黑体"/>
          <w:b w:val="0"/>
          <w:color w:val="auto"/>
          <w:highlight w:val="none"/>
        </w:rPr>
        <w:tab/>
      </w:r>
    </w:p>
    <w:p w14:paraId="74652CD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eastAsia="仿宋_GB2312" w:cs="仿宋_GB2312"/>
          <w:color w:val="auto"/>
          <w:kern w:val="2"/>
          <w:sz w:val="32"/>
          <w:szCs w:val="32"/>
          <w:highlight w:val="none"/>
          <w:lang w:val="en-US" w:eastAsia="zh-CN" w:bidi="ar-SA"/>
        </w:rPr>
        <w:t>810.38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046EE58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lang w:val="en-US" w:eastAsia="zh-CN"/>
        </w:rPr>
        <w:t>705.24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lang w:val="en-US" w:eastAsia="zh-CN"/>
        </w:rPr>
        <w:t>105.14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6742B0CF">
      <w:pPr>
        <w:spacing w:line="600" w:lineRule="exact"/>
        <w:ind w:firstLine="640"/>
        <w:outlineLvl w:val="1"/>
        <w:rPr>
          <w:rStyle w:val="20"/>
          <w:rFonts w:ascii="Times New Roman" w:hAnsi="Times New Roman" w:eastAsia="黑体"/>
          <w:b w:val="0"/>
          <w:color w:val="auto"/>
          <w:highlight w:val="none"/>
        </w:rPr>
      </w:pPr>
      <w:bookmarkStart w:id="27" w:name="_Toc15396609"/>
      <w:bookmarkStart w:id="28" w:name="_Toc15377215"/>
      <w:r>
        <w:rPr>
          <w:rFonts w:hint="eastAsia" w:ascii="Times New Roman" w:hAnsi="Times New Roman" w:eastAsia="黑体"/>
          <w:color w:val="auto"/>
          <w:sz w:val="32"/>
          <w:szCs w:val="32"/>
          <w:highlight w:val="none"/>
        </w:rPr>
        <w:t>七、</w:t>
      </w:r>
      <w:r>
        <w:rPr>
          <w:rStyle w:val="20"/>
          <w:rFonts w:hint="eastAsia" w:ascii="Times New Roman" w:hAnsi="Times New Roman" w:eastAsia="黑体"/>
          <w:b w:val="0"/>
          <w:color w:val="auto"/>
          <w:highlight w:val="none"/>
        </w:rPr>
        <w:t>财政拨款</w:t>
      </w:r>
      <w:r>
        <w:rPr>
          <w:rStyle w:val="20"/>
          <w:rFonts w:hint="eastAsia" w:ascii="Times New Roman" w:hAnsi="Times New Roman" w:eastAsia="黑体"/>
          <w:color w:val="auto"/>
          <w:highlight w:val="none"/>
        </w:rPr>
        <w:t>“</w:t>
      </w:r>
      <w:r>
        <w:rPr>
          <w:rStyle w:val="20"/>
          <w:rFonts w:hint="eastAsia" w:ascii="Times New Roman" w:hAnsi="Times New Roman" w:eastAsia="黑体"/>
          <w:b w:val="0"/>
          <w:color w:val="auto"/>
          <w:highlight w:val="none"/>
        </w:rPr>
        <w:t>三公”经费支出决算情况说明</w:t>
      </w:r>
      <w:bookmarkEnd w:id="27"/>
      <w:bookmarkEnd w:id="28"/>
    </w:p>
    <w:p w14:paraId="20FE345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9"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29"/>
    </w:p>
    <w:p w14:paraId="48920D0C">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lang w:val="en-US" w:eastAsia="zh-CN"/>
        </w:rPr>
        <w:t>7.98</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w:t>
      </w:r>
      <w:r>
        <w:rPr>
          <w:rFonts w:hint="eastAsia" w:eastAsia="仿宋_GB2312" w:cs="仿宋_GB2312"/>
          <w:color w:val="auto"/>
          <w:kern w:val="2"/>
          <w:sz w:val="32"/>
          <w:szCs w:val="32"/>
          <w:highlight w:val="none"/>
          <w:lang w:val="en-US" w:eastAsia="zh-CN" w:bidi="ar-SA"/>
        </w:rPr>
        <w:t>减少29.88</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78.92</w:t>
      </w:r>
      <w:r>
        <w:rPr>
          <w:rFonts w:hint="eastAsia" w:ascii="Times New Roman" w:hAnsi="Times New Roman" w:eastAsia="仿宋_GB2312" w:cs="仿宋_GB2312"/>
          <w:color w:val="auto"/>
          <w:kern w:val="2"/>
          <w:sz w:val="32"/>
          <w:szCs w:val="32"/>
          <w:highlight w:val="none"/>
          <w:lang w:val="en-US" w:eastAsia="zh-CN" w:bidi="ar-SA"/>
        </w:rPr>
        <w:t>%。</w:t>
      </w:r>
    </w:p>
    <w:p w14:paraId="4A43ADD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0"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0"/>
    </w:p>
    <w:p w14:paraId="744796ED">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color w:val="auto"/>
          <w:sz w:val="32"/>
          <w:szCs w:val="32"/>
          <w:lang w:val="en-US" w:eastAsia="zh-CN"/>
        </w:rPr>
        <w:t>3.65</w:t>
      </w:r>
      <w:r>
        <w:rPr>
          <w:rFonts w:hint="eastAsia" w:ascii="仿宋_GB2312" w:hAnsi="仿宋_GB2312" w:eastAsia="仿宋_GB2312" w:cs="仿宋_GB2312"/>
          <w:color w:val="auto"/>
          <w:kern w:val="2"/>
          <w:sz w:val="32"/>
          <w:szCs w:val="32"/>
          <w:highlight w:val="none"/>
          <w:lang w:val="en-US" w:eastAsia="zh-CN" w:bidi="ar-SA"/>
        </w:rPr>
        <w:t>万元，占45.74%；公务接待费支出决算</w:t>
      </w:r>
      <w:r>
        <w:rPr>
          <w:rFonts w:hint="eastAsia" w:ascii="仿宋_GB2312" w:hAnsi="仿宋_GB2312" w:eastAsia="仿宋_GB2312" w:cs="仿宋_GB2312"/>
          <w:color w:val="auto"/>
          <w:sz w:val="32"/>
          <w:szCs w:val="32"/>
          <w:lang w:val="en-US" w:eastAsia="zh-CN"/>
        </w:rPr>
        <w:t>4.33</w:t>
      </w:r>
      <w:r>
        <w:rPr>
          <w:rFonts w:hint="eastAsia" w:ascii="仿宋_GB2312" w:hAnsi="仿宋_GB2312" w:eastAsia="仿宋_GB2312" w:cs="仿宋_GB2312"/>
          <w:color w:val="auto"/>
          <w:kern w:val="2"/>
          <w:sz w:val="32"/>
          <w:szCs w:val="32"/>
          <w:highlight w:val="none"/>
          <w:lang w:val="en-US" w:eastAsia="zh-CN" w:bidi="ar-SA"/>
        </w:rPr>
        <w:t>万元，占54.26%。具体情况如下：</w:t>
      </w:r>
    </w:p>
    <w:p w14:paraId="3E4D704F">
      <w:pPr>
        <w:rPr>
          <w:rFonts w:hint="eastAsia"/>
          <w:lang w:val="en-US" w:eastAsia="zh-CN"/>
        </w:rPr>
      </w:pPr>
      <w:r>
        <w:rPr>
          <w:rFonts w:hint="eastAsia"/>
          <w:lang w:val="en-US" w:eastAsia="zh-CN"/>
        </w:rPr>
        <w:drawing>
          <wp:inline distT="0" distB="0" distL="114300" distR="114300">
            <wp:extent cx="4371975" cy="2581275"/>
            <wp:effectExtent l="0" t="0" r="9525" b="9525"/>
            <wp:docPr id="15" name="图片 15" descr="ff5370837c0fee1aeb7c5b9648705f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ff5370837c0fee1aeb7c5b9648705ff0"/>
                    <pic:cNvPicPr>
                      <a:picLocks noChangeAspect="1"/>
                    </pic:cNvPicPr>
                  </pic:nvPicPr>
                  <pic:blipFill>
                    <a:blip r:embed="rId15"/>
                    <a:stretch>
                      <a:fillRect/>
                    </a:stretch>
                  </pic:blipFill>
                  <pic:spPr>
                    <a:xfrm>
                      <a:off x="0" y="0"/>
                      <a:ext cx="4371975" cy="2581275"/>
                    </a:xfrm>
                    <a:prstGeom prst="rect">
                      <a:avLst/>
                    </a:prstGeom>
                  </pic:spPr>
                </pic:pic>
              </a:graphicData>
            </a:graphic>
          </wp:inline>
        </w:drawing>
      </w:r>
    </w:p>
    <w:p w14:paraId="13B8701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14FA0014">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3.65万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公务用车购置及运行维护费支出决算比2023年度减少</w:t>
      </w:r>
      <w:r>
        <w:rPr>
          <w:rFonts w:hint="eastAsia" w:eastAsia="仿宋_GB2312" w:cs="仿宋_GB2312"/>
          <w:color w:val="auto"/>
          <w:kern w:val="2"/>
          <w:sz w:val="32"/>
          <w:szCs w:val="32"/>
          <w:highlight w:val="none"/>
          <w:lang w:val="en-US" w:eastAsia="zh-CN" w:bidi="ar-SA"/>
        </w:rPr>
        <w:t>26.33</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87.82</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上一年度购买新公车。</w:t>
      </w:r>
    </w:p>
    <w:p w14:paraId="30FBFD9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0D1E369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lang w:val="en-US" w:eastAsia="zh-CN"/>
        </w:rPr>
        <w:t>3.65</w:t>
      </w:r>
      <w:r>
        <w:rPr>
          <w:rFonts w:hint="eastAsia" w:ascii="Times New Roman" w:hAnsi="Times New Roman" w:eastAsia="仿宋_GB2312" w:cs="仿宋_GB2312"/>
          <w:color w:val="auto"/>
          <w:kern w:val="2"/>
          <w:sz w:val="32"/>
          <w:szCs w:val="32"/>
          <w:highlight w:val="none"/>
          <w:lang w:val="en-US" w:eastAsia="zh-CN" w:bidi="ar-SA"/>
        </w:rPr>
        <w:t>万元。主要用于所需的公务用车燃料费、维修费、过路过桥费、保险费等支出。</w:t>
      </w:r>
    </w:p>
    <w:p w14:paraId="49C2C6B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4.33万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公务接待费支出决算比2023年度减少</w:t>
      </w:r>
      <w:r>
        <w:rPr>
          <w:rFonts w:hint="eastAsia" w:eastAsia="仿宋_GB2312" w:cs="仿宋_GB2312"/>
          <w:color w:val="auto"/>
          <w:kern w:val="2"/>
          <w:sz w:val="32"/>
          <w:szCs w:val="32"/>
          <w:highlight w:val="none"/>
          <w:lang w:val="en-US" w:eastAsia="zh-CN" w:bidi="ar-SA"/>
        </w:rPr>
        <w:t>3.55</w:t>
      </w:r>
      <w:r>
        <w:rPr>
          <w:rFonts w:hint="eastAsia" w:ascii="Times New Roman" w:hAnsi="Times New Roman" w:eastAsia="仿宋_GB2312" w:cs="仿宋_GB2312"/>
          <w:color w:val="auto"/>
          <w:kern w:val="2"/>
          <w:sz w:val="32"/>
          <w:szCs w:val="32"/>
          <w:highlight w:val="none"/>
          <w:lang w:val="en-US" w:eastAsia="zh-CN" w:bidi="ar-SA"/>
        </w:rPr>
        <w:t>万元，增下降</w:t>
      </w:r>
      <w:r>
        <w:rPr>
          <w:rFonts w:hint="eastAsia" w:eastAsia="仿宋_GB2312" w:cs="仿宋_GB2312"/>
          <w:color w:val="auto"/>
          <w:kern w:val="2"/>
          <w:sz w:val="32"/>
          <w:szCs w:val="32"/>
          <w:highlight w:val="none"/>
          <w:lang w:val="en-US" w:eastAsia="zh-CN" w:bidi="ar-SA"/>
        </w:rPr>
        <w:t>45.05</w:t>
      </w:r>
      <w:r>
        <w:rPr>
          <w:rFonts w:hint="eastAsia" w:ascii="Times New Roman" w:hAnsi="Times New Roman" w:eastAsia="仿宋_GB2312" w:cs="仿宋_GB2312"/>
          <w:color w:val="auto"/>
          <w:kern w:val="2"/>
          <w:sz w:val="32"/>
          <w:szCs w:val="32"/>
          <w:highlight w:val="none"/>
          <w:lang w:val="en-US" w:eastAsia="zh-CN" w:bidi="ar-SA"/>
        </w:rPr>
        <w:t>%。其中：</w:t>
      </w:r>
    </w:p>
    <w:p w14:paraId="109064D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lang w:val="en-US" w:eastAsia="zh-CN"/>
        </w:rPr>
        <w:t>4.33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执行公务、开展业务活动开支的交通费、住宿费、用餐费等</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lang w:val="en-US" w:eastAsia="zh-CN"/>
        </w:rPr>
        <w:t>44</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lang w:val="en-US" w:eastAsia="zh-CN"/>
        </w:rPr>
        <w:t>346</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4.33</w:t>
      </w:r>
      <w:r>
        <w:rPr>
          <w:rFonts w:hint="eastAsia" w:ascii="Times New Roman" w:hAnsi="Times New Roman" w:eastAsia="仿宋_GB2312" w:cs="仿宋_GB2312"/>
          <w:color w:val="auto"/>
          <w:kern w:val="2"/>
          <w:sz w:val="32"/>
          <w:szCs w:val="32"/>
          <w:highlight w:val="none"/>
          <w:lang w:val="en-US" w:eastAsia="zh-CN" w:bidi="ar-SA"/>
        </w:rPr>
        <w:t>万元，外事接待支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bookmarkStart w:id="31" w:name="_Toc15377218"/>
      <w:bookmarkStart w:id="32" w:name="_Toc15396610"/>
    </w:p>
    <w:p w14:paraId="04727EA3">
      <w:pPr>
        <w:spacing w:line="600" w:lineRule="exact"/>
        <w:ind w:firstLine="640"/>
        <w:outlineLvl w:val="1"/>
        <w:rPr>
          <w:rStyle w:val="20"/>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20"/>
          <w:rFonts w:hint="eastAsia" w:ascii="Times New Roman" w:hAnsi="Times New Roman" w:eastAsia="黑体"/>
          <w:b w:val="0"/>
          <w:color w:val="auto"/>
          <w:highlight w:val="none"/>
        </w:rPr>
        <w:t>政府性基金预算支出决算情况说明</w:t>
      </w:r>
      <w:bookmarkEnd w:id="31"/>
      <w:bookmarkEnd w:id="32"/>
    </w:p>
    <w:p w14:paraId="7ECD07B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lang w:val="en-US" w:eastAsia="zh-CN"/>
        </w:rPr>
        <w:t>32.3</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。与2023年度相比，政府性基金预算财政拨款支出减少</w:t>
      </w:r>
      <w:r>
        <w:rPr>
          <w:rFonts w:hint="eastAsia" w:eastAsia="仿宋_GB2312" w:cs="仿宋_GB2312"/>
          <w:color w:val="auto"/>
          <w:kern w:val="2"/>
          <w:sz w:val="32"/>
          <w:szCs w:val="32"/>
          <w:highlight w:val="none"/>
          <w:lang w:val="en-US" w:eastAsia="zh-CN" w:bidi="ar-SA"/>
        </w:rPr>
        <w:t>5.13</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下降</w:t>
      </w:r>
      <w:r>
        <w:rPr>
          <w:rFonts w:hint="eastAsia" w:eastAsia="仿宋_GB2312" w:cs="仿宋_GB2312"/>
          <w:color w:val="auto"/>
          <w:kern w:val="2"/>
          <w:sz w:val="32"/>
          <w:szCs w:val="32"/>
          <w:highlight w:val="none"/>
          <w:lang w:val="en-US" w:eastAsia="zh-CN" w:bidi="ar-SA"/>
        </w:rPr>
        <w:t>13.7</w:t>
      </w:r>
      <w:r>
        <w:rPr>
          <w:rFonts w:hint="eastAsia" w:ascii="Times New Roman" w:hAnsi="Times New Roman" w:eastAsia="仿宋_GB2312" w:cs="仿宋_GB2312"/>
          <w:color w:val="auto"/>
          <w:kern w:val="2"/>
          <w:sz w:val="32"/>
          <w:szCs w:val="32"/>
          <w:highlight w:val="none"/>
          <w:lang w:val="en-US" w:eastAsia="zh-CN" w:bidi="ar-SA"/>
        </w:rPr>
        <w:t>%。</w:t>
      </w:r>
    </w:p>
    <w:p w14:paraId="32003DA4">
      <w:pPr>
        <w:numPr>
          <w:ilvl w:val="0"/>
          <w:numId w:val="0"/>
        </w:numPr>
        <w:spacing w:line="600" w:lineRule="exact"/>
        <w:ind w:left="630" w:leftChars="0"/>
        <w:outlineLvl w:val="1"/>
        <w:rPr>
          <w:rStyle w:val="20"/>
          <w:rFonts w:ascii="Times New Roman" w:hAnsi="Times New Roman" w:eastAsia="黑体"/>
          <w:b w:val="0"/>
          <w:color w:val="auto"/>
          <w:highlight w:val="none"/>
        </w:rPr>
      </w:pPr>
      <w:bookmarkStart w:id="33" w:name="_Toc15377219"/>
      <w:bookmarkStart w:id="34" w:name="_Toc15396611"/>
      <w:r>
        <w:rPr>
          <w:rStyle w:val="20"/>
          <w:rFonts w:hint="eastAsia" w:ascii="Times New Roman" w:hAnsi="Times New Roman" w:eastAsia="黑体"/>
          <w:b w:val="0"/>
          <w:color w:val="auto"/>
          <w:highlight w:val="none"/>
          <w:lang w:eastAsia="zh-CN"/>
        </w:rPr>
        <w:t>九、</w:t>
      </w:r>
      <w:r>
        <w:rPr>
          <w:rStyle w:val="20"/>
          <w:rFonts w:hint="eastAsia" w:ascii="Times New Roman" w:hAnsi="Times New Roman" w:eastAsia="黑体"/>
          <w:b w:val="0"/>
          <w:color w:val="auto"/>
          <w:highlight w:val="none"/>
        </w:rPr>
        <w:t>国有资本经营预算支出决算情况说明</w:t>
      </w:r>
      <w:bookmarkEnd w:id="33"/>
      <w:bookmarkEnd w:id="34"/>
    </w:p>
    <w:p w14:paraId="1484796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6D53D46B">
      <w:pPr>
        <w:numPr>
          <w:ilvl w:val="0"/>
          <w:numId w:val="0"/>
        </w:numPr>
        <w:spacing w:line="600" w:lineRule="exact"/>
        <w:ind w:left="630" w:leftChars="0"/>
        <w:outlineLvl w:val="1"/>
        <w:rPr>
          <w:rStyle w:val="20"/>
          <w:rFonts w:hint="eastAsia" w:ascii="Times New Roman" w:hAnsi="Times New Roman" w:eastAsia="黑体"/>
          <w:b w:val="0"/>
          <w:color w:val="auto"/>
          <w:highlight w:val="none"/>
        </w:rPr>
      </w:pPr>
      <w:bookmarkStart w:id="35" w:name="_Toc15396612"/>
      <w:bookmarkStart w:id="36" w:name="_Toc15377221"/>
      <w:r>
        <w:rPr>
          <w:rStyle w:val="20"/>
          <w:rFonts w:hint="eastAsia" w:ascii="Times New Roman" w:hAnsi="Times New Roman" w:eastAsia="黑体"/>
          <w:b w:val="0"/>
          <w:color w:val="auto"/>
          <w:highlight w:val="none"/>
          <w:lang w:eastAsia="zh-CN"/>
        </w:rPr>
        <w:t>十、</w:t>
      </w:r>
      <w:r>
        <w:rPr>
          <w:rStyle w:val="20"/>
          <w:rFonts w:hint="eastAsia" w:ascii="Times New Roman" w:hAnsi="Times New Roman" w:eastAsia="黑体"/>
          <w:b w:val="0"/>
          <w:color w:val="auto"/>
          <w:highlight w:val="none"/>
        </w:rPr>
        <w:t>其他重要事项的情况说明</w:t>
      </w:r>
      <w:bookmarkEnd w:id="35"/>
      <w:bookmarkEnd w:id="36"/>
    </w:p>
    <w:p w14:paraId="171CA4C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7" w:name="_Toc15377222"/>
      <w:r>
        <w:rPr>
          <w:rFonts w:hint="eastAsia" w:ascii="Times New Roman" w:hAnsi="Times New Roman" w:eastAsia="楷体_GB2312" w:cs="楷体_GB2312"/>
          <w:b/>
          <w:color w:val="auto"/>
          <w:sz w:val="32"/>
          <w:szCs w:val="32"/>
          <w:highlight w:val="none"/>
        </w:rPr>
        <w:t>（一）机关运行经费支出情况</w:t>
      </w:r>
      <w:bookmarkEnd w:id="37"/>
    </w:p>
    <w:p w14:paraId="4EAAEC5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峨边彝族自治县</w:t>
      </w:r>
      <w:r>
        <w:rPr>
          <w:rFonts w:hint="eastAsia" w:ascii="仿宋_GB2312" w:hAnsi="仿宋_GB2312" w:eastAsia="仿宋_GB2312" w:cs="仿宋_GB2312"/>
          <w:sz w:val="32"/>
          <w:szCs w:val="32"/>
          <w:lang w:val="en-US" w:eastAsia="zh-CN"/>
        </w:rPr>
        <w:t>新场乡</w:t>
      </w:r>
      <w:r>
        <w:rPr>
          <w:rFonts w:hint="eastAsia" w:ascii="仿宋_GB2312" w:hAnsi="仿宋_GB2312" w:eastAsia="仿宋_GB2312" w:cs="仿宋_GB2312"/>
          <w:sz w:val="32"/>
          <w:szCs w:val="32"/>
        </w:rPr>
        <w:t>人民政府</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lang w:val="en-US" w:eastAsia="zh-CN"/>
        </w:rPr>
        <w:t>85.82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w:t>
      </w:r>
      <w:r>
        <w:rPr>
          <w:rFonts w:hint="eastAsia" w:eastAsia="仿宋_GB2312" w:cs="仿宋_GB2312"/>
          <w:color w:val="auto"/>
          <w:kern w:val="2"/>
          <w:sz w:val="32"/>
          <w:szCs w:val="32"/>
          <w:highlight w:val="none"/>
          <w:lang w:val="en-US" w:eastAsia="zh-CN" w:bidi="ar-SA"/>
        </w:rPr>
        <w:t>减少30.16</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29.68</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厉行节约。</w:t>
      </w:r>
    </w:p>
    <w:p w14:paraId="7530747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8" w:name="_Toc15377223"/>
      <w:r>
        <w:rPr>
          <w:rFonts w:hint="eastAsia" w:ascii="Times New Roman" w:hAnsi="Times New Roman" w:eastAsia="楷体_GB2312" w:cs="楷体_GB2312"/>
          <w:b/>
          <w:color w:val="auto"/>
          <w:sz w:val="32"/>
          <w:szCs w:val="32"/>
          <w:highlight w:val="none"/>
        </w:rPr>
        <w:t>（二）政府采购支出情况</w:t>
      </w:r>
      <w:bookmarkEnd w:id="38"/>
    </w:p>
    <w:p w14:paraId="5D888D0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峨边彝族自治县</w:t>
      </w:r>
      <w:r>
        <w:rPr>
          <w:rFonts w:hint="eastAsia" w:ascii="仿宋_GB2312" w:hAnsi="仿宋_GB2312" w:eastAsia="仿宋_GB2312" w:cs="仿宋_GB2312"/>
          <w:sz w:val="32"/>
          <w:szCs w:val="32"/>
          <w:lang w:val="en-US" w:eastAsia="zh-CN"/>
        </w:rPr>
        <w:t>新场乡</w:t>
      </w:r>
      <w:r>
        <w:rPr>
          <w:rFonts w:hint="eastAsia" w:ascii="仿宋_GB2312" w:hAnsi="仿宋_GB2312" w:eastAsia="仿宋_GB2312" w:cs="仿宋_GB2312"/>
          <w:sz w:val="32"/>
          <w:szCs w:val="32"/>
        </w:rPr>
        <w:t>人民</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577CFE5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9" w:name="_Toc15377224"/>
      <w:r>
        <w:rPr>
          <w:rFonts w:hint="eastAsia" w:ascii="Times New Roman" w:hAnsi="Times New Roman" w:eastAsia="楷体_GB2312" w:cs="楷体_GB2312"/>
          <w:b/>
          <w:color w:val="auto"/>
          <w:sz w:val="32"/>
          <w:szCs w:val="32"/>
          <w:highlight w:val="none"/>
        </w:rPr>
        <w:t>（三）国有资产占有使用情况</w:t>
      </w:r>
      <w:bookmarkEnd w:id="39"/>
    </w:p>
    <w:p w14:paraId="5E7A92F3">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峨边彝族自治县</w:t>
      </w:r>
      <w:r>
        <w:rPr>
          <w:rFonts w:hint="eastAsia" w:ascii="仿宋_GB2312" w:hAnsi="仿宋_GB2312" w:eastAsia="仿宋_GB2312" w:cs="仿宋_GB2312"/>
          <w:sz w:val="32"/>
          <w:szCs w:val="32"/>
          <w:lang w:eastAsia="zh-CN"/>
        </w:rPr>
        <w:t>新场乡</w:t>
      </w:r>
      <w:r>
        <w:rPr>
          <w:rFonts w:hint="eastAsia" w:ascii="仿宋_GB2312" w:hAnsi="仿宋_GB2312" w:eastAsia="仿宋_GB2312" w:cs="仿宋_GB2312"/>
          <w:sz w:val="32"/>
          <w:szCs w:val="32"/>
        </w:rPr>
        <w:t>人民政府</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2</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2</w:t>
      </w:r>
      <w:r>
        <w:rPr>
          <w:rFonts w:hint="eastAsia" w:ascii="仿宋_GB2312" w:hAnsi="仿宋_GB2312" w:eastAsia="仿宋_GB2312" w:cs="仿宋_GB2312"/>
          <w:color w:val="auto"/>
          <w:kern w:val="2"/>
          <w:sz w:val="32"/>
          <w:szCs w:val="32"/>
          <w:highlight w:val="none"/>
          <w:lang w:val="en-US" w:eastAsia="zh-CN" w:bidi="ar-SA"/>
        </w:rPr>
        <w:t>辆，其他用车主要用于公务出差等。单价100万元（含）以上设备（不含车辆）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467275A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55C40B8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个项目编制了绩效目标</w:t>
      </w:r>
      <w:r>
        <w:rPr>
          <w:rFonts w:hint="eastAsia" w:eastAsia="仿宋_GB2312" w:cs="仿宋_GB2312"/>
          <w:color w:val="auto"/>
          <w:kern w:val="2"/>
          <w:sz w:val="32"/>
          <w:szCs w:val="32"/>
          <w:highlight w:val="none"/>
          <w:lang w:val="en-US" w:eastAsia="zh-CN" w:bidi="ar-SA"/>
        </w:rPr>
        <w:t>，在</w:t>
      </w:r>
      <w:r>
        <w:rPr>
          <w:rFonts w:hint="eastAsia" w:ascii="Times New Roman" w:hAnsi="Times New Roman" w:eastAsia="仿宋_GB2312" w:cs="仿宋_GB2312"/>
          <w:color w:val="auto"/>
          <w:kern w:val="2"/>
          <w:sz w:val="32"/>
          <w:szCs w:val="32"/>
          <w:highlight w:val="none"/>
          <w:lang w:val="en-US" w:eastAsia="zh-CN" w:bidi="ar-SA"/>
        </w:rPr>
        <w:t>预算执行过程中，选取</w:t>
      </w: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7E59063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部门整体（含部门预算项目）绩效自评报告等专项预算项目绩效自评报告，其中，部门整体（含部门预算项目）绩效自评得分为</w:t>
      </w:r>
      <w:r>
        <w:rPr>
          <w:rFonts w:hint="eastAsia" w:eastAsia="仿宋_GB2312" w:cs="仿宋_GB2312"/>
          <w:color w:val="auto"/>
          <w:kern w:val="2"/>
          <w:sz w:val="32"/>
          <w:szCs w:val="32"/>
          <w:highlight w:val="none"/>
          <w:lang w:val="en-US" w:eastAsia="zh-CN" w:bidi="ar-SA"/>
        </w:rPr>
        <w:t>98</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98分</w:t>
      </w:r>
      <w:r>
        <w:rPr>
          <w:rFonts w:hint="eastAsia" w:ascii="Times New Roman" w:hAnsi="Times New Roman" w:eastAsia="仿宋_GB2312" w:cs="仿宋_GB2312"/>
          <w:color w:val="auto"/>
          <w:kern w:val="2"/>
          <w:sz w:val="32"/>
          <w:szCs w:val="32"/>
          <w:highlight w:val="none"/>
          <w:lang w:val="en-US" w:eastAsia="zh-CN" w:bidi="ar-SA"/>
        </w:rPr>
        <w:t>；专项预算项目绩效自评得分为</w:t>
      </w:r>
      <w:r>
        <w:rPr>
          <w:rFonts w:hint="eastAsia" w:eastAsia="仿宋_GB2312" w:cs="仿宋_GB2312"/>
          <w:color w:val="auto"/>
          <w:kern w:val="2"/>
          <w:sz w:val="32"/>
          <w:szCs w:val="32"/>
          <w:highlight w:val="none"/>
          <w:lang w:val="en-US" w:eastAsia="zh-CN" w:bidi="ar-SA"/>
        </w:rPr>
        <w:t>98</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98分</w:t>
      </w:r>
      <w:r>
        <w:rPr>
          <w:rFonts w:hint="eastAsia" w:ascii="Times New Roman" w:hAnsi="Times New Roman" w:eastAsia="仿宋_GB2312" w:cs="仿宋_GB2312"/>
          <w:color w:val="auto"/>
          <w:kern w:val="2"/>
          <w:sz w:val="32"/>
          <w:szCs w:val="32"/>
          <w:highlight w:val="none"/>
          <w:lang w:val="en-US" w:eastAsia="zh-CN" w:bidi="ar-SA"/>
        </w:rPr>
        <w:t>。</w:t>
      </w:r>
    </w:p>
    <w:p w14:paraId="22901A26">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4D093A34">
      <w:pPr>
        <w:numPr>
          <w:ilvl w:val="0"/>
          <w:numId w:val="0"/>
        </w:numPr>
        <w:spacing w:line="600" w:lineRule="exact"/>
        <w:jc w:val="both"/>
        <w:outlineLvl w:val="0"/>
        <w:rPr>
          <w:rFonts w:hint="eastAsia" w:ascii="Times New Roman" w:hAnsi="Times New Roman" w:eastAsia="黑体"/>
          <w:color w:val="auto"/>
          <w:sz w:val="44"/>
          <w:szCs w:val="44"/>
          <w:highlight w:val="none"/>
        </w:rPr>
      </w:pPr>
    </w:p>
    <w:p w14:paraId="7FEBD649">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5"/>
      <w:bookmarkEnd w:id="6"/>
    </w:p>
    <w:p w14:paraId="21833FAA">
      <w:pPr>
        <w:spacing w:line="600" w:lineRule="exact"/>
        <w:jc w:val="left"/>
        <w:rPr>
          <w:rFonts w:ascii="Times New Roman" w:hAnsi="Times New Roman"/>
          <w:b/>
          <w:color w:val="auto"/>
          <w:sz w:val="44"/>
          <w:szCs w:val="44"/>
          <w:highlight w:val="none"/>
        </w:rPr>
      </w:pPr>
    </w:p>
    <w:p w14:paraId="2B5C3AD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0CFF9E7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w:t>
      </w:r>
    </w:p>
    <w:p w14:paraId="1E66595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p>
    <w:p w14:paraId="6DF6482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4.其他收入：指单位取得的除上述收入以外的各项收入。 </w:t>
      </w:r>
    </w:p>
    <w:p w14:paraId="619BE76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121566E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14:paraId="2974383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14:paraId="7B520E7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14:paraId="0BE28499">
      <w:pPr>
        <w:numPr>
          <w:ilvl w:val="0"/>
          <w:numId w:val="0"/>
        </w:num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政府办公厅（室）及相关机构事务行政运行</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：指相关事务行政运行的支出。</w:t>
      </w:r>
    </w:p>
    <w:p w14:paraId="35B298B6">
      <w:pPr>
        <w:numPr>
          <w:ilvl w:val="0"/>
          <w:numId w:val="0"/>
        </w:num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政府办公厅（室）及相关机构事务事业运行</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：指相关事务行政运行的支出。</w:t>
      </w:r>
    </w:p>
    <w:p w14:paraId="4D26C5B7">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.社会保障和就业（类）</w:t>
      </w:r>
      <w:r>
        <w:rPr>
          <w:rFonts w:hint="eastAsia" w:ascii="仿宋" w:hAnsi="仿宋" w:eastAsia="仿宋" w:cs="仿宋"/>
          <w:color w:val="auto"/>
          <w:sz w:val="32"/>
          <w:szCs w:val="32"/>
        </w:rPr>
        <w:t>行政事业单位养老支出</w:t>
      </w:r>
      <w:r>
        <w:rPr>
          <w:rFonts w:hint="eastAsia" w:ascii="Times New Roman" w:hAnsi="Times New Roman" w:eastAsia="仿宋_GB2312" w:cs="仿宋_GB2312"/>
          <w:color w:val="auto"/>
          <w:kern w:val="2"/>
          <w:sz w:val="32"/>
          <w:szCs w:val="32"/>
          <w:highlight w:val="none"/>
          <w:lang w:val="en-US" w:eastAsia="zh-CN" w:bidi="ar-SA"/>
        </w:rPr>
        <w:t>（款）</w:t>
      </w:r>
      <w:r>
        <w:rPr>
          <w:rFonts w:hint="eastAsia" w:ascii="仿宋" w:hAnsi="仿宋" w:eastAsia="仿宋" w:cs="仿宋"/>
          <w:color w:val="auto"/>
          <w:sz w:val="32"/>
          <w:szCs w:val="32"/>
        </w:rPr>
        <w:t>机关事业单位基本养老保险缴费支出</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：指养老保险的缴费支出。</w:t>
      </w:r>
    </w:p>
    <w:p w14:paraId="591E0E27">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.社会保障和就业（类）</w:t>
      </w:r>
      <w:r>
        <w:rPr>
          <w:rFonts w:hint="eastAsia" w:ascii="仿宋" w:hAnsi="仿宋" w:eastAsia="仿宋" w:cs="仿宋"/>
          <w:color w:val="auto"/>
          <w:sz w:val="32"/>
          <w:szCs w:val="32"/>
        </w:rPr>
        <w:t>行政事业单位养老支出</w:t>
      </w:r>
      <w:r>
        <w:rPr>
          <w:rFonts w:hint="eastAsia" w:ascii="Times New Roman" w:hAnsi="Times New Roman" w:eastAsia="仿宋_GB2312" w:cs="仿宋_GB2312"/>
          <w:color w:val="auto"/>
          <w:kern w:val="2"/>
          <w:sz w:val="32"/>
          <w:szCs w:val="32"/>
          <w:highlight w:val="none"/>
          <w:lang w:val="en-US" w:eastAsia="zh-CN" w:bidi="ar-SA"/>
        </w:rPr>
        <w:t>（款）</w:t>
      </w:r>
      <w:r>
        <w:rPr>
          <w:rFonts w:hint="eastAsia" w:ascii="仿宋" w:hAnsi="仿宋" w:eastAsia="仿宋" w:cs="仿宋"/>
          <w:color w:val="auto"/>
          <w:sz w:val="32"/>
          <w:szCs w:val="32"/>
        </w:rPr>
        <w:t>机关事业单位职业年金缴费支出</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：指职业年金的缴费支出。</w:t>
      </w:r>
    </w:p>
    <w:p w14:paraId="19144C6B">
      <w:pPr>
        <w:spacing w:line="600" w:lineRule="exact"/>
        <w:ind w:firstLine="640"/>
        <w:rPr>
          <w:rFonts w:hint="default" w:ascii="仿宋" w:hAnsi="仿宋" w:eastAsia="仿宋" w:cs="仿宋"/>
          <w:color w:val="auto"/>
          <w:kern w:val="2"/>
          <w:sz w:val="32"/>
          <w:szCs w:val="32"/>
          <w:highlight w:val="none"/>
          <w:lang w:val="en-US" w:eastAsia="zh-CN" w:bidi="ar-SA"/>
        </w:rPr>
      </w:pPr>
      <w:r>
        <w:rPr>
          <w:rFonts w:hint="eastAsia" w:eastAsia="仿宋" w:cs="Times New Roman"/>
          <w:color w:val="auto"/>
          <w:kern w:val="2"/>
          <w:sz w:val="32"/>
          <w:szCs w:val="32"/>
          <w:highlight w:val="none"/>
          <w:lang w:val="en-US" w:eastAsia="zh-CN" w:bidi="ar-SA"/>
        </w:rPr>
        <w:t>13</w:t>
      </w:r>
      <w:r>
        <w:rPr>
          <w:rFonts w:hint="default" w:ascii="Times New Roman" w:hAnsi="Times New Roman" w:eastAsia="仿宋" w:cs="Times New Roman"/>
          <w:color w:val="auto"/>
          <w:kern w:val="2"/>
          <w:sz w:val="32"/>
          <w:szCs w:val="32"/>
          <w:highlight w:val="none"/>
          <w:lang w:val="en-US" w:eastAsia="zh-CN" w:bidi="ar-SA"/>
        </w:rPr>
        <w:t>.</w:t>
      </w:r>
      <w:r>
        <w:rPr>
          <w:rFonts w:hint="eastAsia" w:ascii="仿宋" w:hAnsi="仿宋" w:eastAsia="仿宋" w:cs="仿宋"/>
          <w:color w:val="auto"/>
          <w:kern w:val="2"/>
          <w:sz w:val="32"/>
          <w:szCs w:val="32"/>
          <w:highlight w:val="none"/>
          <w:lang w:val="en-US" w:eastAsia="zh-CN" w:bidi="ar-SA"/>
        </w:rPr>
        <w:t>社会保障和就业（类）</w:t>
      </w:r>
      <w:r>
        <w:rPr>
          <w:rFonts w:hint="eastAsia" w:ascii="仿宋" w:hAnsi="仿宋" w:eastAsia="仿宋" w:cs="仿宋"/>
          <w:color w:val="auto"/>
          <w:sz w:val="32"/>
          <w:szCs w:val="32"/>
        </w:rPr>
        <w:t>抚恤</w:t>
      </w:r>
      <w:r>
        <w:rPr>
          <w:rFonts w:hint="eastAsia" w:ascii="仿宋" w:hAnsi="仿宋" w:eastAsia="仿宋" w:cs="仿宋"/>
          <w:color w:val="auto"/>
          <w:kern w:val="2"/>
          <w:sz w:val="32"/>
          <w:szCs w:val="32"/>
          <w:highlight w:val="none"/>
          <w:lang w:val="en-US" w:eastAsia="zh-CN" w:bidi="ar-SA"/>
        </w:rPr>
        <w:t>（款）</w:t>
      </w:r>
      <w:r>
        <w:rPr>
          <w:rFonts w:hint="eastAsia" w:ascii="仿宋" w:hAnsi="仿宋" w:eastAsia="仿宋" w:cs="仿宋"/>
          <w:color w:val="auto"/>
          <w:sz w:val="32"/>
          <w:szCs w:val="32"/>
        </w:rPr>
        <w:t>死亡抚恤</w:t>
      </w:r>
      <w:r>
        <w:rPr>
          <w:rFonts w:hint="eastAsia" w:ascii="仿宋" w:hAnsi="仿宋" w:eastAsia="仿宋" w:cs="仿宋"/>
          <w:color w:val="auto"/>
          <w:kern w:val="2"/>
          <w:sz w:val="32"/>
          <w:szCs w:val="32"/>
          <w:highlight w:val="none"/>
          <w:lang w:val="en-US" w:eastAsia="zh-CN" w:bidi="ar-SA"/>
        </w:rPr>
        <w:t>（项）：指对死亡抚恤的支出。</w:t>
      </w:r>
    </w:p>
    <w:p w14:paraId="590C822D">
      <w:pPr>
        <w:spacing w:line="600" w:lineRule="exact"/>
        <w:ind w:firstLine="640"/>
        <w:rPr>
          <w:rFonts w:hint="eastAsia" w:ascii="仿宋" w:hAnsi="仿宋" w:eastAsia="仿宋" w:cs="仿宋"/>
          <w:color w:val="auto"/>
          <w:kern w:val="2"/>
          <w:sz w:val="32"/>
          <w:szCs w:val="32"/>
          <w:highlight w:val="none"/>
          <w:lang w:val="en-US" w:eastAsia="zh-CN" w:bidi="ar-SA"/>
        </w:rPr>
      </w:pPr>
      <w:r>
        <w:rPr>
          <w:rFonts w:hint="eastAsia" w:eastAsia="仿宋" w:cs="Times New Roman"/>
          <w:color w:val="auto"/>
          <w:kern w:val="2"/>
          <w:sz w:val="32"/>
          <w:szCs w:val="32"/>
          <w:highlight w:val="none"/>
          <w:lang w:val="en-US" w:eastAsia="zh-CN" w:bidi="ar-SA"/>
        </w:rPr>
        <w:t>14</w:t>
      </w:r>
      <w:r>
        <w:rPr>
          <w:rFonts w:hint="default" w:ascii="Times New Roman" w:hAnsi="Times New Roman" w:eastAsia="仿宋" w:cs="Times New Roman"/>
          <w:color w:val="auto"/>
          <w:kern w:val="2"/>
          <w:sz w:val="32"/>
          <w:szCs w:val="32"/>
          <w:highlight w:val="none"/>
          <w:lang w:val="en-US" w:eastAsia="zh-CN" w:bidi="ar-SA"/>
        </w:rPr>
        <w:t>.</w:t>
      </w:r>
      <w:r>
        <w:rPr>
          <w:rFonts w:hint="eastAsia" w:ascii="仿宋" w:hAnsi="仿宋" w:eastAsia="仿宋" w:cs="仿宋"/>
          <w:color w:val="auto"/>
          <w:kern w:val="2"/>
          <w:sz w:val="32"/>
          <w:szCs w:val="32"/>
          <w:highlight w:val="none"/>
          <w:lang w:val="en-US" w:eastAsia="zh-CN" w:bidi="ar-SA"/>
        </w:rPr>
        <w:t>社会保障和就业（类）</w:t>
      </w:r>
      <w:r>
        <w:rPr>
          <w:rFonts w:hint="eastAsia" w:ascii="仿宋" w:hAnsi="仿宋" w:eastAsia="仿宋" w:cs="仿宋"/>
          <w:color w:val="auto"/>
          <w:sz w:val="32"/>
          <w:szCs w:val="32"/>
        </w:rPr>
        <w:t>其他社会保障和就业支出</w:t>
      </w:r>
      <w:r>
        <w:rPr>
          <w:rFonts w:hint="eastAsia" w:ascii="仿宋" w:hAnsi="仿宋" w:eastAsia="仿宋" w:cs="仿宋"/>
          <w:color w:val="auto"/>
          <w:kern w:val="2"/>
          <w:sz w:val="32"/>
          <w:szCs w:val="32"/>
          <w:highlight w:val="none"/>
          <w:lang w:val="en-US" w:eastAsia="zh-CN" w:bidi="ar-SA"/>
        </w:rPr>
        <w:t>（款）</w:t>
      </w:r>
      <w:r>
        <w:rPr>
          <w:rFonts w:hint="eastAsia" w:ascii="仿宋" w:hAnsi="仿宋" w:eastAsia="仿宋" w:cs="仿宋"/>
          <w:color w:val="auto"/>
          <w:sz w:val="32"/>
          <w:szCs w:val="32"/>
        </w:rPr>
        <w:t>其他社会保障和就业支出</w:t>
      </w:r>
      <w:r>
        <w:rPr>
          <w:rFonts w:hint="eastAsia" w:ascii="仿宋" w:hAnsi="仿宋" w:eastAsia="仿宋" w:cs="仿宋"/>
          <w:color w:val="auto"/>
          <w:kern w:val="2"/>
          <w:sz w:val="32"/>
          <w:szCs w:val="32"/>
          <w:highlight w:val="none"/>
          <w:lang w:val="en-US" w:eastAsia="zh-CN" w:bidi="ar-SA"/>
        </w:rPr>
        <w:t>（项）：指失业保险、工伤保险的缴费支出。</w:t>
      </w:r>
    </w:p>
    <w:p w14:paraId="6420F27E">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15</w:t>
      </w:r>
      <w:r>
        <w:rPr>
          <w:rFonts w:hint="eastAsia" w:ascii="Times New Roman" w:hAnsi="Times New Roman" w:eastAsia="仿宋_GB2312" w:cs="仿宋_GB2312"/>
          <w:color w:val="auto"/>
          <w:kern w:val="2"/>
          <w:sz w:val="32"/>
          <w:szCs w:val="32"/>
          <w:highlight w:val="none"/>
          <w:lang w:val="en-US" w:eastAsia="zh-CN" w:bidi="ar-SA"/>
        </w:rPr>
        <w:t>.卫生健康（类）</w:t>
      </w:r>
      <w:r>
        <w:rPr>
          <w:rFonts w:hint="eastAsia" w:ascii="仿宋" w:hAnsi="仿宋" w:eastAsia="仿宋" w:cs="仿宋"/>
          <w:color w:val="auto"/>
          <w:sz w:val="32"/>
          <w:szCs w:val="32"/>
        </w:rPr>
        <w:t>行政事业单位医疗</w:t>
      </w:r>
      <w:r>
        <w:rPr>
          <w:rFonts w:hint="eastAsia" w:ascii="仿宋" w:hAnsi="仿宋" w:eastAsia="仿宋" w:cs="仿宋"/>
          <w:color w:val="auto"/>
          <w:kern w:val="2"/>
          <w:sz w:val="32"/>
          <w:szCs w:val="32"/>
          <w:highlight w:val="none"/>
          <w:lang w:val="en-US" w:eastAsia="zh-CN" w:bidi="ar-SA"/>
        </w:rPr>
        <w:t>（款）</w:t>
      </w:r>
      <w:r>
        <w:rPr>
          <w:rFonts w:hint="eastAsia" w:ascii="仿宋" w:hAnsi="仿宋" w:eastAsia="仿宋" w:cs="仿宋"/>
          <w:color w:val="auto"/>
          <w:sz w:val="32"/>
          <w:szCs w:val="32"/>
        </w:rPr>
        <w:t>行政单位医</w:t>
      </w:r>
      <w:r>
        <w:rPr>
          <w:rFonts w:hint="eastAsia" w:ascii="仿宋" w:hAnsi="仿宋" w:eastAsia="仿宋" w:cs="仿宋"/>
          <w:sz w:val="32"/>
          <w:szCs w:val="32"/>
        </w:rPr>
        <w:t>疗</w:t>
      </w:r>
      <w:r>
        <w:rPr>
          <w:rFonts w:hint="eastAsia" w:ascii="仿宋" w:hAnsi="仿宋" w:eastAsia="仿宋" w:cs="仿宋"/>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：指医疗保险的缴费支出。</w:t>
      </w:r>
    </w:p>
    <w:p w14:paraId="059CEADA">
      <w:pPr>
        <w:spacing w:line="600" w:lineRule="exact"/>
        <w:ind w:firstLine="640" w:firstLineChars="200"/>
        <w:rPr>
          <w:rFonts w:hint="default" w:ascii="Times New Roman" w:hAnsi="Times New Roman" w:eastAsia="仿宋"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16</w:t>
      </w:r>
      <w:r>
        <w:rPr>
          <w:rFonts w:hint="eastAsia" w:ascii="Times New Roman" w:hAnsi="Times New Roman" w:eastAsia="仿宋_GB2312" w:cs="仿宋_GB2312"/>
          <w:color w:val="auto"/>
          <w:kern w:val="2"/>
          <w:sz w:val="32"/>
          <w:szCs w:val="32"/>
          <w:highlight w:val="none"/>
          <w:lang w:val="en-US" w:eastAsia="zh-CN" w:bidi="ar-SA"/>
        </w:rPr>
        <w:t>.农林水支出（类）</w:t>
      </w:r>
      <w:r>
        <w:rPr>
          <w:rFonts w:hint="eastAsia" w:ascii="仿宋" w:hAnsi="仿宋" w:eastAsia="仿宋" w:cs="仿宋"/>
          <w:sz w:val="32"/>
          <w:szCs w:val="32"/>
        </w:rPr>
        <w:t>巩固脱贫攻坚成果衔接乡村振兴</w:t>
      </w:r>
      <w:r>
        <w:rPr>
          <w:rFonts w:hint="eastAsia" w:ascii="仿宋" w:hAnsi="仿宋" w:eastAsia="仿宋" w:cs="仿宋"/>
          <w:color w:val="auto"/>
          <w:kern w:val="2"/>
          <w:sz w:val="32"/>
          <w:szCs w:val="32"/>
          <w:highlight w:val="none"/>
          <w:lang w:val="en-US" w:eastAsia="zh-CN" w:bidi="ar-SA"/>
        </w:rPr>
        <w:t>（款）</w:t>
      </w:r>
      <w:r>
        <w:rPr>
          <w:rFonts w:hint="eastAsia" w:ascii="仿宋" w:hAnsi="仿宋" w:eastAsia="仿宋" w:cs="仿宋"/>
          <w:sz w:val="32"/>
          <w:szCs w:val="32"/>
        </w:rPr>
        <w:t>一般行政管理事务</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：指</w:t>
      </w:r>
      <w:r>
        <w:rPr>
          <w:rFonts w:hint="eastAsia" w:ascii="仿宋" w:hAnsi="仿宋" w:eastAsia="仿宋" w:cs="仿宋"/>
          <w:sz w:val="32"/>
          <w:szCs w:val="32"/>
        </w:rPr>
        <w:t>行政管理事务</w:t>
      </w:r>
      <w:r>
        <w:rPr>
          <w:rFonts w:hint="eastAsia" w:ascii="仿宋" w:hAnsi="仿宋" w:eastAsia="仿宋" w:cs="仿宋"/>
          <w:sz w:val="32"/>
          <w:szCs w:val="32"/>
          <w:lang w:eastAsia="zh-CN"/>
        </w:rPr>
        <w:t>的</w:t>
      </w:r>
      <w:r>
        <w:rPr>
          <w:rFonts w:hint="eastAsia" w:ascii="仿宋" w:hAnsi="仿宋" w:eastAsia="仿宋" w:cs="仿宋"/>
          <w:sz w:val="32"/>
          <w:szCs w:val="32"/>
          <w:lang w:val="en-US" w:eastAsia="zh-CN"/>
        </w:rPr>
        <w:t>一般支出。</w:t>
      </w:r>
    </w:p>
    <w:p w14:paraId="4F85F2F4">
      <w:pPr>
        <w:keepNext w:val="0"/>
        <w:keepLines w:val="0"/>
        <w:widowControl/>
        <w:suppressLineNumbers w:val="0"/>
        <w:ind w:firstLine="640" w:firstLineChars="200"/>
        <w:jc w:val="left"/>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17</w:t>
      </w:r>
      <w:r>
        <w:rPr>
          <w:rFonts w:hint="eastAsia" w:ascii="Times New Roman" w:hAnsi="Times New Roman" w:eastAsia="仿宋_GB2312" w:cs="仿宋_GB2312"/>
          <w:color w:val="auto"/>
          <w:kern w:val="2"/>
          <w:sz w:val="32"/>
          <w:szCs w:val="32"/>
          <w:highlight w:val="none"/>
          <w:lang w:val="en-US" w:eastAsia="zh-CN" w:bidi="ar-SA"/>
        </w:rPr>
        <w:t>.农林水支出（类）</w:t>
      </w:r>
      <w:r>
        <w:rPr>
          <w:rFonts w:hint="eastAsia" w:ascii="仿宋" w:hAnsi="仿宋" w:eastAsia="仿宋" w:cs="仿宋"/>
          <w:sz w:val="32"/>
          <w:szCs w:val="32"/>
        </w:rPr>
        <w:t>巩固脱贫攻坚成果衔接乡村振兴</w:t>
      </w:r>
      <w:r>
        <w:rPr>
          <w:rFonts w:hint="eastAsia" w:ascii="Times New Roman" w:hAnsi="Times New Roman" w:eastAsia="仿宋_GB2312" w:cs="仿宋_GB2312"/>
          <w:color w:val="auto"/>
          <w:kern w:val="2"/>
          <w:sz w:val="32"/>
          <w:szCs w:val="32"/>
          <w:highlight w:val="none"/>
          <w:lang w:val="en-US" w:eastAsia="zh-CN" w:bidi="ar-SA"/>
        </w:rPr>
        <w:t>（款）</w:t>
      </w:r>
      <w:r>
        <w:rPr>
          <w:rFonts w:hint="eastAsia" w:ascii="仿宋" w:hAnsi="仿宋" w:eastAsia="仿宋" w:cs="仿宋"/>
          <w:kern w:val="0"/>
          <w:sz w:val="32"/>
          <w:szCs w:val="32"/>
          <w:lang w:val="en-US" w:eastAsia="zh-CN" w:bidi="ar"/>
        </w:rPr>
        <w:t>其他巩固脱贫攻坚成果衔接乡村振兴支出</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：指衔接乡村振兴的。</w:t>
      </w:r>
    </w:p>
    <w:p w14:paraId="4A9E0CE4">
      <w:pPr>
        <w:keepNext w:val="0"/>
        <w:keepLines w:val="0"/>
        <w:widowControl/>
        <w:suppressLineNumbers w:val="0"/>
        <w:ind w:firstLine="640" w:firstLineChars="200"/>
        <w:jc w:val="left"/>
        <w:rPr>
          <w:rFonts w:hint="eastAsia" w:ascii="仿宋" w:hAnsi="仿宋" w:eastAsia="仿宋" w:cs="仿宋"/>
          <w:kern w:val="0"/>
          <w:sz w:val="32"/>
          <w:szCs w:val="32"/>
          <w:lang w:val="en-US" w:eastAsia="zh-CN" w:bidi="ar"/>
        </w:rPr>
      </w:pPr>
      <w:r>
        <w:rPr>
          <w:rFonts w:hint="eastAsia" w:eastAsia="仿宋_GB2312" w:cs="仿宋_GB2312"/>
          <w:color w:val="auto"/>
          <w:kern w:val="2"/>
          <w:sz w:val="32"/>
          <w:szCs w:val="32"/>
          <w:highlight w:val="none"/>
          <w:lang w:val="en-US" w:eastAsia="zh-CN" w:bidi="ar-SA"/>
        </w:rPr>
        <w:t>18</w:t>
      </w:r>
      <w:r>
        <w:rPr>
          <w:rFonts w:hint="eastAsia" w:ascii="Times New Roman" w:hAnsi="Times New Roman" w:eastAsia="仿宋_GB2312" w:cs="仿宋_GB2312"/>
          <w:color w:val="auto"/>
          <w:kern w:val="2"/>
          <w:sz w:val="32"/>
          <w:szCs w:val="32"/>
          <w:highlight w:val="none"/>
          <w:lang w:val="en-US" w:eastAsia="zh-CN" w:bidi="ar-SA"/>
        </w:rPr>
        <w:t>.农林水支出（类）</w:t>
      </w:r>
      <w:r>
        <w:rPr>
          <w:rFonts w:hint="eastAsia" w:ascii="仿宋" w:hAnsi="仿宋" w:eastAsia="仿宋" w:cs="仿宋"/>
          <w:sz w:val="32"/>
          <w:szCs w:val="32"/>
        </w:rPr>
        <w:t>农村综合改革</w:t>
      </w:r>
      <w:r>
        <w:rPr>
          <w:rFonts w:hint="eastAsia" w:ascii="仿宋" w:hAnsi="仿宋" w:eastAsia="仿宋" w:cs="仿宋"/>
          <w:color w:val="auto"/>
          <w:kern w:val="2"/>
          <w:sz w:val="32"/>
          <w:szCs w:val="32"/>
          <w:highlight w:val="none"/>
          <w:lang w:val="en-US" w:eastAsia="zh-CN" w:bidi="ar-SA"/>
        </w:rPr>
        <w:t>（款）</w:t>
      </w:r>
      <w:r>
        <w:rPr>
          <w:rFonts w:hint="eastAsia" w:ascii="仿宋" w:hAnsi="仿宋" w:eastAsia="仿宋" w:cs="仿宋"/>
          <w:kern w:val="0"/>
          <w:sz w:val="32"/>
          <w:szCs w:val="32"/>
          <w:lang w:val="en-US" w:eastAsia="zh-CN" w:bidi="ar"/>
        </w:rPr>
        <w:t>对村民委员会和村党支部的补助</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：指</w:t>
      </w:r>
      <w:r>
        <w:rPr>
          <w:rFonts w:hint="eastAsia" w:ascii="仿宋" w:hAnsi="仿宋" w:eastAsia="仿宋" w:cs="仿宋"/>
          <w:kern w:val="0"/>
          <w:sz w:val="32"/>
          <w:szCs w:val="32"/>
          <w:lang w:val="en-US" w:eastAsia="zh-CN" w:bidi="ar"/>
        </w:rPr>
        <w:t>对村民委员会和村党支部的补助支出。</w:t>
      </w:r>
    </w:p>
    <w:p w14:paraId="14B50946">
      <w:pPr>
        <w:keepNext w:val="0"/>
        <w:keepLines w:val="0"/>
        <w:widowControl/>
        <w:suppressLineNumbers w:val="0"/>
        <w:ind w:firstLine="640" w:firstLineChars="200"/>
        <w:jc w:val="left"/>
        <w:rPr>
          <w:rFonts w:hint="eastAsia" w:ascii="仿宋" w:hAnsi="仿宋" w:eastAsia="仿宋" w:cs="仿宋"/>
          <w:kern w:val="0"/>
          <w:sz w:val="32"/>
          <w:szCs w:val="32"/>
          <w:lang w:val="en-US" w:eastAsia="zh-CN" w:bidi="ar"/>
        </w:rPr>
      </w:pPr>
      <w:r>
        <w:rPr>
          <w:rFonts w:hint="eastAsia" w:eastAsia="仿宋_GB2312" w:cs="仿宋_GB2312"/>
          <w:color w:val="auto"/>
          <w:kern w:val="2"/>
          <w:sz w:val="32"/>
          <w:szCs w:val="32"/>
          <w:highlight w:val="none"/>
          <w:lang w:val="en-US" w:eastAsia="zh-CN" w:bidi="ar-SA"/>
        </w:rPr>
        <w:t>19.</w:t>
      </w:r>
      <w:r>
        <w:rPr>
          <w:rFonts w:hint="eastAsia" w:ascii="Times New Roman" w:hAnsi="Times New Roman" w:eastAsia="仿宋_GB2312" w:cs="仿宋_GB2312"/>
          <w:color w:val="auto"/>
          <w:kern w:val="2"/>
          <w:sz w:val="32"/>
          <w:szCs w:val="32"/>
          <w:highlight w:val="none"/>
          <w:lang w:val="en-US" w:eastAsia="zh-CN" w:bidi="ar-SA"/>
        </w:rPr>
        <w:t>农林水支出（类）</w:t>
      </w:r>
      <w:r>
        <w:rPr>
          <w:rFonts w:hint="eastAsia" w:ascii="仿宋" w:hAnsi="仿宋" w:eastAsia="仿宋" w:cs="仿宋"/>
          <w:sz w:val="32"/>
          <w:szCs w:val="32"/>
        </w:rPr>
        <w:t>农村综合改革</w:t>
      </w:r>
      <w:r>
        <w:rPr>
          <w:rFonts w:hint="eastAsia" w:ascii="仿宋" w:hAnsi="仿宋" w:eastAsia="仿宋" w:cs="仿宋"/>
          <w:color w:val="auto"/>
          <w:kern w:val="2"/>
          <w:sz w:val="32"/>
          <w:szCs w:val="32"/>
          <w:highlight w:val="none"/>
          <w:lang w:val="en-US" w:eastAsia="zh-CN" w:bidi="ar-SA"/>
        </w:rPr>
        <w:t>（款）</w:t>
      </w:r>
      <w:r>
        <w:rPr>
          <w:rFonts w:hint="eastAsia" w:ascii="仿宋" w:hAnsi="仿宋" w:eastAsia="仿宋" w:cs="仿宋"/>
          <w:kern w:val="0"/>
          <w:sz w:val="32"/>
          <w:szCs w:val="32"/>
          <w:lang w:val="en-US" w:eastAsia="zh-CN" w:bidi="ar"/>
        </w:rPr>
        <w:t>农村综合改革示范试点补助</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：指</w:t>
      </w:r>
      <w:r>
        <w:rPr>
          <w:rFonts w:hint="eastAsia" w:ascii="仿宋" w:hAnsi="仿宋" w:eastAsia="仿宋" w:cs="仿宋"/>
          <w:kern w:val="0"/>
          <w:sz w:val="32"/>
          <w:szCs w:val="32"/>
          <w:lang w:val="en-US" w:eastAsia="zh-CN" w:bidi="ar"/>
        </w:rPr>
        <w:t>农村综合改革示范试点补助的支出。</w:t>
      </w:r>
    </w:p>
    <w:p w14:paraId="0BE48D10">
      <w:pPr>
        <w:keepNext w:val="0"/>
        <w:keepLines w:val="0"/>
        <w:widowControl/>
        <w:suppressLineNumbers w:val="0"/>
        <w:ind w:firstLine="640" w:firstLineChars="200"/>
        <w:jc w:val="left"/>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20</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 w:hAnsi="仿宋" w:eastAsia="仿宋" w:cs="仿宋"/>
          <w:kern w:val="0"/>
          <w:sz w:val="32"/>
          <w:szCs w:val="32"/>
          <w:lang w:val="en-US" w:eastAsia="zh-CN" w:bidi="ar"/>
        </w:rPr>
        <w:t>住房保障支出</w:t>
      </w:r>
      <w:r>
        <w:rPr>
          <w:rFonts w:hint="eastAsia" w:ascii="Times New Roman" w:hAnsi="Times New Roman" w:eastAsia="仿宋_GB2312" w:cs="仿宋_GB2312"/>
          <w:color w:val="auto"/>
          <w:kern w:val="2"/>
          <w:sz w:val="32"/>
          <w:szCs w:val="32"/>
          <w:highlight w:val="none"/>
          <w:lang w:val="en-US" w:eastAsia="zh-CN" w:bidi="ar-SA"/>
        </w:rPr>
        <w:t>（类）</w:t>
      </w:r>
      <w:r>
        <w:rPr>
          <w:rFonts w:hint="eastAsia" w:ascii="仿宋" w:hAnsi="仿宋" w:eastAsia="仿宋" w:cs="仿宋"/>
          <w:kern w:val="0"/>
          <w:sz w:val="32"/>
          <w:szCs w:val="32"/>
          <w:lang w:val="en-US" w:eastAsia="zh-CN" w:bidi="ar"/>
        </w:rPr>
        <w:t>住房保障支出</w:t>
      </w:r>
      <w:r>
        <w:rPr>
          <w:rFonts w:hint="eastAsia" w:ascii="仿宋" w:hAnsi="仿宋" w:eastAsia="仿宋" w:cs="仿宋"/>
          <w:color w:val="auto"/>
          <w:kern w:val="2"/>
          <w:sz w:val="32"/>
          <w:szCs w:val="32"/>
          <w:highlight w:val="none"/>
          <w:lang w:val="en-US" w:eastAsia="zh-CN" w:bidi="ar-SA"/>
        </w:rPr>
        <w:t>（款）</w:t>
      </w:r>
      <w:r>
        <w:rPr>
          <w:rFonts w:hint="eastAsia" w:ascii="仿宋" w:hAnsi="仿宋" w:eastAsia="仿宋" w:cs="仿宋"/>
          <w:kern w:val="0"/>
          <w:sz w:val="32"/>
          <w:szCs w:val="32"/>
          <w:lang w:val="en-US" w:eastAsia="zh-CN" w:bidi="ar"/>
        </w:rPr>
        <w:t>住房公积金</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：指住房公积金的缴费支出</w:t>
      </w:r>
      <w:r>
        <w:rPr>
          <w:rFonts w:hint="eastAsia" w:ascii="Times New Roman" w:hAnsi="Times New Roman" w:eastAsia="仿宋_GB2312" w:cs="仿宋_GB2312"/>
          <w:color w:val="auto"/>
          <w:kern w:val="2"/>
          <w:sz w:val="32"/>
          <w:szCs w:val="32"/>
          <w:highlight w:val="none"/>
          <w:lang w:val="en-US" w:eastAsia="zh-CN" w:bidi="ar-SA"/>
        </w:rPr>
        <w:t>。</w:t>
      </w:r>
    </w:p>
    <w:p w14:paraId="3352444E">
      <w:pPr>
        <w:spacing w:line="600" w:lineRule="exact"/>
        <w:ind w:firstLine="640"/>
        <w:rPr>
          <w:rFonts w:hint="eastAsia" w:ascii="仿宋_GB2312" w:eastAsia="仿宋_GB2312" w:cs="黑体"/>
          <w:color w:val="auto"/>
          <w:sz w:val="32"/>
          <w:szCs w:val="32"/>
          <w:highlight w:val="none"/>
          <w:lang w:val="en-US" w:eastAsia="zh-CN"/>
        </w:rPr>
      </w:pPr>
    </w:p>
    <w:p w14:paraId="0A4A422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21</w:t>
      </w: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14:paraId="5D574D4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22</w:t>
      </w:r>
      <w:r>
        <w:rPr>
          <w:rFonts w:hint="eastAsia" w:ascii="Times New Roman" w:hAnsi="Times New Roman" w:eastAsia="仿宋_GB2312" w:cs="仿宋_GB2312"/>
          <w:color w:val="auto"/>
          <w:kern w:val="2"/>
          <w:sz w:val="32"/>
          <w:szCs w:val="32"/>
          <w:highlight w:val="none"/>
          <w:lang w:val="en-US" w:eastAsia="zh-CN" w:bidi="ar-SA"/>
        </w:rPr>
        <w:t xml:space="preserve">.项目支出：指在基本支出之外为完成特定行政任务和事业发展目标所发生的支出。 </w:t>
      </w:r>
    </w:p>
    <w:p w14:paraId="02226FB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23</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3C6D37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24</w:t>
      </w:r>
      <w:r>
        <w:rPr>
          <w:rFonts w:hint="eastAsia" w:ascii="Times New Roman" w:hAnsi="Times New Roman" w:eastAsia="仿宋_GB2312" w:cs="仿宋_GB2312"/>
          <w:color w:val="auto"/>
          <w:kern w:val="2"/>
          <w:sz w:val="32"/>
          <w:szCs w:val="32"/>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CCD8D7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B15C8D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99CF30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3EA081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2CBC636">
      <w:pPr>
        <w:spacing w:line="600" w:lineRule="exact"/>
        <w:jc w:val="center"/>
        <w:rPr>
          <w:rStyle w:val="19"/>
          <w:rFonts w:hint="eastAsia" w:ascii="Times New Roman" w:hAnsi="Times New Roman" w:eastAsia="黑体"/>
          <w:b w:val="0"/>
          <w:color w:val="auto"/>
          <w:highlight w:val="none"/>
          <w:lang w:eastAsia="zh-CN"/>
        </w:rPr>
      </w:pPr>
      <w:bookmarkStart w:id="40" w:name="_Toc15396614"/>
      <w:bookmarkStart w:id="41" w:name="_Toc15377226"/>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40"/>
    </w:p>
    <w:p w14:paraId="3ED58DF1">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00AF9BB1">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0FD34C1A">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2048BB78">
      <w:pPr>
        <w:spacing w:line="600" w:lineRule="exact"/>
        <w:ind w:firstLine="640"/>
        <w:outlineLvl w:val="1"/>
        <w:rPr>
          <w:rFonts w:hint="eastAsia" w:ascii="Times New Roman" w:hAnsi="Times New Roman" w:eastAsia="黑体" w:cs="Times New Roman"/>
          <w:color w:val="auto"/>
          <w:sz w:val="32"/>
          <w:szCs w:val="32"/>
          <w:highlight w:val="none"/>
          <w:lang w:val="zh-CN"/>
        </w:rPr>
      </w:pPr>
      <w:r>
        <w:rPr>
          <w:rFonts w:hint="eastAsia" w:ascii="Times New Roman" w:hAnsi="Times New Roman" w:eastAsia="黑体" w:cs="Times New Roman"/>
          <w:color w:val="auto"/>
          <w:sz w:val="32"/>
          <w:szCs w:val="32"/>
          <w:highlight w:val="none"/>
        </w:rPr>
        <w:t>一、</w:t>
      </w:r>
      <w:r>
        <w:rPr>
          <w:rFonts w:hint="eastAsia" w:ascii="Times New Roman" w:hAnsi="Times New Roman" w:eastAsia="黑体" w:cs="Times New Roman"/>
          <w:color w:val="auto"/>
          <w:sz w:val="32"/>
          <w:szCs w:val="32"/>
          <w:highlight w:val="none"/>
          <w:lang w:val="zh-CN"/>
        </w:rPr>
        <w:t>部门基本情况</w:t>
      </w:r>
    </w:p>
    <w:p w14:paraId="4CAFD3D1">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firstLine="560" w:firstLineChars="200"/>
        <w:contextualSpacing/>
        <w:jc w:val="left"/>
        <w:textAlignment w:val="auto"/>
        <w:rPr>
          <w:rFonts w:hint="eastAsia" w:ascii="楷体_GB2312" w:eastAsia="楷体_GB2312" w:cs="宋体"/>
          <w:color w:val="000000"/>
          <w:kern w:val="0"/>
          <w:sz w:val="28"/>
          <w:szCs w:val="44"/>
          <w:shd w:val="clear" w:color="auto" w:fill="FFFFFF"/>
          <w:lang w:val="zh-CN" w:eastAsia="zh-CN" w:bidi="ar-SA"/>
        </w:rPr>
      </w:pPr>
      <w:r>
        <w:rPr>
          <w:rFonts w:hint="eastAsia" w:ascii="楷体_GB2312" w:eastAsia="楷体_GB2312" w:cs="宋体"/>
          <w:color w:val="000000"/>
          <w:kern w:val="0"/>
          <w:sz w:val="28"/>
          <w:szCs w:val="44"/>
          <w:shd w:val="clear" w:color="auto" w:fill="FFFFFF"/>
          <w:lang w:val="zh-CN" w:eastAsia="zh-CN" w:bidi="ar-SA"/>
        </w:rPr>
        <w:t>（</w:t>
      </w:r>
      <w:r>
        <w:rPr>
          <w:rFonts w:hint="eastAsia" w:ascii="楷体_GB2312" w:eastAsia="楷体_GB2312" w:cs="宋体"/>
          <w:color w:val="000000"/>
          <w:kern w:val="0"/>
          <w:sz w:val="28"/>
          <w:szCs w:val="44"/>
          <w:shd w:val="clear" w:color="auto" w:fill="FFFFFF"/>
          <w:lang w:val="en-US" w:eastAsia="zh-CN" w:bidi="ar-SA"/>
        </w:rPr>
        <w:t>一</w:t>
      </w:r>
      <w:r>
        <w:rPr>
          <w:rFonts w:hint="eastAsia" w:ascii="楷体_GB2312" w:eastAsia="楷体_GB2312" w:cs="宋体"/>
          <w:color w:val="000000"/>
          <w:kern w:val="0"/>
          <w:sz w:val="28"/>
          <w:szCs w:val="44"/>
          <w:shd w:val="clear" w:color="auto" w:fill="FFFFFF"/>
          <w:lang w:val="zh-CN" w:eastAsia="zh-CN" w:bidi="ar-SA"/>
        </w:rPr>
        <w:t>）机构组成。</w:t>
      </w:r>
    </w:p>
    <w:p w14:paraId="24199AF6">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宋体" w:eastAsia="仿宋_GB2312" w:cs="宋体"/>
          <w:color w:val="auto"/>
          <w:kern w:val="0"/>
          <w:sz w:val="32"/>
          <w:szCs w:val="32"/>
          <w:lang w:val="zh-CN" w:eastAsia="zh-CN"/>
        </w:rPr>
      </w:pPr>
      <w:r>
        <w:rPr>
          <w:rFonts w:hint="eastAsia" w:ascii="仿宋_GB2312" w:hAnsi="宋体" w:eastAsia="仿宋_GB2312" w:cs="宋体"/>
          <w:color w:val="auto"/>
          <w:kern w:val="0"/>
          <w:sz w:val="32"/>
          <w:szCs w:val="32"/>
          <w:lang w:val="zh-CN" w:eastAsia="zh-CN"/>
        </w:rPr>
        <w:t>峨边彝族自治县新场乡人民政府为行政单位，部门预算单位1个，</w:t>
      </w:r>
      <w:r>
        <w:rPr>
          <w:rFonts w:hint="eastAsia" w:ascii="仿宋_GB2312" w:hAnsi="宋体" w:eastAsia="仿宋_GB2312" w:cs="宋体"/>
          <w:color w:val="auto"/>
          <w:kern w:val="0"/>
          <w:sz w:val="32"/>
          <w:szCs w:val="32"/>
          <w:lang w:val="en-US" w:eastAsia="zh-CN"/>
        </w:rPr>
        <w:t>内设五办两中心。包括党政办公室、党建工作办公室、社会事务和社会治理办公室、经济发展和规划建设办公室、综合执法和应急管理办公室、便民服务中心、农业综合服务中心。</w:t>
      </w:r>
    </w:p>
    <w:p w14:paraId="25BBBE4F">
      <w:pPr>
        <w:spacing w:line="600" w:lineRule="exact"/>
        <w:ind w:firstLine="640"/>
        <w:outlineLvl w:val="1"/>
        <w:rPr>
          <w:rFonts w:hint="eastAsia" w:ascii="Times New Roman" w:hAnsi="Times New Roman" w:eastAsia="黑体" w:cs="Times New Roman"/>
          <w:color w:val="auto"/>
          <w:sz w:val="32"/>
          <w:szCs w:val="32"/>
          <w:highlight w:val="none"/>
          <w:lang w:val="zh-CN" w:eastAsia="zh-CN"/>
        </w:rPr>
      </w:pPr>
      <w:r>
        <w:rPr>
          <w:rFonts w:hint="eastAsia" w:ascii="Times New Roman" w:hAnsi="Times New Roman" w:eastAsia="黑体" w:cs="Times New Roman"/>
          <w:color w:val="auto"/>
          <w:sz w:val="32"/>
          <w:szCs w:val="32"/>
          <w:highlight w:val="none"/>
          <w:lang w:val="en-US" w:eastAsia="zh-CN"/>
        </w:rPr>
        <w:t>二、</w:t>
      </w:r>
      <w:r>
        <w:rPr>
          <w:rFonts w:hint="eastAsia" w:ascii="Times New Roman" w:hAnsi="Times New Roman" w:eastAsia="黑体" w:cs="Times New Roman"/>
          <w:color w:val="auto"/>
          <w:sz w:val="32"/>
          <w:szCs w:val="32"/>
          <w:highlight w:val="none"/>
          <w:lang w:val="zh-CN" w:eastAsia="zh-CN"/>
        </w:rPr>
        <w:t>机构职能和人员概况。</w:t>
      </w:r>
    </w:p>
    <w:p w14:paraId="429F2957">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firstLine="560" w:firstLineChars="200"/>
        <w:contextualSpacing/>
        <w:jc w:val="left"/>
        <w:textAlignment w:val="auto"/>
        <w:rPr>
          <w:rFonts w:hint="eastAsia" w:ascii="楷体_GB2312" w:hAnsi="Times New Roman" w:eastAsia="楷体_GB2312" w:cs="宋体"/>
          <w:color w:val="000000"/>
          <w:kern w:val="0"/>
          <w:sz w:val="28"/>
          <w:szCs w:val="44"/>
          <w:shd w:val="clear" w:color="auto" w:fill="FFFFFF"/>
          <w:lang w:val="en-US" w:eastAsia="zh-CN" w:bidi="ar-SA"/>
        </w:rPr>
      </w:pPr>
      <w:r>
        <w:rPr>
          <w:rFonts w:hint="eastAsia" w:ascii="楷体_GB2312" w:hAnsi="Times New Roman" w:eastAsia="楷体_GB2312" w:cs="宋体"/>
          <w:color w:val="000000"/>
          <w:kern w:val="0"/>
          <w:sz w:val="28"/>
          <w:szCs w:val="44"/>
          <w:shd w:val="clear" w:color="auto" w:fill="FFFFFF"/>
          <w:lang w:val="en-US" w:eastAsia="zh-CN" w:bidi="ar-SA"/>
        </w:rPr>
        <w:t>1.机构职能</w:t>
      </w:r>
    </w:p>
    <w:p w14:paraId="6126E059">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firstLine="640" w:firstLineChars="200"/>
        <w:contextualSpacing/>
        <w:jc w:val="left"/>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负责贯彻执行党和国家的路线方针政策、法律法规规章，执行县委、县政府的决定，研究决定辖区政治、经济、文化、社会、生态文明等领域事业发展的重大事项并组织实施。</w:t>
      </w:r>
    </w:p>
    <w:p w14:paraId="5C4A83ED">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统筹落实关于辖区发展的重大决策，参与辖区建设规划和公共服务设施布局，建立健全基层社会治理工作机制，引导、整合辖区内各种社会力量为区域发展服务，推动辖区健康、有序、可持续发展。</w:t>
      </w:r>
    </w:p>
    <w:p w14:paraId="67B6EE11">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负责加强基层党组织建设和基层政权建设，巩固党的执政基础；统筹协调辖区内各领域党建工作，推进社区党建、单位党建、行业党建和区域化党建互联互动，统筹抓好新领域新业态新群体党建工作。负责人大、政协、统战、民族宗教、群团工作。</w:t>
      </w:r>
    </w:p>
    <w:p w14:paraId="3D2E9259">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加强基层意识形态工作，推进基层精神文明建设，培育和弘扬社会主义核心价值观，创造良好社会环境。</w:t>
      </w:r>
    </w:p>
    <w:p w14:paraId="616D0669">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负责拟定经济发展规划并组织实施。促进经济发展，推进产业结构调整，促进经济增长方式转变，促进农民增收。</w:t>
      </w:r>
    </w:p>
    <w:p w14:paraId="75B3B202">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负责拟定社会事业发展规划并组织实施。负责教育、科技，文化旅游、体育、广播电视、民政、卫生健康、医疗保障、残疾人保障、社会保险、退役军人服务等工作，推进便民服务规范化建设管理，落实与群众密切相关的各项公共服务政策。</w:t>
      </w:r>
    </w:p>
    <w:p w14:paraId="5EC1C763">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负责拟定乡村振兴发展规划并组织实施。负责农业产业升级转型、美丽乡村建设、农村文化生活繁荣、农村基础设施和公共服务能力提升、脱贫攻坚等工作。</w:t>
      </w:r>
    </w:p>
    <w:p w14:paraId="3FCA058F">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负责城乡基层治理工作，深化党建引领城乡基层治理，构建共建、共治、共享的城乡基层治理工作格局，推进和谐宜居乡村建设；加强社会主义民主法治建设，承担社会治理、信访维稳、综治中心、社区戒毒、社区康复、法治建设、反邪教等工作。</w:t>
      </w:r>
    </w:p>
    <w:p w14:paraId="799A7EEC">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负责辖区公共事务综合管理，参与辖区规划建设，负责拟定村镇国土空间规划并组织实施，承担重点工程建设、 乡村道路建设及公共设施、水利设施等管理工作，对辖区事关群众利益的重大决策和重大项目提出建议。负责统筹组织协调指挥辖区内派驻和基层执法等力量。</w:t>
      </w:r>
    </w:p>
    <w:p w14:paraId="6B74C992">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负责应急管理和安全生产工作，落实安全生产责任制，建立健全应对突发紧急事件的处置管理机制，构建公共安全防控体系。</w:t>
      </w:r>
    </w:p>
    <w:p w14:paraId="08CC9AAD">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负责自然资源、生态环境保护工作，做好网格化环境监管，开展自然资源、环境保护隐患排查和治理，配合有关部门查处自然资源、环境违法行为，做好辖区内自然资源及生态环境保护工作。</w:t>
      </w:r>
    </w:p>
    <w:p w14:paraId="42BAA0AA">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负责推进基层民主法治建设，加强普法依法治理，维护群众合法权益。负责协助武装部门做好辖区民兵训练和公民服兵役工作。</w:t>
      </w:r>
    </w:p>
    <w:p w14:paraId="2BAF5A05">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按照干部管理权限，负责干部的教育、培训、选拔、考核和监督工作。加强对本级财政、所属行政事业单位以及村级财务的核算和监督。</w:t>
      </w:r>
    </w:p>
    <w:p w14:paraId="7FE045DD">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根据法定职责或受委托承担辖区内审批服务、公共服务、各类社会事务服务等职责。负责制定完善权力清单、责任清单、公共服务清单，建立清单动态调整和公示机制，推进党务政务公开，接受群众监督，增加公信力。</w:t>
      </w:r>
    </w:p>
    <w:p w14:paraId="0CDFEF2B">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履行法律法规、规章规定的其他职责，承办县委、县政府交办的其他工作。</w:t>
      </w:r>
    </w:p>
    <w:p w14:paraId="356F20FB">
      <w:pPr>
        <w:pStyle w:val="6"/>
        <w:keepNext w:val="0"/>
        <w:keepLines w:val="0"/>
        <w:pageBreakBefore w:val="0"/>
        <w:kinsoku/>
        <w:wordWrap/>
        <w:overflowPunct/>
        <w:topLinePunct w:val="0"/>
        <w:autoSpaceDE/>
        <w:autoSpaceDN/>
        <w:bidi w:val="0"/>
        <w:spacing w:line="580" w:lineRule="exact"/>
        <w:ind w:firstLine="560" w:firstLineChars="200"/>
        <w:textAlignment w:val="auto"/>
        <w:rPr>
          <w:rFonts w:hint="eastAsia" w:ascii="楷体_GB2312" w:eastAsia="楷体_GB2312" w:cs="宋体"/>
          <w:color w:val="000000"/>
          <w:kern w:val="0"/>
          <w:sz w:val="28"/>
          <w:szCs w:val="44"/>
          <w:shd w:val="clear" w:color="auto" w:fill="FFFFFF"/>
          <w:lang w:val="zh-CN" w:eastAsia="zh-CN"/>
        </w:rPr>
      </w:pPr>
      <w:r>
        <w:rPr>
          <w:rFonts w:hint="eastAsia" w:ascii="楷体_GB2312" w:eastAsia="楷体_GB2312" w:cs="宋体"/>
          <w:color w:val="000000"/>
          <w:kern w:val="0"/>
          <w:sz w:val="28"/>
          <w:szCs w:val="44"/>
          <w:shd w:val="clear" w:color="auto" w:fill="FFFFFF"/>
          <w:lang w:val="en-US" w:eastAsia="zh-CN"/>
        </w:rPr>
        <w:t>2.</w:t>
      </w:r>
      <w:r>
        <w:rPr>
          <w:rFonts w:hint="eastAsia" w:ascii="楷体_GB2312" w:eastAsia="楷体_GB2312" w:cs="宋体"/>
          <w:color w:val="000000"/>
          <w:kern w:val="0"/>
          <w:sz w:val="28"/>
          <w:szCs w:val="44"/>
          <w:shd w:val="clear" w:color="auto" w:fill="FFFFFF"/>
          <w:lang w:val="zh-CN" w:eastAsia="zh-CN"/>
        </w:rPr>
        <w:t>人员概况</w:t>
      </w:r>
    </w:p>
    <w:p w14:paraId="7121A3AA">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新场乡机关行政编制17名。核定领导职数10名，其中党委书记1名，乡长（副书记）1名，人大主席1名，专职副书记1名、副乡长3名（其中1名兼任武装部长）、武装部长1名、纪委书记1名、组织委员1名（兼任统战委员、宣传委员、人大副主席）、政法委员1名。设中层职数5名。新场乡设2个直属事业单位，事业编制核定为14名。2024年底，乡镇在职人员总数31人，其中：行政人员20人，事业人员11人。</w:t>
      </w:r>
    </w:p>
    <w:p w14:paraId="5754C098">
      <w:pPr>
        <w:keepNext w:val="0"/>
        <w:keepLines w:val="0"/>
        <w:pageBreakBefore w:val="0"/>
        <w:widowControl/>
        <w:numPr>
          <w:ilvl w:val="0"/>
          <w:numId w:val="2"/>
        </w:numPr>
        <w:kinsoku/>
        <w:wordWrap/>
        <w:overflowPunct/>
        <w:topLinePunct w:val="0"/>
        <w:autoSpaceDE/>
        <w:autoSpaceDN/>
        <w:bidi w:val="0"/>
        <w:adjustRightInd w:val="0"/>
        <w:snapToGrid w:val="0"/>
        <w:spacing w:line="580" w:lineRule="exact"/>
        <w:ind w:left="0" w:leftChars="0" w:firstLine="640" w:firstLineChars="200"/>
        <w:contextualSpacing/>
        <w:jc w:val="left"/>
        <w:textAlignment w:val="auto"/>
        <w:rPr>
          <w:rFonts w:hint="eastAsia" w:ascii="楷体_GB2312" w:eastAsia="楷体_GB2312" w:cs="宋体"/>
          <w:color w:val="000000"/>
          <w:kern w:val="0"/>
          <w:szCs w:val="32"/>
          <w:shd w:val="clear" w:color="auto" w:fill="FFFFFF"/>
          <w:lang w:val="zh-CN"/>
        </w:rPr>
      </w:pPr>
      <w:r>
        <w:rPr>
          <w:rFonts w:hint="eastAsia" w:ascii="楷体_GB2312" w:eastAsia="楷体_GB2312" w:cs="宋体"/>
          <w:color w:val="000000"/>
          <w:kern w:val="0"/>
          <w:sz w:val="32"/>
          <w:szCs w:val="48"/>
          <w:shd w:val="clear" w:color="auto" w:fill="FFFFFF"/>
          <w:lang w:val="zh-CN" w:eastAsia="zh-CN" w:bidi="ar-SA"/>
        </w:rPr>
        <w:t>年度主要工作任务</w:t>
      </w:r>
      <w:r>
        <w:rPr>
          <w:rFonts w:hint="eastAsia" w:ascii="楷体_GB2312" w:eastAsia="楷体_GB2312" w:cs="宋体"/>
          <w:color w:val="000000"/>
          <w:kern w:val="0"/>
          <w:szCs w:val="32"/>
          <w:shd w:val="clear" w:color="auto" w:fill="FFFFFF"/>
          <w:lang w:val="zh-CN" w:eastAsia="zh-CN" w:bidi="ar-SA"/>
        </w:rPr>
        <w:t>。</w:t>
      </w:r>
    </w:p>
    <w:p w14:paraId="1966A976">
      <w:pPr>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黑体" w:hAnsi="黑体" w:eastAsia="黑体" w:cs="黑体"/>
          <w:b w:val="0"/>
          <w:bCs w:val="0"/>
          <w:snapToGrid w:val="0"/>
          <w:color w:val="000000"/>
          <w:sz w:val="32"/>
          <w:lang w:val="en-US" w:eastAsia="zh-CN"/>
        </w:rPr>
      </w:pPr>
      <w:r>
        <w:rPr>
          <w:rFonts w:hint="eastAsia" w:ascii="仿宋_GB2312" w:hAnsi="宋体" w:eastAsia="仿宋_GB2312" w:cs="宋体"/>
          <w:color w:val="auto"/>
          <w:kern w:val="0"/>
          <w:sz w:val="32"/>
          <w:szCs w:val="32"/>
        </w:rPr>
        <w:t>在县委、县政府的坚强领导下，新场乡始终坚持以习近平新时代中国特色社会主义思想为指导，全面贯彻落实县委</w:t>
      </w:r>
      <w:r>
        <w:rPr>
          <w:rFonts w:hint="eastAsia" w:ascii="仿宋_GB2312" w:hAnsi="宋体" w:eastAsia="仿宋_GB2312" w:cs="宋体"/>
          <w:color w:val="auto"/>
          <w:kern w:val="0"/>
          <w:sz w:val="32"/>
          <w:szCs w:val="32"/>
          <w:lang w:eastAsia="zh-CN"/>
        </w:rPr>
        <w:t>、县</w:t>
      </w:r>
      <w:r>
        <w:rPr>
          <w:rFonts w:hint="eastAsia" w:ascii="仿宋_GB2312" w:hAnsi="宋体" w:eastAsia="仿宋_GB2312" w:cs="宋体"/>
          <w:color w:val="auto"/>
          <w:kern w:val="0"/>
          <w:sz w:val="32"/>
          <w:szCs w:val="32"/>
        </w:rPr>
        <w:t>政府的各项决策部署，团结带领全乡干部群众，统筹</w:t>
      </w:r>
      <w:r>
        <w:rPr>
          <w:rFonts w:hint="eastAsia" w:ascii="仿宋_GB2312" w:eastAsia="仿宋_GB2312" w:cs="宋体"/>
          <w:color w:val="auto"/>
          <w:kern w:val="0"/>
          <w:sz w:val="32"/>
          <w:szCs w:val="32"/>
          <w:lang w:eastAsia="zh-CN"/>
        </w:rPr>
        <w:t>推进</w:t>
      </w:r>
      <w:r>
        <w:rPr>
          <w:rFonts w:hint="eastAsia" w:ascii="仿宋_GB2312" w:hAnsi="宋体" w:eastAsia="仿宋_GB2312" w:cs="宋体"/>
          <w:color w:val="auto"/>
          <w:kern w:val="0"/>
          <w:sz w:val="32"/>
          <w:szCs w:val="32"/>
        </w:rPr>
        <w:t>经济社会发展，聚焦党的建设、乡村振兴、项目推进、安全生产等</w:t>
      </w:r>
      <w:r>
        <w:rPr>
          <w:rFonts w:hint="eastAsia" w:ascii="仿宋_GB2312" w:hAnsi="宋体" w:eastAsia="仿宋_GB2312" w:cs="宋体"/>
          <w:color w:val="auto"/>
          <w:kern w:val="0"/>
          <w:sz w:val="32"/>
          <w:szCs w:val="32"/>
          <w:lang w:eastAsia="zh-CN"/>
        </w:rPr>
        <w:t>工作</w:t>
      </w:r>
      <w:r>
        <w:rPr>
          <w:rFonts w:hint="eastAsia" w:ascii="仿宋_GB2312" w:hAnsi="宋体" w:eastAsia="仿宋_GB2312" w:cs="宋体"/>
          <w:color w:val="auto"/>
          <w:kern w:val="0"/>
          <w:sz w:val="32"/>
          <w:szCs w:val="32"/>
        </w:rPr>
        <w:t>，统筹发展和安全，各项事业持续健康发展。</w:t>
      </w:r>
    </w:p>
    <w:p w14:paraId="0DB2EC9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default" w:ascii="仿宋_GB2312" w:hAnsi="仿宋_GB2312" w:eastAsia="仿宋_GB2312" w:cs="仿宋_GB2312"/>
          <w:color w:val="auto"/>
          <w:sz w:val="32"/>
          <w:szCs w:val="32"/>
          <w:lang w:val="en-US" w:eastAsia="zh-CN"/>
        </w:rPr>
        <w:t>始终把思想政治建设贯穿工作始终。</w:t>
      </w:r>
      <w:r>
        <w:rPr>
          <w:rFonts w:hint="eastAsia" w:ascii="仿宋_GB2312" w:hAnsi="仿宋_GB2312" w:eastAsia="仿宋_GB2312" w:cs="仿宋_GB2312"/>
          <w:color w:val="auto"/>
          <w:sz w:val="32"/>
          <w:szCs w:val="32"/>
          <w:lang w:val="en-US" w:eastAsia="zh-CN"/>
        </w:rPr>
        <w:t>压紧</w:t>
      </w:r>
      <w:r>
        <w:rPr>
          <w:rFonts w:hint="default" w:ascii="仿宋_GB2312" w:hAnsi="仿宋_GB2312" w:eastAsia="仿宋_GB2312" w:cs="仿宋_GB2312"/>
          <w:color w:val="auto"/>
          <w:sz w:val="32"/>
          <w:szCs w:val="32"/>
          <w:lang w:val="en-US" w:eastAsia="zh-CN"/>
        </w:rPr>
        <w:t>压实班子成员“一岗双责”，持续抓好党内政治生活，严格落实好基层党组织</w:t>
      </w:r>
      <w:r>
        <w:rPr>
          <w:rFonts w:hint="eastAsia" w:ascii="仿宋_GB2312" w:hAnsi="仿宋_GB2312" w:eastAsia="仿宋_GB2312" w:cs="仿宋_GB2312"/>
          <w:color w:val="auto"/>
          <w:sz w:val="32"/>
          <w:szCs w:val="32"/>
          <w:lang w:val="en-US" w:eastAsia="zh-CN"/>
        </w:rPr>
        <w:t>“三会一课”</w:t>
      </w:r>
      <w:r>
        <w:rPr>
          <w:rFonts w:hint="default" w:ascii="仿宋_GB2312" w:hAnsi="仿宋_GB2312" w:eastAsia="仿宋_GB2312" w:cs="仿宋_GB2312"/>
          <w:color w:val="auto"/>
          <w:sz w:val="32"/>
          <w:szCs w:val="32"/>
          <w:lang w:val="en-US" w:eastAsia="zh-CN"/>
        </w:rPr>
        <w:t>、主题党日、组织生活会</w:t>
      </w:r>
      <w:r>
        <w:rPr>
          <w:rFonts w:hint="eastAsia" w:ascii="仿宋_GB2312" w:hAnsi="仿宋_GB2312" w:eastAsia="仿宋_GB2312" w:cs="仿宋_GB2312"/>
          <w:color w:val="auto"/>
          <w:sz w:val="32"/>
          <w:szCs w:val="32"/>
          <w:lang w:val="en-US" w:eastAsia="zh-CN"/>
        </w:rPr>
        <w:t>等</w:t>
      </w:r>
      <w:r>
        <w:rPr>
          <w:rFonts w:hint="default" w:ascii="仿宋_GB2312" w:hAnsi="仿宋_GB2312" w:eastAsia="仿宋_GB2312" w:cs="仿宋_GB2312"/>
          <w:color w:val="auto"/>
          <w:sz w:val="32"/>
          <w:szCs w:val="32"/>
          <w:lang w:val="en-US" w:eastAsia="zh-CN"/>
        </w:rPr>
        <w:t>制度，把“两个维护”落实到基层党建全过程各方面。</w:t>
      </w:r>
    </w:p>
    <w:p w14:paraId="682B74B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default" w:ascii="仿宋_GB2312" w:hAnsi="仿宋_GB2312" w:eastAsia="仿宋_GB2312" w:cs="仿宋_GB2312"/>
          <w:color w:val="auto"/>
          <w:sz w:val="32"/>
          <w:szCs w:val="32"/>
          <w:lang w:val="en-US" w:eastAsia="zh-CN"/>
        </w:rPr>
        <w:t>强化保障、深度惠民，不断增进民生福祉。</w:t>
      </w:r>
      <w:r>
        <w:rPr>
          <w:rFonts w:hint="eastAsia" w:ascii="仿宋_GB2312" w:hAnsi="仿宋_GB2312" w:eastAsia="仿宋_GB2312" w:cs="仿宋_GB2312"/>
          <w:color w:val="auto"/>
          <w:sz w:val="32"/>
          <w:szCs w:val="32"/>
          <w:lang w:val="en-US" w:eastAsia="zh-CN"/>
        </w:rPr>
        <w:t>深入开展“节奏更快、效率更高、质量更优”主题实践活动，实施干部能力提升计划，制定“机关干部全覆盖下村”工作方案，推动干部深入基层，密切干群关系。同时，</w:t>
      </w:r>
      <w:r>
        <w:rPr>
          <w:rFonts w:hint="default" w:ascii="仿宋_GB2312" w:hAnsi="仿宋_GB2312" w:eastAsia="仿宋_GB2312" w:cs="仿宋_GB2312"/>
          <w:color w:val="auto"/>
          <w:sz w:val="32"/>
          <w:szCs w:val="32"/>
          <w:lang w:val="en-US" w:eastAsia="zh-CN"/>
        </w:rPr>
        <w:t>加快完善社会保障体系，深入推进全民参保计划。做好临时救助工作，着重化解因病、因残困难家庭问题，强化动态管理，兜牢民生底线。</w:t>
      </w:r>
    </w:p>
    <w:p w14:paraId="700E0F2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default" w:ascii="仿宋_GB2312" w:hAnsi="仿宋_GB2312" w:eastAsia="仿宋_GB2312" w:cs="仿宋_GB2312"/>
          <w:color w:val="auto"/>
          <w:sz w:val="32"/>
          <w:szCs w:val="32"/>
          <w:lang w:val="en-US" w:eastAsia="zh-CN"/>
        </w:rPr>
        <w:t>稳大局保安全，着力推进社会和谐稳定。坚决落实安全生产工作要求，紧盯重点安全风险领域，强化安全生产、防灾减灾、消防安全意识，遏制较大以上事故的发生，全力维护社会大局和谐稳定。</w:t>
      </w:r>
    </w:p>
    <w:p w14:paraId="3CB4BA8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抓产业聚特色，着力推进产业结构优化。一是特色农业升级。以“一核两片四基地，一纵一环两干多支”为总体规划思路，探索规模化、特色化花牛养殖模式，始终围绕新场（辣椒）复合现代农业产业园区做文章，整乡规划，全域推进。积极争创省三星级现代农业园区。巩固3000亩“玉米+辣椒”套种核心基地，配套智能化育秧育苗中心、农事服务中心，进一步提升机械化率。二是三产融合发展。举办辣椒采摘节，构建“线上直播+线下节会”营销矩阵；推动“辣必小心”加工厂投产，延伸加工链条。建设“辣椒科技小院”，打造20亩良种试验基地。三是集体经济增效。推动联合总社转型升级，实行县供销社+村股份经济合作社+农民专业合作社“三社融合”发展模式，成立新场强村供销公司，拓展农资供应、日用品供销、快递物流、广告办公用品等业务，发展新型集体经济，服务全乡产业发展。</w:t>
      </w:r>
    </w:p>
    <w:p w14:paraId="0C8BE54C">
      <w:pPr>
        <w:pStyle w:val="6"/>
        <w:keepNext w:val="0"/>
        <w:keepLines w:val="0"/>
        <w:pageBreakBefore w:val="0"/>
        <w:kinsoku/>
        <w:wordWrap/>
        <w:overflowPunct/>
        <w:topLinePunct w:val="0"/>
        <w:autoSpaceDE/>
        <w:autoSpaceDN/>
        <w:bidi w:val="0"/>
        <w:spacing w:line="580" w:lineRule="exac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（四）部门整体支出绩效目标。</w:t>
      </w:r>
    </w:p>
    <w:p w14:paraId="4A32639A">
      <w:pPr>
        <w:pStyle w:val="6"/>
        <w:keepNext w:val="0"/>
        <w:keepLines w:val="0"/>
        <w:pageBreakBefore w:val="0"/>
        <w:kinsoku/>
        <w:wordWrap/>
        <w:overflowPunct/>
        <w:topLinePunct w:val="0"/>
        <w:autoSpaceDE/>
        <w:autoSpaceDN/>
        <w:bidi w:val="0"/>
        <w:spacing w:line="580" w:lineRule="exact"/>
        <w:ind w:firstLine="640" w:firstLineChars="200"/>
        <w:textAlignment w:val="auto"/>
        <w:rPr>
          <w:rFonts w:ascii="楷体_GB2312" w:hAnsi="宋体" w:eastAsia="楷体_GB2312" w:cs="宋体"/>
          <w:color w:val="000000"/>
          <w:kern w:val="0"/>
          <w:szCs w:val="32"/>
          <w:shd w:val="clear" w:color="auto" w:fill="FFFFFF"/>
          <w:lang w:val="zh-CN"/>
        </w:rPr>
      </w:pPr>
      <w:r>
        <w:rPr>
          <w:rFonts w:hint="eastAsia" w:ascii="仿宋_GB2312" w:hAnsi="Times New Roman" w:eastAsia="仿宋_GB2312" w:cs="Times New Roman"/>
          <w:sz w:val="32"/>
          <w:szCs w:val="32"/>
          <w:highlight w:val="none"/>
          <w:lang w:val="zh-CN" w:eastAsia="zh-CN"/>
        </w:rPr>
        <w:t>解决全乡5个行政村村民最关心、最直接、最现实问题，包括各项公益事项建设，改善农村人居环境，</w:t>
      </w:r>
      <w:r>
        <w:rPr>
          <w:rFonts w:hint="eastAsia" w:ascii="仿宋_GB2312" w:eastAsia="仿宋_GB2312" w:cs="Times New Roman"/>
          <w:sz w:val="32"/>
          <w:szCs w:val="32"/>
          <w:highlight w:val="none"/>
          <w:lang w:val="zh-CN" w:eastAsia="zh-CN"/>
        </w:rPr>
        <w:t>保障</w:t>
      </w:r>
      <w:r>
        <w:rPr>
          <w:rFonts w:hint="eastAsia" w:ascii="仿宋_GB2312" w:hAnsi="Times New Roman" w:eastAsia="仿宋_GB2312" w:cs="Times New Roman"/>
          <w:sz w:val="32"/>
          <w:szCs w:val="32"/>
          <w:highlight w:val="none"/>
          <w:lang w:val="zh-CN" w:eastAsia="zh-CN"/>
        </w:rPr>
        <w:t>全乡辖区内群众办好事、做好事、解决事等支出。</w:t>
      </w:r>
    </w:p>
    <w:p w14:paraId="4A557E81">
      <w:pPr>
        <w:spacing w:line="600" w:lineRule="exact"/>
        <w:ind w:firstLine="640"/>
        <w:outlineLvl w:val="1"/>
        <w:rPr>
          <w:rFonts w:hint="eastAsia" w:ascii="Times New Roman" w:hAnsi="Times New Roman" w:eastAsia="黑体" w:cs="Times New Roman"/>
          <w:color w:val="auto"/>
          <w:sz w:val="32"/>
          <w:szCs w:val="32"/>
          <w:highlight w:val="none"/>
          <w:lang w:val="zh-CN" w:eastAsia="zh-CN"/>
        </w:rPr>
      </w:pPr>
      <w:r>
        <w:rPr>
          <w:rFonts w:hint="eastAsia" w:ascii="Times New Roman" w:hAnsi="Times New Roman" w:eastAsia="黑体" w:cs="Times New Roman"/>
          <w:color w:val="auto"/>
          <w:sz w:val="32"/>
          <w:szCs w:val="32"/>
          <w:highlight w:val="none"/>
          <w:lang w:val="zh-CN" w:eastAsia="zh-CN"/>
        </w:rPr>
        <w:t>二、部门财政资金收支情况</w:t>
      </w:r>
    </w:p>
    <w:p w14:paraId="49486414">
      <w:pPr>
        <w:pStyle w:val="6"/>
        <w:keepNext w:val="0"/>
        <w:keepLines w:val="0"/>
        <w:pageBreakBefore w:val="0"/>
        <w:kinsoku/>
        <w:wordWrap/>
        <w:overflowPunct/>
        <w:topLinePunct w:val="0"/>
        <w:autoSpaceDE/>
        <w:autoSpaceDN/>
        <w:bidi w:val="0"/>
        <w:spacing w:line="580" w:lineRule="exact"/>
        <w:ind w:firstLine="720" w:firstLineChars="200"/>
        <w:textAlignment w:val="auto"/>
        <w:rPr>
          <w:rFonts w:hint="eastAsia" w:ascii="楷体_GB2312" w:hAnsi="宋体" w:eastAsia="楷体_GB2312" w:cs="宋体"/>
          <w:color w:val="000000"/>
          <w:kern w:val="0"/>
          <w:sz w:val="36"/>
          <w:szCs w:val="52"/>
          <w:shd w:val="clear" w:color="auto" w:fill="FFFFFF"/>
          <w:lang w:val="zh-CN"/>
        </w:rPr>
      </w:pPr>
      <w:r>
        <w:rPr>
          <w:rFonts w:hint="eastAsia" w:ascii="楷体_GB2312" w:hAnsi="宋体" w:eastAsia="楷体_GB2312" w:cs="宋体"/>
          <w:color w:val="000000"/>
          <w:kern w:val="0"/>
          <w:sz w:val="36"/>
          <w:szCs w:val="52"/>
          <w:shd w:val="clear" w:color="auto" w:fill="FFFFFF"/>
          <w:lang w:val="zh-CN"/>
        </w:rPr>
        <w:t>（一）部门财政资金收入情况。</w:t>
      </w:r>
    </w:p>
    <w:p w14:paraId="3F0BA581">
      <w:pPr>
        <w:pStyle w:val="6"/>
        <w:keepNext w:val="0"/>
        <w:keepLines w:val="0"/>
        <w:pageBreakBefore w:val="0"/>
        <w:kinsoku/>
        <w:wordWrap/>
        <w:overflowPunct/>
        <w:topLinePunct w:val="0"/>
        <w:autoSpaceDE/>
        <w:autoSpaceDN/>
        <w:bidi w:val="0"/>
        <w:spacing w:line="580" w:lineRule="exact"/>
        <w:textAlignment w:val="auto"/>
        <w:rPr>
          <w:rFonts w:ascii="楷体_GB2312" w:hAnsi="宋体" w:eastAsia="楷体_GB2312" w:cs="宋体"/>
          <w:color w:val="000000"/>
          <w:kern w:val="0"/>
          <w:szCs w:val="32"/>
          <w:shd w:val="clear" w:color="auto" w:fill="FFFFFF"/>
          <w:lang w:val="zh-CN"/>
        </w:rPr>
      </w:pPr>
      <w:r>
        <w:rPr>
          <w:rFonts w:hint="eastAsia" w:ascii="仿宋_GB2312" w:eastAsia="仿宋_GB2312"/>
          <w:sz w:val="32"/>
          <w:szCs w:val="32"/>
          <w:highlight w:val="none"/>
          <w:lang w:val="en-US" w:eastAsia="zh-CN"/>
        </w:rPr>
        <w:t>2024年财政拨款收入909.41万元</w:t>
      </w:r>
      <w:r>
        <w:rPr>
          <w:rStyle w:val="18"/>
          <w:rFonts w:hint="eastAsia" w:ascii="仿宋_GB2312"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，其中：上年结转0万元；一般公共预算拨款收入877.11 万元；政府性基金预算拨款收入32.30万元。</w:t>
      </w:r>
    </w:p>
    <w:p w14:paraId="5820476B">
      <w:pPr>
        <w:pStyle w:val="6"/>
        <w:keepNext w:val="0"/>
        <w:keepLines w:val="0"/>
        <w:pageBreakBefore w:val="0"/>
        <w:kinsoku/>
        <w:wordWrap/>
        <w:overflowPunct/>
        <w:topLinePunct w:val="0"/>
        <w:autoSpaceDE/>
        <w:autoSpaceDN/>
        <w:bidi w:val="0"/>
        <w:spacing w:line="580" w:lineRule="exact"/>
        <w:ind w:firstLine="720" w:firstLineChars="200"/>
        <w:textAlignment w:val="auto"/>
        <w:rPr>
          <w:rFonts w:hint="eastAsia" w:ascii="楷体_GB2312" w:hAnsi="宋体" w:eastAsia="楷体_GB2312" w:cs="宋体"/>
          <w:color w:val="000000"/>
          <w:kern w:val="0"/>
          <w:sz w:val="36"/>
          <w:szCs w:val="52"/>
          <w:shd w:val="clear" w:color="auto" w:fill="FFFFFF"/>
          <w:lang w:val="zh-CN"/>
        </w:rPr>
      </w:pPr>
      <w:r>
        <w:rPr>
          <w:rFonts w:hint="eastAsia" w:ascii="楷体_GB2312" w:hAnsi="宋体" w:eastAsia="楷体_GB2312" w:cs="宋体"/>
          <w:color w:val="000000"/>
          <w:kern w:val="0"/>
          <w:sz w:val="36"/>
          <w:szCs w:val="52"/>
          <w:shd w:val="clear" w:color="auto" w:fill="FFFFFF"/>
          <w:lang w:val="zh-CN"/>
        </w:rPr>
        <w:t>（二）部门财政资金支出情况。</w:t>
      </w:r>
    </w:p>
    <w:p w14:paraId="5554F941">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楷体_GB2312" w:hAnsi="宋体" w:eastAsia="仿宋_GB2312" w:cs="宋体"/>
          <w:color w:val="auto"/>
          <w:kern w:val="0"/>
          <w:szCs w:val="32"/>
          <w:highlight w:val="none"/>
          <w:shd w:val="clear" w:color="auto" w:fill="FFFFFF"/>
          <w:lang w:val="zh-CN" w:eastAsia="zh-CN"/>
        </w:rPr>
      </w:pPr>
      <w:r>
        <w:rPr>
          <w:rFonts w:hint="eastAsia" w:ascii="仿宋_GB2312" w:hAnsi="仿宋_GB2312" w:eastAsia="仿宋_GB2312" w:cs="仿宋_GB2312"/>
          <w:color w:val="auto"/>
          <w:kern w:val="0"/>
          <w:sz w:val="32"/>
          <w:szCs w:val="32"/>
          <w:highlight w:val="none"/>
          <w:lang w:val="en-US" w:eastAsia="zh-CN" w:bidi="ar-SA"/>
        </w:rPr>
        <w:t>峨边彝族自治县新场乡人民政府</w:t>
      </w:r>
      <w:r>
        <w:rPr>
          <w:rFonts w:hint="eastAsia" w:ascii="仿宋_GB2312" w:hAnsi="仿宋_GB2312" w:eastAsia="仿宋_GB2312" w:cs="仿宋_GB2312"/>
          <w:color w:val="auto"/>
          <w:kern w:val="0"/>
          <w:sz w:val="32"/>
          <w:szCs w:val="32"/>
          <w:highlight w:val="none"/>
          <w:lang w:eastAsia="zh-CN" w:bidi="ar-SA"/>
        </w:rPr>
        <w:t>202</w:t>
      </w:r>
      <w:r>
        <w:rPr>
          <w:rFonts w:hint="eastAsia" w:ascii="仿宋_GB2312" w:hAnsi="仿宋_GB2312" w:eastAsia="仿宋_GB2312" w:cs="仿宋_GB2312"/>
          <w:color w:val="auto"/>
          <w:kern w:val="0"/>
          <w:sz w:val="32"/>
          <w:szCs w:val="32"/>
          <w:highlight w:val="none"/>
          <w:lang w:val="en-US" w:eastAsia="zh-CN" w:bidi="ar-SA"/>
        </w:rPr>
        <w:t>4</w:t>
      </w:r>
      <w:r>
        <w:rPr>
          <w:rFonts w:hint="eastAsia" w:ascii="仿宋_GB2312" w:hAnsi="仿宋_GB2312" w:eastAsia="仿宋_GB2312" w:cs="仿宋_GB2312"/>
          <w:color w:val="auto"/>
          <w:kern w:val="0"/>
          <w:sz w:val="32"/>
          <w:szCs w:val="32"/>
          <w:highlight w:val="none"/>
          <w:lang w:bidi="ar-SA"/>
        </w:rPr>
        <w:t>年支出预算</w:t>
      </w:r>
      <w:r>
        <w:rPr>
          <w:rFonts w:hint="eastAsia" w:ascii="仿宋_GB2312" w:hAnsi="仿宋_GB2312" w:eastAsia="仿宋_GB2312" w:cs="仿宋_GB2312"/>
          <w:color w:val="auto"/>
          <w:kern w:val="0"/>
          <w:sz w:val="32"/>
          <w:szCs w:val="32"/>
          <w:highlight w:val="none"/>
          <w:lang w:val="en-US" w:eastAsia="zh-CN" w:bidi="ar-SA"/>
        </w:rPr>
        <w:t>909.41</w:t>
      </w:r>
      <w:r>
        <w:rPr>
          <w:rFonts w:hint="eastAsia" w:ascii="仿宋_GB2312" w:hAnsi="仿宋_GB2312" w:eastAsia="仿宋_GB2312" w:cs="仿宋_GB2312"/>
          <w:color w:val="auto"/>
          <w:kern w:val="0"/>
          <w:sz w:val="32"/>
          <w:szCs w:val="32"/>
          <w:highlight w:val="none"/>
          <w:lang w:bidi="ar-SA"/>
        </w:rPr>
        <w:t>万元，其中：基本支出</w:t>
      </w:r>
      <w:r>
        <w:rPr>
          <w:rFonts w:hint="eastAsia" w:ascii="仿宋_GB2312" w:hAnsi="仿宋_GB2312" w:eastAsia="仿宋_GB2312" w:cs="仿宋_GB2312"/>
          <w:color w:val="auto"/>
          <w:kern w:val="0"/>
          <w:sz w:val="32"/>
          <w:szCs w:val="32"/>
          <w:highlight w:val="none"/>
          <w:lang w:val="en-US" w:eastAsia="zh-CN" w:bidi="ar-SA"/>
        </w:rPr>
        <w:t>810.38万元</w:t>
      </w:r>
      <w:r>
        <w:rPr>
          <w:rFonts w:hint="eastAsia" w:ascii="仿宋_GB2312" w:hAnsi="仿宋_GB2312" w:eastAsia="仿宋_GB2312" w:cs="仿宋_GB2312"/>
          <w:color w:val="auto"/>
          <w:kern w:val="0"/>
          <w:sz w:val="32"/>
          <w:szCs w:val="32"/>
          <w:highlight w:val="none"/>
          <w:lang w:bidi="ar-SA"/>
        </w:rPr>
        <w:t>，项目支出</w:t>
      </w:r>
      <w:r>
        <w:rPr>
          <w:rFonts w:hint="eastAsia" w:ascii="仿宋_GB2312" w:hAnsi="仿宋_GB2312" w:eastAsia="仿宋_GB2312" w:cs="仿宋_GB2312"/>
          <w:color w:val="auto"/>
          <w:kern w:val="0"/>
          <w:sz w:val="32"/>
          <w:szCs w:val="32"/>
          <w:highlight w:val="none"/>
          <w:lang w:val="en-US" w:eastAsia="zh-CN" w:bidi="ar-SA"/>
        </w:rPr>
        <w:t>99.03</w:t>
      </w:r>
      <w:r>
        <w:rPr>
          <w:rFonts w:hint="eastAsia" w:ascii="仿宋_GB2312" w:hAnsi="仿宋_GB2312" w:eastAsia="仿宋_GB2312" w:cs="仿宋_GB2312"/>
          <w:color w:val="auto"/>
          <w:kern w:val="0"/>
          <w:sz w:val="32"/>
          <w:szCs w:val="32"/>
          <w:highlight w:val="none"/>
          <w:lang w:bidi="ar-SA"/>
        </w:rPr>
        <w:t>万元</w:t>
      </w:r>
      <w:r>
        <w:rPr>
          <w:rFonts w:hint="eastAsia" w:ascii="仿宋_GB2312" w:hAnsi="仿宋_GB2312" w:eastAsia="仿宋_GB2312" w:cs="仿宋_GB2312"/>
          <w:color w:val="auto"/>
          <w:kern w:val="0"/>
          <w:sz w:val="32"/>
          <w:szCs w:val="32"/>
          <w:highlight w:val="none"/>
          <w:lang w:eastAsia="zh-CN" w:bidi="ar-SA"/>
        </w:rPr>
        <w:t>。</w:t>
      </w:r>
    </w:p>
    <w:p w14:paraId="5F5337CE">
      <w:pPr>
        <w:spacing w:line="600" w:lineRule="exact"/>
        <w:ind w:firstLine="640"/>
        <w:outlineLvl w:val="1"/>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zh-CN" w:eastAsia="zh-CN"/>
        </w:rPr>
        <w:t>（三）部门财政资金结转结余情况</w:t>
      </w:r>
      <w:r>
        <w:rPr>
          <w:rFonts w:hint="eastAsia" w:eastAsia="黑体" w:cs="Times New Roman"/>
          <w:color w:val="auto"/>
          <w:sz w:val="32"/>
          <w:szCs w:val="32"/>
          <w:highlight w:val="none"/>
          <w:lang w:val="zh-CN" w:eastAsia="zh-CN"/>
        </w:rPr>
        <w:t>。</w:t>
      </w:r>
    </w:p>
    <w:p w14:paraId="79A53DEC">
      <w:pPr>
        <w:pStyle w:val="2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default" w:ascii="楷体_GB2312" w:hAnsi="宋体" w:eastAsia="楷体_GB2312" w:cs="宋体"/>
          <w:color w:val="000000"/>
          <w:kern w:val="0"/>
          <w:szCs w:val="32"/>
          <w:shd w:val="clear" w:color="auto" w:fill="FFFFFF"/>
          <w:lang w:val="en-US" w:eastAsia="zh-CN"/>
        </w:rPr>
      </w:pP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2023年度财政资金结转结余0元。</w:t>
      </w:r>
    </w:p>
    <w:p w14:paraId="6DC2F4CB">
      <w:pPr>
        <w:spacing w:line="600" w:lineRule="exact"/>
        <w:ind w:firstLine="640"/>
        <w:outlineLvl w:val="1"/>
        <w:rPr>
          <w:rFonts w:hint="eastAsia" w:ascii="Times New Roman" w:hAnsi="Times New Roman" w:eastAsia="黑体" w:cs="Times New Roman"/>
          <w:color w:val="auto"/>
          <w:sz w:val="32"/>
          <w:szCs w:val="32"/>
          <w:highlight w:val="none"/>
          <w:lang w:val="zh-CN" w:eastAsia="zh-CN"/>
        </w:rPr>
      </w:pPr>
      <w:r>
        <w:rPr>
          <w:rFonts w:hint="eastAsia" w:ascii="Times New Roman" w:hAnsi="Times New Roman" w:eastAsia="黑体" w:cs="Times New Roman"/>
          <w:color w:val="auto"/>
          <w:sz w:val="32"/>
          <w:szCs w:val="32"/>
          <w:highlight w:val="none"/>
          <w:lang w:val="zh-CN" w:eastAsia="zh-CN"/>
        </w:rPr>
        <w:t>三、部门整体绩效管理情况（根据部门整体支出绩效自评和部门预算项目支出绩效自评情况进行描述）</w:t>
      </w:r>
    </w:p>
    <w:p w14:paraId="24A9B12E">
      <w:pPr>
        <w:keepNext w:val="0"/>
        <w:keepLines w:val="0"/>
        <w:pageBreakBefore w:val="0"/>
        <w:widowControl/>
        <w:kinsoku/>
        <w:wordWrap/>
        <w:overflowPunct/>
        <w:topLinePunct w:val="0"/>
        <w:autoSpaceDE/>
        <w:autoSpaceDN/>
        <w:bidi w:val="0"/>
        <w:adjustRightInd w:val="0"/>
        <w:snapToGrid w:val="0"/>
        <w:spacing w:line="580" w:lineRule="exact"/>
        <w:ind w:firstLine="560" w:firstLineChars="200"/>
        <w:contextualSpacing/>
        <w:jc w:val="left"/>
        <w:textAlignment w:val="auto"/>
        <w:rPr>
          <w:rFonts w:hint="eastAsia" w:ascii="楷体_GB2312" w:hAnsi="宋体" w:eastAsia="楷体_GB2312" w:cs="宋体"/>
          <w:color w:val="000000"/>
          <w:kern w:val="0"/>
          <w:sz w:val="28"/>
          <w:szCs w:val="44"/>
          <w:shd w:val="clear" w:color="auto" w:fill="FFFFFF"/>
          <w:lang w:val="zh-CN"/>
        </w:rPr>
      </w:pPr>
      <w:r>
        <w:rPr>
          <w:rFonts w:hint="eastAsia" w:ascii="楷体_GB2312" w:hAnsi="宋体" w:eastAsia="楷体_GB2312" w:cs="宋体"/>
          <w:color w:val="000000"/>
          <w:kern w:val="0"/>
          <w:sz w:val="28"/>
          <w:szCs w:val="44"/>
          <w:shd w:val="clear" w:color="auto" w:fill="FFFFFF"/>
          <w:lang w:val="zh-CN"/>
        </w:rPr>
        <w:t>（一）</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部门整体履职绩效分析。</w:t>
      </w:r>
    </w:p>
    <w:p w14:paraId="1959E31D">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rPr>
          <w:rFonts w:hint="eastAsia" w:ascii="仿宋" w:hAnsi="仿宋" w:eastAsia="仿宋" w:cs="仿宋"/>
          <w:color w:val="000000"/>
          <w:kern w:val="0"/>
          <w:szCs w:val="32"/>
          <w:shd w:val="clear" w:color="auto" w:fill="FFFFFF"/>
          <w:lang w:val="zh-CN" w:eastAsia="zh-CN" w:bidi="ar-SA"/>
        </w:rPr>
      </w:pP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新场乡人民政府预算编制严格按照上级部门要求编制并及时报送，项目分类也严格按照上级部门要求分类，未发现有不按照要求编制、报送等行为。预算管理方面，编制内在职人员控制率小于100%，部门经费支出控制在预算内。制度执行总体较好，但仍需进一步强化，资金使用管理需进一步加强。绩效目标按要求向社会公开，部门整体绩效自评情况和自行组织的评价情况向社会公开，及时整改了绩效管理发现问题，向财政部门反馈结果应用情况。</w:t>
      </w:r>
    </w:p>
    <w:p w14:paraId="221DD2AA">
      <w:pPr>
        <w:pStyle w:val="15"/>
        <w:keepNext w:val="0"/>
        <w:keepLines w:val="0"/>
        <w:pageBreakBefore w:val="0"/>
        <w:widowControl/>
        <w:numPr>
          <w:ilvl w:val="0"/>
          <w:numId w:val="3"/>
        </w:numPr>
        <w:shd w:val="clear" w:color="auto" w:fill="FFFFFF"/>
        <w:kinsoku/>
        <w:wordWrap/>
        <w:overflowPunct/>
        <w:topLinePunct w:val="0"/>
        <w:autoSpaceDE/>
        <w:autoSpaceDN/>
        <w:bidi w:val="0"/>
        <w:spacing w:before="0" w:beforeAutospacing="0" w:after="0" w:afterAutospacing="0" w:line="580" w:lineRule="exact"/>
        <w:ind w:left="0" w:leftChars="0" w:firstLine="640" w:firstLineChars="200"/>
        <w:jc w:val="both"/>
        <w:textAlignment w:val="auto"/>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pP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特定目标类项目绩效分析。</w:t>
      </w:r>
    </w:p>
    <w:p w14:paraId="2AA07650">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firstLine="640" w:firstLineChars="200"/>
        <w:contextualSpacing/>
        <w:jc w:val="left"/>
        <w:textAlignment w:val="auto"/>
        <w:rPr>
          <w:rFonts w:ascii="仿宋_GB2312" w:hAnsi="宋体" w:eastAsia="仿宋_GB2312" w:cs="宋体"/>
          <w:color w:val="000000"/>
          <w:kern w:val="0"/>
          <w:szCs w:val="32"/>
          <w:highlight w:val="yellow"/>
          <w:shd w:val="clear" w:color="auto" w:fill="FFFFFF"/>
          <w:lang w:val="zh-CN"/>
        </w:rPr>
      </w:pP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新场乡</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人民政府绩效目标按要求向社会公开，部门整体绩效自评情况和自行组织的评价情况向社会公开，及时整改了绩效管理发现问题，向财政部门反馈结果应用情况。资金主要投入</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在：交通劝导员补贴3.6万元；交通安全工作经费2万元；拖欠企业账款清偿项目13.8万元；峨边彝族自治县新场乡长虹村多功能综合服务平台项目12.13万元；峨边射箭坪综合服务区管理运行费项目12万元；2024年基层组织和农村公共服务运行维护费（上级）47万元；城乡融合重大项目前期工作经费8.5万元。</w:t>
      </w:r>
    </w:p>
    <w:p w14:paraId="33AA7032">
      <w:pPr>
        <w:pStyle w:val="15"/>
        <w:keepNext w:val="0"/>
        <w:keepLines w:val="0"/>
        <w:pageBreakBefore w:val="0"/>
        <w:widowControl/>
        <w:numPr>
          <w:ilvl w:val="0"/>
          <w:numId w:val="3"/>
        </w:numPr>
        <w:shd w:val="clear" w:color="auto" w:fill="FFFFFF"/>
        <w:kinsoku/>
        <w:wordWrap/>
        <w:overflowPunct/>
        <w:topLinePunct w:val="0"/>
        <w:autoSpaceDE/>
        <w:autoSpaceDN/>
        <w:bidi w:val="0"/>
        <w:spacing w:before="0" w:beforeAutospacing="0" w:after="0" w:afterAutospacing="0" w:line="580" w:lineRule="exact"/>
        <w:ind w:left="0" w:leftChars="0" w:firstLine="640" w:firstLineChars="200"/>
        <w:jc w:val="both"/>
        <w:textAlignment w:val="auto"/>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pP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部门预算项目支出情况分析。</w:t>
      </w:r>
    </w:p>
    <w:p w14:paraId="08C11F96">
      <w:pPr>
        <w:pStyle w:val="15"/>
        <w:keepNext w:val="0"/>
        <w:keepLines w:val="0"/>
        <w:pageBreakBefore w:val="0"/>
        <w:widowControl/>
        <w:numPr>
          <w:ilvl w:val="0"/>
          <w:numId w:val="0"/>
        </w:numPr>
        <w:shd w:val="clear" w:color="auto" w:fill="FFFFFF"/>
        <w:kinsoku/>
        <w:wordWrap/>
        <w:overflowPunct/>
        <w:topLinePunct w:val="0"/>
        <w:autoSpaceDE/>
        <w:autoSpaceDN/>
        <w:bidi w:val="0"/>
        <w:spacing w:before="0" w:beforeAutospacing="0" w:after="0" w:afterAutospacing="0" w:line="580" w:lineRule="exact"/>
        <w:ind w:firstLine="640" w:firstLineChars="200"/>
        <w:jc w:val="both"/>
        <w:textAlignment w:val="auto"/>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pP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1.</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乡镇交管办劝导员补贴及乡镇交管办工作经费项目，新场乡共计</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预算5.6</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万</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元，实际支付5.6万元。</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乡镇交管办劝导员补贴及乡镇交管办工作经费项目严格按照《</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四川省人民政府办公厅关于印发建立健全全省农村道路交通安全管理工作机制实施方案的通知》（川办函〔2014〕106号）文件精神及时发放交通劝导员补贴和支付</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交管办工作经费。</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经综合汇总得出峨边彝族自治县新场乡</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乡镇交管办劝导员补贴及乡镇交管办工作经费项目</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绩效评价等级为优。</w:t>
      </w:r>
    </w:p>
    <w:p w14:paraId="74296228">
      <w:pPr>
        <w:numPr>
          <w:ilvl w:val="0"/>
          <w:numId w:val="0"/>
        </w:num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pP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2.射箭坪综合服务区管理运行</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费</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项目，新场乡共计预算12万元，实际支付12万元。</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根据《峨边彝族自治县财政局关于开展20</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24</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年部门整体、项目和政策支出绩效评价工作的通知》文件精神，</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我单位认真组织开展了部门整体支出绩效评价工作，绩效评价自评</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得分：</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98</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分。</w:t>
      </w:r>
    </w:p>
    <w:p w14:paraId="1F813F80">
      <w:pPr>
        <w:numPr>
          <w:ilvl w:val="0"/>
          <w:numId w:val="0"/>
        </w:num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pP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3.拖欠企业账款清偿项目，新场乡共计预算13.8万元，实际支付13.8万元。</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根据《峨边彝族自治县财政局关于开展20</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24</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年部门整体、项目和政策支出绩效评价工作的通知》文件精神，</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我单位认真组织开展了部门整体支出绩效评价工作，绩效评价自评</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得分：</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98</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分。</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 xml:space="preserve"> </w:t>
      </w:r>
    </w:p>
    <w:p w14:paraId="482AB2C4">
      <w:pPr>
        <w:numPr>
          <w:ilvl w:val="0"/>
          <w:numId w:val="0"/>
        </w:num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pP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4.峨边彝族自治县新场乡长虹村多功能综合服务平台项目，新场乡共计预算12.13万元，实际支付12.13万元。</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该项目</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符合当前经济社会发展需要，按程序报镇党委研究通过实施，最终报县财政备案。项目管理由村级主管，乡人民政府监管；资金使用严格按照相关文件规定执行。</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截至20</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24</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年</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12月31日，圆满</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完成目标任务，资金拨付</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12.13万元，资金拨付率达到100%，经过该项目的实施，成功</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改善长虹村办公条件，</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提高村民办事效率，更好地服务村民，</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为发展乡村振兴提供可靠保障。根据《峨边彝族自治县财政局关于开展</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2024</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年部门整体、项目和政策支出绩效评价工作的通知》文件精神，</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我单位认真组织开展了部门整体支出绩效评价工作，绩效评价自评</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得分：</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98</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分。</w:t>
      </w:r>
    </w:p>
    <w:p w14:paraId="6EB5E5A1">
      <w:pPr>
        <w:numPr>
          <w:ilvl w:val="0"/>
          <w:numId w:val="0"/>
        </w:num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pP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5.峨边射箭坪综合服务区管理运行费项目，新场乡共计预算12万元，实际支付12万元。项目符合党中央、国务院和省委、省政府、市委、市政府、县委、县政府决策部署；符合当前经济社会发展需要，按程序报镇党委研究通过实施，最终报县财政备案。项目管理由村级主管，乡人民政府监管；资金使用严格按照相关文件规定执行。</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截至202</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4</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年</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12月31日，全乡5个村圆满</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完成目标任务，资金拨付</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12万元，资金拨付率达到100%，经过该项目的实施，保障了射箭坪综合服务区工作正常开展，</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合计</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12</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万元。根据《峨边彝族自治县财政局关于开展20</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24</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年部门整体、项目和政策支出绩效评价工作的通知》文件精神，</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我单位认真组织开展了部门整体支出绩效评价工作，绩效评价自评</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得分：</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98</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分。</w:t>
      </w:r>
    </w:p>
    <w:p w14:paraId="3D384F4E">
      <w:pPr>
        <w:numPr>
          <w:ilvl w:val="0"/>
          <w:numId w:val="0"/>
        </w:num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pP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6.2024年基层组织和农村公共服务运行维护费（上级）项目，新场乡共计预算47万元，实际支付47万元。项目符合党中央、国务院和省委、省政府、市委、市政府、县委、县政府决策部署；符合当前经济社会发展需要，经过村级“四议两公开”研究制定，报乡党委研究通过实施，最终报县财政备案。项目管理由村级主管，乡人民政府监管；资金使用严格按照《四川省财政厅关于全面建立基层组织活动和公共服务运行经费保障机制的通知》（川财基〔2016〕1号）、《四川省财政厅关于印发〈四川省基层组织活动和公共服务运行经费使用管理办法〉的通知》（川财基〔2016〕7号）、《四川省财政厅关于规范基层组织活动和公共服务运行经费使用管理的通知》（川财基函〔2016〕13号）等文件规定执行。</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截至202</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4</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年</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12月31日，全乡5个村圆满</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完成目标任务，资金拨付</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47万元，资金拨付率达到100%。</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根据《峨边彝族自治县财政局关于开展20</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24</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年财政绩效评价工作的通知》文件精神，</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我单位认真组织开展了部门整体支出绩效评价工作，绩效评价自评</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得分：</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98</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分。</w:t>
      </w:r>
    </w:p>
    <w:p w14:paraId="7342A002">
      <w:pPr>
        <w:numPr>
          <w:ilvl w:val="0"/>
          <w:numId w:val="4"/>
        </w:num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pP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城乡融合重大项目前期工作经费项目，新场乡共计预算8.5万元，实际支付8.5万元。</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根据《峨边彝族自治县财政局关于开展20</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24</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年财政绩效评价工作的通知》文件精神，</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我单位认真组织开展了部门整体支出绩效评价工作，绩效评价自评</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得分：</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98</w:t>
      </w: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zh-CN" w:eastAsia="zh-CN" w:bidi="ar-SA"/>
        </w:rPr>
        <w:t>分。</w:t>
      </w:r>
    </w:p>
    <w:p w14:paraId="7BFCB949">
      <w:pPr>
        <w:numPr>
          <w:ilvl w:val="0"/>
          <w:numId w:val="3"/>
        </w:numPr>
        <w:pBdr>
          <w:top w:val="single" w:color="FFFFFF" w:sz="4" w:space="0"/>
          <w:left w:val="single" w:color="FFFFFF" w:sz="4" w:space="31"/>
          <w:bottom w:val="single" w:color="FFFFFF" w:sz="4" w:space="31"/>
          <w:right w:val="single" w:color="FFFFFF" w:sz="4" w:space="0"/>
        </w:pBdr>
        <w:snapToGrid w:val="0"/>
        <w:spacing w:line="600" w:lineRule="exact"/>
        <w:ind w:left="0" w:leftChars="0" w:firstLine="640" w:firstLineChars="200"/>
        <w:rPr>
          <w:rFonts w:hint="eastAsia" w:ascii="楷体_GB2312" w:hAnsi="宋体" w:eastAsia="楷体_GB2312" w:cs="宋体"/>
          <w:color w:val="000000"/>
          <w:kern w:val="0"/>
          <w:sz w:val="32"/>
          <w:szCs w:val="48"/>
          <w:shd w:val="clear" w:color="auto" w:fill="FFFFFF"/>
          <w:lang w:val="zh-CN"/>
        </w:rPr>
      </w:pPr>
      <w:r>
        <w:rPr>
          <w:rFonts w:hint="eastAsia" w:ascii="楷体_GB2312" w:hAnsi="宋体" w:eastAsia="楷体_GB2312" w:cs="宋体"/>
          <w:color w:val="000000"/>
          <w:kern w:val="0"/>
          <w:sz w:val="32"/>
          <w:szCs w:val="48"/>
          <w:shd w:val="clear" w:color="auto" w:fill="FFFFFF"/>
          <w:lang w:val="zh-CN"/>
        </w:rPr>
        <w:t>结果应用情况。</w:t>
      </w:r>
    </w:p>
    <w:p w14:paraId="2F827A8C">
      <w:pPr>
        <w:numPr>
          <w:ilvl w:val="0"/>
          <w:numId w:val="0"/>
        </w:num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pPr>
      <w:r>
        <w:rPr>
          <w:rStyle w:val="18"/>
          <w:rFonts w:hint="eastAsia" w:ascii="仿宋_GB2312" w:hAnsi="Times New Roman" w:eastAsia="仿宋_GB2312" w:cs="仿宋_GB2312"/>
          <w:b w:val="0"/>
          <w:bCs w:val="0"/>
          <w:i w:val="0"/>
          <w:iCs w:val="0"/>
          <w:caps w:val="0"/>
          <w:smallCaps w:val="0"/>
          <w:color w:val="000000"/>
          <w:spacing w:val="0"/>
          <w:kern w:val="2"/>
          <w:sz w:val="32"/>
          <w:szCs w:val="32"/>
          <w:highlight w:val="none"/>
          <w:shd w:val="clear" w:color="auto" w:fill="FFFFFF"/>
          <w:lang w:val="en-US" w:eastAsia="zh-CN" w:bidi="ar-SA"/>
        </w:rPr>
        <w:t>我乡认真贯彻落实预算绩效管理新要求新标准，切实转变思想观念，加强绩效管理在财务预算、经费开支中的统筹作用，进一步明确预算编制、预算执行分析、预算调整、决算评价工作要求和流程，对预算的编制、批复、执行、追加、调整、决算、考评等进行全过程管理。按要求开展项目和政策事前绩效评估，事中监测分析调整，事后绩效评价并将评价结果运用。</w:t>
      </w:r>
    </w:p>
    <w:p w14:paraId="27BE5D20">
      <w:pPr>
        <w:numPr>
          <w:ilvl w:val="0"/>
          <w:numId w:val="5"/>
        </w:num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hint="eastAsia" w:ascii="黑体" w:hAnsi="黑体" w:eastAsia="黑体" w:cs="宋体"/>
          <w:color w:val="000000"/>
          <w:kern w:val="0"/>
          <w:sz w:val="32"/>
          <w:szCs w:val="48"/>
          <w:shd w:val="clear" w:color="auto" w:fill="FFFFFF"/>
        </w:rPr>
      </w:pPr>
      <w:r>
        <w:rPr>
          <w:rFonts w:hint="eastAsia" w:ascii="黑体" w:hAnsi="黑体" w:eastAsia="黑体" w:cs="宋体"/>
          <w:color w:val="000000"/>
          <w:kern w:val="0"/>
          <w:sz w:val="32"/>
          <w:szCs w:val="48"/>
          <w:shd w:val="clear" w:color="auto" w:fill="FFFFFF"/>
        </w:rPr>
        <w:t>评价结论及建议</w:t>
      </w:r>
    </w:p>
    <w:p w14:paraId="365E1342">
      <w:pPr>
        <w:numPr>
          <w:ilvl w:val="0"/>
          <w:numId w:val="6"/>
        </w:num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hint="eastAsia" w:ascii="楷体_GB2312" w:hAnsi="宋体" w:eastAsia="楷体_GB2312" w:cs="宋体"/>
          <w:color w:val="000000"/>
          <w:kern w:val="0"/>
          <w:sz w:val="32"/>
          <w:szCs w:val="48"/>
          <w:shd w:val="clear" w:color="auto" w:fill="FFFFFF"/>
          <w:lang w:val="zh-CN"/>
        </w:rPr>
      </w:pPr>
      <w:r>
        <w:rPr>
          <w:rFonts w:hint="eastAsia" w:ascii="楷体_GB2312" w:hAnsi="宋体" w:eastAsia="楷体_GB2312" w:cs="宋体"/>
          <w:color w:val="000000"/>
          <w:kern w:val="0"/>
          <w:sz w:val="32"/>
          <w:szCs w:val="48"/>
          <w:shd w:val="clear" w:color="auto" w:fill="FFFFFF"/>
          <w:lang w:val="zh-CN"/>
        </w:rPr>
        <w:t>评价结论。</w:t>
      </w:r>
    </w:p>
    <w:p w14:paraId="738814AF">
      <w:pPr>
        <w:numPr>
          <w:ilvl w:val="0"/>
          <w:numId w:val="0"/>
        </w:num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Style w:val="18"/>
          <w:rFonts w:hint="eastAsia" w:ascii="仿宋" w:hAnsi="仿宋" w:eastAsia="仿宋" w:cs="仿宋"/>
          <w:b w:val="0"/>
          <w:bCs w:val="0"/>
          <w:i w:val="0"/>
          <w:iCs w:val="0"/>
          <w:caps w:val="0"/>
          <w:smallCaps w:val="0"/>
          <w:color w:val="000000"/>
          <w:spacing w:val="0"/>
          <w:sz w:val="32"/>
          <w:szCs w:val="32"/>
          <w:highlight w:val="none"/>
          <w:shd w:val="clear" w:color="auto" w:fill="FFFFFF"/>
        </w:rPr>
      </w:pPr>
      <w:r>
        <w:rPr>
          <w:rFonts w:hint="eastAsia" w:ascii="仿宋" w:hAnsi="仿宋" w:eastAsia="仿宋" w:cs="仿宋"/>
          <w:color w:val="000000"/>
          <w:kern w:val="0"/>
          <w:sz w:val="32"/>
          <w:szCs w:val="32"/>
          <w:shd w:val="clear" w:color="auto" w:fill="FFFFFF"/>
          <w:lang w:val="en-US" w:eastAsia="zh-CN" w:bidi="ar-SA"/>
        </w:rPr>
        <w:t>2024年，新场乡人民政府认真贯彻执行预算法，认真实施预算绩效管理，重视资金支出绩效考核评价工作，采取有效的资金使用管理措施，各项资金使用严格履行审批程序，确保财政预算资金充分发挥绩效，资金使用达到了预期效果，较好地保障了各项工作开展，实现了2024年财政预算支出的绩效目标，</w:t>
      </w:r>
      <w:r>
        <w:rPr>
          <w:rStyle w:val="18"/>
          <w:rFonts w:hint="eastAsia" w:ascii="仿宋" w:hAnsi="仿宋" w:eastAsia="仿宋" w:cs="仿宋"/>
          <w:b w:val="0"/>
          <w:bCs w:val="0"/>
          <w:i w:val="0"/>
          <w:iCs w:val="0"/>
          <w:caps w:val="0"/>
          <w:smallCaps w:val="0"/>
          <w:color w:val="000000"/>
          <w:spacing w:val="0"/>
          <w:sz w:val="32"/>
          <w:szCs w:val="32"/>
          <w:shd w:val="clear" w:color="auto" w:fill="FFFFFF"/>
        </w:rPr>
        <w:t>根据《峨边彝族自治县财政局关于开展</w:t>
      </w:r>
      <w:r>
        <w:rPr>
          <w:rStyle w:val="18"/>
          <w:rFonts w:hint="eastAsia" w:ascii="仿宋" w:hAnsi="仿宋" w:eastAsia="仿宋" w:cs="仿宋"/>
          <w:b w:val="0"/>
          <w:bCs w:val="0"/>
          <w:i w:val="0"/>
          <w:iCs w:val="0"/>
          <w:caps w:val="0"/>
          <w:smallCaps w:val="0"/>
          <w:color w:val="000000"/>
          <w:spacing w:val="0"/>
          <w:sz w:val="32"/>
          <w:szCs w:val="32"/>
          <w:shd w:val="clear" w:color="auto" w:fill="FFFFFF"/>
          <w:lang w:val="en-US" w:eastAsia="zh-CN"/>
        </w:rPr>
        <w:t>2024</w:t>
      </w:r>
      <w:r>
        <w:rPr>
          <w:rStyle w:val="18"/>
          <w:rFonts w:hint="eastAsia" w:ascii="仿宋" w:hAnsi="仿宋" w:eastAsia="仿宋" w:cs="仿宋"/>
          <w:b w:val="0"/>
          <w:bCs w:val="0"/>
          <w:i w:val="0"/>
          <w:iCs w:val="0"/>
          <w:caps w:val="0"/>
          <w:smallCaps w:val="0"/>
          <w:color w:val="000000"/>
          <w:spacing w:val="0"/>
          <w:sz w:val="32"/>
          <w:szCs w:val="32"/>
          <w:shd w:val="clear" w:color="auto" w:fill="FFFFFF"/>
        </w:rPr>
        <w:t>年部门整体、项目和政策支出绩效评价工作的通知》文件精神，</w:t>
      </w:r>
      <w:r>
        <w:rPr>
          <w:rStyle w:val="18"/>
          <w:rFonts w:hint="eastAsia" w:ascii="仿宋" w:hAnsi="仿宋" w:eastAsia="仿宋" w:cs="仿宋"/>
          <w:b w:val="0"/>
          <w:bCs w:val="0"/>
          <w:i w:val="0"/>
          <w:iCs w:val="0"/>
          <w:caps w:val="0"/>
          <w:smallCaps w:val="0"/>
          <w:color w:val="000000"/>
          <w:spacing w:val="0"/>
          <w:sz w:val="32"/>
          <w:szCs w:val="32"/>
          <w:shd w:val="clear" w:color="auto" w:fill="FFFFFF"/>
          <w:lang w:val="en-US" w:eastAsia="zh-CN"/>
        </w:rPr>
        <w:t>新场乡</w:t>
      </w:r>
      <w:r>
        <w:rPr>
          <w:rStyle w:val="18"/>
          <w:rFonts w:hint="eastAsia" w:ascii="仿宋" w:hAnsi="仿宋" w:eastAsia="仿宋" w:cs="仿宋"/>
          <w:b w:val="0"/>
          <w:bCs w:val="0"/>
          <w:i w:val="0"/>
          <w:iCs w:val="0"/>
          <w:caps w:val="0"/>
          <w:smallCaps w:val="0"/>
          <w:color w:val="000000"/>
          <w:spacing w:val="0"/>
          <w:sz w:val="32"/>
          <w:szCs w:val="32"/>
          <w:shd w:val="clear" w:color="auto" w:fill="FFFFFF"/>
        </w:rPr>
        <w:t>人民政府认真组织开展了部门整体支出绩效评价工作，绩效评价</w:t>
      </w:r>
      <w:r>
        <w:rPr>
          <w:rStyle w:val="18"/>
          <w:rFonts w:hint="eastAsia" w:ascii="仿宋" w:hAnsi="仿宋" w:eastAsia="仿宋" w:cs="仿宋"/>
          <w:b w:val="0"/>
          <w:bCs w:val="0"/>
          <w:i w:val="0"/>
          <w:iCs w:val="0"/>
          <w:caps w:val="0"/>
          <w:smallCaps w:val="0"/>
          <w:color w:val="000000"/>
          <w:spacing w:val="0"/>
          <w:sz w:val="32"/>
          <w:szCs w:val="32"/>
          <w:highlight w:val="none"/>
          <w:shd w:val="clear" w:color="auto" w:fill="FFFFFF"/>
        </w:rPr>
        <w:t>得分：</w:t>
      </w:r>
      <w:r>
        <w:rPr>
          <w:rStyle w:val="18"/>
          <w:rFonts w:hint="eastAsia" w:ascii="仿宋" w:hAnsi="仿宋" w:eastAsia="仿宋" w:cs="仿宋"/>
          <w:b w:val="0"/>
          <w:bCs w:val="0"/>
          <w:i w:val="0"/>
          <w:iCs w:val="0"/>
          <w:caps w:val="0"/>
          <w:smallCaps w:val="0"/>
          <w:color w:val="000000"/>
          <w:spacing w:val="0"/>
          <w:sz w:val="32"/>
          <w:szCs w:val="32"/>
          <w:highlight w:val="none"/>
          <w:shd w:val="clear" w:color="auto" w:fill="FFFFFF"/>
          <w:lang w:val="en-US" w:eastAsia="zh-CN"/>
        </w:rPr>
        <w:t>98</w:t>
      </w:r>
      <w:r>
        <w:rPr>
          <w:rStyle w:val="18"/>
          <w:rFonts w:hint="eastAsia" w:ascii="仿宋" w:hAnsi="仿宋" w:eastAsia="仿宋" w:cs="仿宋"/>
          <w:b w:val="0"/>
          <w:bCs w:val="0"/>
          <w:i w:val="0"/>
          <w:iCs w:val="0"/>
          <w:caps w:val="0"/>
          <w:smallCaps w:val="0"/>
          <w:color w:val="000000"/>
          <w:spacing w:val="0"/>
          <w:sz w:val="32"/>
          <w:szCs w:val="32"/>
          <w:highlight w:val="none"/>
          <w:shd w:val="clear" w:color="auto" w:fill="FFFFFF"/>
        </w:rPr>
        <w:t>分。</w:t>
      </w:r>
    </w:p>
    <w:p w14:paraId="0602DF8D">
      <w:pPr>
        <w:numPr>
          <w:ilvl w:val="0"/>
          <w:numId w:val="0"/>
        </w:num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hint="eastAsia" w:ascii="Times New Roman" w:hAnsi="Times New Roman" w:eastAsia="黑体" w:cs="Times New Roman"/>
          <w:color w:val="auto"/>
          <w:sz w:val="32"/>
          <w:szCs w:val="32"/>
          <w:highlight w:val="none"/>
          <w:lang w:val="zh-CN" w:eastAsia="zh-CN"/>
        </w:rPr>
      </w:pPr>
      <w:r>
        <w:rPr>
          <w:rFonts w:hint="eastAsia" w:ascii="Times New Roman" w:hAnsi="Times New Roman" w:eastAsia="黑体" w:cs="Times New Roman"/>
          <w:color w:val="auto"/>
          <w:sz w:val="32"/>
          <w:szCs w:val="32"/>
          <w:highlight w:val="none"/>
          <w:lang w:val="zh-CN" w:eastAsia="zh-CN"/>
        </w:rPr>
        <w:t>（</w:t>
      </w:r>
      <w:r>
        <w:rPr>
          <w:rFonts w:hint="eastAsia" w:ascii="Times New Roman" w:hAnsi="Times New Roman" w:eastAsia="黑体" w:cs="Times New Roman"/>
          <w:color w:val="auto"/>
          <w:sz w:val="32"/>
          <w:szCs w:val="32"/>
          <w:highlight w:val="none"/>
          <w:lang w:val="en-US" w:eastAsia="zh-CN"/>
        </w:rPr>
        <w:t>二</w:t>
      </w:r>
      <w:r>
        <w:rPr>
          <w:rFonts w:hint="eastAsia" w:ascii="Times New Roman" w:hAnsi="Times New Roman" w:eastAsia="黑体" w:cs="Times New Roman"/>
          <w:color w:val="auto"/>
          <w:sz w:val="32"/>
          <w:szCs w:val="32"/>
          <w:highlight w:val="none"/>
          <w:lang w:val="zh-CN" w:eastAsia="zh-CN"/>
        </w:rPr>
        <w:t>）</w:t>
      </w:r>
      <w:r>
        <w:rPr>
          <w:rFonts w:hint="eastAsia" w:ascii="楷体_GB2312" w:hAnsi="宋体" w:eastAsia="楷体_GB2312" w:cs="宋体"/>
          <w:color w:val="000000"/>
          <w:kern w:val="0"/>
          <w:sz w:val="32"/>
          <w:szCs w:val="48"/>
          <w:shd w:val="clear" w:color="auto" w:fill="FFFFFF"/>
          <w:lang w:val="zh-CN" w:eastAsia="zh-CN"/>
        </w:rPr>
        <w:t>存在问题。</w:t>
      </w:r>
    </w:p>
    <w:p w14:paraId="7351A272">
      <w:pPr>
        <w:numPr>
          <w:ilvl w:val="0"/>
          <w:numId w:val="0"/>
        </w:num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1.注重绩效思想理念有待进一步强化；2.绩效管理措施有待进一步细化。</w:t>
      </w:r>
    </w:p>
    <w:p w14:paraId="70F90A55">
      <w:pPr>
        <w:numPr>
          <w:ilvl w:val="0"/>
          <w:numId w:val="0"/>
        </w:num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hint="eastAsia" w:ascii="Times New Roman" w:hAnsi="Times New Roman" w:eastAsia="黑体" w:cs="Times New Roman"/>
          <w:color w:val="auto"/>
          <w:sz w:val="32"/>
          <w:szCs w:val="32"/>
          <w:highlight w:val="none"/>
          <w:lang w:val="zh-CN" w:eastAsia="zh-CN"/>
        </w:rPr>
      </w:pPr>
      <w:r>
        <w:rPr>
          <w:rFonts w:hint="eastAsia" w:ascii="Times New Roman" w:hAnsi="Times New Roman" w:eastAsia="黑体" w:cs="Times New Roman"/>
          <w:color w:val="auto"/>
          <w:sz w:val="32"/>
          <w:szCs w:val="32"/>
          <w:highlight w:val="none"/>
          <w:lang w:val="zh-CN" w:eastAsia="zh-CN"/>
        </w:rPr>
        <w:t>（</w:t>
      </w:r>
      <w:r>
        <w:rPr>
          <w:rFonts w:hint="eastAsia" w:ascii="Times New Roman" w:hAnsi="Times New Roman" w:eastAsia="黑体" w:cs="Times New Roman"/>
          <w:color w:val="auto"/>
          <w:sz w:val="32"/>
          <w:szCs w:val="32"/>
          <w:highlight w:val="none"/>
          <w:lang w:val="en-US" w:eastAsia="zh-CN"/>
        </w:rPr>
        <w:t>三</w:t>
      </w:r>
      <w:r>
        <w:rPr>
          <w:rFonts w:hint="eastAsia" w:ascii="Times New Roman" w:hAnsi="Times New Roman" w:eastAsia="黑体" w:cs="Times New Roman"/>
          <w:color w:val="auto"/>
          <w:sz w:val="32"/>
          <w:szCs w:val="32"/>
          <w:highlight w:val="none"/>
          <w:lang w:val="zh-CN" w:eastAsia="zh-CN"/>
        </w:rPr>
        <w:t>）</w:t>
      </w:r>
      <w:r>
        <w:rPr>
          <w:rFonts w:hint="eastAsia" w:ascii="楷体_GB2312" w:hAnsi="宋体" w:eastAsia="楷体_GB2312" w:cs="宋体"/>
          <w:color w:val="000000"/>
          <w:kern w:val="0"/>
          <w:sz w:val="32"/>
          <w:szCs w:val="48"/>
          <w:shd w:val="clear" w:color="auto" w:fill="FFFFFF"/>
          <w:lang w:val="zh-CN" w:eastAsia="zh-CN"/>
        </w:rPr>
        <w:t>改进建议。</w:t>
      </w:r>
    </w:p>
    <w:p w14:paraId="50384CB4">
      <w:pPr>
        <w:numPr>
          <w:ilvl w:val="0"/>
          <w:numId w:val="0"/>
        </w:num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1.加强培训，提高认识；2.完善机制，强化督导。</w:t>
      </w:r>
    </w:p>
    <w:p w14:paraId="7F3074E0">
      <w:pPr>
        <w:pStyle w:val="10"/>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7BAFEB6B">
      <w:pPr>
        <w:pStyle w:val="10"/>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16FA8DE6">
      <w:pPr>
        <w:pStyle w:val="10"/>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p w14:paraId="39DC52EF">
      <w:pPr>
        <w:pStyle w:val="8"/>
        <w:rPr>
          <w:rFonts w:hint="eastAsia" w:ascii="Times New Roman" w:hAnsi="Times New Roman" w:cs="宋体"/>
          <w:color w:val="FF0000"/>
          <w:kern w:val="0"/>
          <w:sz w:val="32"/>
          <w:szCs w:val="32"/>
          <w:highlight w:val="yellow"/>
          <w:shd w:val="clear" w:color="auto" w:fill="FFFFFF"/>
          <w:lang w:val="zh-CN"/>
        </w:rPr>
      </w:pPr>
    </w:p>
    <w:p w14:paraId="035F52F6">
      <w:pPr>
        <w:pStyle w:val="8"/>
        <w:rPr>
          <w:rFonts w:hint="eastAsia" w:ascii="Times New Roman" w:hAnsi="Times New Roman" w:cs="宋体"/>
          <w:color w:val="FF0000"/>
          <w:kern w:val="0"/>
          <w:sz w:val="32"/>
          <w:szCs w:val="32"/>
          <w:highlight w:val="yellow"/>
          <w:shd w:val="clear" w:color="auto" w:fill="FFFFFF"/>
          <w:lang w:val="zh-CN"/>
        </w:rPr>
      </w:pPr>
    </w:p>
    <w:p w14:paraId="20089324">
      <w:pPr>
        <w:pStyle w:val="8"/>
        <w:rPr>
          <w:rFonts w:hint="eastAsia" w:ascii="Times New Roman" w:hAnsi="Times New Roman" w:cs="宋体"/>
          <w:color w:val="FF0000"/>
          <w:kern w:val="0"/>
          <w:sz w:val="32"/>
          <w:szCs w:val="32"/>
          <w:highlight w:val="yellow"/>
          <w:shd w:val="clear" w:color="auto" w:fill="FFFFFF"/>
          <w:lang w:val="zh-CN"/>
        </w:rPr>
      </w:pPr>
    </w:p>
    <w:p w14:paraId="5FFDC6F8">
      <w:pPr>
        <w:pStyle w:val="8"/>
        <w:rPr>
          <w:rFonts w:hint="eastAsia" w:ascii="Times New Roman" w:hAnsi="Times New Roman" w:cs="宋体"/>
          <w:color w:val="FF0000"/>
          <w:kern w:val="0"/>
          <w:sz w:val="32"/>
          <w:szCs w:val="32"/>
          <w:highlight w:val="yellow"/>
          <w:shd w:val="clear" w:color="auto" w:fill="FFFFFF"/>
          <w:lang w:val="zh-CN"/>
        </w:rPr>
      </w:pPr>
    </w:p>
    <w:p w14:paraId="271AF3B1">
      <w:pPr>
        <w:pStyle w:val="8"/>
        <w:rPr>
          <w:rFonts w:hint="eastAsia" w:ascii="Times New Roman" w:hAnsi="Times New Roman" w:cs="宋体"/>
          <w:color w:val="FF0000"/>
          <w:kern w:val="0"/>
          <w:sz w:val="32"/>
          <w:szCs w:val="32"/>
          <w:highlight w:val="yellow"/>
          <w:shd w:val="clear" w:color="auto" w:fill="FFFFFF"/>
          <w:lang w:val="zh-CN"/>
        </w:rPr>
      </w:pPr>
    </w:p>
    <w:p w14:paraId="0A41DF1A">
      <w:pPr>
        <w:pStyle w:val="8"/>
        <w:rPr>
          <w:rFonts w:hint="eastAsia" w:ascii="Times New Roman" w:hAnsi="Times New Roman" w:cs="宋体"/>
          <w:color w:val="FF0000"/>
          <w:kern w:val="0"/>
          <w:sz w:val="32"/>
          <w:szCs w:val="32"/>
          <w:highlight w:val="yellow"/>
          <w:shd w:val="clear" w:color="auto" w:fill="FFFFFF"/>
          <w:lang w:val="zh-CN"/>
        </w:rPr>
      </w:pPr>
    </w:p>
    <w:p w14:paraId="3EAC1E20">
      <w:pPr>
        <w:pStyle w:val="8"/>
        <w:rPr>
          <w:rFonts w:hint="eastAsia" w:ascii="Times New Roman" w:hAnsi="Times New Roman" w:cs="宋体"/>
          <w:color w:val="FF0000"/>
          <w:kern w:val="0"/>
          <w:sz w:val="32"/>
          <w:szCs w:val="32"/>
          <w:highlight w:val="yellow"/>
          <w:shd w:val="clear" w:color="auto" w:fill="FFFFFF"/>
          <w:lang w:val="zh-CN"/>
        </w:rPr>
      </w:pPr>
    </w:p>
    <w:p w14:paraId="68343A4B">
      <w:pPr>
        <w:pStyle w:val="8"/>
        <w:rPr>
          <w:rFonts w:hint="eastAsia" w:ascii="Times New Roman" w:hAnsi="Times New Roman" w:cs="宋体"/>
          <w:color w:val="FF0000"/>
          <w:kern w:val="0"/>
          <w:sz w:val="32"/>
          <w:szCs w:val="32"/>
          <w:highlight w:val="yellow"/>
          <w:shd w:val="clear" w:color="auto" w:fill="FFFFFF"/>
          <w:lang w:val="zh-CN"/>
        </w:rPr>
      </w:pPr>
    </w:p>
    <w:p w14:paraId="013C16AF">
      <w:pPr>
        <w:pStyle w:val="8"/>
        <w:rPr>
          <w:rFonts w:hint="eastAsia" w:ascii="Times New Roman" w:hAnsi="Times New Roman" w:cs="宋体"/>
          <w:color w:val="FF0000"/>
          <w:kern w:val="0"/>
          <w:sz w:val="32"/>
          <w:szCs w:val="32"/>
          <w:highlight w:val="yellow"/>
          <w:shd w:val="clear" w:color="auto" w:fill="FFFFFF"/>
          <w:lang w:val="zh-CN"/>
        </w:rPr>
      </w:pPr>
    </w:p>
    <w:p w14:paraId="2C59BDE1">
      <w:pPr>
        <w:pStyle w:val="8"/>
        <w:rPr>
          <w:rFonts w:hint="eastAsia" w:ascii="Times New Roman" w:hAnsi="Times New Roman" w:cs="宋体"/>
          <w:color w:val="FF0000"/>
          <w:kern w:val="0"/>
          <w:sz w:val="32"/>
          <w:szCs w:val="32"/>
          <w:highlight w:val="yellow"/>
          <w:shd w:val="clear" w:color="auto" w:fill="FFFFFF"/>
          <w:lang w:val="zh-CN"/>
        </w:rPr>
      </w:pPr>
    </w:p>
    <w:p w14:paraId="1EBBE54B">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tbl>
      <w:tblPr>
        <w:tblStyle w:val="16"/>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623"/>
        <w:gridCol w:w="657"/>
        <w:gridCol w:w="719"/>
        <w:gridCol w:w="800"/>
        <w:gridCol w:w="417"/>
        <w:gridCol w:w="746"/>
        <w:gridCol w:w="747"/>
        <w:gridCol w:w="852"/>
        <w:gridCol w:w="410"/>
        <w:gridCol w:w="326"/>
        <w:gridCol w:w="2137"/>
      </w:tblGrid>
      <w:tr w14:paraId="58842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BF450ED">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6207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5AC1B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2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398875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51113222T000000295943</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交通劝导员补贴</w:t>
            </w:r>
          </w:p>
        </w:tc>
      </w:tr>
      <w:tr w14:paraId="74977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2126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34C5E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峨边彝族自治县新场乡人民政府本级</w:t>
            </w:r>
          </w:p>
        </w:tc>
        <w:tc>
          <w:tcPr>
            <w:tcW w:w="503" w:type="pct"/>
            <w:tcBorders>
              <w:top w:val="nil"/>
              <w:left w:val="nil"/>
              <w:bottom w:val="nil"/>
              <w:right w:val="nil"/>
            </w:tcBorders>
            <w:shd w:val="clear" w:color="auto" w:fill="auto"/>
            <w:vAlign w:val="center"/>
          </w:tcPr>
          <w:p w14:paraId="420E1BAA">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7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B961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峨边彝族自治县新场乡人民政府</w:t>
            </w:r>
          </w:p>
        </w:tc>
      </w:tr>
      <w:tr w14:paraId="26D42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6FCB6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2B467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8D138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2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DFA9C5">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0EFD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4F1E4">
            <w:pPr>
              <w:snapToGrid w:val="0"/>
              <w:rPr>
                <w:rFonts w:hint="eastAsia" w:ascii="宋体" w:hAnsi="宋体" w:eastAsia="宋体" w:cs="宋体"/>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2EBF4">
            <w:pPr>
              <w:snapToGrid w:val="0"/>
              <w:rPr>
                <w:rFonts w:hint="eastAsia" w:ascii="宋体" w:hAnsi="宋体" w:eastAsia="宋体" w:cs="宋体"/>
                <w:i w:val="0"/>
                <w:iCs w:val="0"/>
                <w:color w:val="000000"/>
                <w:sz w:val="18"/>
                <w:szCs w:val="18"/>
                <w:u w:val="none"/>
              </w:rPr>
            </w:pPr>
          </w:p>
        </w:tc>
        <w:tc>
          <w:tcPr>
            <w:tcW w:w="20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7CC0D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交通劝导员补贴（5年）</w:t>
            </w:r>
          </w:p>
        </w:tc>
        <w:tc>
          <w:tcPr>
            <w:tcW w:w="22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A864EE">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45D9F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B9055">
            <w:pPr>
              <w:snapToGrid w:val="0"/>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7DC1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2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7A2177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根据交通劝导员名单发放补贴</w:t>
            </w:r>
          </w:p>
        </w:tc>
      </w:tr>
      <w:tr w14:paraId="00654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543E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1DA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55C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EA15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8F5E1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833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B09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FF3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56E2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2451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6B9F9">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D41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5F04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301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147B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810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057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EA73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D8E07B">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157A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508CD">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BC3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204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55F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48D8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FF54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E6D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9CE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0F6A1">
            <w:pPr>
              <w:snapToGrid w:val="0"/>
              <w:rPr>
                <w:rFonts w:hint="eastAsia" w:ascii="黑体" w:hAnsi="黑体" w:eastAsia="黑体" w:cs="黑体"/>
                <w:i/>
                <w:iCs/>
                <w:color w:val="000000"/>
                <w:sz w:val="18"/>
                <w:szCs w:val="18"/>
                <w:u w:val="none"/>
              </w:rPr>
            </w:pPr>
          </w:p>
        </w:tc>
      </w:tr>
      <w:tr w14:paraId="2920C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8FB50">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B31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766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6CA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8CD2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E60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6EE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EB1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D169B">
            <w:pPr>
              <w:snapToGrid w:val="0"/>
              <w:rPr>
                <w:rFonts w:hint="eastAsia" w:ascii="黑体" w:hAnsi="黑体" w:eastAsia="黑体" w:cs="黑体"/>
                <w:i/>
                <w:iCs/>
                <w:color w:val="000000"/>
                <w:sz w:val="18"/>
                <w:szCs w:val="18"/>
                <w:u w:val="none"/>
              </w:rPr>
            </w:pPr>
          </w:p>
        </w:tc>
      </w:tr>
      <w:tr w14:paraId="4D614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B1128">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E31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0A7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EE4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ED98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729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C29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680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2C229">
            <w:pPr>
              <w:snapToGrid w:val="0"/>
              <w:rPr>
                <w:rFonts w:hint="eastAsia" w:ascii="黑体" w:hAnsi="黑体" w:eastAsia="黑体" w:cs="黑体"/>
                <w:i/>
                <w:iCs/>
                <w:color w:val="000000"/>
                <w:sz w:val="18"/>
                <w:szCs w:val="18"/>
                <w:u w:val="none"/>
              </w:rPr>
            </w:pPr>
          </w:p>
        </w:tc>
      </w:tr>
      <w:tr w14:paraId="7098E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8E2E0">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6C9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F5271">
            <w:pPr>
              <w:snapToGrid w:val="0"/>
              <w:jc w:val="center"/>
              <w:rPr>
                <w:rFonts w:hint="eastAsia" w:ascii="微软雅黑" w:hAnsi="微软雅黑" w:eastAsia="微软雅黑" w:cs="微软雅黑"/>
                <w:i/>
                <w:iCs/>
                <w:color w:val="000000"/>
                <w:sz w:val="16"/>
                <w:szCs w:val="16"/>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5F175">
            <w:pPr>
              <w:snapToGrid w:val="0"/>
              <w:jc w:val="center"/>
              <w:rPr>
                <w:rFonts w:hint="eastAsia" w:ascii="微软雅黑" w:hAnsi="微软雅黑" w:eastAsia="微软雅黑" w:cs="微软雅黑"/>
                <w:i/>
                <w:iCs/>
                <w:color w:val="000000"/>
                <w:sz w:val="16"/>
                <w:szCs w:val="16"/>
                <w:u w:val="none"/>
              </w:rPr>
            </w:pP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A7DE64">
            <w:pPr>
              <w:snapToGrid w:val="0"/>
              <w:jc w:val="center"/>
              <w:rPr>
                <w:rFonts w:hint="eastAsia" w:ascii="微软雅黑" w:hAnsi="微软雅黑" w:eastAsia="微软雅黑" w:cs="微软雅黑"/>
                <w:i/>
                <w:iCs/>
                <w:color w:val="000000"/>
                <w:sz w:val="16"/>
                <w:szCs w:val="16"/>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2F984">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A2F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BF4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2C8BC">
            <w:pPr>
              <w:snapToGrid w:val="0"/>
              <w:rPr>
                <w:rFonts w:hint="eastAsia" w:ascii="黑体" w:hAnsi="黑体" w:eastAsia="黑体" w:cs="黑体"/>
                <w:i/>
                <w:iCs/>
                <w:color w:val="000000"/>
                <w:sz w:val="18"/>
                <w:szCs w:val="18"/>
                <w:u w:val="none"/>
              </w:rPr>
            </w:pPr>
          </w:p>
        </w:tc>
      </w:tr>
      <w:tr w14:paraId="15E46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9685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F2F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F5A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6C5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31D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131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13E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5A6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9D7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544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617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886A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E5A36">
            <w:pPr>
              <w:snapToGrid w:val="0"/>
              <w:jc w:val="center"/>
              <w:rPr>
                <w:rFonts w:hint="eastAsia" w:ascii="宋体" w:hAnsi="宋体" w:eastAsia="宋体" w:cs="宋体"/>
                <w:i w:val="0"/>
                <w:iCs w:val="0"/>
                <w:color w:val="000000"/>
                <w:sz w:val="18"/>
                <w:szCs w:val="18"/>
                <w:u w:val="none"/>
              </w:rPr>
            </w:pPr>
          </w:p>
        </w:tc>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08E4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2C5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AF4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劝导员人数</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AFF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F99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A85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A218F">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6A4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C46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B738F">
            <w:pPr>
              <w:snapToGrid w:val="0"/>
              <w:jc w:val="center"/>
              <w:rPr>
                <w:rFonts w:hint="eastAsia" w:ascii="微软雅黑" w:hAnsi="微软雅黑" w:eastAsia="微软雅黑" w:cs="微软雅黑"/>
                <w:i/>
                <w:iCs/>
                <w:color w:val="000000"/>
                <w:sz w:val="16"/>
                <w:szCs w:val="16"/>
                <w:u w:val="none"/>
              </w:rPr>
            </w:pPr>
          </w:p>
        </w:tc>
      </w:tr>
      <w:tr w14:paraId="5546C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008AC">
            <w:pPr>
              <w:snapToGrid w:val="0"/>
              <w:jc w:val="center"/>
              <w:rPr>
                <w:rFonts w:hint="eastAsia" w:ascii="宋体" w:hAnsi="宋体" w:eastAsia="宋体" w:cs="宋体"/>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C08BE">
            <w:pPr>
              <w:snapToGrid w:val="0"/>
              <w:jc w:val="center"/>
              <w:rPr>
                <w:rFonts w:hint="eastAsia" w:ascii="宋体" w:hAnsi="宋体" w:eastAsia="宋体" w:cs="宋体"/>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F47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8AF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交通劝导工作质量</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0B1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457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高低</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88FC2">
            <w:pPr>
              <w:snapToGrid w:val="0"/>
              <w:jc w:val="center"/>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BF680">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5A4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288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E214D">
            <w:pPr>
              <w:snapToGrid w:val="0"/>
              <w:jc w:val="center"/>
              <w:rPr>
                <w:rFonts w:hint="eastAsia" w:ascii="微软雅黑" w:hAnsi="微软雅黑" w:eastAsia="微软雅黑" w:cs="微软雅黑"/>
                <w:i/>
                <w:iCs/>
                <w:color w:val="000000"/>
                <w:sz w:val="16"/>
                <w:szCs w:val="16"/>
                <w:u w:val="none"/>
              </w:rPr>
            </w:pPr>
          </w:p>
        </w:tc>
      </w:tr>
      <w:tr w14:paraId="51A54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DD1CB">
            <w:pPr>
              <w:snapToGrid w:val="0"/>
              <w:jc w:val="center"/>
              <w:rPr>
                <w:rFonts w:hint="eastAsia" w:ascii="宋体" w:hAnsi="宋体" w:eastAsia="宋体" w:cs="宋体"/>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2396E">
            <w:pPr>
              <w:snapToGrid w:val="0"/>
              <w:jc w:val="center"/>
              <w:rPr>
                <w:rFonts w:hint="eastAsia" w:ascii="宋体" w:hAnsi="宋体" w:eastAsia="宋体" w:cs="宋体"/>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AD3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BC1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项目完成时间</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042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A17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365</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C45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9A144">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F44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09F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0425F">
            <w:pPr>
              <w:snapToGrid w:val="0"/>
              <w:jc w:val="center"/>
              <w:rPr>
                <w:rFonts w:hint="eastAsia" w:ascii="微软雅黑" w:hAnsi="微软雅黑" w:eastAsia="微软雅黑" w:cs="微软雅黑"/>
                <w:i/>
                <w:iCs/>
                <w:color w:val="000000"/>
                <w:sz w:val="16"/>
                <w:szCs w:val="16"/>
                <w:u w:val="none"/>
              </w:rPr>
            </w:pPr>
          </w:p>
        </w:tc>
      </w:tr>
      <w:tr w14:paraId="10C86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FADBB">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011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E13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E75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保障全乡交通安全</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9A9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139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好坏</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4A296">
            <w:pPr>
              <w:snapToGrid w:val="0"/>
              <w:jc w:val="center"/>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CA2E0">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D90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224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D7611">
            <w:pPr>
              <w:snapToGrid w:val="0"/>
              <w:jc w:val="center"/>
              <w:rPr>
                <w:rFonts w:hint="eastAsia" w:ascii="微软雅黑" w:hAnsi="微软雅黑" w:eastAsia="微软雅黑" w:cs="微软雅黑"/>
                <w:i/>
                <w:iCs/>
                <w:color w:val="000000"/>
                <w:sz w:val="16"/>
                <w:szCs w:val="16"/>
                <w:u w:val="none"/>
              </w:rPr>
            </w:pPr>
          </w:p>
        </w:tc>
      </w:tr>
      <w:tr w14:paraId="218DE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A7B53">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94C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58B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63F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农户满意度</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321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7BE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786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9398B">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3ED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5AB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68BD2">
            <w:pPr>
              <w:snapToGrid w:val="0"/>
              <w:jc w:val="center"/>
              <w:rPr>
                <w:rFonts w:hint="eastAsia" w:ascii="微软雅黑" w:hAnsi="微软雅黑" w:eastAsia="微软雅黑" w:cs="微软雅黑"/>
                <w:i/>
                <w:iCs/>
                <w:color w:val="000000"/>
                <w:sz w:val="16"/>
                <w:szCs w:val="16"/>
                <w:u w:val="none"/>
              </w:rPr>
            </w:pPr>
          </w:p>
        </w:tc>
      </w:tr>
      <w:tr w14:paraId="578E0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39893">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7E8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32A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6D11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项目成本</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75E4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867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BD2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3E87B">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7941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FA3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BA521">
            <w:pPr>
              <w:snapToGrid w:val="0"/>
              <w:jc w:val="center"/>
              <w:rPr>
                <w:rFonts w:hint="eastAsia" w:ascii="微软雅黑" w:hAnsi="微软雅黑" w:eastAsia="微软雅黑" w:cs="微软雅黑"/>
                <w:i/>
                <w:iCs/>
                <w:color w:val="000000"/>
                <w:sz w:val="16"/>
                <w:szCs w:val="16"/>
                <w:u w:val="none"/>
              </w:rPr>
            </w:pPr>
          </w:p>
        </w:tc>
      </w:tr>
      <w:tr w14:paraId="20BBF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9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75C4F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61B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824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3B2EC">
            <w:pPr>
              <w:snapToGrid w:val="0"/>
              <w:rPr>
                <w:rFonts w:hint="eastAsia" w:ascii="宋体" w:hAnsi="宋体" w:eastAsia="宋体" w:cs="宋体"/>
                <w:i w:val="0"/>
                <w:iCs w:val="0"/>
                <w:color w:val="000000"/>
                <w:sz w:val="18"/>
                <w:szCs w:val="18"/>
                <w:u w:val="none"/>
              </w:rPr>
            </w:pPr>
          </w:p>
        </w:tc>
      </w:tr>
      <w:tr w14:paraId="1531C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3BB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24B401A">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经综合评价为优，综合得分98分。</w:t>
            </w:r>
          </w:p>
        </w:tc>
      </w:tr>
      <w:tr w14:paraId="60A15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BDE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4EDB178">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54B7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1B7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625444A">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F86B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0DAB04">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09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539A87E">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26816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tcBorders>
              <w:top w:val="nil"/>
              <w:left w:val="nil"/>
              <w:bottom w:val="nil"/>
              <w:right w:val="nil"/>
            </w:tcBorders>
            <w:shd w:val="clear" w:color="auto" w:fill="auto"/>
            <w:vAlign w:val="center"/>
          </w:tcPr>
          <w:p w14:paraId="231BB803">
            <w:pPr>
              <w:snapToGrid w:val="0"/>
              <w:rPr>
                <w:rFonts w:hint="eastAsia" w:ascii="宋体" w:hAnsi="宋体" w:eastAsia="宋体" w:cs="宋体"/>
                <w:i w:val="0"/>
                <w:iCs w:val="0"/>
                <w:color w:val="000000"/>
                <w:sz w:val="18"/>
                <w:szCs w:val="18"/>
                <w:u w:val="none"/>
              </w:rPr>
            </w:pPr>
          </w:p>
        </w:tc>
        <w:tc>
          <w:tcPr>
            <w:tcW w:w="390" w:type="pct"/>
            <w:tcBorders>
              <w:top w:val="nil"/>
              <w:left w:val="nil"/>
              <w:bottom w:val="nil"/>
              <w:right w:val="nil"/>
            </w:tcBorders>
            <w:shd w:val="clear" w:color="auto" w:fill="auto"/>
            <w:vAlign w:val="center"/>
          </w:tcPr>
          <w:p w14:paraId="65619815">
            <w:pPr>
              <w:snapToGrid w:val="0"/>
              <w:rPr>
                <w:rFonts w:hint="eastAsia" w:ascii="宋体" w:hAnsi="宋体" w:eastAsia="宋体" w:cs="宋体"/>
                <w:i w:val="0"/>
                <w:iCs w:val="0"/>
                <w:color w:val="000000"/>
                <w:sz w:val="18"/>
                <w:szCs w:val="18"/>
                <w:u w:val="none"/>
              </w:rPr>
            </w:pPr>
          </w:p>
        </w:tc>
        <w:tc>
          <w:tcPr>
            <w:tcW w:w="426" w:type="pct"/>
            <w:tcBorders>
              <w:top w:val="nil"/>
              <w:left w:val="nil"/>
              <w:bottom w:val="nil"/>
              <w:right w:val="nil"/>
            </w:tcBorders>
            <w:shd w:val="clear" w:color="auto" w:fill="auto"/>
            <w:vAlign w:val="center"/>
          </w:tcPr>
          <w:p w14:paraId="27D27CB4">
            <w:pPr>
              <w:snapToGrid w:val="0"/>
              <w:rPr>
                <w:rFonts w:hint="eastAsia" w:ascii="宋体" w:hAnsi="宋体" w:eastAsia="宋体" w:cs="宋体"/>
                <w:i w:val="0"/>
                <w:iCs w:val="0"/>
                <w:color w:val="000000"/>
                <w:sz w:val="18"/>
                <w:szCs w:val="18"/>
                <w:u w:val="none"/>
              </w:rPr>
            </w:pPr>
          </w:p>
        </w:tc>
        <w:tc>
          <w:tcPr>
            <w:tcW w:w="474" w:type="pct"/>
            <w:tcBorders>
              <w:top w:val="nil"/>
              <w:left w:val="nil"/>
              <w:bottom w:val="nil"/>
              <w:right w:val="nil"/>
            </w:tcBorders>
            <w:shd w:val="clear" w:color="auto" w:fill="auto"/>
            <w:vAlign w:val="center"/>
          </w:tcPr>
          <w:p w14:paraId="1771A806">
            <w:pPr>
              <w:snapToGrid w:val="0"/>
              <w:rPr>
                <w:rFonts w:hint="eastAsia" w:ascii="宋体" w:hAnsi="宋体" w:eastAsia="宋体" w:cs="宋体"/>
                <w:i w:val="0"/>
                <w:iCs w:val="0"/>
                <w:color w:val="000000"/>
                <w:sz w:val="18"/>
                <w:szCs w:val="18"/>
                <w:u w:val="none"/>
              </w:rPr>
            </w:pPr>
          </w:p>
        </w:tc>
        <w:tc>
          <w:tcPr>
            <w:tcW w:w="246" w:type="pct"/>
            <w:tcBorders>
              <w:top w:val="nil"/>
              <w:left w:val="nil"/>
              <w:bottom w:val="nil"/>
              <w:right w:val="nil"/>
            </w:tcBorders>
            <w:shd w:val="clear" w:color="auto" w:fill="auto"/>
            <w:vAlign w:val="center"/>
          </w:tcPr>
          <w:p w14:paraId="66993B20">
            <w:pPr>
              <w:snapToGrid w:val="0"/>
              <w:rPr>
                <w:rFonts w:hint="eastAsia" w:ascii="宋体" w:hAnsi="宋体" w:eastAsia="宋体" w:cs="宋体"/>
                <w:i w:val="0"/>
                <w:iCs w:val="0"/>
                <w:color w:val="000000"/>
                <w:sz w:val="18"/>
                <w:szCs w:val="18"/>
                <w:u w:val="none"/>
              </w:rPr>
            </w:pPr>
          </w:p>
        </w:tc>
        <w:tc>
          <w:tcPr>
            <w:tcW w:w="442" w:type="pct"/>
            <w:tcBorders>
              <w:top w:val="nil"/>
              <w:left w:val="nil"/>
              <w:bottom w:val="nil"/>
              <w:right w:val="nil"/>
            </w:tcBorders>
            <w:shd w:val="clear" w:color="auto" w:fill="auto"/>
            <w:vAlign w:val="center"/>
          </w:tcPr>
          <w:p w14:paraId="5AF1362A">
            <w:pPr>
              <w:snapToGrid w:val="0"/>
              <w:rPr>
                <w:rFonts w:hint="eastAsia" w:ascii="宋体" w:hAnsi="宋体" w:eastAsia="宋体" w:cs="宋体"/>
                <w:i w:val="0"/>
                <w:iCs w:val="0"/>
                <w:color w:val="000000"/>
                <w:sz w:val="18"/>
                <w:szCs w:val="18"/>
                <w:u w:val="none"/>
              </w:rPr>
            </w:pPr>
          </w:p>
        </w:tc>
        <w:tc>
          <w:tcPr>
            <w:tcW w:w="442" w:type="pct"/>
            <w:tcBorders>
              <w:top w:val="nil"/>
              <w:left w:val="nil"/>
              <w:bottom w:val="nil"/>
              <w:right w:val="nil"/>
            </w:tcBorders>
            <w:shd w:val="clear" w:color="auto" w:fill="auto"/>
            <w:vAlign w:val="center"/>
          </w:tcPr>
          <w:p w14:paraId="4392665A">
            <w:pPr>
              <w:snapToGrid w:val="0"/>
              <w:rPr>
                <w:rFonts w:hint="eastAsia" w:ascii="宋体" w:hAnsi="宋体" w:eastAsia="宋体" w:cs="宋体"/>
                <w:i w:val="0"/>
                <w:iCs w:val="0"/>
                <w:color w:val="000000"/>
                <w:sz w:val="18"/>
                <w:szCs w:val="18"/>
                <w:u w:val="none"/>
              </w:rPr>
            </w:pPr>
          </w:p>
        </w:tc>
        <w:tc>
          <w:tcPr>
            <w:tcW w:w="503" w:type="pct"/>
            <w:tcBorders>
              <w:top w:val="nil"/>
              <w:left w:val="nil"/>
              <w:bottom w:val="nil"/>
              <w:right w:val="nil"/>
            </w:tcBorders>
            <w:shd w:val="clear" w:color="auto" w:fill="auto"/>
            <w:vAlign w:val="center"/>
          </w:tcPr>
          <w:p w14:paraId="012D6C7C">
            <w:pPr>
              <w:snapToGrid w:val="0"/>
              <w:rPr>
                <w:rFonts w:hint="eastAsia" w:ascii="宋体" w:hAnsi="宋体" w:eastAsia="宋体" w:cs="宋体"/>
                <w:i w:val="0"/>
                <w:iCs w:val="0"/>
                <w:color w:val="000000"/>
                <w:sz w:val="18"/>
                <w:szCs w:val="18"/>
                <w:u w:val="none"/>
              </w:rPr>
            </w:pPr>
          </w:p>
        </w:tc>
        <w:tc>
          <w:tcPr>
            <w:tcW w:w="243" w:type="pct"/>
            <w:tcBorders>
              <w:top w:val="nil"/>
              <w:left w:val="nil"/>
              <w:bottom w:val="nil"/>
              <w:right w:val="nil"/>
            </w:tcBorders>
            <w:shd w:val="clear" w:color="auto" w:fill="auto"/>
            <w:vAlign w:val="center"/>
          </w:tcPr>
          <w:p w14:paraId="7B0DF546">
            <w:pPr>
              <w:snapToGrid w:val="0"/>
              <w:rPr>
                <w:rFonts w:hint="eastAsia" w:ascii="宋体" w:hAnsi="宋体" w:eastAsia="宋体" w:cs="宋体"/>
                <w:i w:val="0"/>
                <w:iCs w:val="0"/>
                <w:color w:val="000000"/>
                <w:sz w:val="18"/>
                <w:szCs w:val="18"/>
                <w:u w:val="none"/>
              </w:rPr>
            </w:pPr>
          </w:p>
        </w:tc>
        <w:tc>
          <w:tcPr>
            <w:tcW w:w="193" w:type="pct"/>
            <w:tcBorders>
              <w:top w:val="nil"/>
              <w:left w:val="nil"/>
              <w:bottom w:val="nil"/>
              <w:right w:val="nil"/>
            </w:tcBorders>
            <w:shd w:val="clear" w:color="auto" w:fill="auto"/>
            <w:vAlign w:val="center"/>
          </w:tcPr>
          <w:p w14:paraId="62284646">
            <w:pPr>
              <w:snapToGrid w:val="0"/>
              <w:rPr>
                <w:rFonts w:hint="eastAsia" w:ascii="宋体" w:hAnsi="宋体" w:eastAsia="宋体" w:cs="宋体"/>
                <w:i w:val="0"/>
                <w:iCs w:val="0"/>
                <w:color w:val="000000"/>
                <w:sz w:val="18"/>
                <w:szCs w:val="18"/>
                <w:u w:val="none"/>
              </w:rPr>
            </w:pPr>
          </w:p>
        </w:tc>
        <w:tc>
          <w:tcPr>
            <w:tcW w:w="1266" w:type="pct"/>
            <w:tcBorders>
              <w:top w:val="nil"/>
              <w:left w:val="nil"/>
              <w:bottom w:val="nil"/>
              <w:right w:val="nil"/>
            </w:tcBorders>
            <w:shd w:val="clear" w:color="auto" w:fill="auto"/>
            <w:vAlign w:val="center"/>
          </w:tcPr>
          <w:p w14:paraId="4CFAA318">
            <w:pPr>
              <w:snapToGrid w:val="0"/>
              <w:rPr>
                <w:rFonts w:hint="eastAsia" w:ascii="宋体" w:hAnsi="宋体" w:eastAsia="宋体" w:cs="宋体"/>
                <w:i w:val="0"/>
                <w:iCs w:val="0"/>
                <w:color w:val="000000"/>
                <w:sz w:val="18"/>
                <w:szCs w:val="18"/>
                <w:u w:val="none"/>
              </w:rPr>
            </w:pPr>
          </w:p>
        </w:tc>
      </w:tr>
      <w:tr w14:paraId="4F55A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E7A3765">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0180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93CF3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2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2AC5FA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51113224T000011416252</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交通安全工作经费</w:t>
            </w:r>
          </w:p>
        </w:tc>
      </w:tr>
      <w:tr w14:paraId="25B0E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ADC84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834BF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峨边彝族自治县新场乡人民政府本级</w:t>
            </w:r>
          </w:p>
        </w:tc>
        <w:tc>
          <w:tcPr>
            <w:tcW w:w="503" w:type="pct"/>
            <w:tcBorders>
              <w:top w:val="nil"/>
              <w:left w:val="nil"/>
              <w:bottom w:val="nil"/>
              <w:right w:val="nil"/>
            </w:tcBorders>
            <w:shd w:val="clear" w:color="auto" w:fill="auto"/>
            <w:vAlign w:val="center"/>
          </w:tcPr>
          <w:p w14:paraId="6A6C19D9">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7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376D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峨边彝族自治县新场乡人民政府</w:t>
            </w:r>
          </w:p>
        </w:tc>
      </w:tr>
      <w:tr w14:paraId="04D34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3BACE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32722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06A8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2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329567">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117E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FA8B6">
            <w:pPr>
              <w:snapToGrid w:val="0"/>
              <w:rPr>
                <w:rFonts w:hint="eastAsia" w:ascii="宋体" w:hAnsi="宋体" w:eastAsia="宋体" w:cs="宋体"/>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AD3D0">
            <w:pPr>
              <w:snapToGrid w:val="0"/>
              <w:rPr>
                <w:rFonts w:hint="eastAsia" w:ascii="宋体" w:hAnsi="宋体" w:eastAsia="宋体" w:cs="宋体"/>
                <w:i w:val="0"/>
                <w:iCs w:val="0"/>
                <w:color w:val="000000"/>
                <w:sz w:val="18"/>
                <w:szCs w:val="18"/>
                <w:u w:val="none"/>
              </w:rPr>
            </w:pPr>
          </w:p>
        </w:tc>
        <w:tc>
          <w:tcPr>
            <w:tcW w:w="20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E4C45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乡交管办工作经费2万元。</w:t>
            </w:r>
          </w:p>
        </w:tc>
        <w:tc>
          <w:tcPr>
            <w:tcW w:w="22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F15AB9">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2770C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04C59">
            <w:pPr>
              <w:snapToGrid w:val="0"/>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2762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2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263429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对交通安全劝导员发放补贴。</w:t>
            </w:r>
          </w:p>
        </w:tc>
      </w:tr>
      <w:tr w14:paraId="2BFFA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F853E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AB9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C8E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99E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BEB9A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D1C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DE8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A1E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BEF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FE2A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2DFFD">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54C2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410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8D78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933F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D3C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8AE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364D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E0071C">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1180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9824C">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09A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7CF2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D7D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8BCF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DDA4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2F7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C75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0DF93">
            <w:pPr>
              <w:snapToGrid w:val="0"/>
              <w:rPr>
                <w:rFonts w:hint="eastAsia" w:ascii="黑体" w:hAnsi="黑体" w:eastAsia="黑体" w:cs="黑体"/>
                <w:i/>
                <w:iCs/>
                <w:color w:val="000000"/>
                <w:sz w:val="18"/>
                <w:szCs w:val="18"/>
                <w:u w:val="none"/>
              </w:rPr>
            </w:pPr>
          </w:p>
        </w:tc>
      </w:tr>
      <w:tr w14:paraId="36A67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A5040">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6DC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D11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91B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5189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0E60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0F0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775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6C85D">
            <w:pPr>
              <w:snapToGrid w:val="0"/>
              <w:rPr>
                <w:rFonts w:hint="eastAsia" w:ascii="黑体" w:hAnsi="黑体" w:eastAsia="黑体" w:cs="黑体"/>
                <w:i/>
                <w:iCs/>
                <w:color w:val="000000"/>
                <w:sz w:val="18"/>
                <w:szCs w:val="18"/>
                <w:u w:val="none"/>
              </w:rPr>
            </w:pPr>
          </w:p>
        </w:tc>
      </w:tr>
      <w:tr w14:paraId="36F10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986A4">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5E4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8A1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FDB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E460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03F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E6C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CB9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A8104">
            <w:pPr>
              <w:snapToGrid w:val="0"/>
              <w:rPr>
                <w:rFonts w:hint="eastAsia" w:ascii="黑体" w:hAnsi="黑体" w:eastAsia="黑体" w:cs="黑体"/>
                <w:i/>
                <w:iCs/>
                <w:color w:val="000000"/>
                <w:sz w:val="18"/>
                <w:szCs w:val="18"/>
                <w:u w:val="none"/>
              </w:rPr>
            </w:pPr>
          </w:p>
        </w:tc>
      </w:tr>
      <w:tr w14:paraId="20B37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DED5A">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109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F0025">
            <w:pPr>
              <w:snapToGrid w:val="0"/>
              <w:jc w:val="center"/>
              <w:rPr>
                <w:rFonts w:hint="eastAsia" w:ascii="微软雅黑" w:hAnsi="微软雅黑" w:eastAsia="微软雅黑" w:cs="微软雅黑"/>
                <w:i/>
                <w:iCs/>
                <w:color w:val="000000"/>
                <w:sz w:val="16"/>
                <w:szCs w:val="16"/>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67393">
            <w:pPr>
              <w:snapToGrid w:val="0"/>
              <w:jc w:val="center"/>
              <w:rPr>
                <w:rFonts w:hint="eastAsia" w:ascii="微软雅黑" w:hAnsi="微软雅黑" w:eastAsia="微软雅黑" w:cs="微软雅黑"/>
                <w:i/>
                <w:iCs/>
                <w:color w:val="000000"/>
                <w:sz w:val="16"/>
                <w:szCs w:val="16"/>
                <w:u w:val="none"/>
              </w:rPr>
            </w:pP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173CEC">
            <w:pPr>
              <w:snapToGrid w:val="0"/>
              <w:jc w:val="center"/>
              <w:rPr>
                <w:rFonts w:hint="eastAsia" w:ascii="微软雅黑" w:hAnsi="微软雅黑" w:eastAsia="微软雅黑" w:cs="微软雅黑"/>
                <w:i/>
                <w:iCs/>
                <w:color w:val="000000"/>
                <w:sz w:val="16"/>
                <w:szCs w:val="16"/>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4E41B">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3D5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4BD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C97D2">
            <w:pPr>
              <w:snapToGrid w:val="0"/>
              <w:rPr>
                <w:rFonts w:hint="eastAsia" w:ascii="黑体" w:hAnsi="黑体" w:eastAsia="黑体" w:cs="黑体"/>
                <w:i/>
                <w:iCs/>
                <w:color w:val="000000"/>
                <w:sz w:val="18"/>
                <w:szCs w:val="18"/>
                <w:u w:val="none"/>
              </w:rPr>
            </w:pPr>
          </w:p>
        </w:tc>
      </w:tr>
      <w:tr w14:paraId="3D369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A581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D5A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251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722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DB2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6830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9B2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2AC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8BD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4AA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859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2DFF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5829A">
            <w:pPr>
              <w:snapToGrid w:val="0"/>
              <w:jc w:val="center"/>
              <w:rPr>
                <w:rFonts w:hint="eastAsia" w:ascii="宋体" w:hAnsi="宋体" w:eastAsia="宋体" w:cs="宋体"/>
                <w:i w:val="0"/>
                <w:iCs w:val="0"/>
                <w:color w:val="000000"/>
                <w:sz w:val="18"/>
                <w:szCs w:val="18"/>
                <w:u w:val="none"/>
              </w:rPr>
            </w:pPr>
          </w:p>
        </w:tc>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1E5A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6F4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421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劝导员人数</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192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CB6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E5C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8B6BA">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65F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105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EF02A">
            <w:pPr>
              <w:snapToGrid w:val="0"/>
              <w:jc w:val="center"/>
              <w:rPr>
                <w:rFonts w:hint="eastAsia" w:ascii="微软雅黑" w:hAnsi="微软雅黑" w:eastAsia="微软雅黑" w:cs="微软雅黑"/>
                <w:i/>
                <w:iCs/>
                <w:color w:val="000000"/>
                <w:sz w:val="16"/>
                <w:szCs w:val="16"/>
                <w:u w:val="none"/>
              </w:rPr>
            </w:pPr>
          </w:p>
        </w:tc>
      </w:tr>
      <w:tr w14:paraId="1762E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B2C15">
            <w:pPr>
              <w:snapToGrid w:val="0"/>
              <w:jc w:val="center"/>
              <w:rPr>
                <w:rFonts w:hint="eastAsia" w:ascii="宋体" w:hAnsi="宋体" w:eastAsia="宋体" w:cs="宋体"/>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B4713">
            <w:pPr>
              <w:snapToGrid w:val="0"/>
              <w:jc w:val="center"/>
              <w:rPr>
                <w:rFonts w:hint="eastAsia" w:ascii="宋体" w:hAnsi="宋体" w:eastAsia="宋体" w:cs="宋体"/>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CC2B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90A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劝导天数</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DB0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EE8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365</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AAD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35D50">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7C0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EDE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747DA">
            <w:pPr>
              <w:snapToGrid w:val="0"/>
              <w:jc w:val="center"/>
              <w:rPr>
                <w:rFonts w:hint="eastAsia" w:ascii="微软雅黑" w:hAnsi="微软雅黑" w:eastAsia="微软雅黑" w:cs="微软雅黑"/>
                <w:i/>
                <w:iCs/>
                <w:color w:val="000000"/>
                <w:sz w:val="16"/>
                <w:szCs w:val="16"/>
                <w:u w:val="none"/>
              </w:rPr>
            </w:pPr>
          </w:p>
        </w:tc>
      </w:tr>
      <w:tr w14:paraId="7A564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8B12B">
            <w:pPr>
              <w:snapToGrid w:val="0"/>
              <w:jc w:val="center"/>
              <w:rPr>
                <w:rFonts w:hint="eastAsia" w:ascii="宋体" w:hAnsi="宋体" w:eastAsia="宋体" w:cs="宋体"/>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D10A1">
            <w:pPr>
              <w:snapToGrid w:val="0"/>
              <w:jc w:val="center"/>
              <w:rPr>
                <w:rFonts w:hint="eastAsia" w:ascii="宋体" w:hAnsi="宋体" w:eastAsia="宋体" w:cs="宋体"/>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CBF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A87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项目完成时间</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7BB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A2E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696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4F3C6">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EE9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569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34C95">
            <w:pPr>
              <w:snapToGrid w:val="0"/>
              <w:jc w:val="center"/>
              <w:rPr>
                <w:rFonts w:hint="eastAsia" w:ascii="微软雅黑" w:hAnsi="微软雅黑" w:eastAsia="微软雅黑" w:cs="微软雅黑"/>
                <w:i/>
                <w:iCs/>
                <w:color w:val="000000"/>
                <w:sz w:val="16"/>
                <w:szCs w:val="16"/>
                <w:u w:val="none"/>
              </w:rPr>
            </w:pPr>
          </w:p>
        </w:tc>
      </w:tr>
      <w:tr w14:paraId="696BE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05B39">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66F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00B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C83D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保障全乡交通安全</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196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937E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好坏</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3F291">
            <w:pPr>
              <w:snapToGrid w:val="0"/>
              <w:jc w:val="center"/>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4F2E3">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BE4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02E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95A62">
            <w:pPr>
              <w:snapToGrid w:val="0"/>
              <w:jc w:val="center"/>
              <w:rPr>
                <w:rFonts w:hint="eastAsia" w:ascii="微软雅黑" w:hAnsi="微软雅黑" w:eastAsia="微软雅黑" w:cs="微软雅黑"/>
                <w:i/>
                <w:iCs/>
                <w:color w:val="000000"/>
                <w:sz w:val="16"/>
                <w:szCs w:val="16"/>
                <w:u w:val="none"/>
              </w:rPr>
            </w:pPr>
          </w:p>
        </w:tc>
      </w:tr>
      <w:tr w14:paraId="2CF19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639B6">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9F1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197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63F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农行满意度</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269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6B32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9A75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667D3">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E89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A69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2DF21">
            <w:pPr>
              <w:snapToGrid w:val="0"/>
              <w:jc w:val="center"/>
              <w:rPr>
                <w:rFonts w:hint="eastAsia" w:ascii="微软雅黑" w:hAnsi="微软雅黑" w:eastAsia="微软雅黑" w:cs="微软雅黑"/>
                <w:i/>
                <w:iCs/>
                <w:color w:val="000000"/>
                <w:sz w:val="16"/>
                <w:szCs w:val="16"/>
                <w:u w:val="none"/>
              </w:rPr>
            </w:pPr>
          </w:p>
        </w:tc>
      </w:tr>
      <w:tr w14:paraId="5F3D3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25B37">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AC1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C18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3E9A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控制在2万内</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87B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4B1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A84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6090A">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6B1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FCE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D4339">
            <w:pPr>
              <w:snapToGrid w:val="0"/>
              <w:jc w:val="center"/>
              <w:rPr>
                <w:rFonts w:hint="eastAsia" w:ascii="微软雅黑" w:hAnsi="微软雅黑" w:eastAsia="微软雅黑" w:cs="微软雅黑"/>
                <w:i/>
                <w:iCs/>
                <w:color w:val="000000"/>
                <w:sz w:val="16"/>
                <w:szCs w:val="16"/>
                <w:u w:val="none"/>
              </w:rPr>
            </w:pPr>
          </w:p>
        </w:tc>
      </w:tr>
      <w:tr w14:paraId="00C05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9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0A7A3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A56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E7D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4A056">
            <w:pPr>
              <w:snapToGrid w:val="0"/>
              <w:rPr>
                <w:rFonts w:hint="eastAsia" w:ascii="宋体" w:hAnsi="宋体" w:eastAsia="宋体" w:cs="宋体"/>
                <w:i w:val="0"/>
                <w:iCs w:val="0"/>
                <w:color w:val="000000"/>
                <w:sz w:val="18"/>
                <w:szCs w:val="18"/>
                <w:u w:val="none"/>
              </w:rPr>
            </w:pPr>
          </w:p>
        </w:tc>
      </w:tr>
      <w:tr w14:paraId="30123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FAC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6528485">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经综合评价为优，综合得分98分。</w:t>
            </w:r>
          </w:p>
        </w:tc>
      </w:tr>
      <w:tr w14:paraId="65DA5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7AD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AA3DFB">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9EF3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0F9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3EF2B60">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C718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488C91">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09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18A487">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356E8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tcBorders>
              <w:top w:val="nil"/>
              <w:left w:val="nil"/>
              <w:bottom w:val="nil"/>
              <w:right w:val="nil"/>
            </w:tcBorders>
            <w:shd w:val="clear" w:color="auto" w:fill="auto"/>
            <w:vAlign w:val="center"/>
          </w:tcPr>
          <w:p w14:paraId="10900C3B">
            <w:pPr>
              <w:snapToGrid w:val="0"/>
              <w:rPr>
                <w:rFonts w:hint="eastAsia" w:ascii="宋体" w:hAnsi="宋体" w:eastAsia="宋体" w:cs="宋体"/>
                <w:i w:val="0"/>
                <w:iCs w:val="0"/>
                <w:color w:val="000000"/>
                <w:sz w:val="18"/>
                <w:szCs w:val="18"/>
                <w:u w:val="none"/>
              </w:rPr>
            </w:pPr>
          </w:p>
        </w:tc>
        <w:tc>
          <w:tcPr>
            <w:tcW w:w="390" w:type="pct"/>
            <w:tcBorders>
              <w:top w:val="nil"/>
              <w:left w:val="nil"/>
              <w:bottom w:val="nil"/>
              <w:right w:val="nil"/>
            </w:tcBorders>
            <w:shd w:val="clear" w:color="auto" w:fill="auto"/>
            <w:vAlign w:val="center"/>
          </w:tcPr>
          <w:p w14:paraId="5438CBC4">
            <w:pPr>
              <w:snapToGrid w:val="0"/>
              <w:rPr>
                <w:rFonts w:hint="eastAsia" w:ascii="宋体" w:hAnsi="宋体" w:eastAsia="宋体" w:cs="宋体"/>
                <w:i w:val="0"/>
                <w:iCs w:val="0"/>
                <w:color w:val="000000"/>
                <w:sz w:val="18"/>
                <w:szCs w:val="18"/>
                <w:u w:val="none"/>
              </w:rPr>
            </w:pPr>
          </w:p>
        </w:tc>
        <w:tc>
          <w:tcPr>
            <w:tcW w:w="426" w:type="pct"/>
            <w:tcBorders>
              <w:top w:val="nil"/>
              <w:left w:val="nil"/>
              <w:bottom w:val="nil"/>
              <w:right w:val="nil"/>
            </w:tcBorders>
            <w:shd w:val="clear" w:color="auto" w:fill="auto"/>
            <w:vAlign w:val="center"/>
          </w:tcPr>
          <w:p w14:paraId="14C49C43">
            <w:pPr>
              <w:snapToGrid w:val="0"/>
              <w:rPr>
                <w:rFonts w:hint="eastAsia" w:ascii="宋体" w:hAnsi="宋体" w:eastAsia="宋体" w:cs="宋体"/>
                <w:i w:val="0"/>
                <w:iCs w:val="0"/>
                <w:color w:val="000000"/>
                <w:sz w:val="18"/>
                <w:szCs w:val="18"/>
                <w:u w:val="none"/>
              </w:rPr>
            </w:pPr>
          </w:p>
        </w:tc>
        <w:tc>
          <w:tcPr>
            <w:tcW w:w="474" w:type="pct"/>
            <w:tcBorders>
              <w:top w:val="nil"/>
              <w:left w:val="nil"/>
              <w:bottom w:val="nil"/>
              <w:right w:val="nil"/>
            </w:tcBorders>
            <w:shd w:val="clear" w:color="auto" w:fill="auto"/>
            <w:vAlign w:val="center"/>
          </w:tcPr>
          <w:p w14:paraId="5FE709AD">
            <w:pPr>
              <w:snapToGrid w:val="0"/>
              <w:rPr>
                <w:rFonts w:hint="eastAsia" w:ascii="宋体" w:hAnsi="宋体" w:eastAsia="宋体" w:cs="宋体"/>
                <w:i w:val="0"/>
                <w:iCs w:val="0"/>
                <w:color w:val="000000"/>
                <w:sz w:val="18"/>
                <w:szCs w:val="18"/>
                <w:u w:val="none"/>
              </w:rPr>
            </w:pPr>
          </w:p>
        </w:tc>
        <w:tc>
          <w:tcPr>
            <w:tcW w:w="246" w:type="pct"/>
            <w:tcBorders>
              <w:top w:val="nil"/>
              <w:left w:val="nil"/>
              <w:bottom w:val="nil"/>
              <w:right w:val="nil"/>
            </w:tcBorders>
            <w:shd w:val="clear" w:color="auto" w:fill="auto"/>
            <w:vAlign w:val="center"/>
          </w:tcPr>
          <w:p w14:paraId="62F419D5">
            <w:pPr>
              <w:snapToGrid w:val="0"/>
              <w:rPr>
                <w:rFonts w:hint="eastAsia" w:ascii="宋体" w:hAnsi="宋体" w:eastAsia="宋体" w:cs="宋体"/>
                <w:i w:val="0"/>
                <w:iCs w:val="0"/>
                <w:color w:val="000000"/>
                <w:sz w:val="18"/>
                <w:szCs w:val="18"/>
                <w:u w:val="none"/>
              </w:rPr>
            </w:pPr>
          </w:p>
        </w:tc>
        <w:tc>
          <w:tcPr>
            <w:tcW w:w="442" w:type="pct"/>
            <w:tcBorders>
              <w:top w:val="nil"/>
              <w:left w:val="nil"/>
              <w:bottom w:val="nil"/>
              <w:right w:val="nil"/>
            </w:tcBorders>
            <w:shd w:val="clear" w:color="auto" w:fill="auto"/>
            <w:vAlign w:val="center"/>
          </w:tcPr>
          <w:p w14:paraId="5D8DFBE2">
            <w:pPr>
              <w:snapToGrid w:val="0"/>
              <w:rPr>
                <w:rFonts w:hint="eastAsia" w:ascii="宋体" w:hAnsi="宋体" w:eastAsia="宋体" w:cs="宋体"/>
                <w:i w:val="0"/>
                <w:iCs w:val="0"/>
                <w:color w:val="000000"/>
                <w:sz w:val="18"/>
                <w:szCs w:val="18"/>
                <w:u w:val="none"/>
              </w:rPr>
            </w:pPr>
          </w:p>
        </w:tc>
        <w:tc>
          <w:tcPr>
            <w:tcW w:w="442" w:type="pct"/>
            <w:tcBorders>
              <w:top w:val="nil"/>
              <w:left w:val="nil"/>
              <w:bottom w:val="nil"/>
              <w:right w:val="nil"/>
            </w:tcBorders>
            <w:shd w:val="clear" w:color="auto" w:fill="auto"/>
            <w:vAlign w:val="center"/>
          </w:tcPr>
          <w:p w14:paraId="0E504157">
            <w:pPr>
              <w:snapToGrid w:val="0"/>
              <w:rPr>
                <w:rFonts w:hint="eastAsia" w:ascii="宋体" w:hAnsi="宋体" w:eastAsia="宋体" w:cs="宋体"/>
                <w:i w:val="0"/>
                <w:iCs w:val="0"/>
                <w:color w:val="000000"/>
                <w:sz w:val="18"/>
                <w:szCs w:val="18"/>
                <w:u w:val="none"/>
              </w:rPr>
            </w:pPr>
          </w:p>
        </w:tc>
        <w:tc>
          <w:tcPr>
            <w:tcW w:w="503" w:type="pct"/>
            <w:tcBorders>
              <w:top w:val="nil"/>
              <w:left w:val="nil"/>
              <w:bottom w:val="nil"/>
              <w:right w:val="nil"/>
            </w:tcBorders>
            <w:shd w:val="clear" w:color="auto" w:fill="auto"/>
            <w:vAlign w:val="center"/>
          </w:tcPr>
          <w:p w14:paraId="7DC1AEC0">
            <w:pPr>
              <w:snapToGrid w:val="0"/>
              <w:rPr>
                <w:rFonts w:hint="eastAsia" w:ascii="宋体" w:hAnsi="宋体" w:eastAsia="宋体" w:cs="宋体"/>
                <w:i w:val="0"/>
                <w:iCs w:val="0"/>
                <w:color w:val="000000"/>
                <w:sz w:val="18"/>
                <w:szCs w:val="18"/>
                <w:u w:val="none"/>
              </w:rPr>
            </w:pPr>
          </w:p>
        </w:tc>
        <w:tc>
          <w:tcPr>
            <w:tcW w:w="243" w:type="pct"/>
            <w:tcBorders>
              <w:top w:val="nil"/>
              <w:left w:val="nil"/>
              <w:bottom w:val="nil"/>
              <w:right w:val="nil"/>
            </w:tcBorders>
            <w:shd w:val="clear" w:color="auto" w:fill="auto"/>
            <w:vAlign w:val="center"/>
          </w:tcPr>
          <w:p w14:paraId="277E23A5">
            <w:pPr>
              <w:snapToGrid w:val="0"/>
              <w:rPr>
                <w:rFonts w:hint="eastAsia" w:ascii="宋体" w:hAnsi="宋体" w:eastAsia="宋体" w:cs="宋体"/>
                <w:i w:val="0"/>
                <w:iCs w:val="0"/>
                <w:color w:val="000000"/>
                <w:sz w:val="18"/>
                <w:szCs w:val="18"/>
                <w:u w:val="none"/>
              </w:rPr>
            </w:pPr>
          </w:p>
        </w:tc>
        <w:tc>
          <w:tcPr>
            <w:tcW w:w="193" w:type="pct"/>
            <w:tcBorders>
              <w:top w:val="nil"/>
              <w:left w:val="nil"/>
              <w:bottom w:val="nil"/>
              <w:right w:val="nil"/>
            </w:tcBorders>
            <w:shd w:val="clear" w:color="auto" w:fill="auto"/>
            <w:vAlign w:val="center"/>
          </w:tcPr>
          <w:p w14:paraId="3434981E">
            <w:pPr>
              <w:snapToGrid w:val="0"/>
              <w:rPr>
                <w:rFonts w:hint="eastAsia" w:ascii="宋体" w:hAnsi="宋体" w:eastAsia="宋体" w:cs="宋体"/>
                <w:i w:val="0"/>
                <w:iCs w:val="0"/>
                <w:color w:val="000000"/>
                <w:sz w:val="18"/>
                <w:szCs w:val="18"/>
                <w:u w:val="none"/>
              </w:rPr>
            </w:pPr>
          </w:p>
        </w:tc>
        <w:tc>
          <w:tcPr>
            <w:tcW w:w="1266" w:type="pct"/>
            <w:tcBorders>
              <w:top w:val="nil"/>
              <w:left w:val="nil"/>
              <w:bottom w:val="nil"/>
              <w:right w:val="nil"/>
            </w:tcBorders>
            <w:shd w:val="clear" w:color="auto" w:fill="auto"/>
            <w:vAlign w:val="center"/>
          </w:tcPr>
          <w:p w14:paraId="02EEA0E4">
            <w:pPr>
              <w:snapToGrid w:val="0"/>
              <w:rPr>
                <w:rFonts w:hint="eastAsia" w:ascii="宋体" w:hAnsi="宋体" w:eastAsia="宋体" w:cs="宋体"/>
                <w:i w:val="0"/>
                <w:iCs w:val="0"/>
                <w:color w:val="000000"/>
                <w:sz w:val="18"/>
                <w:szCs w:val="18"/>
                <w:u w:val="none"/>
              </w:rPr>
            </w:pPr>
          </w:p>
        </w:tc>
      </w:tr>
      <w:tr w14:paraId="7C832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84EE8A0">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72AA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4A77F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2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B00DE4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51113224T000011416301</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峨边射箭坪综合服务区管理运行费</w:t>
            </w:r>
          </w:p>
        </w:tc>
      </w:tr>
      <w:tr w14:paraId="0E307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71710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55A21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峨边彝族自治县新场乡人民政府本级</w:t>
            </w:r>
          </w:p>
        </w:tc>
        <w:tc>
          <w:tcPr>
            <w:tcW w:w="503" w:type="pct"/>
            <w:tcBorders>
              <w:top w:val="nil"/>
              <w:left w:val="nil"/>
              <w:bottom w:val="nil"/>
              <w:right w:val="nil"/>
            </w:tcBorders>
            <w:shd w:val="clear" w:color="auto" w:fill="auto"/>
            <w:vAlign w:val="center"/>
          </w:tcPr>
          <w:p w14:paraId="3425E1D6">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7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57D1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峨边彝族自治县新场乡人民政府</w:t>
            </w:r>
          </w:p>
        </w:tc>
      </w:tr>
      <w:tr w14:paraId="4AA5B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45481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37A03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F0B9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2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A2A6AC">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9F21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18C6A">
            <w:pPr>
              <w:snapToGrid w:val="0"/>
              <w:rPr>
                <w:rFonts w:hint="eastAsia" w:ascii="宋体" w:hAnsi="宋体" w:eastAsia="宋体" w:cs="宋体"/>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F3F2B">
            <w:pPr>
              <w:snapToGrid w:val="0"/>
              <w:rPr>
                <w:rFonts w:hint="eastAsia" w:ascii="宋体" w:hAnsi="宋体" w:eastAsia="宋体" w:cs="宋体"/>
                <w:i w:val="0"/>
                <w:iCs w:val="0"/>
                <w:color w:val="000000"/>
                <w:sz w:val="18"/>
                <w:szCs w:val="18"/>
                <w:u w:val="none"/>
              </w:rPr>
            </w:pPr>
          </w:p>
        </w:tc>
        <w:tc>
          <w:tcPr>
            <w:tcW w:w="20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7D5AE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发放12万元峨边射箭坪综合服务区管理运行费</w:t>
            </w:r>
          </w:p>
        </w:tc>
        <w:tc>
          <w:tcPr>
            <w:tcW w:w="22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00DF37">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6186E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40ABD">
            <w:pPr>
              <w:snapToGrid w:val="0"/>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D8F1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2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CDFF91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对射箭坪管理运行中需要资金支持且流程合规、报账材料完善的项目进行拨款。</w:t>
            </w:r>
          </w:p>
        </w:tc>
      </w:tr>
      <w:tr w14:paraId="1C8B2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7CC0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476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C95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2C24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903E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7D6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E4D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E9E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A53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A970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D3779">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C38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745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081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D23B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352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06F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774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B0F78C">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F9CC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FD7B8">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924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A81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232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E6B2C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B8A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323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902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7BCC0">
            <w:pPr>
              <w:snapToGrid w:val="0"/>
              <w:rPr>
                <w:rFonts w:hint="eastAsia" w:ascii="黑体" w:hAnsi="黑体" w:eastAsia="黑体" w:cs="黑体"/>
                <w:i/>
                <w:iCs/>
                <w:color w:val="000000"/>
                <w:sz w:val="18"/>
                <w:szCs w:val="18"/>
                <w:u w:val="none"/>
              </w:rPr>
            </w:pPr>
          </w:p>
        </w:tc>
      </w:tr>
      <w:tr w14:paraId="152AF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F3095">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969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766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272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374D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D47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A3BD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5A2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B4095">
            <w:pPr>
              <w:snapToGrid w:val="0"/>
              <w:rPr>
                <w:rFonts w:hint="eastAsia" w:ascii="黑体" w:hAnsi="黑体" w:eastAsia="黑体" w:cs="黑体"/>
                <w:i/>
                <w:iCs/>
                <w:color w:val="000000"/>
                <w:sz w:val="18"/>
                <w:szCs w:val="18"/>
                <w:u w:val="none"/>
              </w:rPr>
            </w:pPr>
          </w:p>
        </w:tc>
      </w:tr>
      <w:tr w14:paraId="70068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7A6C4">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DA8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EAB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1AA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35E8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593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AD9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CE0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C7BCB">
            <w:pPr>
              <w:snapToGrid w:val="0"/>
              <w:rPr>
                <w:rFonts w:hint="eastAsia" w:ascii="黑体" w:hAnsi="黑体" w:eastAsia="黑体" w:cs="黑体"/>
                <w:i/>
                <w:iCs/>
                <w:color w:val="000000"/>
                <w:sz w:val="18"/>
                <w:szCs w:val="18"/>
                <w:u w:val="none"/>
              </w:rPr>
            </w:pPr>
          </w:p>
        </w:tc>
      </w:tr>
      <w:tr w14:paraId="097EB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CBD77">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768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C923A">
            <w:pPr>
              <w:snapToGrid w:val="0"/>
              <w:jc w:val="center"/>
              <w:rPr>
                <w:rFonts w:hint="eastAsia" w:ascii="微软雅黑" w:hAnsi="微软雅黑" w:eastAsia="微软雅黑" w:cs="微软雅黑"/>
                <w:i/>
                <w:iCs/>
                <w:color w:val="000000"/>
                <w:sz w:val="16"/>
                <w:szCs w:val="16"/>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3C339">
            <w:pPr>
              <w:snapToGrid w:val="0"/>
              <w:jc w:val="center"/>
              <w:rPr>
                <w:rFonts w:hint="eastAsia" w:ascii="微软雅黑" w:hAnsi="微软雅黑" w:eastAsia="微软雅黑" w:cs="微软雅黑"/>
                <w:i/>
                <w:iCs/>
                <w:color w:val="000000"/>
                <w:sz w:val="16"/>
                <w:szCs w:val="16"/>
                <w:u w:val="none"/>
              </w:rPr>
            </w:pP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92644F">
            <w:pPr>
              <w:snapToGrid w:val="0"/>
              <w:jc w:val="center"/>
              <w:rPr>
                <w:rFonts w:hint="eastAsia" w:ascii="微软雅黑" w:hAnsi="微软雅黑" w:eastAsia="微软雅黑" w:cs="微软雅黑"/>
                <w:i/>
                <w:iCs/>
                <w:color w:val="000000"/>
                <w:sz w:val="16"/>
                <w:szCs w:val="16"/>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389BE">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8F2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5D8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0FE70">
            <w:pPr>
              <w:snapToGrid w:val="0"/>
              <w:rPr>
                <w:rFonts w:hint="eastAsia" w:ascii="黑体" w:hAnsi="黑体" w:eastAsia="黑体" w:cs="黑体"/>
                <w:i/>
                <w:iCs/>
                <w:color w:val="000000"/>
                <w:sz w:val="18"/>
                <w:szCs w:val="18"/>
                <w:u w:val="none"/>
              </w:rPr>
            </w:pPr>
          </w:p>
        </w:tc>
      </w:tr>
      <w:tr w14:paraId="3F1E0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8F519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FE6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6E4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316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07D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210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636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EAB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CF4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7F3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2F1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6EFC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118AF">
            <w:pPr>
              <w:snapToGrid w:val="0"/>
              <w:jc w:val="center"/>
              <w:rPr>
                <w:rFonts w:hint="eastAsia" w:ascii="宋体" w:hAnsi="宋体" w:eastAsia="宋体" w:cs="宋体"/>
                <w:i w:val="0"/>
                <w:iCs w:val="0"/>
                <w:color w:val="000000"/>
                <w:sz w:val="18"/>
                <w:szCs w:val="18"/>
                <w:u w:val="none"/>
              </w:rPr>
            </w:pPr>
          </w:p>
        </w:tc>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CB35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831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6B4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管理面积</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231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BCCC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07C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平方米</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32DDC">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DF7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6E8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BB0D3">
            <w:pPr>
              <w:snapToGrid w:val="0"/>
              <w:jc w:val="center"/>
              <w:rPr>
                <w:rFonts w:hint="eastAsia" w:ascii="微软雅黑" w:hAnsi="微软雅黑" w:eastAsia="微软雅黑" w:cs="微软雅黑"/>
                <w:i/>
                <w:iCs/>
                <w:color w:val="000000"/>
                <w:sz w:val="16"/>
                <w:szCs w:val="16"/>
                <w:u w:val="none"/>
              </w:rPr>
            </w:pPr>
          </w:p>
        </w:tc>
      </w:tr>
      <w:tr w14:paraId="4F897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4F007">
            <w:pPr>
              <w:snapToGrid w:val="0"/>
              <w:jc w:val="center"/>
              <w:rPr>
                <w:rFonts w:hint="eastAsia" w:ascii="宋体" w:hAnsi="宋体" w:eastAsia="宋体" w:cs="宋体"/>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B59AC">
            <w:pPr>
              <w:snapToGrid w:val="0"/>
              <w:jc w:val="center"/>
              <w:rPr>
                <w:rFonts w:hint="eastAsia" w:ascii="宋体" w:hAnsi="宋体" w:eastAsia="宋体" w:cs="宋体"/>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7CC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31A6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项目完成时间</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C33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26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E4C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7445D">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12D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A3A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43C72">
            <w:pPr>
              <w:snapToGrid w:val="0"/>
              <w:jc w:val="center"/>
              <w:rPr>
                <w:rFonts w:hint="eastAsia" w:ascii="微软雅黑" w:hAnsi="微软雅黑" w:eastAsia="微软雅黑" w:cs="微软雅黑"/>
                <w:i/>
                <w:iCs/>
                <w:color w:val="000000"/>
                <w:sz w:val="16"/>
                <w:szCs w:val="16"/>
                <w:u w:val="none"/>
              </w:rPr>
            </w:pPr>
          </w:p>
        </w:tc>
      </w:tr>
      <w:tr w14:paraId="1E936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5FE7D">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1D4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231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1D8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保障群众有服务场所</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A973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8F93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好坏</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D6CFC">
            <w:pPr>
              <w:snapToGrid w:val="0"/>
              <w:jc w:val="center"/>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29023">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BCD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83F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647A4">
            <w:pPr>
              <w:snapToGrid w:val="0"/>
              <w:jc w:val="center"/>
              <w:rPr>
                <w:rFonts w:hint="eastAsia" w:ascii="微软雅黑" w:hAnsi="微软雅黑" w:eastAsia="微软雅黑" w:cs="微软雅黑"/>
                <w:i/>
                <w:iCs/>
                <w:color w:val="000000"/>
                <w:sz w:val="16"/>
                <w:szCs w:val="16"/>
                <w:u w:val="none"/>
              </w:rPr>
            </w:pPr>
          </w:p>
        </w:tc>
      </w:tr>
      <w:tr w14:paraId="42913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BB002">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453E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3CC2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FBF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0B9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325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3E7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7D01D">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6CA8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3196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9A7E0">
            <w:pPr>
              <w:snapToGrid w:val="0"/>
              <w:jc w:val="center"/>
              <w:rPr>
                <w:rFonts w:hint="eastAsia" w:ascii="微软雅黑" w:hAnsi="微软雅黑" w:eastAsia="微软雅黑" w:cs="微软雅黑"/>
                <w:i/>
                <w:iCs/>
                <w:color w:val="000000"/>
                <w:sz w:val="16"/>
                <w:szCs w:val="16"/>
                <w:u w:val="none"/>
              </w:rPr>
            </w:pPr>
          </w:p>
        </w:tc>
      </w:tr>
      <w:tr w14:paraId="6EA7D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5106E">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22C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BE2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E9F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控制在12万元内</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819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4E9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112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AB166">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FFE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4F5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06538">
            <w:pPr>
              <w:snapToGrid w:val="0"/>
              <w:jc w:val="center"/>
              <w:rPr>
                <w:rFonts w:hint="eastAsia" w:ascii="微软雅黑" w:hAnsi="微软雅黑" w:eastAsia="微软雅黑" w:cs="微软雅黑"/>
                <w:i/>
                <w:iCs/>
                <w:color w:val="000000"/>
                <w:sz w:val="16"/>
                <w:szCs w:val="16"/>
                <w:u w:val="none"/>
              </w:rPr>
            </w:pPr>
          </w:p>
        </w:tc>
      </w:tr>
      <w:tr w14:paraId="0C0E4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9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1F9E3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C06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BB2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3B8CA">
            <w:pPr>
              <w:snapToGrid w:val="0"/>
              <w:rPr>
                <w:rFonts w:hint="eastAsia" w:ascii="宋体" w:hAnsi="宋体" w:eastAsia="宋体" w:cs="宋体"/>
                <w:i w:val="0"/>
                <w:iCs w:val="0"/>
                <w:color w:val="000000"/>
                <w:sz w:val="18"/>
                <w:szCs w:val="18"/>
                <w:u w:val="none"/>
              </w:rPr>
            </w:pPr>
          </w:p>
        </w:tc>
      </w:tr>
      <w:tr w14:paraId="240A3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6E1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70A60C">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经综合评价为优，综合得分98分。</w:t>
            </w:r>
          </w:p>
        </w:tc>
      </w:tr>
      <w:tr w14:paraId="6E6FA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7F2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C0B46FF">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CEF5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6A8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B3F010C">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6B69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AFAB01">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09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D57646">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63693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tcBorders>
              <w:top w:val="nil"/>
              <w:left w:val="nil"/>
              <w:bottom w:val="nil"/>
              <w:right w:val="nil"/>
            </w:tcBorders>
            <w:shd w:val="clear" w:color="auto" w:fill="auto"/>
            <w:vAlign w:val="center"/>
          </w:tcPr>
          <w:p w14:paraId="2F809D2B">
            <w:pPr>
              <w:snapToGrid w:val="0"/>
              <w:rPr>
                <w:rFonts w:hint="eastAsia" w:ascii="宋体" w:hAnsi="宋体" w:eastAsia="宋体" w:cs="宋体"/>
                <w:i w:val="0"/>
                <w:iCs w:val="0"/>
                <w:color w:val="000000"/>
                <w:sz w:val="18"/>
                <w:szCs w:val="18"/>
                <w:u w:val="none"/>
              </w:rPr>
            </w:pPr>
          </w:p>
        </w:tc>
        <w:tc>
          <w:tcPr>
            <w:tcW w:w="390" w:type="pct"/>
            <w:tcBorders>
              <w:top w:val="nil"/>
              <w:left w:val="nil"/>
              <w:bottom w:val="nil"/>
              <w:right w:val="nil"/>
            </w:tcBorders>
            <w:shd w:val="clear" w:color="auto" w:fill="auto"/>
            <w:vAlign w:val="center"/>
          </w:tcPr>
          <w:p w14:paraId="26A764AF">
            <w:pPr>
              <w:snapToGrid w:val="0"/>
              <w:rPr>
                <w:rFonts w:hint="eastAsia" w:ascii="宋体" w:hAnsi="宋体" w:eastAsia="宋体" w:cs="宋体"/>
                <w:i w:val="0"/>
                <w:iCs w:val="0"/>
                <w:color w:val="000000"/>
                <w:sz w:val="18"/>
                <w:szCs w:val="18"/>
                <w:u w:val="none"/>
              </w:rPr>
            </w:pPr>
          </w:p>
        </w:tc>
        <w:tc>
          <w:tcPr>
            <w:tcW w:w="426" w:type="pct"/>
            <w:tcBorders>
              <w:top w:val="nil"/>
              <w:left w:val="nil"/>
              <w:bottom w:val="nil"/>
              <w:right w:val="nil"/>
            </w:tcBorders>
            <w:shd w:val="clear" w:color="auto" w:fill="auto"/>
            <w:vAlign w:val="center"/>
          </w:tcPr>
          <w:p w14:paraId="134B8331">
            <w:pPr>
              <w:snapToGrid w:val="0"/>
              <w:rPr>
                <w:rFonts w:hint="eastAsia" w:ascii="宋体" w:hAnsi="宋体" w:eastAsia="宋体" w:cs="宋体"/>
                <w:i w:val="0"/>
                <w:iCs w:val="0"/>
                <w:color w:val="000000"/>
                <w:sz w:val="18"/>
                <w:szCs w:val="18"/>
                <w:u w:val="none"/>
              </w:rPr>
            </w:pPr>
          </w:p>
        </w:tc>
        <w:tc>
          <w:tcPr>
            <w:tcW w:w="474" w:type="pct"/>
            <w:tcBorders>
              <w:top w:val="nil"/>
              <w:left w:val="nil"/>
              <w:bottom w:val="nil"/>
              <w:right w:val="nil"/>
            </w:tcBorders>
            <w:shd w:val="clear" w:color="auto" w:fill="auto"/>
            <w:vAlign w:val="center"/>
          </w:tcPr>
          <w:p w14:paraId="7E308B9A">
            <w:pPr>
              <w:snapToGrid w:val="0"/>
              <w:rPr>
                <w:rFonts w:hint="eastAsia" w:ascii="宋体" w:hAnsi="宋体" w:eastAsia="宋体" w:cs="宋体"/>
                <w:i w:val="0"/>
                <w:iCs w:val="0"/>
                <w:color w:val="000000"/>
                <w:sz w:val="18"/>
                <w:szCs w:val="18"/>
                <w:u w:val="none"/>
              </w:rPr>
            </w:pPr>
          </w:p>
        </w:tc>
        <w:tc>
          <w:tcPr>
            <w:tcW w:w="246" w:type="pct"/>
            <w:tcBorders>
              <w:top w:val="nil"/>
              <w:left w:val="nil"/>
              <w:bottom w:val="nil"/>
              <w:right w:val="nil"/>
            </w:tcBorders>
            <w:shd w:val="clear" w:color="auto" w:fill="auto"/>
            <w:vAlign w:val="center"/>
          </w:tcPr>
          <w:p w14:paraId="71FF04FC">
            <w:pPr>
              <w:snapToGrid w:val="0"/>
              <w:rPr>
                <w:rFonts w:hint="eastAsia" w:ascii="宋体" w:hAnsi="宋体" w:eastAsia="宋体" w:cs="宋体"/>
                <w:i w:val="0"/>
                <w:iCs w:val="0"/>
                <w:color w:val="000000"/>
                <w:sz w:val="18"/>
                <w:szCs w:val="18"/>
                <w:u w:val="none"/>
              </w:rPr>
            </w:pPr>
          </w:p>
        </w:tc>
        <w:tc>
          <w:tcPr>
            <w:tcW w:w="442" w:type="pct"/>
            <w:tcBorders>
              <w:top w:val="nil"/>
              <w:left w:val="nil"/>
              <w:bottom w:val="nil"/>
              <w:right w:val="nil"/>
            </w:tcBorders>
            <w:shd w:val="clear" w:color="auto" w:fill="auto"/>
            <w:vAlign w:val="center"/>
          </w:tcPr>
          <w:p w14:paraId="6C0C9994">
            <w:pPr>
              <w:snapToGrid w:val="0"/>
              <w:rPr>
                <w:rFonts w:hint="eastAsia" w:ascii="宋体" w:hAnsi="宋体" w:eastAsia="宋体" w:cs="宋体"/>
                <w:i w:val="0"/>
                <w:iCs w:val="0"/>
                <w:color w:val="000000"/>
                <w:sz w:val="18"/>
                <w:szCs w:val="18"/>
                <w:u w:val="none"/>
              </w:rPr>
            </w:pPr>
          </w:p>
        </w:tc>
        <w:tc>
          <w:tcPr>
            <w:tcW w:w="442" w:type="pct"/>
            <w:tcBorders>
              <w:top w:val="nil"/>
              <w:left w:val="nil"/>
              <w:bottom w:val="nil"/>
              <w:right w:val="nil"/>
            </w:tcBorders>
            <w:shd w:val="clear" w:color="auto" w:fill="auto"/>
            <w:vAlign w:val="center"/>
          </w:tcPr>
          <w:p w14:paraId="6E3852E2">
            <w:pPr>
              <w:snapToGrid w:val="0"/>
              <w:rPr>
                <w:rFonts w:hint="eastAsia" w:ascii="宋体" w:hAnsi="宋体" w:eastAsia="宋体" w:cs="宋体"/>
                <w:i w:val="0"/>
                <w:iCs w:val="0"/>
                <w:color w:val="000000"/>
                <w:sz w:val="18"/>
                <w:szCs w:val="18"/>
                <w:u w:val="none"/>
              </w:rPr>
            </w:pPr>
          </w:p>
        </w:tc>
        <w:tc>
          <w:tcPr>
            <w:tcW w:w="503" w:type="pct"/>
            <w:tcBorders>
              <w:top w:val="nil"/>
              <w:left w:val="nil"/>
              <w:bottom w:val="nil"/>
              <w:right w:val="nil"/>
            </w:tcBorders>
            <w:shd w:val="clear" w:color="auto" w:fill="auto"/>
            <w:vAlign w:val="center"/>
          </w:tcPr>
          <w:p w14:paraId="4B0FD3D9">
            <w:pPr>
              <w:snapToGrid w:val="0"/>
              <w:rPr>
                <w:rFonts w:hint="eastAsia" w:ascii="宋体" w:hAnsi="宋体" w:eastAsia="宋体" w:cs="宋体"/>
                <w:i w:val="0"/>
                <w:iCs w:val="0"/>
                <w:color w:val="000000"/>
                <w:sz w:val="18"/>
                <w:szCs w:val="18"/>
                <w:u w:val="none"/>
              </w:rPr>
            </w:pPr>
          </w:p>
        </w:tc>
        <w:tc>
          <w:tcPr>
            <w:tcW w:w="243" w:type="pct"/>
            <w:tcBorders>
              <w:top w:val="nil"/>
              <w:left w:val="nil"/>
              <w:bottom w:val="nil"/>
              <w:right w:val="nil"/>
            </w:tcBorders>
            <w:shd w:val="clear" w:color="auto" w:fill="auto"/>
            <w:vAlign w:val="center"/>
          </w:tcPr>
          <w:p w14:paraId="4D28BADD">
            <w:pPr>
              <w:snapToGrid w:val="0"/>
              <w:rPr>
                <w:rFonts w:hint="eastAsia" w:ascii="宋体" w:hAnsi="宋体" w:eastAsia="宋体" w:cs="宋体"/>
                <w:i w:val="0"/>
                <w:iCs w:val="0"/>
                <w:color w:val="000000"/>
                <w:sz w:val="18"/>
                <w:szCs w:val="18"/>
                <w:u w:val="none"/>
              </w:rPr>
            </w:pPr>
          </w:p>
        </w:tc>
        <w:tc>
          <w:tcPr>
            <w:tcW w:w="193" w:type="pct"/>
            <w:tcBorders>
              <w:top w:val="nil"/>
              <w:left w:val="nil"/>
              <w:bottom w:val="nil"/>
              <w:right w:val="nil"/>
            </w:tcBorders>
            <w:shd w:val="clear" w:color="auto" w:fill="auto"/>
            <w:vAlign w:val="center"/>
          </w:tcPr>
          <w:p w14:paraId="3FE5D122">
            <w:pPr>
              <w:snapToGrid w:val="0"/>
              <w:rPr>
                <w:rFonts w:hint="eastAsia" w:ascii="宋体" w:hAnsi="宋体" w:eastAsia="宋体" w:cs="宋体"/>
                <w:i w:val="0"/>
                <w:iCs w:val="0"/>
                <w:color w:val="000000"/>
                <w:sz w:val="18"/>
                <w:szCs w:val="18"/>
                <w:u w:val="none"/>
              </w:rPr>
            </w:pPr>
          </w:p>
        </w:tc>
        <w:tc>
          <w:tcPr>
            <w:tcW w:w="1266" w:type="pct"/>
            <w:tcBorders>
              <w:top w:val="nil"/>
              <w:left w:val="nil"/>
              <w:bottom w:val="nil"/>
              <w:right w:val="nil"/>
            </w:tcBorders>
            <w:shd w:val="clear" w:color="auto" w:fill="auto"/>
            <w:vAlign w:val="center"/>
          </w:tcPr>
          <w:p w14:paraId="324152DA">
            <w:pPr>
              <w:snapToGrid w:val="0"/>
              <w:rPr>
                <w:rFonts w:hint="eastAsia" w:ascii="宋体" w:hAnsi="宋体" w:eastAsia="宋体" w:cs="宋体"/>
                <w:i w:val="0"/>
                <w:iCs w:val="0"/>
                <w:color w:val="000000"/>
                <w:sz w:val="18"/>
                <w:szCs w:val="18"/>
                <w:u w:val="none"/>
              </w:rPr>
            </w:pPr>
          </w:p>
        </w:tc>
      </w:tr>
      <w:tr w14:paraId="3816A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A6DEA6B">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1698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F079E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2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206237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51113224T000011624738</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峨边彝族自治县新场乡长虹村多功能综合服务</w:t>
            </w:r>
            <w:r>
              <w:rPr>
                <w:rFonts w:hint="eastAsia" w:ascii="宋体" w:hAnsi="宋体" w:cs="宋体"/>
                <w:i w:val="0"/>
                <w:iCs w:val="0"/>
                <w:color w:val="000000"/>
                <w:kern w:val="0"/>
                <w:sz w:val="18"/>
                <w:szCs w:val="18"/>
                <w:u w:val="none"/>
                <w:lang w:val="en-US" w:eastAsia="zh-CN" w:bidi="ar"/>
              </w:rPr>
              <w:t>平台</w:t>
            </w:r>
          </w:p>
        </w:tc>
      </w:tr>
      <w:tr w14:paraId="297B7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3BBA0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F6CA1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峨边彝族自治县新场乡人民政府本级</w:t>
            </w:r>
          </w:p>
        </w:tc>
        <w:tc>
          <w:tcPr>
            <w:tcW w:w="503" w:type="pct"/>
            <w:tcBorders>
              <w:top w:val="nil"/>
              <w:left w:val="nil"/>
              <w:bottom w:val="nil"/>
              <w:right w:val="nil"/>
            </w:tcBorders>
            <w:shd w:val="clear" w:color="auto" w:fill="auto"/>
            <w:vAlign w:val="center"/>
          </w:tcPr>
          <w:p w14:paraId="1DBB364F">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7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36164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峨边彝族自治县新场乡人民政府</w:t>
            </w:r>
          </w:p>
        </w:tc>
      </w:tr>
      <w:tr w14:paraId="00BCE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88E12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0F337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5DDF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2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8E191B">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8F2A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8205D">
            <w:pPr>
              <w:snapToGrid w:val="0"/>
              <w:rPr>
                <w:rFonts w:hint="eastAsia" w:ascii="宋体" w:hAnsi="宋体" w:eastAsia="宋体" w:cs="宋体"/>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2FF80">
            <w:pPr>
              <w:snapToGrid w:val="0"/>
              <w:rPr>
                <w:rFonts w:hint="eastAsia" w:ascii="宋体" w:hAnsi="宋体" w:eastAsia="宋体" w:cs="宋体"/>
                <w:i w:val="0"/>
                <w:iCs w:val="0"/>
                <w:color w:val="000000"/>
                <w:sz w:val="18"/>
                <w:szCs w:val="18"/>
                <w:u w:val="none"/>
              </w:rPr>
            </w:pPr>
          </w:p>
        </w:tc>
        <w:tc>
          <w:tcPr>
            <w:tcW w:w="20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FC004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本项目总建筑面积468.18平方米，采用门式轻钢结构，</w:t>
            </w:r>
            <w:r>
              <w:rPr>
                <w:rFonts w:hint="eastAsia" w:ascii="宋体" w:hAnsi="宋体" w:cs="宋体"/>
                <w:i w:val="0"/>
                <w:iCs w:val="0"/>
                <w:color w:val="000000"/>
                <w:kern w:val="0"/>
                <w:sz w:val="18"/>
                <w:szCs w:val="18"/>
                <w:u w:val="none"/>
                <w:lang w:val="en-US" w:eastAsia="zh-CN" w:bidi="ar"/>
              </w:rPr>
              <w:t>建筑限高</w:t>
            </w:r>
            <w:r>
              <w:rPr>
                <w:rFonts w:ascii="宋体" w:hAnsi="宋体" w:eastAsia="宋体" w:cs="宋体"/>
                <w:i w:val="0"/>
                <w:iCs w:val="0"/>
                <w:color w:val="000000"/>
                <w:kern w:val="0"/>
                <w:sz w:val="18"/>
                <w:szCs w:val="18"/>
                <w:u w:val="none"/>
                <w:lang w:val="en-US" w:eastAsia="zh-CN" w:bidi="ar"/>
              </w:rPr>
              <w:t>4米，地下层数1层，室内包括</w:t>
            </w:r>
            <w:r>
              <w:rPr>
                <w:rFonts w:hint="eastAsia" w:ascii="宋体" w:hAnsi="宋体" w:cs="宋体"/>
                <w:i w:val="0"/>
                <w:iCs w:val="0"/>
                <w:color w:val="000000"/>
                <w:kern w:val="0"/>
                <w:sz w:val="18"/>
                <w:szCs w:val="18"/>
                <w:u w:val="none"/>
                <w:lang w:val="en-US" w:eastAsia="zh-CN" w:bidi="ar"/>
              </w:rPr>
              <w:t>物资</w:t>
            </w:r>
            <w:r>
              <w:rPr>
                <w:rFonts w:ascii="宋体" w:hAnsi="宋体" w:eastAsia="宋体" w:cs="宋体"/>
                <w:i w:val="0"/>
                <w:iCs w:val="0"/>
                <w:color w:val="000000"/>
                <w:kern w:val="0"/>
                <w:sz w:val="18"/>
                <w:szCs w:val="18"/>
                <w:u w:val="none"/>
                <w:lang w:val="en-US" w:eastAsia="zh-CN" w:bidi="ar"/>
              </w:rPr>
              <w:t>仓库，活动室，会议室等。</w:t>
            </w:r>
          </w:p>
        </w:tc>
        <w:tc>
          <w:tcPr>
            <w:tcW w:w="22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698201">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7394C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DF08C">
            <w:pPr>
              <w:snapToGrid w:val="0"/>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67B3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2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4C34E1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本项目总建筑面积468.18平方米，采用门式轻钢结构，</w:t>
            </w:r>
            <w:r>
              <w:rPr>
                <w:rFonts w:hint="eastAsia" w:ascii="宋体" w:hAnsi="宋体" w:cs="宋体"/>
                <w:i w:val="0"/>
                <w:iCs w:val="0"/>
                <w:color w:val="000000"/>
                <w:kern w:val="0"/>
                <w:sz w:val="18"/>
                <w:szCs w:val="18"/>
                <w:u w:val="none"/>
                <w:lang w:val="en-US" w:eastAsia="zh-CN" w:bidi="ar"/>
              </w:rPr>
              <w:t>建筑限高</w:t>
            </w:r>
            <w:r>
              <w:rPr>
                <w:rFonts w:ascii="宋体" w:hAnsi="宋体" w:eastAsia="宋体" w:cs="宋体"/>
                <w:i w:val="0"/>
                <w:iCs w:val="0"/>
                <w:color w:val="000000"/>
                <w:kern w:val="0"/>
                <w:sz w:val="18"/>
                <w:szCs w:val="18"/>
                <w:u w:val="none"/>
                <w:lang w:val="en-US" w:eastAsia="zh-CN" w:bidi="ar"/>
              </w:rPr>
              <w:t>4米，地下层数1层，室内包括</w:t>
            </w:r>
            <w:r>
              <w:rPr>
                <w:rFonts w:hint="eastAsia" w:ascii="宋体" w:hAnsi="宋体" w:cs="宋体"/>
                <w:i w:val="0"/>
                <w:iCs w:val="0"/>
                <w:color w:val="000000"/>
                <w:kern w:val="0"/>
                <w:sz w:val="18"/>
                <w:szCs w:val="18"/>
                <w:u w:val="none"/>
                <w:lang w:val="en-US" w:eastAsia="zh-CN" w:bidi="ar"/>
              </w:rPr>
              <w:t>物资</w:t>
            </w:r>
            <w:r>
              <w:rPr>
                <w:rFonts w:ascii="宋体" w:hAnsi="宋体" w:eastAsia="宋体" w:cs="宋体"/>
                <w:i w:val="0"/>
                <w:iCs w:val="0"/>
                <w:color w:val="000000"/>
                <w:kern w:val="0"/>
                <w:sz w:val="18"/>
                <w:szCs w:val="18"/>
                <w:u w:val="none"/>
                <w:lang w:val="en-US" w:eastAsia="zh-CN" w:bidi="ar"/>
              </w:rPr>
              <w:t>仓库，活动室，会议室等。</w:t>
            </w:r>
          </w:p>
        </w:tc>
      </w:tr>
      <w:tr w14:paraId="451FB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289F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154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61D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E76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5D8CE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DEA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B17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E4DE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1A0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D989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C5CE7">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1FE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ED4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EEC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12.13</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C012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12.13</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D1C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8D5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B4EC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45B692">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2173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4559E">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A16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455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075F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12.13</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AA9B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12.13</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139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351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0C0F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A55BD">
            <w:pPr>
              <w:snapToGrid w:val="0"/>
              <w:rPr>
                <w:rFonts w:hint="eastAsia" w:ascii="黑体" w:hAnsi="黑体" w:eastAsia="黑体" w:cs="黑体"/>
                <w:i/>
                <w:iCs/>
                <w:color w:val="000000"/>
                <w:sz w:val="18"/>
                <w:szCs w:val="18"/>
                <w:u w:val="none"/>
              </w:rPr>
            </w:pPr>
          </w:p>
        </w:tc>
      </w:tr>
      <w:tr w14:paraId="77435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C6514">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3AB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403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9D0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49F5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0C3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1E6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415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A8BAA">
            <w:pPr>
              <w:snapToGrid w:val="0"/>
              <w:rPr>
                <w:rFonts w:hint="eastAsia" w:ascii="黑体" w:hAnsi="黑体" w:eastAsia="黑体" w:cs="黑体"/>
                <w:i/>
                <w:iCs/>
                <w:color w:val="000000"/>
                <w:sz w:val="18"/>
                <w:szCs w:val="18"/>
                <w:u w:val="none"/>
              </w:rPr>
            </w:pPr>
          </w:p>
        </w:tc>
      </w:tr>
      <w:tr w14:paraId="4D417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DDD06">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889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948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82A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E6DD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E87A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8FE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C61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F1D3B">
            <w:pPr>
              <w:snapToGrid w:val="0"/>
              <w:rPr>
                <w:rFonts w:hint="eastAsia" w:ascii="黑体" w:hAnsi="黑体" w:eastAsia="黑体" w:cs="黑体"/>
                <w:i/>
                <w:iCs/>
                <w:color w:val="000000"/>
                <w:sz w:val="18"/>
                <w:szCs w:val="18"/>
                <w:u w:val="none"/>
              </w:rPr>
            </w:pPr>
          </w:p>
        </w:tc>
      </w:tr>
      <w:tr w14:paraId="1F596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840CC">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A1F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92F82">
            <w:pPr>
              <w:snapToGrid w:val="0"/>
              <w:jc w:val="center"/>
              <w:rPr>
                <w:rFonts w:hint="eastAsia" w:ascii="微软雅黑" w:hAnsi="微软雅黑" w:eastAsia="微软雅黑" w:cs="微软雅黑"/>
                <w:i/>
                <w:iCs/>
                <w:color w:val="000000"/>
                <w:sz w:val="16"/>
                <w:szCs w:val="16"/>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4A790">
            <w:pPr>
              <w:snapToGrid w:val="0"/>
              <w:jc w:val="center"/>
              <w:rPr>
                <w:rFonts w:hint="eastAsia" w:ascii="微软雅黑" w:hAnsi="微软雅黑" w:eastAsia="微软雅黑" w:cs="微软雅黑"/>
                <w:i/>
                <w:iCs/>
                <w:color w:val="000000"/>
                <w:sz w:val="16"/>
                <w:szCs w:val="16"/>
                <w:u w:val="none"/>
              </w:rPr>
            </w:pP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26B77B">
            <w:pPr>
              <w:snapToGrid w:val="0"/>
              <w:jc w:val="center"/>
              <w:rPr>
                <w:rFonts w:hint="eastAsia" w:ascii="微软雅黑" w:hAnsi="微软雅黑" w:eastAsia="微软雅黑" w:cs="微软雅黑"/>
                <w:i/>
                <w:iCs/>
                <w:color w:val="000000"/>
                <w:sz w:val="16"/>
                <w:szCs w:val="16"/>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88584">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DF6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7C4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AC4FC">
            <w:pPr>
              <w:snapToGrid w:val="0"/>
              <w:rPr>
                <w:rFonts w:hint="eastAsia" w:ascii="黑体" w:hAnsi="黑体" w:eastAsia="黑体" w:cs="黑体"/>
                <w:i/>
                <w:iCs/>
                <w:color w:val="000000"/>
                <w:sz w:val="18"/>
                <w:szCs w:val="18"/>
                <w:u w:val="none"/>
              </w:rPr>
            </w:pPr>
          </w:p>
        </w:tc>
      </w:tr>
      <w:tr w14:paraId="3F0C2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A169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23C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B42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536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41D9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067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07E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ECC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FD2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B1E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6B6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BD4B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FE7EB">
            <w:pPr>
              <w:snapToGrid w:val="0"/>
              <w:jc w:val="center"/>
              <w:rPr>
                <w:rFonts w:hint="eastAsia" w:ascii="宋体" w:hAnsi="宋体" w:eastAsia="宋体" w:cs="宋体"/>
                <w:i w:val="0"/>
                <w:iCs w:val="0"/>
                <w:color w:val="000000"/>
                <w:sz w:val="18"/>
                <w:szCs w:val="18"/>
                <w:u w:val="none"/>
              </w:rPr>
            </w:pPr>
          </w:p>
        </w:tc>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FC98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C08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EED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修建总面积</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9E4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120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468.18</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A50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平方米</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C680E">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F263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0809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A1E21">
            <w:pPr>
              <w:snapToGrid w:val="0"/>
              <w:jc w:val="center"/>
              <w:rPr>
                <w:rFonts w:hint="eastAsia" w:ascii="微软雅黑" w:hAnsi="微软雅黑" w:eastAsia="微软雅黑" w:cs="微软雅黑"/>
                <w:i/>
                <w:iCs/>
                <w:color w:val="000000"/>
                <w:sz w:val="16"/>
                <w:szCs w:val="16"/>
                <w:u w:val="none"/>
              </w:rPr>
            </w:pPr>
          </w:p>
        </w:tc>
      </w:tr>
      <w:tr w14:paraId="42D7D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09B33">
            <w:pPr>
              <w:snapToGrid w:val="0"/>
              <w:jc w:val="center"/>
              <w:rPr>
                <w:rFonts w:hint="eastAsia" w:ascii="宋体" w:hAnsi="宋体" w:eastAsia="宋体" w:cs="宋体"/>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BCB66">
            <w:pPr>
              <w:snapToGrid w:val="0"/>
              <w:jc w:val="center"/>
              <w:rPr>
                <w:rFonts w:hint="eastAsia" w:ascii="宋体" w:hAnsi="宋体" w:eastAsia="宋体" w:cs="宋体"/>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61E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D6CB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项目完成时间</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176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AEC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A16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84FEA">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154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48D6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7ADF7">
            <w:pPr>
              <w:snapToGrid w:val="0"/>
              <w:jc w:val="center"/>
              <w:rPr>
                <w:rFonts w:hint="eastAsia" w:ascii="微软雅黑" w:hAnsi="微软雅黑" w:eastAsia="微软雅黑" w:cs="微软雅黑"/>
                <w:i/>
                <w:iCs/>
                <w:color w:val="000000"/>
                <w:sz w:val="16"/>
                <w:szCs w:val="16"/>
                <w:u w:val="none"/>
              </w:rPr>
            </w:pPr>
          </w:p>
        </w:tc>
      </w:tr>
      <w:tr w14:paraId="67362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C2B3C">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45D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C1F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3D7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保障群众有活动场所</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1E3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03C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好坏</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06AB6">
            <w:pPr>
              <w:snapToGrid w:val="0"/>
              <w:jc w:val="center"/>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98EE0">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C9A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B52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DE225">
            <w:pPr>
              <w:snapToGrid w:val="0"/>
              <w:jc w:val="center"/>
              <w:rPr>
                <w:rFonts w:hint="eastAsia" w:ascii="微软雅黑" w:hAnsi="微软雅黑" w:eastAsia="微软雅黑" w:cs="微软雅黑"/>
                <w:i/>
                <w:iCs/>
                <w:color w:val="000000"/>
                <w:sz w:val="16"/>
                <w:szCs w:val="16"/>
                <w:u w:val="none"/>
              </w:rPr>
            </w:pPr>
          </w:p>
        </w:tc>
      </w:tr>
      <w:tr w14:paraId="42DEB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2C1D4">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0CA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F59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F6AD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12E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F36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1C5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43161">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85C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BAE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27B15">
            <w:pPr>
              <w:snapToGrid w:val="0"/>
              <w:jc w:val="center"/>
              <w:rPr>
                <w:rFonts w:hint="eastAsia" w:ascii="微软雅黑" w:hAnsi="微软雅黑" w:eastAsia="微软雅黑" w:cs="微软雅黑"/>
                <w:i/>
                <w:iCs/>
                <w:color w:val="000000"/>
                <w:sz w:val="16"/>
                <w:szCs w:val="16"/>
                <w:u w:val="none"/>
              </w:rPr>
            </w:pPr>
          </w:p>
        </w:tc>
      </w:tr>
      <w:tr w14:paraId="4465D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B31D4">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7FC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C2D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12A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控制在12.12万元内</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E4A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EF0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8EC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C39A1">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649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FA0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010BC">
            <w:pPr>
              <w:snapToGrid w:val="0"/>
              <w:jc w:val="center"/>
              <w:rPr>
                <w:rFonts w:hint="eastAsia" w:ascii="微软雅黑" w:hAnsi="微软雅黑" w:eastAsia="微软雅黑" w:cs="微软雅黑"/>
                <w:i/>
                <w:iCs/>
                <w:color w:val="000000"/>
                <w:sz w:val="16"/>
                <w:szCs w:val="16"/>
                <w:u w:val="none"/>
              </w:rPr>
            </w:pPr>
          </w:p>
        </w:tc>
      </w:tr>
      <w:tr w14:paraId="1E971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9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C36F6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FBD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722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147AD">
            <w:pPr>
              <w:snapToGrid w:val="0"/>
              <w:rPr>
                <w:rFonts w:hint="eastAsia" w:ascii="宋体" w:hAnsi="宋体" w:eastAsia="宋体" w:cs="宋体"/>
                <w:i w:val="0"/>
                <w:iCs w:val="0"/>
                <w:color w:val="000000"/>
                <w:sz w:val="18"/>
                <w:szCs w:val="18"/>
                <w:u w:val="none"/>
              </w:rPr>
            </w:pPr>
          </w:p>
        </w:tc>
      </w:tr>
      <w:tr w14:paraId="4E2C9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55D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5C4697E">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经综合评价为优，综合得分98分。</w:t>
            </w:r>
          </w:p>
        </w:tc>
      </w:tr>
      <w:tr w14:paraId="26414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C51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E5CC406">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E4E3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9A0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AF2DD6D">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60B4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F0C6AA">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09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7CE95C8">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5FD89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tcBorders>
              <w:top w:val="nil"/>
              <w:left w:val="nil"/>
              <w:bottom w:val="nil"/>
              <w:right w:val="nil"/>
            </w:tcBorders>
            <w:shd w:val="clear" w:color="auto" w:fill="auto"/>
            <w:vAlign w:val="center"/>
          </w:tcPr>
          <w:p w14:paraId="2613D40E">
            <w:pPr>
              <w:snapToGrid w:val="0"/>
              <w:rPr>
                <w:rFonts w:hint="eastAsia" w:ascii="宋体" w:hAnsi="宋体" w:eastAsia="宋体" w:cs="宋体"/>
                <w:i w:val="0"/>
                <w:iCs w:val="0"/>
                <w:color w:val="000000"/>
                <w:sz w:val="18"/>
                <w:szCs w:val="18"/>
                <w:u w:val="none"/>
              </w:rPr>
            </w:pPr>
          </w:p>
        </w:tc>
        <w:tc>
          <w:tcPr>
            <w:tcW w:w="390" w:type="pct"/>
            <w:tcBorders>
              <w:top w:val="nil"/>
              <w:left w:val="nil"/>
              <w:bottom w:val="nil"/>
              <w:right w:val="nil"/>
            </w:tcBorders>
            <w:shd w:val="clear" w:color="auto" w:fill="auto"/>
            <w:vAlign w:val="center"/>
          </w:tcPr>
          <w:p w14:paraId="064DA0AD">
            <w:pPr>
              <w:snapToGrid w:val="0"/>
              <w:rPr>
                <w:rFonts w:hint="eastAsia" w:ascii="宋体" w:hAnsi="宋体" w:eastAsia="宋体" w:cs="宋体"/>
                <w:i w:val="0"/>
                <w:iCs w:val="0"/>
                <w:color w:val="000000"/>
                <w:sz w:val="18"/>
                <w:szCs w:val="18"/>
                <w:u w:val="none"/>
              </w:rPr>
            </w:pPr>
          </w:p>
        </w:tc>
        <w:tc>
          <w:tcPr>
            <w:tcW w:w="426" w:type="pct"/>
            <w:tcBorders>
              <w:top w:val="nil"/>
              <w:left w:val="nil"/>
              <w:bottom w:val="nil"/>
              <w:right w:val="nil"/>
            </w:tcBorders>
            <w:shd w:val="clear" w:color="auto" w:fill="auto"/>
            <w:vAlign w:val="center"/>
          </w:tcPr>
          <w:p w14:paraId="13A4BA36">
            <w:pPr>
              <w:snapToGrid w:val="0"/>
              <w:rPr>
                <w:rFonts w:hint="eastAsia" w:ascii="宋体" w:hAnsi="宋体" w:eastAsia="宋体" w:cs="宋体"/>
                <w:i w:val="0"/>
                <w:iCs w:val="0"/>
                <w:color w:val="000000"/>
                <w:sz w:val="18"/>
                <w:szCs w:val="18"/>
                <w:u w:val="none"/>
              </w:rPr>
            </w:pPr>
          </w:p>
        </w:tc>
        <w:tc>
          <w:tcPr>
            <w:tcW w:w="474" w:type="pct"/>
            <w:tcBorders>
              <w:top w:val="nil"/>
              <w:left w:val="nil"/>
              <w:bottom w:val="nil"/>
              <w:right w:val="nil"/>
            </w:tcBorders>
            <w:shd w:val="clear" w:color="auto" w:fill="auto"/>
            <w:vAlign w:val="center"/>
          </w:tcPr>
          <w:p w14:paraId="189C1150">
            <w:pPr>
              <w:snapToGrid w:val="0"/>
              <w:rPr>
                <w:rFonts w:hint="eastAsia" w:ascii="宋体" w:hAnsi="宋体" w:eastAsia="宋体" w:cs="宋体"/>
                <w:i w:val="0"/>
                <w:iCs w:val="0"/>
                <w:color w:val="000000"/>
                <w:sz w:val="18"/>
                <w:szCs w:val="18"/>
                <w:u w:val="none"/>
              </w:rPr>
            </w:pPr>
          </w:p>
        </w:tc>
        <w:tc>
          <w:tcPr>
            <w:tcW w:w="246" w:type="pct"/>
            <w:tcBorders>
              <w:top w:val="nil"/>
              <w:left w:val="nil"/>
              <w:bottom w:val="nil"/>
              <w:right w:val="nil"/>
            </w:tcBorders>
            <w:shd w:val="clear" w:color="auto" w:fill="auto"/>
            <w:vAlign w:val="center"/>
          </w:tcPr>
          <w:p w14:paraId="21A68F49">
            <w:pPr>
              <w:snapToGrid w:val="0"/>
              <w:rPr>
                <w:rFonts w:hint="eastAsia" w:ascii="宋体" w:hAnsi="宋体" w:eastAsia="宋体" w:cs="宋体"/>
                <w:i w:val="0"/>
                <w:iCs w:val="0"/>
                <w:color w:val="000000"/>
                <w:sz w:val="18"/>
                <w:szCs w:val="18"/>
                <w:u w:val="none"/>
              </w:rPr>
            </w:pPr>
          </w:p>
        </w:tc>
        <w:tc>
          <w:tcPr>
            <w:tcW w:w="442" w:type="pct"/>
            <w:tcBorders>
              <w:top w:val="nil"/>
              <w:left w:val="nil"/>
              <w:bottom w:val="nil"/>
              <w:right w:val="nil"/>
            </w:tcBorders>
            <w:shd w:val="clear" w:color="auto" w:fill="auto"/>
            <w:vAlign w:val="center"/>
          </w:tcPr>
          <w:p w14:paraId="78AA94D4">
            <w:pPr>
              <w:snapToGrid w:val="0"/>
              <w:rPr>
                <w:rFonts w:hint="eastAsia" w:ascii="宋体" w:hAnsi="宋体" w:eastAsia="宋体" w:cs="宋体"/>
                <w:i w:val="0"/>
                <w:iCs w:val="0"/>
                <w:color w:val="000000"/>
                <w:sz w:val="18"/>
                <w:szCs w:val="18"/>
                <w:u w:val="none"/>
              </w:rPr>
            </w:pPr>
          </w:p>
        </w:tc>
        <w:tc>
          <w:tcPr>
            <w:tcW w:w="442" w:type="pct"/>
            <w:tcBorders>
              <w:top w:val="nil"/>
              <w:left w:val="nil"/>
              <w:bottom w:val="nil"/>
              <w:right w:val="nil"/>
            </w:tcBorders>
            <w:shd w:val="clear" w:color="auto" w:fill="auto"/>
            <w:vAlign w:val="center"/>
          </w:tcPr>
          <w:p w14:paraId="652D5C1F">
            <w:pPr>
              <w:snapToGrid w:val="0"/>
              <w:rPr>
                <w:rFonts w:hint="eastAsia" w:ascii="宋体" w:hAnsi="宋体" w:eastAsia="宋体" w:cs="宋体"/>
                <w:i w:val="0"/>
                <w:iCs w:val="0"/>
                <w:color w:val="000000"/>
                <w:sz w:val="18"/>
                <w:szCs w:val="18"/>
                <w:u w:val="none"/>
              </w:rPr>
            </w:pPr>
          </w:p>
        </w:tc>
        <w:tc>
          <w:tcPr>
            <w:tcW w:w="503" w:type="pct"/>
            <w:tcBorders>
              <w:top w:val="nil"/>
              <w:left w:val="nil"/>
              <w:bottom w:val="nil"/>
              <w:right w:val="nil"/>
            </w:tcBorders>
            <w:shd w:val="clear" w:color="auto" w:fill="auto"/>
            <w:vAlign w:val="center"/>
          </w:tcPr>
          <w:p w14:paraId="08872D61">
            <w:pPr>
              <w:snapToGrid w:val="0"/>
              <w:rPr>
                <w:rFonts w:hint="eastAsia" w:ascii="宋体" w:hAnsi="宋体" w:eastAsia="宋体" w:cs="宋体"/>
                <w:i w:val="0"/>
                <w:iCs w:val="0"/>
                <w:color w:val="000000"/>
                <w:sz w:val="18"/>
                <w:szCs w:val="18"/>
                <w:u w:val="none"/>
              </w:rPr>
            </w:pPr>
          </w:p>
        </w:tc>
        <w:tc>
          <w:tcPr>
            <w:tcW w:w="243" w:type="pct"/>
            <w:tcBorders>
              <w:top w:val="nil"/>
              <w:left w:val="nil"/>
              <w:bottom w:val="nil"/>
              <w:right w:val="nil"/>
            </w:tcBorders>
            <w:shd w:val="clear" w:color="auto" w:fill="auto"/>
            <w:vAlign w:val="center"/>
          </w:tcPr>
          <w:p w14:paraId="2C4DB2A1">
            <w:pPr>
              <w:snapToGrid w:val="0"/>
              <w:rPr>
                <w:rFonts w:hint="eastAsia" w:ascii="宋体" w:hAnsi="宋体" w:eastAsia="宋体" w:cs="宋体"/>
                <w:i w:val="0"/>
                <w:iCs w:val="0"/>
                <w:color w:val="000000"/>
                <w:sz w:val="18"/>
                <w:szCs w:val="18"/>
                <w:u w:val="none"/>
              </w:rPr>
            </w:pPr>
          </w:p>
        </w:tc>
        <w:tc>
          <w:tcPr>
            <w:tcW w:w="193" w:type="pct"/>
            <w:tcBorders>
              <w:top w:val="nil"/>
              <w:left w:val="nil"/>
              <w:bottom w:val="nil"/>
              <w:right w:val="nil"/>
            </w:tcBorders>
            <w:shd w:val="clear" w:color="auto" w:fill="auto"/>
            <w:vAlign w:val="center"/>
          </w:tcPr>
          <w:p w14:paraId="28528EE9">
            <w:pPr>
              <w:snapToGrid w:val="0"/>
              <w:rPr>
                <w:rFonts w:hint="eastAsia" w:ascii="宋体" w:hAnsi="宋体" w:eastAsia="宋体" w:cs="宋体"/>
                <w:i w:val="0"/>
                <w:iCs w:val="0"/>
                <w:color w:val="000000"/>
                <w:sz w:val="18"/>
                <w:szCs w:val="18"/>
                <w:u w:val="none"/>
              </w:rPr>
            </w:pPr>
          </w:p>
        </w:tc>
        <w:tc>
          <w:tcPr>
            <w:tcW w:w="1266" w:type="pct"/>
            <w:tcBorders>
              <w:top w:val="nil"/>
              <w:left w:val="nil"/>
              <w:bottom w:val="nil"/>
              <w:right w:val="nil"/>
            </w:tcBorders>
            <w:shd w:val="clear" w:color="auto" w:fill="auto"/>
            <w:vAlign w:val="center"/>
          </w:tcPr>
          <w:p w14:paraId="461395FC">
            <w:pPr>
              <w:snapToGrid w:val="0"/>
              <w:rPr>
                <w:rFonts w:hint="eastAsia" w:ascii="宋体" w:hAnsi="宋体" w:eastAsia="宋体" w:cs="宋体"/>
                <w:i w:val="0"/>
                <w:iCs w:val="0"/>
                <w:color w:val="000000"/>
                <w:sz w:val="18"/>
                <w:szCs w:val="18"/>
                <w:u w:val="none"/>
              </w:rPr>
            </w:pPr>
          </w:p>
        </w:tc>
      </w:tr>
      <w:tr w14:paraId="3CC3A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84AD32C">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A99A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939B9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2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F702B1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51113224T000011674206</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拖欠企业账款清偿项目</w:t>
            </w:r>
          </w:p>
        </w:tc>
      </w:tr>
      <w:tr w14:paraId="0479D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C17DB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F4EC7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峨边彝族自治县新场乡人民政府本级</w:t>
            </w:r>
          </w:p>
        </w:tc>
        <w:tc>
          <w:tcPr>
            <w:tcW w:w="503" w:type="pct"/>
            <w:tcBorders>
              <w:top w:val="nil"/>
              <w:left w:val="nil"/>
              <w:bottom w:val="nil"/>
              <w:right w:val="nil"/>
            </w:tcBorders>
            <w:shd w:val="clear" w:color="auto" w:fill="auto"/>
            <w:vAlign w:val="center"/>
          </w:tcPr>
          <w:p w14:paraId="4D3FC596">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7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3814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峨边彝族自治县新场乡人民政府</w:t>
            </w:r>
          </w:p>
        </w:tc>
      </w:tr>
      <w:tr w14:paraId="30153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64757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98836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81BAE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2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A23789">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B6CE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4D45C">
            <w:pPr>
              <w:snapToGrid w:val="0"/>
              <w:rPr>
                <w:rFonts w:hint="eastAsia" w:ascii="宋体" w:hAnsi="宋体" w:eastAsia="宋体" w:cs="宋体"/>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EF70C">
            <w:pPr>
              <w:snapToGrid w:val="0"/>
              <w:rPr>
                <w:rFonts w:hint="eastAsia" w:ascii="宋体" w:hAnsi="宋体" w:eastAsia="宋体" w:cs="宋体"/>
                <w:i w:val="0"/>
                <w:iCs w:val="0"/>
                <w:color w:val="000000"/>
                <w:sz w:val="18"/>
                <w:szCs w:val="18"/>
                <w:u w:val="none"/>
              </w:rPr>
            </w:pPr>
          </w:p>
        </w:tc>
        <w:tc>
          <w:tcPr>
            <w:tcW w:w="20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7AF8A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拨付13.8万元资金。</w:t>
            </w:r>
          </w:p>
        </w:tc>
        <w:tc>
          <w:tcPr>
            <w:tcW w:w="22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80A582">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5A828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4C8E5">
            <w:pPr>
              <w:snapToGrid w:val="0"/>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D3B9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2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03FE39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峨边彝族自治县新场乡长虹村农村</w:t>
            </w:r>
            <w:r>
              <w:rPr>
                <w:rFonts w:hint="eastAsia" w:ascii="宋体" w:hAnsi="宋体" w:cs="宋体"/>
                <w:i w:val="0"/>
                <w:iCs w:val="0"/>
                <w:color w:val="000000"/>
                <w:kern w:val="0"/>
                <w:sz w:val="18"/>
                <w:szCs w:val="18"/>
                <w:u w:val="none"/>
                <w:lang w:val="en-US" w:eastAsia="zh-CN" w:bidi="ar"/>
              </w:rPr>
              <w:t>公益性墓地建设</w:t>
            </w:r>
            <w:r>
              <w:rPr>
                <w:rFonts w:ascii="宋体" w:hAnsi="宋体" w:eastAsia="宋体" w:cs="宋体"/>
                <w:i w:val="0"/>
                <w:iCs w:val="0"/>
                <w:color w:val="000000"/>
                <w:kern w:val="0"/>
                <w:sz w:val="18"/>
                <w:szCs w:val="18"/>
                <w:u w:val="none"/>
                <w:lang w:val="en-US" w:eastAsia="zh-CN" w:bidi="ar"/>
              </w:rPr>
              <w:t>面积2 亩，墓碑55座，乡村振兴示范联创联建工程，对194户进行人居环境整治和农房风貌改造。对12户垃圾填埋场拆迁户进行集中安置。</w:t>
            </w:r>
          </w:p>
        </w:tc>
      </w:tr>
      <w:tr w14:paraId="07E77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E93B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948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06C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35F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5BA5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591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2EF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E04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20B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4882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6F3CA">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FC1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43A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3D3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13.80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9038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13.80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CC5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2E9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90C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8DA763">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DA23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F7305">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CD1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58C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E7A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13.80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644B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13.80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E22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49A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481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BBF9E">
            <w:pPr>
              <w:snapToGrid w:val="0"/>
              <w:rPr>
                <w:rFonts w:hint="eastAsia" w:ascii="黑体" w:hAnsi="黑体" w:eastAsia="黑体" w:cs="黑体"/>
                <w:i/>
                <w:iCs/>
                <w:color w:val="000000"/>
                <w:sz w:val="18"/>
                <w:szCs w:val="18"/>
                <w:u w:val="none"/>
              </w:rPr>
            </w:pPr>
          </w:p>
        </w:tc>
      </w:tr>
      <w:tr w14:paraId="4ABE1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CCD3E">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9B69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E07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4C5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D96B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943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B44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007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29868">
            <w:pPr>
              <w:snapToGrid w:val="0"/>
              <w:rPr>
                <w:rFonts w:hint="eastAsia" w:ascii="黑体" w:hAnsi="黑体" w:eastAsia="黑体" w:cs="黑体"/>
                <w:i/>
                <w:iCs/>
                <w:color w:val="000000"/>
                <w:sz w:val="18"/>
                <w:szCs w:val="18"/>
                <w:u w:val="none"/>
              </w:rPr>
            </w:pPr>
          </w:p>
        </w:tc>
      </w:tr>
      <w:tr w14:paraId="79DD6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B1FD6">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D23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44D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B8D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613E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574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F52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1DE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83100">
            <w:pPr>
              <w:snapToGrid w:val="0"/>
              <w:rPr>
                <w:rFonts w:hint="eastAsia" w:ascii="黑体" w:hAnsi="黑体" w:eastAsia="黑体" w:cs="黑体"/>
                <w:i/>
                <w:iCs/>
                <w:color w:val="000000"/>
                <w:sz w:val="18"/>
                <w:szCs w:val="18"/>
                <w:u w:val="none"/>
              </w:rPr>
            </w:pPr>
          </w:p>
        </w:tc>
      </w:tr>
      <w:tr w14:paraId="70474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8EDAE">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FB5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BA2DF">
            <w:pPr>
              <w:snapToGrid w:val="0"/>
              <w:jc w:val="center"/>
              <w:rPr>
                <w:rFonts w:hint="eastAsia" w:ascii="微软雅黑" w:hAnsi="微软雅黑" w:eastAsia="微软雅黑" w:cs="微软雅黑"/>
                <w:i/>
                <w:iCs/>
                <w:color w:val="000000"/>
                <w:sz w:val="16"/>
                <w:szCs w:val="16"/>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FE472">
            <w:pPr>
              <w:snapToGrid w:val="0"/>
              <w:jc w:val="center"/>
              <w:rPr>
                <w:rFonts w:hint="eastAsia" w:ascii="微软雅黑" w:hAnsi="微软雅黑" w:eastAsia="微软雅黑" w:cs="微软雅黑"/>
                <w:i/>
                <w:iCs/>
                <w:color w:val="000000"/>
                <w:sz w:val="16"/>
                <w:szCs w:val="16"/>
                <w:u w:val="none"/>
              </w:rPr>
            </w:pP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94A7EF">
            <w:pPr>
              <w:snapToGrid w:val="0"/>
              <w:jc w:val="center"/>
              <w:rPr>
                <w:rFonts w:hint="eastAsia" w:ascii="微软雅黑" w:hAnsi="微软雅黑" w:eastAsia="微软雅黑" w:cs="微软雅黑"/>
                <w:i/>
                <w:iCs/>
                <w:color w:val="000000"/>
                <w:sz w:val="16"/>
                <w:szCs w:val="16"/>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8DB76">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910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3763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6A41C">
            <w:pPr>
              <w:snapToGrid w:val="0"/>
              <w:rPr>
                <w:rFonts w:hint="eastAsia" w:ascii="黑体" w:hAnsi="黑体" w:eastAsia="黑体" w:cs="黑体"/>
                <w:i/>
                <w:iCs/>
                <w:color w:val="000000"/>
                <w:sz w:val="18"/>
                <w:szCs w:val="18"/>
                <w:u w:val="none"/>
              </w:rPr>
            </w:pPr>
          </w:p>
        </w:tc>
      </w:tr>
      <w:tr w14:paraId="56F0F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DA3A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4A7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0C2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0BF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B223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E0A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583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0E8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78F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135B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360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CC18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138DB">
            <w:pPr>
              <w:snapToGrid w:val="0"/>
              <w:jc w:val="center"/>
              <w:rPr>
                <w:rFonts w:hint="eastAsia" w:ascii="宋体" w:hAnsi="宋体" w:eastAsia="宋体" w:cs="宋体"/>
                <w:i w:val="0"/>
                <w:iCs w:val="0"/>
                <w:color w:val="000000"/>
                <w:sz w:val="18"/>
                <w:szCs w:val="18"/>
                <w:u w:val="none"/>
              </w:rPr>
            </w:pPr>
          </w:p>
        </w:tc>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E2F6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56F1B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1B6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完成项目时间</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069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791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365</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8C99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34CC3">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463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F65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79EA1">
            <w:pPr>
              <w:snapToGrid w:val="0"/>
              <w:jc w:val="center"/>
              <w:rPr>
                <w:rFonts w:hint="eastAsia" w:ascii="微软雅黑" w:hAnsi="微软雅黑" w:eastAsia="微软雅黑" w:cs="微软雅黑"/>
                <w:i/>
                <w:iCs/>
                <w:color w:val="000000"/>
                <w:sz w:val="16"/>
                <w:szCs w:val="16"/>
                <w:u w:val="none"/>
              </w:rPr>
            </w:pPr>
          </w:p>
        </w:tc>
      </w:tr>
      <w:tr w14:paraId="487EC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78AE2">
            <w:pPr>
              <w:snapToGrid w:val="0"/>
              <w:jc w:val="center"/>
              <w:rPr>
                <w:rFonts w:hint="eastAsia" w:ascii="宋体" w:hAnsi="宋体" w:eastAsia="宋体" w:cs="宋体"/>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FCE42">
            <w:pPr>
              <w:snapToGrid w:val="0"/>
              <w:jc w:val="center"/>
              <w:rPr>
                <w:rFonts w:hint="eastAsia" w:ascii="宋体" w:hAnsi="宋体" w:eastAsia="宋体" w:cs="宋体"/>
                <w:i w:val="0"/>
                <w:iCs w:val="0"/>
                <w:color w:val="000000"/>
                <w:sz w:val="18"/>
                <w:szCs w:val="18"/>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64F70">
            <w:pPr>
              <w:snapToGrid w:val="0"/>
              <w:jc w:val="center"/>
              <w:rPr>
                <w:rFonts w:hint="eastAsia" w:ascii="宋体" w:hAnsi="宋体" w:eastAsia="宋体" w:cs="宋体"/>
                <w:i w:val="0"/>
                <w:iCs w:val="0"/>
                <w:color w:val="000000"/>
                <w:sz w:val="18"/>
                <w:szCs w:val="18"/>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9F7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墓碑</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4E7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4D6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32F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座（处）</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DE960">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821E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E8F6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569F1">
            <w:pPr>
              <w:snapToGrid w:val="0"/>
              <w:jc w:val="center"/>
              <w:rPr>
                <w:rFonts w:hint="eastAsia" w:ascii="微软雅黑" w:hAnsi="微软雅黑" w:eastAsia="微软雅黑" w:cs="微软雅黑"/>
                <w:i/>
                <w:iCs/>
                <w:color w:val="000000"/>
                <w:sz w:val="16"/>
                <w:szCs w:val="16"/>
                <w:u w:val="none"/>
              </w:rPr>
            </w:pPr>
          </w:p>
        </w:tc>
      </w:tr>
      <w:tr w14:paraId="50719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78163">
            <w:pPr>
              <w:snapToGrid w:val="0"/>
              <w:jc w:val="center"/>
              <w:rPr>
                <w:rFonts w:hint="eastAsia" w:ascii="宋体" w:hAnsi="宋体" w:eastAsia="宋体" w:cs="宋体"/>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62D4A">
            <w:pPr>
              <w:snapToGrid w:val="0"/>
              <w:jc w:val="center"/>
              <w:rPr>
                <w:rFonts w:hint="eastAsia" w:ascii="宋体" w:hAnsi="宋体" w:eastAsia="宋体" w:cs="宋体"/>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FA8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7B8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涉及群众人数</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377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2EA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750</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19B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人数</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8C89D">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BED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CC6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28804">
            <w:pPr>
              <w:snapToGrid w:val="0"/>
              <w:jc w:val="center"/>
              <w:rPr>
                <w:rFonts w:hint="eastAsia" w:ascii="微软雅黑" w:hAnsi="微软雅黑" w:eastAsia="微软雅黑" w:cs="微软雅黑"/>
                <w:i/>
                <w:iCs/>
                <w:color w:val="000000"/>
                <w:sz w:val="16"/>
                <w:szCs w:val="16"/>
                <w:u w:val="none"/>
              </w:rPr>
            </w:pPr>
          </w:p>
        </w:tc>
      </w:tr>
      <w:tr w14:paraId="0F84B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EEB9A">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881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BE7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DCD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保障为全乡群众办事</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779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A30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BB093">
            <w:pPr>
              <w:snapToGrid w:val="0"/>
              <w:jc w:val="center"/>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E91DD">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377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8AF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911BC">
            <w:pPr>
              <w:snapToGrid w:val="0"/>
              <w:jc w:val="center"/>
              <w:rPr>
                <w:rFonts w:hint="eastAsia" w:ascii="微软雅黑" w:hAnsi="微软雅黑" w:eastAsia="微软雅黑" w:cs="微软雅黑"/>
                <w:i/>
                <w:iCs/>
                <w:color w:val="000000"/>
                <w:sz w:val="16"/>
                <w:szCs w:val="16"/>
                <w:u w:val="none"/>
              </w:rPr>
            </w:pPr>
          </w:p>
        </w:tc>
      </w:tr>
      <w:tr w14:paraId="5660A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EB987">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461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E1D3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EDBA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C66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A16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449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3A71A">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D815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765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0A86A">
            <w:pPr>
              <w:snapToGrid w:val="0"/>
              <w:jc w:val="center"/>
              <w:rPr>
                <w:rFonts w:hint="eastAsia" w:ascii="微软雅黑" w:hAnsi="微软雅黑" w:eastAsia="微软雅黑" w:cs="微软雅黑"/>
                <w:i/>
                <w:iCs/>
                <w:color w:val="000000"/>
                <w:sz w:val="16"/>
                <w:szCs w:val="16"/>
                <w:u w:val="none"/>
              </w:rPr>
            </w:pPr>
          </w:p>
        </w:tc>
      </w:tr>
      <w:tr w14:paraId="0376D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9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B6DEC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BDA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528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92C36">
            <w:pPr>
              <w:snapToGrid w:val="0"/>
              <w:rPr>
                <w:rFonts w:hint="eastAsia" w:ascii="宋体" w:hAnsi="宋体" w:eastAsia="宋体" w:cs="宋体"/>
                <w:i w:val="0"/>
                <w:iCs w:val="0"/>
                <w:color w:val="000000"/>
                <w:sz w:val="18"/>
                <w:szCs w:val="18"/>
                <w:u w:val="none"/>
              </w:rPr>
            </w:pPr>
          </w:p>
        </w:tc>
      </w:tr>
      <w:tr w14:paraId="437E7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226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A87785">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经综合评价为优，综合得分98分。</w:t>
            </w:r>
          </w:p>
        </w:tc>
      </w:tr>
      <w:tr w14:paraId="7A272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C3A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8407CF6">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F1D1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453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A78780C">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DCC1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E21D1E">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09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E5A9089">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0C193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tcBorders>
              <w:top w:val="nil"/>
              <w:left w:val="nil"/>
              <w:bottom w:val="nil"/>
              <w:right w:val="nil"/>
            </w:tcBorders>
            <w:shd w:val="clear" w:color="auto" w:fill="auto"/>
            <w:vAlign w:val="center"/>
          </w:tcPr>
          <w:p w14:paraId="0EB14A70">
            <w:pPr>
              <w:snapToGrid w:val="0"/>
              <w:rPr>
                <w:rFonts w:hint="eastAsia" w:ascii="宋体" w:hAnsi="宋体" w:eastAsia="宋体" w:cs="宋体"/>
                <w:i w:val="0"/>
                <w:iCs w:val="0"/>
                <w:color w:val="000000"/>
                <w:sz w:val="18"/>
                <w:szCs w:val="18"/>
                <w:u w:val="none"/>
              </w:rPr>
            </w:pPr>
          </w:p>
        </w:tc>
        <w:tc>
          <w:tcPr>
            <w:tcW w:w="390" w:type="pct"/>
            <w:tcBorders>
              <w:top w:val="nil"/>
              <w:left w:val="nil"/>
              <w:bottom w:val="nil"/>
              <w:right w:val="nil"/>
            </w:tcBorders>
            <w:shd w:val="clear" w:color="auto" w:fill="auto"/>
            <w:vAlign w:val="center"/>
          </w:tcPr>
          <w:p w14:paraId="54FE1125">
            <w:pPr>
              <w:snapToGrid w:val="0"/>
              <w:rPr>
                <w:rFonts w:hint="eastAsia" w:ascii="宋体" w:hAnsi="宋体" w:eastAsia="宋体" w:cs="宋体"/>
                <w:i w:val="0"/>
                <w:iCs w:val="0"/>
                <w:color w:val="000000"/>
                <w:sz w:val="18"/>
                <w:szCs w:val="18"/>
                <w:u w:val="none"/>
              </w:rPr>
            </w:pPr>
          </w:p>
        </w:tc>
        <w:tc>
          <w:tcPr>
            <w:tcW w:w="426" w:type="pct"/>
            <w:tcBorders>
              <w:top w:val="nil"/>
              <w:left w:val="nil"/>
              <w:bottom w:val="nil"/>
              <w:right w:val="nil"/>
            </w:tcBorders>
            <w:shd w:val="clear" w:color="auto" w:fill="auto"/>
            <w:vAlign w:val="center"/>
          </w:tcPr>
          <w:p w14:paraId="65937746">
            <w:pPr>
              <w:snapToGrid w:val="0"/>
              <w:rPr>
                <w:rFonts w:hint="eastAsia" w:ascii="宋体" w:hAnsi="宋体" w:eastAsia="宋体" w:cs="宋体"/>
                <w:i w:val="0"/>
                <w:iCs w:val="0"/>
                <w:color w:val="000000"/>
                <w:sz w:val="18"/>
                <w:szCs w:val="18"/>
                <w:u w:val="none"/>
              </w:rPr>
            </w:pPr>
          </w:p>
        </w:tc>
        <w:tc>
          <w:tcPr>
            <w:tcW w:w="474" w:type="pct"/>
            <w:tcBorders>
              <w:top w:val="nil"/>
              <w:left w:val="nil"/>
              <w:bottom w:val="nil"/>
              <w:right w:val="nil"/>
            </w:tcBorders>
            <w:shd w:val="clear" w:color="auto" w:fill="auto"/>
            <w:vAlign w:val="center"/>
          </w:tcPr>
          <w:p w14:paraId="60FEC7C9">
            <w:pPr>
              <w:snapToGrid w:val="0"/>
              <w:rPr>
                <w:rFonts w:hint="eastAsia" w:ascii="宋体" w:hAnsi="宋体" w:eastAsia="宋体" w:cs="宋体"/>
                <w:i w:val="0"/>
                <w:iCs w:val="0"/>
                <w:color w:val="000000"/>
                <w:sz w:val="18"/>
                <w:szCs w:val="18"/>
                <w:u w:val="none"/>
              </w:rPr>
            </w:pPr>
          </w:p>
        </w:tc>
        <w:tc>
          <w:tcPr>
            <w:tcW w:w="246" w:type="pct"/>
            <w:tcBorders>
              <w:top w:val="nil"/>
              <w:left w:val="nil"/>
              <w:bottom w:val="nil"/>
              <w:right w:val="nil"/>
            </w:tcBorders>
            <w:shd w:val="clear" w:color="auto" w:fill="auto"/>
            <w:vAlign w:val="center"/>
          </w:tcPr>
          <w:p w14:paraId="5B69A00A">
            <w:pPr>
              <w:snapToGrid w:val="0"/>
              <w:rPr>
                <w:rFonts w:hint="eastAsia" w:ascii="宋体" w:hAnsi="宋体" w:eastAsia="宋体" w:cs="宋体"/>
                <w:i w:val="0"/>
                <w:iCs w:val="0"/>
                <w:color w:val="000000"/>
                <w:sz w:val="18"/>
                <w:szCs w:val="18"/>
                <w:u w:val="none"/>
              </w:rPr>
            </w:pPr>
          </w:p>
        </w:tc>
        <w:tc>
          <w:tcPr>
            <w:tcW w:w="442" w:type="pct"/>
            <w:tcBorders>
              <w:top w:val="nil"/>
              <w:left w:val="nil"/>
              <w:bottom w:val="nil"/>
              <w:right w:val="nil"/>
            </w:tcBorders>
            <w:shd w:val="clear" w:color="auto" w:fill="auto"/>
            <w:vAlign w:val="center"/>
          </w:tcPr>
          <w:p w14:paraId="60C9D630">
            <w:pPr>
              <w:snapToGrid w:val="0"/>
              <w:rPr>
                <w:rFonts w:hint="eastAsia" w:ascii="宋体" w:hAnsi="宋体" w:eastAsia="宋体" w:cs="宋体"/>
                <w:i w:val="0"/>
                <w:iCs w:val="0"/>
                <w:color w:val="000000"/>
                <w:sz w:val="18"/>
                <w:szCs w:val="18"/>
                <w:u w:val="none"/>
              </w:rPr>
            </w:pPr>
          </w:p>
        </w:tc>
        <w:tc>
          <w:tcPr>
            <w:tcW w:w="442" w:type="pct"/>
            <w:tcBorders>
              <w:top w:val="nil"/>
              <w:left w:val="nil"/>
              <w:bottom w:val="nil"/>
              <w:right w:val="nil"/>
            </w:tcBorders>
            <w:shd w:val="clear" w:color="auto" w:fill="auto"/>
            <w:vAlign w:val="center"/>
          </w:tcPr>
          <w:p w14:paraId="628ECF88">
            <w:pPr>
              <w:snapToGrid w:val="0"/>
              <w:rPr>
                <w:rFonts w:hint="eastAsia" w:ascii="宋体" w:hAnsi="宋体" w:eastAsia="宋体" w:cs="宋体"/>
                <w:i w:val="0"/>
                <w:iCs w:val="0"/>
                <w:color w:val="000000"/>
                <w:sz w:val="18"/>
                <w:szCs w:val="18"/>
                <w:u w:val="none"/>
              </w:rPr>
            </w:pPr>
          </w:p>
        </w:tc>
        <w:tc>
          <w:tcPr>
            <w:tcW w:w="503" w:type="pct"/>
            <w:tcBorders>
              <w:top w:val="nil"/>
              <w:left w:val="nil"/>
              <w:bottom w:val="nil"/>
              <w:right w:val="nil"/>
            </w:tcBorders>
            <w:shd w:val="clear" w:color="auto" w:fill="auto"/>
            <w:vAlign w:val="center"/>
          </w:tcPr>
          <w:p w14:paraId="6F3547F1">
            <w:pPr>
              <w:snapToGrid w:val="0"/>
              <w:rPr>
                <w:rFonts w:hint="eastAsia" w:ascii="宋体" w:hAnsi="宋体" w:eastAsia="宋体" w:cs="宋体"/>
                <w:i w:val="0"/>
                <w:iCs w:val="0"/>
                <w:color w:val="000000"/>
                <w:sz w:val="18"/>
                <w:szCs w:val="18"/>
                <w:u w:val="none"/>
              </w:rPr>
            </w:pPr>
          </w:p>
        </w:tc>
        <w:tc>
          <w:tcPr>
            <w:tcW w:w="243" w:type="pct"/>
            <w:tcBorders>
              <w:top w:val="nil"/>
              <w:left w:val="nil"/>
              <w:bottom w:val="nil"/>
              <w:right w:val="nil"/>
            </w:tcBorders>
            <w:shd w:val="clear" w:color="auto" w:fill="auto"/>
            <w:vAlign w:val="center"/>
          </w:tcPr>
          <w:p w14:paraId="7BA2FDDA">
            <w:pPr>
              <w:snapToGrid w:val="0"/>
              <w:rPr>
                <w:rFonts w:hint="eastAsia" w:ascii="宋体" w:hAnsi="宋体" w:eastAsia="宋体" w:cs="宋体"/>
                <w:i w:val="0"/>
                <w:iCs w:val="0"/>
                <w:color w:val="000000"/>
                <w:sz w:val="18"/>
                <w:szCs w:val="18"/>
                <w:u w:val="none"/>
              </w:rPr>
            </w:pPr>
          </w:p>
        </w:tc>
        <w:tc>
          <w:tcPr>
            <w:tcW w:w="193" w:type="pct"/>
            <w:tcBorders>
              <w:top w:val="nil"/>
              <w:left w:val="nil"/>
              <w:bottom w:val="nil"/>
              <w:right w:val="nil"/>
            </w:tcBorders>
            <w:shd w:val="clear" w:color="auto" w:fill="auto"/>
            <w:vAlign w:val="center"/>
          </w:tcPr>
          <w:p w14:paraId="1A31F6CF">
            <w:pPr>
              <w:snapToGrid w:val="0"/>
              <w:rPr>
                <w:rFonts w:hint="eastAsia" w:ascii="宋体" w:hAnsi="宋体" w:eastAsia="宋体" w:cs="宋体"/>
                <w:i w:val="0"/>
                <w:iCs w:val="0"/>
                <w:color w:val="000000"/>
                <w:sz w:val="18"/>
                <w:szCs w:val="18"/>
                <w:u w:val="none"/>
              </w:rPr>
            </w:pPr>
          </w:p>
        </w:tc>
        <w:tc>
          <w:tcPr>
            <w:tcW w:w="1266" w:type="pct"/>
            <w:tcBorders>
              <w:top w:val="nil"/>
              <w:left w:val="nil"/>
              <w:bottom w:val="nil"/>
              <w:right w:val="nil"/>
            </w:tcBorders>
            <w:shd w:val="clear" w:color="auto" w:fill="auto"/>
            <w:vAlign w:val="center"/>
          </w:tcPr>
          <w:p w14:paraId="111AF54A">
            <w:pPr>
              <w:snapToGrid w:val="0"/>
              <w:rPr>
                <w:rFonts w:hint="eastAsia" w:ascii="宋体" w:hAnsi="宋体" w:eastAsia="宋体" w:cs="宋体"/>
                <w:i w:val="0"/>
                <w:iCs w:val="0"/>
                <w:color w:val="000000"/>
                <w:sz w:val="18"/>
                <w:szCs w:val="18"/>
                <w:u w:val="none"/>
              </w:rPr>
            </w:pPr>
          </w:p>
        </w:tc>
      </w:tr>
      <w:tr w14:paraId="7AA38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5A8D9C7">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DFBA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1EF71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2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60F811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51113224T000011917440-2024年基层组织和农村公共服务运行经费（上级）</w:t>
            </w:r>
          </w:p>
        </w:tc>
      </w:tr>
      <w:tr w14:paraId="5806E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B7944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3129E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峨边彝族自治县新场乡人民政府本级</w:t>
            </w:r>
          </w:p>
        </w:tc>
        <w:tc>
          <w:tcPr>
            <w:tcW w:w="503" w:type="pct"/>
            <w:tcBorders>
              <w:top w:val="nil"/>
              <w:left w:val="nil"/>
              <w:bottom w:val="nil"/>
              <w:right w:val="nil"/>
            </w:tcBorders>
            <w:shd w:val="clear" w:color="auto" w:fill="auto"/>
            <w:vAlign w:val="center"/>
          </w:tcPr>
          <w:p w14:paraId="1BA9546C">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7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F62A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峨边彝族自治县新场乡人民政府</w:t>
            </w:r>
          </w:p>
        </w:tc>
      </w:tr>
      <w:tr w14:paraId="0B357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C05E7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55BB7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245E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2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A217D1">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9D99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7B58A">
            <w:pPr>
              <w:snapToGrid w:val="0"/>
              <w:rPr>
                <w:rFonts w:hint="eastAsia" w:ascii="宋体" w:hAnsi="宋体" w:eastAsia="宋体" w:cs="宋体"/>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6712D">
            <w:pPr>
              <w:snapToGrid w:val="0"/>
              <w:rPr>
                <w:rFonts w:hint="eastAsia" w:ascii="宋体" w:hAnsi="宋体" w:eastAsia="宋体" w:cs="宋体"/>
                <w:i w:val="0"/>
                <w:iCs w:val="0"/>
                <w:color w:val="000000"/>
                <w:sz w:val="18"/>
                <w:szCs w:val="18"/>
                <w:u w:val="none"/>
              </w:rPr>
            </w:pPr>
          </w:p>
        </w:tc>
        <w:tc>
          <w:tcPr>
            <w:tcW w:w="20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7539D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拨付47万元资金。</w:t>
            </w:r>
          </w:p>
        </w:tc>
        <w:tc>
          <w:tcPr>
            <w:tcW w:w="22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E12F01">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55718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5492A">
            <w:pPr>
              <w:snapToGrid w:val="0"/>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6A42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2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DF844C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对五个村进行资金分配后，让村报上相应的报账资料后拨付给各村。</w:t>
            </w:r>
          </w:p>
        </w:tc>
      </w:tr>
      <w:tr w14:paraId="5BF62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C0B4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023D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1E7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E9A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3B0B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C81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A2D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FAF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35F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EF1A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55D9C">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8E5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0A6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CA1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47.00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7C32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7AF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767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08E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3DD063">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539D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BC991">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6002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C2A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E75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47.00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0C42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E12E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74F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3A3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75C64">
            <w:pPr>
              <w:snapToGrid w:val="0"/>
              <w:rPr>
                <w:rFonts w:hint="eastAsia" w:ascii="黑体" w:hAnsi="黑体" w:eastAsia="黑体" w:cs="黑体"/>
                <w:i/>
                <w:iCs/>
                <w:color w:val="000000"/>
                <w:sz w:val="18"/>
                <w:szCs w:val="18"/>
                <w:u w:val="none"/>
              </w:rPr>
            </w:pPr>
          </w:p>
        </w:tc>
      </w:tr>
      <w:tr w14:paraId="2DB4F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82674">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E47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36B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466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B6E0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3DE6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08D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710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56C78">
            <w:pPr>
              <w:snapToGrid w:val="0"/>
              <w:rPr>
                <w:rFonts w:hint="eastAsia" w:ascii="黑体" w:hAnsi="黑体" w:eastAsia="黑体" w:cs="黑体"/>
                <w:i/>
                <w:iCs/>
                <w:color w:val="000000"/>
                <w:sz w:val="18"/>
                <w:szCs w:val="18"/>
                <w:u w:val="none"/>
              </w:rPr>
            </w:pPr>
          </w:p>
        </w:tc>
      </w:tr>
      <w:tr w14:paraId="24A5D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76DDA">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31E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E52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429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1CC3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161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530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8B2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750BD">
            <w:pPr>
              <w:snapToGrid w:val="0"/>
              <w:rPr>
                <w:rFonts w:hint="eastAsia" w:ascii="黑体" w:hAnsi="黑体" w:eastAsia="黑体" w:cs="黑体"/>
                <w:i/>
                <w:iCs/>
                <w:color w:val="000000"/>
                <w:sz w:val="18"/>
                <w:szCs w:val="18"/>
                <w:u w:val="none"/>
              </w:rPr>
            </w:pPr>
          </w:p>
        </w:tc>
      </w:tr>
      <w:tr w14:paraId="61035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77950">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B48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B71AD">
            <w:pPr>
              <w:snapToGrid w:val="0"/>
              <w:jc w:val="center"/>
              <w:rPr>
                <w:rFonts w:hint="eastAsia" w:ascii="微软雅黑" w:hAnsi="微软雅黑" w:eastAsia="微软雅黑" w:cs="微软雅黑"/>
                <w:i/>
                <w:iCs/>
                <w:color w:val="000000"/>
                <w:sz w:val="16"/>
                <w:szCs w:val="16"/>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3F65C">
            <w:pPr>
              <w:snapToGrid w:val="0"/>
              <w:jc w:val="center"/>
              <w:rPr>
                <w:rFonts w:hint="eastAsia" w:ascii="微软雅黑" w:hAnsi="微软雅黑" w:eastAsia="微软雅黑" w:cs="微软雅黑"/>
                <w:i/>
                <w:iCs/>
                <w:color w:val="000000"/>
                <w:sz w:val="16"/>
                <w:szCs w:val="16"/>
                <w:u w:val="none"/>
              </w:rPr>
            </w:pP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3A7452">
            <w:pPr>
              <w:snapToGrid w:val="0"/>
              <w:jc w:val="center"/>
              <w:rPr>
                <w:rFonts w:hint="eastAsia" w:ascii="微软雅黑" w:hAnsi="微软雅黑" w:eastAsia="微软雅黑" w:cs="微软雅黑"/>
                <w:i/>
                <w:iCs/>
                <w:color w:val="000000"/>
                <w:sz w:val="16"/>
                <w:szCs w:val="16"/>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760F8">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C94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DA0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59B75">
            <w:pPr>
              <w:snapToGrid w:val="0"/>
              <w:rPr>
                <w:rFonts w:hint="eastAsia" w:ascii="黑体" w:hAnsi="黑体" w:eastAsia="黑体" w:cs="黑体"/>
                <w:i/>
                <w:iCs/>
                <w:color w:val="000000"/>
                <w:sz w:val="18"/>
                <w:szCs w:val="18"/>
                <w:u w:val="none"/>
              </w:rPr>
            </w:pPr>
          </w:p>
        </w:tc>
      </w:tr>
      <w:tr w14:paraId="64035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D319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F14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AE3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E8E5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563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6438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973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CB8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879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7C3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D92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3ADD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515B1">
            <w:pPr>
              <w:snapToGrid w:val="0"/>
              <w:jc w:val="center"/>
              <w:rPr>
                <w:rFonts w:hint="eastAsia" w:ascii="宋体" w:hAnsi="宋体" w:eastAsia="宋体" w:cs="宋体"/>
                <w:i w:val="0"/>
                <w:iCs w:val="0"/>
                <w:color w:val="000000"/>
                <w:sz w:val="18"/>
                <w:szCs w:val="18"/>
                <w:u w:val="none"/>
              </w:rPr>
            </w:pPr>
          </w:p>
        </w:tc>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F597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44D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12E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管理村个数</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97F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E24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16F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E3BCC">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65F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1083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2780E">
            <w:pPr>
              <w:snapToGrid w:val="0"/>
              <w:jc w:val="center"/>
              <w:rPr>
                <w:rFonts w:hint="eastAsia" w:ascii="微软雅黑" w:hAnsi="微软雅黑" w:eastAsia="微软雅黑" w:cs="微软雅黑"/>
                <w:i/>
                <w:iCs/>
                <w:color w:val="000000"/>
                <w:sz w:val="16"/>
                <w:szCs w:val="16"/>
                <w:u w:val="none"/>
              </w:rPr>
            </w:pPr>
          </w:p>
        </w:tc>
      </w:tr>
      <w:tr w14:paraId="12073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5C34A">
            <w:pPr>
              <w:snapToGrid w:val="0"/>
              <w:jc w:val="center"/>
              <w:rPr>
                <w:rFonts w:hint="eastAsia" w:ascii="宋体" w:hAnsi="宋体" w:eastAsia="宋体" w:cs="宋体"/>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780D6">
            <w:pPr>
              <w:snapToGrid w:val="0"/>
              <w:jc w:val="center"/>
              <w:rPr>
                <w:rFonts w:hint="eastAsia" w:ascii="宋体" w:hAnsi="宋体" w:eastAsia="宋体" w:cs="宋体"/>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C0B9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1AD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完成拨付时间</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862A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DBD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365</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B58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2042D">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AD4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FC0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83FDC">
            <w:pPr>
              <w:snapToGrid w:val="0"/>
              <w:jc w:val="center"/>
              <w:rPr>
                <w:rFonts w:hint="eastAsia" w:ascii="微软雅黑" w:hAnsi="微软雅黑" w:eastAsia="微软雅黑" w:cs="微软雅黑"/>
                <w:i/>
                <w:iCs/>
                <w:color w:val="000000"/>
                <w:sz w:val="16"/>
                <w:szCs w:val="16"/>
                <w:u w:val="none"/>
              </w:rPr>
            </w:pPr>
          </w:p>
        </w:tc>
      </w:tr>
      <w:tr w14:paraId="09B73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BCC89">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70B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152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29D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保障为全乡群众办事</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853E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150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92209">
            <w:pPr>
              <w:snapToGrid w:val="0"/>
              <w:jc w:val="center"/>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577C9">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EC5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CBC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07BCA">
            <w:pPr>
              <w:snapToGrid w:val="0"/>
              <w:jc w:val="center"/>
              <w:rPr>
                <w:rFonts w:hint="eastAsia" w:ascii="微软雅黑" w:hAnsi="微软雅黑" w:eastAsia="微软雅黑" w:cs="微软雅黑"/>
                <w:i/>
                <w:iCs/>
                <w:color w:val="000000"/>
                <w:sz w:val="16"/>
                <w:szCs w:val="16"/>
                <w:u w:val="none"/>
              </w:rPr>
            </w:pPr>
          </w:p>
        </w:tc>
      </w:tr>
      <w:tr w14:paraId="121E0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FDC58">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BC7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262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35E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AF3F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5A4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233D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10FF7">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67D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CFC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0BA2F">
            <w:pPr>
              <w:snapToGrid w:val="0"/>
              <w:jc w:val="center"/>
              <w:rPr>
                <w:rFonts w:hint="eastAsia" w:ascii="微软雅黑" w:hAnsi="微软雅黑" w:eastAsia="微软雅黑" w:cs="微软雅黑"/>
                <w:i/>
                <w:iCs/>
                <w:color w:val="000000"/>
                <w:sz w:val="16"/>
                <w:szCs w:val="16"/>
                <w:u w:val="none"/>
              </w:rPr>
            </w:pPr>
          </w:p>
        </w:tc>
      </w:tr>
      <w:tr w14:paraId="4A531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9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8C6FD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37B6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471E8">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D1133">
            <w:pPr>
              <w:snapToGrid w:val="0"/>
              <w:rPr>
                <w:rFonts w:hint="eastAsia" w:ascii="宋体" w:hAnsi="宋体" w:eastAsia="宋体" w:cs="宋体"/>
                <w:i w:val="0"/>
                <w:iCs w:val="0"/>
                <w:color w:val="000000"/>
                <w:sz w:val="18"/>
                <w:szCs w:val="18"/>
                <w:u w:val="none"/>
              </w:rPr>
            </w:pPr>
          </w:p>
        </w:tc>
      </w:tr>
      <w:tr w14:paraId="4CF2E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0CE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852F57">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经综合评价为优，综合得分98分。</w:t>
            </w:r>
          </w:p>
        </w:tc>
      </w:tr>
      <w:tr w14:paraId="35787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AFF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414040C">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E3C5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B2C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91EFFDB">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E0B8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0F90C7">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09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5227AE">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7C263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tcBorders>
              <w:top w:val="nil"/>
              <w:left w:val="nil"/>
              <w:bottom w:val="nil"/>
              <w:right w:val="nil"/>
            </w:tcBorders>
            <w:shd w:val="clear" w:color="auto" w:fill="auto"/>
            <w:vAlign w:val="center"/>
          </w:tcPr>
          <w:p w14:paraId="3F43DE1B">
            <w:pPr>
              <w:snapToGrid w:val="0"/>
              <w:rPr>
                <w:rFonts w:hint="eastAsia" w:ascii="宋体" w:hAnsi="宋体" w:eastAsia="宋体" w:cs="宋体"/>
                <w:i w:val="0"/>
                <w:iCs w:val="0"/>
                <w:color w:val="000000"/>
                <w:sz w:val="18"/>
                <w:szCs w:val="18"/>
                <w:u w:val="none"/>
              </w:rPr>
            </w:pPr>
          </w:p>
        </w:tc>
        <w:tc>
          <w:tcPr>
            <w:tcW w:w="390" w:type="pct"/>
            <w:tcBorders>
              <w:top w:val="nil"/>
              <w:left w:val="nil"/>
              <w:bottom w:val="nil"/>
              <w:right w:val="nil"/>
            </w:tcBorders>
            <w:shd w:val="clear" w:color="auto" w:fill="auto"/>
            <w:vAlign w:val="center"/>
          </w:tcPr>
          <w:p w14:paraId="1230A52C">
            <w:pPr>
              <w:snapToGrid w:val="0"/>
              <w:rPr>
                <w:rFonts w:hint="eastAsia" w:ascii="宋体" w:hAnsi="宋体" w:eastAsia="宋体" w:cs="宋体"/>
                <w:i w:val="0"/>
                <w:iCs w:val="0"/>
                <w:color w:val="000000"/>
                <w:sz w:val="18"/>
                <w:szCs w:val="18"/>
                <w:u w:val="none"/>
              </w:rPr>
            </w:pPr>
          </w:p>
        </w:tc>
        <w:tc>
          <w:tcPr>
            <w:tcW w:w="426" w:type="pct"/>
            <w:tcBorders>
              <w:top w:val="nil"/>
              <w:left w:val="nil"/>
              <w:bottom w:val="nil"/>
              <w:right w:val="nil"/>
            </w:tcBorders>
            <w:shd w:val="clear" w:color="auto" w:fill="auto"/>
            <w:vAlign w:val="center"/>
          </w:tcPr>
          <w:p w14:paraId="35C58B8C">
            <w:pPr>
              <w:snapToGrid w:val="0"/>
              <w:rPr>
                <w:rFonts w:hint="eastAsia" w:ascii="宋体" w:hAnsi="宋体" w:eastAsia="宋体" w:cs="宋体"/>
                <w:i w:val="0"/>
                <w:iCs w:val="0"/>
                <w:color w:val="000000"/>
                <w:sz w:val="18"/>
                <w:szCs w:val="18"/>
                <w:u w:val="none"/>
              </w:rPr>
            </w:pPr>
          </w:p>
        </w:tc>
        <w:tc>
          <w:tcPr>
            <w:tcW w:w="474" w:type="pct"/>
            <w:tcBorders>
              <w:top w:val="nil"/>
              <w:left w:val="nil"/>
              <w:bottom w:val="nil"/>
              <w:right w:val="nil"/>
            </w:tcBorders>
            <w:shd w:val="clear" w:color="auto" w:fill="auto"/>
            <w:vAlign w:val="center"/>
          </w:tcPr>
          <w:p w14:paraId="263DCF05">
            <w:pPr>
              <w:snapToGrid w:val="0"/>
              <w:rPr>
                <w:rFonts w:hint="eastAsia" w:ascii="宋体" w:hAnsi="宋体" w:eastAsia="宋体" w:cs="宋体"/>
                <w:i w:val="0"/>
                <w:iCs w:val="0"/>
                <w:color w:val="000000"/>
                <w:sz w:val="18"/>
                <w:szCs w:val="18"/>
                <w:u w:val="none"/>
              </w:rPr>
            </w:pPr>
          </w:p>
        </w:tc>
        <w:tc>
          <w:tcPr>
            <w:tcW w:w="246" w:type="pct"/>
            <w:tcBorders>
              <w:top w:val="nil"/>
              <w:left w:val="nil"/>
              <w:bottom w:val="nil"/>
              <w:right w:val="nil"/>
            </w:tcBorders>
            <w:shd w:val="clear" w:color="auto" w:fill="auto"/>
            <w:vAlign w:val="center"/>
          </w:tcPr>
          <w:p w14:paraId="6053DCA7">
            <w:pPr>
              <w:snapToGrid w:val="0"/>
              <w:rPr>
                <w:rFonts w:hint="eastAsia" w:ascii="宋体" w:hAnsi="宋体" w:eastAsia="宋体" w:cs="宋体"/>
                <w:i w:val="0"/>
                <w:iCs w:val="0"/>
                <w:color w:val="000000"/>
                <w:sz w:val="18"/>
                <w:szCs w:val="18"/>
                <w:u w:val="none"/>
              </w:rPr>
            </w:pPr>
          </w:p>
        </w:tc>
        <w:tc>
          <w:tcPr>
            <w:tcW w:w="442" w:type="pct"/>
            <w:tcBorders>
              <w:top w:val="nil"/>
              <w:left w:val="nil"/>
              <w:bottom w:val="nil"/>
              <w:right w:val="nil"/>
            </w:tcBorders>
            <w:shd w:val="clear" w:color="auto" w:fill="auto"/>
            <w:vAlign w:val="center"/>
          </w:tcPr>
          <w:p w14:paraId="61FB48E1">
            <w:pPr>
              <w:snapToGrid w:val="0"/>
              <w:rPr>
                <w:rFonts w:hint="eastAsia" w:ascii="宋体" w:hAnsi="宋体" w:eastAsia="宋体" w:cs="宋体"/>
                <w:i w:val="0"/>
                <w:iCs w:val="0"/>
                <w:color w:val="000000"/>
                <w:sz w:val="18"/>
                <w:szCs w:val="18"/>
                <w:u w:val="none"/>
              </w:rPr>
            </w:pPr>
          </w:p>
        </w:tc>
        <w:tc>
          <w:tcPr>
            <w:tcW w:w="442" w:type="pct"/>
            <w:tcBorders>
              <w:top w:val="nil"/>
              <w:left w:val="nil"/>
              <w:bottom w:val="nil"/>
              <w:right w:val="nil"/>
            </w:tcBorders>
            <w:shd w:val="clear" w:color="auto" w:fill="auto"/>
            <w:vAlign w:val="center"/>
          </w:tcPr>
          <w:p w14:paraId="524471FA">
            <w:pPr>
              <w:snapToGrid w:val="0"/>
              <w:rPr>
                <w:rFonts w:hint="eastAsia" w:ascii="宋体" w:hAnsi="宋体" w:eastAsia="宋体" w:cs="宋体"/>
                <w:i w:val="0"/>
                <w:iCs w:val="0"/>
                <w:color w:val="000000"/>
                <w:sz w:val="18"/>
                <w:szCs w:val="18"/>
                <w:u w:val="none"/>
              </w:rPr>
            </w:pPr>
          </w:p>
        </w:tc>
        <w:tc>
          <w:tcPr>
            <w:tcW w:w="503" w:type="pct"/>
            <w:tcBorders>
              <w:top w:val="nil"/>
              <w:left w:val="nil"/>
              <w:bottom w:val="nil"/>
              <w:right w:val="nil"/>
            </w:tcBorders>
            <w:shd w:val="clear" w:color="auto" w:fill="auto"/>
            <w:vAlign w:val="center"/>
          </w:tcPr>
          <w:p w14:paraId="10CE60F1">
            <w:pPr>
              <w:snapToGrid w:val="0"/>
              <w:rPr>
                <w:rFonts w:hint="eastAsia" w:ascii="宋体" w:hAnsi="宋体" w:eastAsia="宋体" w:cs="宋体"/>
                <w:i w:val="0"/>
                <w:iCs w:val="0"/>
                <w:color w:val="000000"/>
                <w:sz w:val="18"/>
                <w:szCs w:val="18"/>
                <w:u w:val="none"/>
              </w:rPr>
            </w:pPr>
          </w:p>
        </w:tc>
        <w:tc>
          <w:tcPr>
            <w:tcW w:w="243" w:type="pct"/>
            <w:tcBorders>
              <w:top w:val="nil"/>
              <w:left w:val="nil"/>
              <w:bottom w:val="nil"/>
              <w:right w:val="nil"/>
            </w:tcBorders>
            <w:shd w:val="clear" w:color="auto" w:fill="auto"/>
            <w:vAlign w:val="center"/>
          </w:tcPr>
          <w:p w14:paraId="4E7FC0D3">
            <w:pPr>
              <w:snapToGrid w:val="0"/>
              <w:rPr>
                <w:rFonts w:hint="eastAsia" w:ascii="宋体" w:hAnsi="宋体" w:eastAsia="宋体" w:cs="宋体"/>
                <w:i w:val="0"/>
                <w:iCs w:val="0"/>
                <w:color w:val="000000"/>
                <w:sz w:val="18"/>
                <w:szCs w:val="18"/>
                <w:u w:val="none"/>
              </w:rPr>
            </w:pPr>
          </w:p>
        </w:tc>
        <w:tc>
          <w:tcPr>
            <w:tcW w:w="193" w:type="pct"/>
            <w:tcBorders>
              <w:top w:val="nil"/>
              <w:left w:val="nil"/>
              <w:bottom w:val="nil"/>
              <w:right w:val="nil"/>
            </w:tcBorders>
            <w:shd w:val="clear" w:color="auto" w:fill="auto"/>
            <w:vAlign w:val="center"/>
          </w:tcPr>
          <w:p w14:paraId="7A1BE411">
            <w:pPr>
              <w:snapToGrid w:val="0"/>
              <w:rPr>
                <w:rFonts w:hint="eastAsia" w:ascii="宋体" w:hAnsi="宋体" w:eastAsia="宋体" w:cs="宋体"/>
                <w:i w:val="0"/>
                <w:iCs w:val="0"/>
                <w:color w:val="000000"/>
                <w:sz w:val="18"/>
                <w:szCs w:val="18"/>
                <w:u w:val="none"/>
              </w:rPr>
            </w:pPr>
          </w:p>
        </w:tc>
        <w:tc>
          <w:tcPr>
            <w:tcW w:w="1266" w:type="pct"/>
            <w:tcBorders>
              <w:top w:val="nil"/>
              <w:left w:val="nil"/>
              <w:bottom w:val="nil"/>
              <w:right w:val="nil"/>
            </w:tcBorders>
            <w:shd w:val="clear" w:color="auto" w:fill="auto"/>
            <w:vAlign w:val="center"/>
          </w:tcPr>
          <w:p w14:paraId="29FD1885">
            <w:pPr>
              <w:snapToGrid w:val="0"/>
              <w:rPr>
                <w:rFonts w:hint="eastAsia" w:ascii="宋体" w:hAnsi="宋体" w:eastAsia="宋体" w:cs="宋体"/>
                <w:i w:val="0"/>
                <w:iCs w:val="0"/>
                <w:color w:val="000000"/>
                <w:sz w:val="18"/>
                <w:szCs w:val="18"/>
                <w:u w:val="none"/>
              </w:rPr>
            </w:pPr>
          </w:p>
        </w:tc>
      </w:tr>
      <w:tr w14:paraId="566BC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679C41C">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1DD4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F9845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2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D81909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51113224T000012046868</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城乡融合重大项目前期工作经费（新场乡）</w:t>
            </w:r>
          </w:p>
        </w:tc>
      </w:tr>
      <w:tr w14:paraId="0CA7D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00513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FA702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峨边彝族自治县新场乡人民政府本级</w:t>
            </w:r>
          </w:p>
        </w:tc>
        <w:tc>
          <w:tcPr>
            <w:tcW w:w="503" w:type="pct"/>
            <w:tcBorders>
              <w:top w:val="nil"/>
              <w:left w:val="nil"/>
              <w:bottom w:val="nil"/>
              <w:right w:val="nil"/>
            </w:tcBorders>
            <w:shd w:val="clear" w:color="auto" w:fill="auto"/>
            <w:vAlign w:val="center"/>
          </w:tcPr>
          <w:p w14:paraId="24FAF88E">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7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38F0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峨边彝族自治县新场乡人民政府</w:t>
            </w:r>
          </w:p>
        </w:tc>
      </w:tr>
      <w:tr w14:paraId="719FA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5292B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9D959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0364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2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92B10D">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9006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CC39A">
            <w:pPr>
              <w:snapToGrid w:val="0"/>
              <w:rPr>
                <w:rFonts w:hint="eastAsia" w:ascii="宋体" w:hAnsi="宋体" w:eastAsia="宋体" w:cs="宋体"/>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6586F">
            <w:pPr>
              <w:snapToGrid w:val="0"/>
              <w:rPr>
                <w:rFonts w:hint="eastAsia" w:ascii="宋体" w:hAnsi="宋体" w:eastAsia="宋体" w:cs="宋体"/>
                <w:i w:val="0"/>
                <w:iCs w:val="0"/>
                <w:color w:val="000000"/>
                <w:sz w:val="18"/>
                <w:szCs w:val="18"/>
                <w:u w:val="none"/>
              </w:rPr>
            </w:pPr>
          </w:p>
        </w:tc>
        <w:tc>
          <w:tcPr>
            <w:tcW w:w="20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C2BB3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拨付8.5万元。</w:t>
            </w:r>
          </w:p>
        </w:tc>
        <w:tc>
          <w:tcPr>
            <w:tcW w:w="22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E3DE46">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054F5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0931B">
            <w:pPr>
              <w:snapToGrid w:val="0"/>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63AE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23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018B86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对各项前期工作进行相应的拨付，</w:t>
            </w:r>
          </w:p>
        </w:tc>
      </w:tr>
      <w:tr w14:paraId="7E425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C7E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9AC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B73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F4D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A51C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4EF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79C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5B2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2C6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51E3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BB6EA">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EFF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5C6E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8AE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2396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195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E9A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353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AC058C">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1E85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F0471">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D2F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F4D3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943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1390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7D8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76E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D2E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5507A">
            <w:pPr>
              <w:snapToGrid w:val="0"/>
              <w:rPr>
                <w:rFonts w:hint="eastAsia" w:ascii="黑体" w:hAnsi="黑体" w:eastAsia="黑体" w:cs="黑体"/>
                <w:i/>
                <w:iCs/>
                <w:color w:val="000000"/>
                <w:sz w:val="18"/>
                <w:szCs w:val="18"/>
                <w:u w:val="none"/>
              </w:rPr>
            </w:pPr>
          </w:p>
        </w:tc>
      </w:tr>
      <w:tr w14:paraId="2CBC8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DFD38">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5E3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04C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C47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BE92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3EA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C77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AA9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53F25">
            <w:pPr>
              <w:snapToGrid w:val="0"/>
              <w:rPr>
                <w:rFonts w:hint="eastAsia" w:ascii="黑体" w:hAnsi="黑体" w:eastAsia="黑体" w:cs="黑体"/>
                <w:i/>
                <w:iCs/>
                <w:color w:val="000000"/>
                <w:sz w:val="18"/>
                <w:szCs w:val="18"/>
                <w:u w:val="none"/>
              </w:rPr>
            </w:pPr>
          </w:p>
        </w:tc>
      </w:tr>
      <w:tr w14:paraId="20CF5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A6D7B">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B52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81A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E09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665B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3EC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465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351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91576">
            <w:pPr>
              <w:snapToGrid w:val="0"/>
              <w:rPr>
                <w:rFonts w:hint="eastAsia" w:ascii="黑体" w:hAnsi="黑体" w:eastAsia="黑体" w:cs="黑体"/>
                <w:i/>
                <w:iCs/>
                <w:color w:val="000000"/>
                <w:sz w:val="18"/>
                <w:szCs w:val="18"/>
                <w:u w:val="none"/>
              </w:rPr>
            </w:pPr>
          </w:p>
        </w:tc>
      </w:tr>
      <w:tr w14:paraId="32258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B8127">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E4D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243E8">
            <w:pPr>
              <w:snapToGrid w:val="0"/>
              <w:jc w:val="center"/>
              <w:rPr>
                <w:rFonts w:hint="eastAsia" w:ascii="微软雅黑" w:hAnsi="微软雅黑" w:eastAsia="微软雅黑" w:cs="微软雅黑"/>
                <w:i/>
                <w:iCs/>
                <w:color w:val="000000"/>
                <w:sz w:val="16"/>
                <w:szCs w:val="16"/>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6A3BE">
            <w:pPr>
              <w:snapToGrid w:val="0"/>
              <w:jc w:val="center"/>
              <w:rPr>
                <w:rFonts w:hint="eastAsia" w:ascii="微软雅黑" w:hAnsi="微软雅黑" w:eastAsia="微软雅黑" w:cs="微软雅黑"/>
                <w:i/>
                <w:iCs/>
                <w:color w:val="000000"/>
                <w:sz w:val="16"/>
                <w:szCs w:val="16"/>
                <w:u w:val="none"/>
              </w:rPr>
            </w:pPr>
          </w:p>
        </w:tc>
        <w:tc>
          <w:tcPr>
            <w:tcW w:w="1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E78B55">
            <w:pPr>
              <w:snapToGrid w:val="0"/>
              <w:jc w:val="center"/>
              <w:rPr>
                <w:rFonts w:hint="eastAsia" w:ascii="微软雅黑" w:hAnsi="微软雅黑" w:eastAsia="微软雅黑" w:cs="微软雅黑"/>
                <w:i/>
                <w:iCs/>
                <w:color w:val="000000"/>
                <w:sz w:val="16"/>
                <w:szCs w:val="16"/>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7A8A2">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57B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BEA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4EEF1">
            <w:pPr>
              <w:snapToGrid w:val="0"/>
              <w:rPr>
                <w:rFonts w:hint="eastAsia" w:ascii="黑体" w:hAnsi="黑体" w:eastAsia="黑体" w:cs="黑体"/>
                <w:i/>
                <w:iCs/>
                <w:color w:val="000000"/>
                <w:sz w:val="18"/>
                <w:szCs w:val="18"/>
                <w:u w:val="none"/>
              </w:rPr>
            </w:pPr>
          </w:p>
        </w:tc>
      </w:tr>
      <w:tr w14:paraId="191E2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054F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106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E3C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12F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F18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AC86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489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49C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EB33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79DC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C01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6774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50EF5">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8D9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B0C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079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512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0C8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B14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FA0F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922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90E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B02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3B31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6BA47">
            <w:pPr>
              <w:snapToGrid w:val="0"/>
              <w:jc w:val="center"/>
              <w:rPr>
                <w:rFonts w:hint="eastAsia" w:ascii="宋体" w:hAnsi="宋体" w:eastAsia="宋体" w:cs="宋体"/>
                <w:i w:val="0"/>
                <w:iCs w:val="0"/>
                <w:color w:val="000000"/>
                <w:sz w:val="18"/>
                <w:szCs w:val="18"/>
                <w:u w:val="none"/>
              </w:rPr>
            </w:pPr>
          </w:p>
        </w:tc>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8A0C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72A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104C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管理村个数</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A084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FAD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9EB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3AD32">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124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6C6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9F6AC">
            <w:pPr>
              <w:snapToGrid w:val="0"/>
              <w:jc w:val="center"/>
              <w:rPr>
                <w:rFonts w:hint="eastAsia" w:ascii="微软雅黑" w:hAnsi="微软雅黑" w:eastAsia="微软雅黑" w:cs="微软雅黑"/>
                <w:i/>
                <w:iCs/>
                <w:color w:val="000000"/>
                <w:sz w:val="16"/>
                <w:szCs w:val="16"/>
                <w:u w:val="none"/>
              </w:rPr>
            </w:pPr>
          </w:p>
        </w:tc>
      </w:tr>
      <w:tr w14:paraId="2622C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8C6A0">
            <w:pPr>
              <w:snapToGrid w:val="0"/>
              <w:jc w:val="center"/>
              <w:rPr>
                <w:rFonts w:hint="eastAsia" w:ascii="宋体" w:hAnsi="宋体" w:eastAsia="宋体" w:cs="宋体"/>
                <w:i w:val="0"/>
                <w:iCs w:val="0"/>
                <w:color w:val="000000"/>
                <w:sz w:val="18"/>
                <w:szCs w:val="18"/>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F0C12">
            <w:pPr>
              <w:snapToGrid w:val="0"/>
              <w:jc w:val="center"/>
              <w:rPr>
                <w:rFonts w:hint="eastAsia" w:ascii="宋体" w:hAnsi="宋体" w:eastAsia="宋体" w:cs="宋体"/>
                <w:i w:val="0"/>
                <w:iCs w:val="0"/>
                <w:color w:val="000000"/>
                <w:sz w:val="18"/>
                <w:szCs w:val="18"/>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6CB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CCF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完成拨付时间</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551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554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365</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70F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D3968">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6CB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5D7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63E90">
            <w:pPr>
              <w:snapToGrid w:val="0"/>
              <w:jc w:val="center"/>
              <w:rPr>
                <w:rFonts w:hint="eastAsia" w:ascii="微软雅黑" w:hAnsi="微软雅黑" w:eastAsia="微软雅黑" w:cs="微软雅黑"/>
                <w:i/>
                <w:iCs/>
                <w:color w:val="000000"/>
                <w:sz w:val="16"/>
                <w:szCs w:val="16"/>
                <w:u w:val="none"/>
              </w:rPr>
            </w:pPr>
          </w:p>
        </w:tc>
      </w:tr>
      <w:tr w14:paraId="23ED2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18184">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9E5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125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F66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保障为全乡群众办事</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01A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3FA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F4A07">
            <w:pPr>
              <w:snapToGrid w:val="0"/>
              <w:jc w:val="center"/>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71B43">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604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AD0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51BFD">
            <w:pPr>
              <w:snapToGrid w:val="0"/>
              <w:jc w:val="center"/>
              <w:rPr>
                <w:rFonts w:hint="eastAsia" w:ascii="微软雅黑" w:hAnsi="微软雅黑" w:eastAsia="微软雅黑" w:cs="微软雅黑"/>
                <w:i/>
                <w:iCs/>
                <w:color w:val="000000"/>
                <w:sz w:val="16"/>
                <w:szCs w:val="16"/>
                <w:u w:val="none"/>
              </w:rPr>
            </w:pPr>
          </w:p>
        </w:tc>
      </w:tr>
      <w:tr w14:paraId="11A18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7F81D">
            <w:pPr>
              <w:snapToGrid w:val="0"/>
              <w:jc w:val="center"/>
              <w:rPr>
                <w:rFonts w:hint="eastAsia" w:ascii="宋体" w:hAnsi="宋体" w:eastAsia="宋体" w:cs="宋体"/>
                <w:i w:val="0"/>
                <w:iCs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70C3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1F0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978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8A1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4C3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FC8E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41273">
            <w:pPr>
              <w:snapToGrid w:val="0"/>
              <w:jc w:val="center"/>
              <w:rPr>
                <w:rFonts w:hint="eastAsia" w:ascii="微软雅黑" w:hAnsi="微软雅黑" w:eastAsia="微软雅黑" w:cs="微软雅黑"/>
                <w:i/>
                <w:iCs/>
                <w:color w:val="000000"/>
                <w:sz w:val="16"/>
                <w:szCs w:val="16"/>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84D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3C6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00010">
            <w:pPr>
              <w:snapToGrid w:val="0"/>
              <w:jc w:val="center"/>
              <w:rPr>
                <w:rFonts w:hint="eastAsia" w:ascii="微软雅黑" w:hAnsi="微软雅黑" w:eastAsia="微软雅黑" w:cs="微软雅黑"/>
                <w:i/>
                <w:iCs/>
                <w:color w:val="000000"/>
                <w:sz w:val="16"/>
                <w:szCs w:val="16"/>
                <w:u w:val="none"/>
              </w:rPr>
            </w:pPr>
          </w:p>
        </w:tc>
      </w:tr>
      <w:tr w14:paraId="39FFF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9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80542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10CC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45EB2">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0B68B">
            <w:pPr>
              <w:snapToGrid w:val="0"/>
              <w:rPr>
                <w:rFonts w:hint="eastAsia" w:ascii="宋体" w:hAnsi="宋体" w:eastAsia="宋体" w:cs="宋体"/>
                <w:i w:val="0"/>
                <w:iCs w:val="0"/>
                <w:color w:val="000000"/>
                <w:sz w:val="18"/>
                <w:szCs w:val="18"/>
                <w:u w:val="none"/>
              </w:rPr>
            </w:pPr>
          </w:p>
        </w:tc>
      </w:tr>
      <w:tr w14:paraId="1386B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326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9FD637">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经综合评价为优，综合得分98分。</w:t>
            </w:r>
          </w:p>
        </w:tc>
      </w:tr>
      <w:tr w14:paraId="1ABBB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41C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D03188A">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8C1D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E88B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9D94DD">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CE51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587007">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309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C48F02">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0338F9FA">
      <w:pPr>
        <w:pStyle w:val="8"/>
        <w:rPr>
          <w:rFonts w:hint="eastAsia" w:ascii="Times New Roman" w:hAnsi="Times New Roman" w:eastAsia="黑体" w:cs="黑体"/>
          <w:color w:val="auto"/>
          <w:kern w:val="0"/>
          <w:sz w:val="32"/>
          <w:szCs w:val="32"/>
          <w:highlight w:val="none"/>
          <w:shd w:val="clear" w:color="auto" w:fill="FFFFFF"/>
          <w:lang w:val="zh-CN"/>
        </w:rPr>
      </w:pPr>
    </w:p>
    <w:p w14:paraId="7009B801">
      <w:pPr>
        <w:pStyle w:val="8"/>
        <w:rPr>
          <w:rFonts w:hint="eastAsia" w:ascii="Times New Roman" w:hAnsi="Times New Roman" w:eastAsia="黑体" w:cs="黑体"/>
          <w:color w:val="auto"/>
          <w:kern w:val="0"/>
          <w:sz w:val="32"/>
          <w:szCs w:val="32"/>
          <w:highlight w:val="none"/>
          <w:shd w:val="clear" w:color="auto" w:fill="FFFFFF"/>
          <w:lang w:val="zh-CN"/>
        </w:rPr>
      </w:pPr>
    </w:p>
    <w:p w14:paraId="1AFF9060">
      <w:pPr>
        <w:pStyle w:val="8"/>
        <w:rPr>
          <w:rFonts w:hint="eastAsia" w:ascii="Times New Roman" w:hAnsi="Times New Roman" w:eastAsia="黑体" w:cs="黑体"/>
          <w:color w:val="auto"/>
          <w:kern w:val="0"/>
          <w:sz w:val="32"/>
          <w:szCs w:val="32"/>
          <w:highlight w:val="none"/>
          <w:shd w:val="clear" w:color="auto" w:fill="FFFFFF"/>
          <w:lang w:val="zh-CN"/>
        </w:rPr>
      </w:pPr>
    </w:p>
    <w:p w14:paraId="6AC33519">
      <w:pPr>
        <w:pStyle w:val="8"/>
        <w:rPr>
          <w:rFonts w:hint="eastAsia" w:ascii="Times New Roman" w:hAnsi="Times New Roman" w:eastAsia="黑体" w:cs="黑体"/>
          <w:color w:val="auto"/>
          <w:kern w:val="0"/>
          <w:sz w:val="32"/>
          <w:szCs w:val="32"/>
          <w:highlight w:val="none"/>
          <w:shd w:val="clear" w:color="auto" w:fill="FFFFFF"/>
          <w:lang w:val="zh-CN"/>
        </w:rPr>
      </w:pPr>
    </w:p>
    <w:p w14:paraId="4D10A506">
      <w:pPr>
        <w:pStyle w:val="8"/>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hAnsi="Times New Roman" w:eastAsia="黑体" w:cs="黑体"/>
          <w:color w:val="auto"/>
          <w:kern w:val="0"/>
          <w:sz w:val="32"/>
          <w:szCs w:val="32"/>
          <w:highlight w:val="none"/>
          <w:shd w:val="clear" w:color="auto" w:fill="FFFFFF"/>
          <w:lang w:val="en-US" w:eastAsia="zh-CN"/>
        </w:rPr>
        <w:t>2</w:t>
      </w:r>
    </w:p>
    <w:p w14:paraId="0B9D47E5">
      <w:pPr>
        <w:pStyle w:val="23"/>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14:paraId="37572249">
      <w:pPr>
        <w:pStyle w:val="23"/>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r>
        <w:rPr>
          <w:rFonts w:hint="eastAsia" w:ascii="Times New Roman" w:hAnsi="Times New Roman" w:eastAsia="方正小标宋简体" w:cs="方正小标宋简体"/>
          <w:color w:val="auto"/>
          <w:kern w:val="2"/>
          <w:sz w:val="44"/>
          <w:szCs w:val="44"/>
          <w:highlight w:val="none"/>
          <w:lang w:val="en-US" w:eastAsia="zh-CN"/>
        </w:rPr>
        <w:t>专项预算项目绩效评价报告范本</w:t>
      </w:r>
    </w:p>
    <w:p w14:paraId="4C2EFEBE">
      <w:pPr>
        <w:pStyle w:val="23"/>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Times New Roman" w:hAnsi="Times New Roman"/>
          <w:color w:val="auto"/>
          <w:kern w:val="2"/>
          <w:sz w:val="32"/>
          <w:szCs w:val="32"/>
          <w:highlight w:val="none"/>
        </w:rPr>
      </w:pPr>
    </w:p>
    <w:p w14:paraId="517BB631">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Times New Roman" w:hAnsi="Times New Roman" w:eastAsia="黑体"/>
          <w:sz w:val="32"/>
          <w:szCs w:val="32"/>
          <w:highlight w:val="none"/>
          <w:lang w:val="zh-CN"/>
        </w:rPr>
      </w:pPr>
      <w:r>
        <w:rPr>
          <w:rFonts w:hint="eastAsia" w:ascii="Times New Roman" w:hAnsi="Times New Roman" w:eastAsia="黑体"/>
          <w:sz w:val="32"/>
          <w:szCs w:val="32"/>
          <w:highlight w:val="none"/>
        </w:rPr>
        <w:t>一、</w:t>
      </w:r>
      <w:r>
        <w:rPr>
          <w:rFonts w:hint="eastAsia" w:ascii="Times New Roman" w:hAnsi="Times New Roman" w:eastAsia="黑体"/>
          <w:sz w:val="32"/>
          <w:szCs w:val="32"/>
          <w:highlight w:val="none"/>
          <w:lang w:val="zh-CN"/>
        </w:rPr>
        <w:t>项目概况</w:t>
      </w:r>
    </w:p>
    <w:p w14:paraId="2BE6A5F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（一）设立背景及基本情况。</w:t>
      </w:r>
    </w:p>
    <w:p w14:paraId="25E375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1.贯彻落实党的路线方针政策和国家法律法规以及上级党委、政府的决议、决定和命令，执行乡党委和乡人民代表大会的决议，加强农村基层政权建设，巩固党在农村的执政基础。</w:t>
      </w:r>
    </w:p>
    <w:p w14:paraId="5E8802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2.组织编制本行政区域经济社会发展规划</w:t>
      </w:r>
      <w:r>
        <w:rPr>
          <w:rFonts w:hint="eastAsia" w:ascii="仿宋_GB2312" w:hAnsi="仿宋_GB2312" w:eastAsia="仿宋_GB2312" w:cs="仿宋_GB2312"/>
          <w:color w:val="auto"/>
          <w:sz w:val="32"/>
          <w:szCs w:val="32"/>
          <w:lang w:eastAsia="zh-CN"/>
        </w:rPr>
        <w:t>和城</w:t>
      </w:r>
      <w:r>
        <w:rPr>
          <w:rFonts w:hint="eastAsia" w:ascii="仿宋_GB2312" w:hAnsi="仿宋_GB2312" w:eastAsia="仿宋_GB2312" w:cs="仿宋_GB2312"/>
          <w:color w:val="auto"/>
          <w:sz w:val="32"/>
          <w:szCs w:val="32"/>
        </w:rPr>
        <w:t>乡国土空间规划。负责农村基础设施和各项公益事业建设，实施乡村振兴战略，加快经济社会发展，改善群众生产生活环境。</w:t>
      </w:r>
    </w:p>
    <w:p w14:paraId="09547F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3.指导农村经济发展，推进农业经济结构调整，促进农村集体经济增长、农业增效、农民增收。</w:t>
      </w:r>
    </w:p>
    <w:p w14:paraId="442CB7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加强农村公共服务体系建设，抓好基础教育、科技、文化、体育、卫生健康、食（药）品安全等工作，做好民政事务、残疾、老龄、就业创业、社会保障、劳动关系协调、民族宗教、退役军人事务、统计等工作，促进农村社会事业健康发展。</w:t>
      </w:r>
    </w:p>
    <w:p w14:paraId="141DC9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5.负责辖区内自然资源、生态环境保护、森林防灭火、防汛抗旱、粮食安全、供销合作社等工作。</w:t>
      </w:r>
    </w:p>
    <w:p w14:paraId="475877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6.推进基层民主法治建设，加强普法依法治理，指导村（居）民委员会工作，维护群众合法权益。</w:t>
      </w:r>
    </w:p>
    <w:p w14:paraId="2DE7CF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7.承担辖区内基层治理、平安建设、社会治安综合治理、安全和应急管理等有关工作。负责群众来信来访，反映社情民意，化解矛盾纠纷，维护社会安全稳定。</w:t>
      </w:r>
    </w:p>
    <w:p w14:paraId="74F853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8.负责国防教育、兵役征集、民兵预备役等有关工作。</w:t>
      </w:r>
    </w:p>
    <w:p w14:paraId="4D990B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sz w:val="32"/>
          <w:szCs w:val="32"/>
        </w:rPr>
        <w:t>9.承担</w:t>
      </w:r>
      <w:r>
        <w:rPr>
          <w:rFonts w:hint="eastAsia" w:ascii="仿宋_GB2312" w:hAnsi="仿宋_GB2312" w:eastAsia="仿宋_GB2312" w:cs="仿宋_GB2312"/>
          <w:color w:val="auto"/>
          <w:sz w:val="32"/>
          <w:szCs w:val="32"/>
          <w:lang w:eastAsia="zh-CN"/>
        </w:rPr>
        <w:t>法律法规</w:t>
      </w:r>
      <w:r>
        <w:rPr>
          <w:rFonts w:hint="eastAsia" w:ascii="仿宋_GB2312" w:hAnsi="仿宋_GB2312" w:eastAsia="仿宋_GB2312" w:cs="仿宋_GB2312"/>
          <w:color w:val="auto"/>
          <w:sz w:val="32"/>
          <w:szCs w:val="32"/>
        </w:rPr>
        <w:t>、规章规定的其他职能和上级党委、政府交办的其他工作。</w:t>
      </w:r>
    </w:p>
    <w:p w14:paraId="2B2D39B6">
      <w:pPr>
        <w:pStyle w:val="15"/>
        <w:widowControl/>
        <w:spacing w:before="0" w:beforeAutospacing="0" w:after="0" w:afterAutospacing="0"/>
        <w:ind w:firstLine="643" w:firstLineChars="200"/>
        <w:jc w:val="both"/>
        <w:rPr>
          <w:rFonts w:hint="eastAsia" w:ascii="Times New Roman" w:hAnsi="Times New Roman" w:eastAsia="楷体_GB2312" w:cs="Times New Roman"/>
          <w:b/>
          <w:color w:val="auto"/>
          <w:sz w:val="32"/>
          <w:szCs w:val="32"/>
          <w:highlight w:val="none"/>
          <w:u w:val="none"/>
          <w:lang w:val="en-US" w:eastAsia="zh-CN"/>
        </w:rPr>
      </w:pPr>
      <w:r>
        <w:rPr>
          <w:rFonts w:hint="eastAsia" w:ascii="Times New Roman" w:hAnsi="Times New Roman" w:eastAsia="楷体_GB2312"/>
          <w:b/>
          <w:color w:val="auto"/>
          <w:sz w:val="32"/>
          <w:szCs w:val="32"/>
          <w:highlight w:val="none"/>
          <w:u w:val="none"/>
          <w:lang w:val="zh-CN"/>
        </w:rPr>
        <w:t>（</w:t>
      </w:r>
      <w:r>
        <w:rPr>
          <w:rFonts w:hint="eastAsia"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实施目的及支持方向</w:t>
      </w:r>
      <w:r>
        <w:rPr>
          <w:rFonts w:hint="eastAsia" w:ascii="Times New Roman" w:hAnsi="Times New Roman" w:eastAsia="楷体_GB2312" w:cs="Times New Roman"/>
          <w:b/>
          <w:color w:val="auto"/>
          <w:sz w:val="32"/>
          <w:szCs w:val="32"/>
          <w:highlight w:val="none"/>
          <w:u w:val="none"/>
          <w:lang w:val="en-US" w:eastAsia="zh-CN"/>
        </w:rPr>
        <w:t>。</w:t>
      </w:r>
    </w:p>
    <w:p w14:paraId="195BC8F0">
      <w:pPr>
        <w:pStyle w:val="15"/>
        <w:widowControl/>
        <w:spacing w:before="0" w:beforeAutospacing="0" w:after="0" w:afterAutospacing="0"/>
        <w:ind w:firstLine="640" w:firstLineChars="200"/>
        <w:jc w:val="both"/>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仿宋_GB2312" w:hAnsi="仿宋_GB2312" w:eastAsia="仿宋_GB2312" w:cs="仿宋_GB2312"/>
          <w:color w:val="000000"/>
          <w:sz w:val="32"/>
          <w:szCs w:val="32"/>
          <w:shd w:val="clear" w:color="auto" w:fill="FFFFFF"/>
          <w:lang w:val="zh-CN"/>
        </w:rPr>
        <w:t>落实国家政策，严格依法行政，发挥经济管理职能，加强政策引导，制定发展规划，服务市场主体和营造发展环境，搞好市场监管，大力促进社会事业发展，发展乡村经济、文化和社会事业，提供公共服务，维护社会稳定，构建社会主义和谐社会。</w:t>
      </w:r>
    </w:p>
    <w:p w14:paraId="60475E5E">
      <w:pPr>
        <w:spacing w:line="560" w:lineRule="exact"/>
        <w:ind w:firstLine="643" w:firstLineChars="200"/>
        <w:jc w:val="left"/>
        <w:rPr>
          <w:rFonts w:hint="eastAsia" w:ascii="Times New Roman" w:hAnsi="Times New Roman" w:eastAsia="楷体_GB2312" w:cs="Times New Roman"/>
          <w:b/>
          <w:color w:val="auto"/>
          <w:sz w:val="32"/>
          <w:szCs w:val="32"/>
          <w:highlight w:val="none"/>
          <w:u w:val="none"/>
          <w:lang w:val="zh-CN" w:eastAsia="zh-CN"/>
        </w:rPr>
      </w:pPr>
      <w:r>
        <w:rPr>
          <w:rFonts w:hint="eastAsia" w:ascii="Times New Roman" w:hAnsi="Times New Roman" w:eastAsia="楷体_GB2312" w:cs="Times New Roman"/>
          <w:b/>
          <w:color w:val="auto"/>
          <w:sz w:val="32"/>
          <w:szCs w:val="32"/>
          <w:highlight w:val="none"/>
          <w:u w:val="none"/>
          <w:lang w:val="zh-CN" w:eastAsia="zh-CN"/>
        </w:rPr>
        <w:t>（三）</w:t>
      </w:r>
      <w:r>
        <w:rPr>
          <w:rFonts w:hint="default" w:ascii="Times New Roman" w:hAnsi="Times New Roman" w:eastAsia="楷体_GB2312" w:cs="Times New Roman"/>
          <w:b/>
          <w:color w:val="auto"/>
          <w:sz w:val="32"/>
          <w:szCs w:val="32"/>
          <w:highlight w:val="none"/>
          <w:u w:val="none"/>
          <w:lang w:val="en-US" w:eastAsia="zh-CN"/>
        </w:rPr>
        <w:t>预算安排及分配管理</w:t>
      </w:r>
      <w:r>
        <w:rPr>
          <w:rFonts w:hint="eastAsia" w:ascii="Times New Roman" w:hAnsi="Times New Roman" w:eastAsia="楷体_GB2312" w:cs="Times New Roman"/>
          <w:b/>
          <w:color w:val="auto"/>
          <w:sz w:val="32"/>
          <w:szCs w:val="32"/>
          <w:highlight w:val="none"/>
          <w:u w:val="none"/>
          <w:lang w:val="zh-CN" w:eastAsia="zh-CN"/>
        </w:rPr>
        <w:t>。</w:t>
      </w:r>
    </w:p>
    <w:p w14:paraId="79EF79A2">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1.</w:t>
      </w:r>
      <w:r>
        <w:rPr>
          <w:rFonts w:hint="eastAsia" w:ascii="仿宋" w:hAnsi="仿宋" w:eastAsia="仿宋" w:cs="仿宋"/>
          <w:sz w:val="32"/>
          <w:szCs w:val="32"/>
        </w:rPr>
        <w:t>预算编制。</w:t>
      </w:r>
    </w:p>
    <w:p w14:paraId="104E9279">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按照</w:t>
      </w:r>
      <w:r>
        <w:rPr>
          <w:rFonts w:hint="eastAsia" w:ascii="仿宋" w:hAnsi="仿宋" w:eastAsia="仿宋" w:cs="仿宋"/>
          <w:sz w:val="32"/>
          <w:szCs w:val="32"/>
          <w:lang w:val="en-US" w:eastAsia="zh-CN"/>
        </w:rPr>
        <w:t>县</w:t>
      </w:r>
      <w:r>
        <w:rPr>
          <w:rFonts w:hint="eastAsia" w:ascii="仿宋" w:hAnsi="仿宋" w:eastAsia="仿宋" w:cs="仿宋"/>
          <w:sz w:val="32"/>
          <w:szCs w:val="32"/>
        </w:rPr>
        <w:t>财政局部门预算编制通知要求，按时完成部门年初预算编制工作。在编制过程中，认真核实单位实际财政供养人数和单位实有编制情况，正确编制人员经费和公用经费等，做到尽量细化项目资金支出预算范围和科目，及时上报预算股进行审核，对所编制的预算予以调整通过。</w:t>
      </w:r>
    </w:p>
    <w:p w14:paraId="34FCF000">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2.</w:t>
      </w:r>
      <w:r>
        <w:rPr>
          <w:rFonts w:hint="eastAsia" w:ascii="仿宋" w:hAnsi="仿宋" w:eastAsia="仿宋" w:cs="仿宋"/>
          <w:sz w:val="32"/>
          <w:szCs w:val="32"/>
        </w:rPr>
        <w:t>认真编制年度决算报表。</w:t>
      </w:r>
    </w:p>
    <w:p w14:paraId="4991F142">
      <w:pPr>
        <w:spacing w:line="560" w:lineRule="exact"/>
        <w:ind w:firstLine="640" w:firstLineChars="200"/>
        <w:jc w:val="left"/>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仿宋" w:hAnsi="仿宋" w:eastAsia="仿宋" w:cs="仿宋"/>
          <w:sz w:val="32"/>
          <w:szCs w:val="32"/>
        </w:rPr>
        <w:t>为真实、准确</w:t>
      </w:r>
      <w:r>
        <w:rPr>
          <w:rFonts w:hint="eastAsia" w:ascii="仿宋" w:hAnsi="仿宋" w:eastAsia="仿宋" w:cs="仿宋"/>
          <w:sz w:val="32"/>
          <w:szCs w:val="32"/>
          <w:lang w:eastAsia="zh-CN"/>
        </w:rPr>
        <w:t>反映</w:t>
      </w:r>
      <w:r>
        <w:rPr>
          <w:rFonts w:hint="eastAsia" w:ascii="仿宋" w:hAnsi="仿宋" w:eastAsia="仿宋" w:cs="仿宋"/>
          <w:sz w:val="32"/>
          <w:szCs w:val="32"/>
        </w:rPr>
        <w:t>单位年度财务收、支情况，根据</w:t>
      </w:r>
      <w:r>
        <w:rPr>
          <w:rFonts w:hint="eastAsia" w:ascii="仿宋" w:hAnsi="仿宋" w:eastAsia="仿宋" w:cs="仿宋"/>
          <w:sz w:val="32"/>
          <w:szCs w:val="32"/>
          <w:lang w:val="en-US" w:eastAsia="zh-CN"/>
        </w:rPr>
        <w:t>县</w:t>
      </w:r>
      <w:r>
        <w:rPr>
          <w:rFonts w:hint="eastAsia" w:ascii="仿宋" w:hAnsi="仿宋" w:eastAsia="仿宋" w:cs="仿宋"/>
          <w:sz w:val="32"/>
          <w:szCs w:val="32"/>
        </w:rPr>
        <w:t>财政局的要求，认真开展部门年度决算报表编制工作。按照政府收支分类科目和财务报表支出情况编制部门决算，决算收入、支出口径与财政局财政大平台及我乡财务账、</w:t>
      </w:r>
      <w:r>
        <w:rPr>
          <w:rFonts w:hint="eastAsia" w:ascii="仿宋" w:hAnsi="仿宋" w:eastAsia="仿宋" w:cs="仿宋"/>
          <w:sz w:val="32"/>
          <w:szCs w:val="32"/>
          <w:lang w:eastAsia="zh-CN"/>
        </w:rPr>
        <w:t>会计账</w:t>
      </w:r>
      <w:r>
        <w:rPr>
          <w:rFonts w:hint="eastAsia" w:ascii="仿宋" w:hAnsi="仿宋" w:eastAsia="仿宋" w:cs="仿宋"/>
          <w:sz w:val="32"/>
          <w:szCs w:val="32"/>
        </w:rPr>
        <w:t>核对无误，报表编制无差错。</w:t>
      </w:r>
    </w:p>
    <w:p w14:paraId="3455EBEE">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Times New Roman" w:hAnsi="Times New Roman" w:eastAsia="楷体_GB2312" w:cs="Times New Roman"/>
          <w:b/>
          <w:color w:val="auto"/>
          <w:sz w:val="32"/>
          <w:szCs w:val="32"/>
          <w:highlight w:val="none"/>
          <w:u w:val="none"/>
          <w:lang w:val="zh-CN" w:eastAsia="zh-CN"/>
        </w:rPr>
      </w:pPr>
      <w:r>
        <w:rPr>
          <w:rFonts w:hint="eastAsia" w:ascii="Times New Roman" w:hAnsi="Times New Roman" w:eastAsia="楷体_GB2312" w:cs="Times New Roman"/>
          <w:b/>
          <w:color w:val="auto"/>
          <w:sz w:val="32"/>
          <w:szCs w:val="32"/>
          <w:highlight w:val="none"/>
          <w:u w:val="none"/>
          <w:lang w:val="zh-CN" w:eastAsia="zh-CN"/>
        </w:rPr>
        <w:t>（四）项目绩效目标设置。</w:t>
      </w:r>
    </w:p>
    <w:p w14:paraId="77FEB19A">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仿宋_GB2312" w:cs="仿宋_GB2312"/>
          <w:b w:val="0"/>
          <w:bCs w:val="0"/>
          <w:kern w:val="0"/>
          <w:position w:val="0"/>
          <w:sz w:val="32"/>
          <w:szCs w:val="32"/>
          <w:highlight w:val="none"/>
          <w:lang w:val="zh-CN" w:eastAsia="zh-CN" w:bidi="ar-SA"/>
        </w:rPr>
      </w:pPr>
      <w:r>
        <w:rPr>
          <w:rStyle w:val="18"/>
          <w:rFonts w:hint="eastAsia" w:ascii="仿宋_GB2312" w:eastAsia="仿宋_GB2312" w:cs="仿宋_GB2312"/>
          <w:b w:val="0"/>
          <w:bCs w:val="0"/>
          <w:i w:val="0"/>
          <w:iCs w:val="0"/>
          <w:caps w:val="0"/>
          <w:color w:val="000000"/>
          <w:spacing w:val="0"/>
          <w:sz w:val="32"/>
          <w:szCs w:val="32"/>
          <w:highlight w:val="none"/>
          <w:shd w:val="clear" w:fill="FFFFFF"/>
          <w:lang w:eastAsia="zh-CN"/>
        </w:rPr>
        <w:t>金岩</w:t>
      </w:r>
      <w:r>
        <w:rPr>
          <w:rStyle w:val="18"/>
          <w:rFonts w:hint="default" w:ascii="仿宋_GB2312" w:hAnsi="Times New Roman" w:eastAsia="仿宋_GB2312" w:cs="仿宋_GB2312"/>
          <w:b w:val="0"/>
          <w:bCs w:val="0"/>
          <w:i w:val="0"/>
          <w:iCs w:val="0"/>
          <w:caps w:val="0"/>
          <w:color w:val="000000"/>
          <w:spacing w:val="0"/>
          <w:sz w:val="32"/>
          <w:szCs w:val="32"/>
          <w:highlight w:val="none"/>
          <w:shd w:val="clear" w:fill="FFFFFF"/>
        </w:rPr>
        <w:t>乡人民政府绩效目标按要求向社会公开，部门整体绩效自评情况和自行组织的评价情况向社会公开，及时整改了绩效管理发现问题，向财政部门反馈结果应用情况。</w:t>
      </w:r>
    </w:p>
    <w:p w14:paraId="37C6F0B8">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rPr>
        <w:t>二、</w:t>
      </w:r>
      <w:r>
        <w:rPr>
          <w:rFonts w:hint="eastAsia" w:ascii="Times New Roman" w:hAnsi="Times New Roman" w:eastAsia="黑体"/>
          <w:sz w:val="32"/>
          <w:szCs w:val="32"/>
          <w:highlight w:val="none"/>
          <w:lang w:eastAsia="zh-CN"/>
        </w:rPr>
        <w:t>评价实施</w:t>
      </w:r>
    </w:p>
    <w:p w14:paraId="694A32CD">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（一）评价目的。</w:t>
      </w:r>
    </w:p>
    <w:p w14:paraId="0B086A68">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仿宋_GB2312" w:hAnsi="仿宋_GB2312" w:eastAsia="仿宋_GB2312" w:cs="仿宋_GB2312"/>
          <w:color w:val="000000"/>
          <w:kern w:val="0"/>
          <w:sz w:val="32"/>
          <w:szCs w:val="32"/>
          <w:highlight w:val="none"/>
          <w:shd w:val="clear" w:color="auto" w:fill="FFFFFF"/>
          <w:lang w:val="zh-CN"/>
        </w:rPr>
        <w:t>完成了县委、县政府下达的目标任务，部门支出自评质量高，绩效目标及时公开，社会反映良好。</w:t>
      </w:r>
    </w:p>
    <w:p w14:paraId="1F4EB77D">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（二）预设问题及评价重点。</w:t>
      </w:r>
    </w:p>
    <w:p w14:paraId="6E93F6C7">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仿宋" w:hAnsi="仿宋" w:eastAsia="仿宋" w:cs="仿宋"/>
          <w:color w:val="auto"/>
          <w:kern w:val="0"/>
          <w:sz w:val="32"/>
          <w:szCs w:val="32"/>
          <w:shd w:val="clear" w:color="auto" w:fill="FFFFFF"/>
          <w:lang w:val="zh-CN"/>
        </w:rPr>
      </w:pPr>
      <w:r>
        <w:rPr>
          <w:rFonts w:hint="eastAsia" w:ascii="仿宋" w:hAnsi="仿宋" w:eastAsia="仿宋" w:cs="仿宋"/>
          <w:color w:val="auto"/>
          <w:kern w:val="0"/>
          <w:sz w:val="32"/>
          <w:szCs w:val="32"/>
          <w:shd w:val="clear" w:color="auto" w:fill="FFFFFF"/>
          <w:lang w:val="en-US" w:eastAsia="zh-CN"/>
        </w:rPr>
        <w:t>1.</w:t>
      </w:r>
      <w:r>
        <w:rPr>
          <w:rFonts w:hint="eastAsia" w:ascii="仿宋" w:hAnsi="仿宋" w:eastAsia="仿宋" w:cs="仿宋"/>
          <w:color w:val="auto"/>
          <w:kern w:val="0"/>
          <w:sz w:val="32"/>
          <w:szCs w:val="32"/>
          <w:shd w:val="clear" w:color="auto" w:fill="FFFFFF"/>
          <w:lang w:val="zh-CN"/>
        </w:rPr>
        <w:t>工作开展情况记录；</w:t>
      </w:r>
    </w:p>
    <w:p w14:paraId="3A74F7C8">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2.项目设施进度；</w:t>
      </w:r>
    </w:p>
    <w:p w14:paraId="0AB45F39">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仿宋" w:hAnsi="仿宋" w:eastAsia="仿宋" w:cs="仿宋"/>
          <w:color w:val="auto"/>
          <w:kern w:val="0"/>
          <w:sz w:val="32"/>
          <w:szCs w:val="32"/>
          <w:shd w:val="clear" w:color="auto" w:fill="FFFFFF"/>
          <w:lang w:val="en-US" w:eastAsia="zh-CN"/>
        </w:rPr>
        <w:t>3.工作方式方法。</w:t>
      </w:r>
    </w:p>
    <w:p w14:paraId="76F40A65">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（三）评价选点。</w:t>
      </w:r>
    </w:p>
    <w:p w14:paraId="3231BD86">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eastAsia="楷体_GB2312"/>
          <w:b w:val="0"/>
          <w:bCs/>
          <w:color w:val="auto"/>
          <w:sz w:val="32"/>
          <w:szCs w:val="32"/>
          <w:highlight w:val="none"/>
          <w:u w:val="none"/>
          <w:lang w:val="en-US" w:eastAsia="zh-CN"/>
        </w:rPr>
      </w:pPr>
      <w:r>
        <w:rPr>
          <w:rFonts w:hint="eastAsia" w:eastAsia="楷体_GB2312"/>
          <w:b w:val="0"/>
          <w:bCs/>
          <w:color w:val="auto"/>
          <w:sz w:val="32"/>
          <w:szCs w:val="32"/>
          <w:highlight w:val="none"/>
          <w:u w:val="none"/>
          <w:lang w:val="en-US" w:eastAsia="zh-CN"/>
        </w:rPr>
        <w:t>本单位。</w:t>
      </w:r>
    </w:p>
    <w:p w14:paraId="07BB13B8">
      <w:pPr>
        <w:widowControl/>
        <w:adjustRightInd w:val="0"/>
        <w:snapToGrid w:val="0"/>
        <w:spacing w:line="580" w:lineRule="exact"/>
        <w:ind w:firstLine="643" w:firstLineChars="200"/>
        <w:contextualSpacing/>
        <w:jc w:val="left"/>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（四）评价方法。</w:t>
      </w:r>
    </w:p>
    <w:p w14:paraId="4A7505B2">
      <w:pPr>
        <w:widowControl/>
        <w:adjustRightInd w:val="0"/>
        <w:snapToGrid w:val="0"/>
        <w:spacing w:line="580" w:lineRule="exact"/>
        <w:ind w:firstLine="640" w:firstLineChars="200"/>
        <w:contextualSpacing/>
        <w:jc w:val="left"/>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仿宋" w:hAnsi="仿宋" w:eastAsia="仿宋" w:cs="仿宋"/>
          <w:color w:val="auto"/>
          <w:kern w:val="0"/>
          <w:sz w:val="32"/>
          <w:szCs w:val="32"/>
          <w:shd w:val="clear" w:color="auto" w:fill="FFFFFF"/>
          <w:lang w:val="zh-CN"/>
        </w:rPr>
        <w:t>根据考核评分细则，我单位严格按照国家的相关财务管理制度规定，财务制度健全、会计核算规范，依照计划管理使用。</w:t>
      </w:r>
    </w:p>
    <w:p w14:paraId="2BCCEB5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（五）评价组织。</w:t>
      </w:r>
    </w:p>
    <w:p w14:paraId="4E97A4C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Times New Roman"/>
          <w:bCs/>
          <w:lang w:eastAsia="zh-CN"/>
        </w:rPr>
      </w:pPr>
      <w:r>
        <w:rPr>
          <w:rFonts w:hint="eastAsia" w:ascii="仿宋_GB2312" w:hAnsi="仿宋_GB2312" w:eastAsia="仿宋_GB2312" w:cs="仿宋_GB2312"/>
          <w:i w:val="0"/>
          <w:iCs w:val="0"/>
          <w:caps w:val="0"/>
          <w:color w:val="auto"/>
          <w:spacing w:val="0"/>
          <w:kern w:val="0"/>
          <w:sz w:val="32"/>
          <w:szCs w:val="32"/>
          <w:lang w:val="en-US" w:eastAsia="zh-CN" w:bidi="ar"/>
        </w:rPr>
        <w:t>该项目组织实施由单位分管负责人按年初工作计划组织实施。</w:t>
      </w:r>
    </w:p>
    <w:p w14:paraId="1CE9AD09">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Times New Roman" w:hAnsi="Times New Roman"/>
          <w:color w:val="auto"/>
          <w:sz w:val="32"/>
          <w:szCs w:val="32"/>
          <w:highlight w:val="none"/>
          <w:u w:val="none"/>
          <w:lang w:val="zh-CN"/>
        </w:rPr>
      </w:pPr>
      <w:r>
        <w:rPr>
          <w:rFonts w:hint="eastAsia" w:ascii="Times New Roman" w:hAnsi="Times New Roman" w:eastAsia="黑体"/>
          <w:color w:val="auto"/>
          <w:sz w:val="32"/>
          <w:szCs w:val="32"/>
          <w:highlight w:val="none"/>
          <w:u w:val="none"/>
        </w:rPr>
        <w:t>三、</w:t>
      </w:r>
      <w:r>
        <w:rPr>
          <w:rFonts w:hint="eastAsia" w:ascii="Times New Roman" w:hAnsi="Times New Roman" w:eastAsia="黑体"/>
          <w:color w:val="auto"/>
          <w:sz w:val="32"/>
          <w:szCs w:val="32"/>
          <w:highlight w:val="none"/>
          <w:u w:val="none"/>
          <w:lang w:eastAsia="zh-CN"/>
        </w:rPr>
        <w:t>绩效分析</w:t>
      </w:r>
      <w:r>
        <w:rPr>
          <w:rFonts w:hint="eastAsia" w:ascii="Times New Roman" w:hAnsi="Times New Roman"/>
          <w:color w:val="auto"/>
          <w:sz w:val="32"/>
          <w:szCs w:val="32"/>
          <w:highlight w:val="none"/>
          <w:u w:val="none"/>
          <w:lang w:val="zh-CN"/>
        </w:rPr>
        <w:tab/>
      </w:r>
    </w:p>
    <w:p w14:paraId="0D97FF54">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default" w:ascii="Times New Roman" w:hAnsi="Times New Roman" w:eastAsia="仿宋_GB2312" w:cs="仿宋_GB2312"/>
          <w:b w:val="0"/>
          <w:bCs w:val="0"/>
          <w:kern w:val="0"/>
          <w:position w:val="0"/>
          <w:sz w:val="32"/>
          <w:szCs w:val="32"/>
          <w:highlight w:val="none"/>
          <w:lang w:val="zh-CN" w:eastAsia="zh-CN" w:bidi="ar-SA"/>
        </w:rPr>
        <w:t>根据</w:t>
      </w:r>
      <w:r>
        <w:rPr>
          <w:rFonts w:hint="eastAsia" w:ascii="Times New Roman" w:hAnsi="Times New Roman" w:eastAsia="仿宋_GB2312" w:cs="仿宋_GB2312"/>
          <w:b w:val="0"/>
          <w:bCs w:val="0"/>
          <w:kern w:val="0"/>
          <w:position w:val="0"/>
          <w:sz w:val="32"/>
          <w:szCs w:val="32"/>
          <w:highlight w:val="none"/>
          <w:lang w:val="zh-CN" w:eastAsia="zh-CN" w:bidi="ar-SA"/>
        </w:rPr>
        <w:t>项目</w:t>
      </w:r>
      <w:r>
        <w:rPr>
          <w:rFonts w:hint="default" w:ascii="Times New Roman" w:hAnsi="Times New Roman" w:eastAsia="仿宋_GB2312" w:cs="仿宋_GB2312"/>
          <w:b w:val="0"/>
          <w:bCs w:val="0"/>
          <w:kern w:val="0"/>
          <w:position w:val="0"/>
          <w:sz w:val="32"/>
          <w:szCs w:val="32"/>
          <w:highlight w:val="none"/>
          <w:lang w:val="zh-CN" w:eastAsia="zh-CN" w:bidi="ar-SA"/>
        </w:rPr>
        <w:t>预算绩效评价指标体系</w:t>
      </w:r>
      <w:r>
        <w:rPr>
          <w:rFonts w:hint="eastAsia" w:ascii="Times New Roman" w:hAnsi="Times New Roman" w:eastAsia="仿宋_GB2312" w:cs="仿宋_GB2312"/>
          <w:b w:val="0"/>
          <w:bCs w:val="0"/>
          <w:kern w:val="0"/>
          <w:position w:val="0"/>
          <w:sz w:val="32"/>
          <w:szCs w:val="32"/>
          <w:highlight w:val="none"/>
          <w:lang w:val="zh-CN" w:eastAsia="zh-CN" w:bidi="ar-SA"/>
        </w:rPr>
        <w:t>通用指标、专用指标、个性指标</w:t>
      </w:r>
      <w:r>
        <w:rPr>
          <w:rFonts w:hint="default" w:ascii="Times New Roman" w:hAnsi="Times New Roman" w:eastAsia="仿宋_GB2312" w:cs="仿宋_GB2312"/>
          <w:b w:val="0"/>
          <w:bCs w:val="0"/>
          <w:kern w:val="0"/>
          <w:position w:val="0"/>
          <w:sz w:val="32"/>
          <w:szCs w:val="32"/>
          <w:highlight w:val="none"/>
          <w:lang w:val="zh-CN" w:eastAsia="zh-CN" w:bidi="ar-SA"/>
        </w:rPr>
        <w:t>涉及</w:t>
      </w:r>
      <w:r>
        <w:rPr>
          <w:rFonts w:hint="eastAsia" w:ascii="Times New Roman" w:hAnsi="Times New Roman" w:eastAsia="仿宋_GB2312" w:cs="仿宋_GB2312"/>
          <w:b w:val="0"/>
          <w:bCs w:val="0"/>
          <w:kern w:val="0"/>
          <w:position w:val="0"/>
          <w:sz w:val="32"/>
          <w:szCs w:val="32"/>
          <w:highlight w:val="none"/>
          <w:lang w:val="zh-CN" w:eastAsia="zh-CN" w:bidi="ar-SA"/>
        </w:rPr>
        <w:t>二、三级</w:t>
      </w:r>
      <w:r>
        <w:rPr>
          <w:rFonts w:hint="default" w:ascii="Times New Roman" w:hAnsi="Times New Roman" w:eastAsia="仿宋_GB2312" w:cs="仿宋_GB2312"/>
          <w:b w:val="0"/>
          <w:bCs w:val="0"/>
          <w:kern w:val="0"/>
          <w:position w:val="0"/>
          <w:sz w:val="32"/>
          <w:szCs w:val="32"/>
          <w:highlight w:val="none"/>
          <w:lang w:val="zh-CN" w:eastAsia="zh-CN" w:bidi="ar-SA"/>
        </w:rPr>
        <w:t>指标进行</w:t>
      </w:r>
      <w:r>
        <w:rPr>
          <w:rFonts w:hint="eastAsia" w:ascii="Times New Roman" w:hAnsi="Times New Roman" w:eastAsia="仿宋_GB2312" w:cs="仿宋_GB2312"/>
          <w:b w:val="0"/>
          <w:bCs w:val="0"/>
          <w:kern w:val="0"/>
          <w:position w:val="0"/>
          <w:sz w:val="32"/>
          <w:szCs w:val="32"/>
          <w:highlight w:val="none"/>
          <w:lang w:val="zh-CN" w:eastAsia="zh-CN" w:bidi="ar-SA"/>
        </w:rPr>
        <w:t>逐项</w:t>
      </w:r>
      <w:r>
        <w:rPr>
          <w:rFonts w:hint="default" w:ascii="Times New Roman" w:hAnsi="Times New Roman" w:eastAsia="仿宋_GB2312" w:cs="仿宋_GB2312"/>
          <w:b w:val="0"/>
          <w:bCs w:val="0"/>
          <w:kern w:val="0"/>
          <w:position w:val="0"/>
          <w:sz w:val="32"/>
          <w:szCs w:val="32"/>
          <w:highlight w:val="none"/>
          <w:lang w:val="zh-CN" w:eastAsia="zh-CN" w:bidi="ar-SA"/>
        </w:rPr>
        <w:t>绩效分析</w:t>
      </w:r>
      <w:r>
        <w:rPr>
          <w:rFonts w:hint="eastAsia" w:ascii="Times New Roman" w:hAnsi="Times New Roman" w:eastAsia="仿宋_GB2312" w:cs="仿宋_GB2312"/>
          <w:b w:val="0"/>
          <w:bCs w:val="0"/>
          <w:kern w:val="0"/>
          <w:position w:val="0"/>
          <w:sz w:val="32"/>
          <w:szCs w:val="32"/>
          <w:highlight w:val="none"/>
          <w:lang w:val="zh-CN" w:eastAsia="zh-CN" w:bidi="ar-SA"/>
        </w:rPr>
        <w:t>并评分</w:t>
      </w:r>
      <w:r>
        <w:rPr>
          <w:rFonts w:hint="eastAsia" w:ascii="Times New Roman" w:hAnsi="Times New Roman" w:eastAsia="仿宋_GB2312" w:cs="仿宋_GB2312"/>
          <w:b w:val="0"/>
          <w:bCs w:val="0"/>
          <w:kern w:val="0"/>
          <w:position w:val="0"/>
          <w:sz w:val="32"/>
          <w:szCs w:val="32"/>
          <w:highlight w:val="none"/>
          <w:lang w:val="en-US" w:eastAsia="zh-CN" w:bidi="ar-SA"/>
        </w:rPr>
        <w:t>。</w:t>
      </w:r>
    </w:p>
    <w:p w14:paraId="44B395A6">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楷体_GB2312" w:cs="Times New Roman"/>
          <w:b/>
          <w:color w:val="auto"/>
          <w:sz w:val="32"/>
          <w:szCs w:val="32"/>
          <w:highlight w:val="none"/>
          <w:u w:val="none"/>
          <w:lang w:val="en-US" w:eastAsia="zh-CN"/>
        </w:rPr>
      </w:pPr>
      <w:r>
        <w:rPr>
          <w:rFonts w:hint="eastAsia" w:ascii="Times New Roman" w:hAnsi="Times New Roman" w:eastAsia="楷体_GB2312" w:cs="Times New Roman"/>
          <w:b/>
          <w:color w:val="auto"/>
          <w:sz w:val="32"/>
          <w:szCs w:val="32"/>
          <w:highlight w:val="none"/>
          <w:u w:val="none"/>
          <w:lang w:val="zh-CN"/>
        </w:rPr>
        <w:t>（一）</w:t>
      </w:r>
      <w:r>
        <w:rPr>
          <w:rFonts w:hint="eastAsia" w:ascii="Times New Roman" w:hAnsi="Times New Roman"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40734AB4">
      <w:pPr>
        <w:pStyle w:val="2"/>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1.</w:t>
      </w:r>
      <w:r>
        <w:rPr>
          <w:rFonts w:hint="eastAsia" w:ascii="Times New Roman" w:hAnsi="Times New Roman" w:eastAsia="仿宋_GB2312" w:cs="仿宋_GB2312"/>
          <w:b w:val="0"/>
          <w:bCs w:val="0"/>
          <w:kern w:val="0"/>
          <w:position w:val="0"/>
          <w:sz w:val="32"/>
          <w:szCs w:val="32"/>
          <w:highlight w:val="none"/>
          <w:lang w:val="zh-CN" w:eastAsia="zh-CN" w:bidi="ar-SA"/>
        </w:rPr>
        <w:t>项目决策。</w:t>
      </w:r>
    </w:p>
    <w:p w14:paraId="5316C940">
      <w:pPr>
        <w:pStyle w:val="2"/>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按照</w:t>
      </w:r>
      <w:r>
        <w:rPr>
          <w:rFonts w:hint="eastAsia" w:ascii="仿宋_GB2312" w:hAnsi="仿宋_GB2312" w:eastAsia="仿宋_GB2312" w:cs="仿宋_GB2312"/>
          <w:b w:val="0"/>
          <w:bCs w:val="0"/>
          <w:sz w:val="32"/>
          <w:szCs w:val="32"/>
          <w:lang w:val="en-US" w:eastAsia="zh-CN"/>
        </w:rPr>
        <w:t>县</w:t>
      </w:r>
      <w:r>
        <w:rPr>
          <w:rFonts w:hint="eastAsia" w:ascii="仿宋_GB2312" w:hAnsi="仿宋_GB2312" w:eastAsia="仿宋_GB2312" w:cs="仿宋_GB2312"/>
          <w:b w:val="0"/>
          <w:bCs w:val="0"/>
          <w:sz w:val="32"/>
          <w:szCs w:val="32"/>
          <w:lang w:val="zh-CN"/>
        </w:rPr>
        <w:t>财政局部门预算编制通知要求，按时完成部门年初预算编制工作。在编制过程中，认真核实单位实际财政供养人数和单位实有编制情况，正确编制人员经费和公用经费等，做到尽量细化项目资金支出预算范围和科目，及时上报预算股进行审核，对所编制的预算予以调整通过</w:t>
      </w:r>
      <w:r>
        <w:rPr>
          <w:rFonts w:hint="eastAsia" w:ascii="仿宋_GB2312" w:hAnsi="仿宋_GB2312" w:eastAsia="仿宋_GB2312" w:cs="仿宋_GB2312"/>
          <w:b w:val="0"/>
          <w:bCs w:val="0"/>
          <w:sz w:val="32"/>
          <w:szCs w:val="32"/>
          <w:lang w:val="zh-CN" w:eastAsia="zh-CN"/>
        </w:rPr>
        <w:t>。按照预算金额申请经费，并严格控制支出，无违规记录。</w:t>
      </w:r>
    </w:p>
    <w:p w14:paraId="64684F27">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w:t>
      </w:r>
      <w:r>
        <w:rPr>
          <w:rFonts w:hint="eastAsia" w:ascii="Times New Roman" w:hAnsi="Times New Roman" w:eastAsia="仿宋_GB2312" w:cs="仿宋_GB2312"/>
          <w:b w:val="0"/>
          <w:bCs w:val="0"/>
          <w:kern w:val="0"/>
          <w:position w:val="0"/>
          <w:sz w:val="32"/>
          <w:szCs w:val="32"/>
          <w:highlight w:val="none"/>
          <w:lang w:val="zh-CN" w:eastAsia="zh-CN" w:bidi="ar-SA"/>
        </w:rPr>
        <w:t>项目管理。</w:t>
      </w:r>
    </w:p>
    <w:p w14:paraId="0100F134">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left"/>
        <w:rPr>
          <w:rFonts w:hint="default" w:ascii="Times New Roman" w:hAnsi="Times New Roman" w:cs="Times New Roman"/>
          <w:i w:val="0"/>
          <w:iCs w:val="0"/>
          <w:caps w:val="0"/>
          <w:color w:val="333333"/>
          <w:spacing w:val="0"/>
          <w:sz w:val="32"/>
          <w:szCs w:val="32"/>
          <w:highlight w:val="none"/>
        </w:rPr>
      </w:pPr>
      <w:r>
        <w:rPr>
          <w:rStyle w:val="18"/>
          <w:rFonts w:hint="default" w:ascii="仿宋_GB2312" w:hAnsi="Times New Roman" w:eastAsia="仿宋_GB2312" w:cs="仿宋_GB2312"/>
          <w:b w:val="0"/>
          <w:bCs w:val="0"/>
          <w:i w:val="0"/>
          <w:iCs w:val="0"/>
          <w:caps w:val="0"/>
          <w:color w:val="000000"/>
          <w:spacing w:val="0"/>
          <w:sz w:val="32"/>
          <w:szCs w:val="32"/>
          <w:highlight w:val="none"/>
          <w:shd w:val="clear" w:fill="FFFFFF"/>
        </w:rPr>
        <w:t>编制内在职人员控制率小于100%，支出总额控制在预算总额以内。制度执行总体较为有效，但仍需进一步强化，资金使用管理需进一步加强。单位内部控制制度不够健全，内控制度执行还需进一步规范。</w:t>
      </w:r>
    </w:p>
    <w:p w14:paraId="60242E6E">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3.项目实施。</w:t>
      </w:r>
    </w:p>
    <w:p w14:paraId="6382368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仿宋" w:hAnsi="仿宋" w:eastAsia="仿宋" w:cs="仿宋"/>
          <w:sz w:val="32"/>
          <w:szCs w:val="32"/>
        </w:rPr>
        <w:t>按照</w:t>
      </w:r>
      <w:r>
        <w:rPr>
          <w:rFonts w:hint="eastAsia" w:ascii="仿宋" w:hAnsi="仿宋" w:eastAsia="仿宋" w:cs="仿宋"/>
          <w:sz w:val="32"/>
          <w:szCs w:val="32"/>
          <w:lang w:val="en-US" w:eastAsia="zh-CN"/>
        </w:rPr>
        <w:t>县</w:t>
      </w:r>
      <w:r>
        <w:rPr>
          <w:rFonts w:hint="eastAsia" w:ascii="仿宋" w:hAnsi="仿宋" w:eastAsia="仿宋" w:cs="仿宋"/>
          <w:sz w:val="32"/>
          <w:szCs w:val="32"/>
        </w:rPr>
        <w:t>财政局部门预算编制通知要求，按时完成部门年初预算编制工作。在编制过程中，认真核实单位实际财政供养人数和单位实有编制情况，正确编制人员经费和公用经费等，做到尽量细化项目资金支出预算范围和科目，及时上报预算股进行审核，对所编制的预算予以调整通过。</w:t>
      </w:r>
    </w:p>
    <w:p w14:paraId="7EB60D4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4.项目结果。</w:t>
      </w:r>
    </w:p>
    <w:p w14:paraId="39120E99">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仿宋_GB2312" w:hAnsi="宋体" w:eastAsia="仿宋_GB2312" w:cs="宋体"/>
          <w:color w:val="auto"/>
          <w:kern w:val="0"/>
          <w:sz w:val="32"/>
          <w:szCs w:val="32"/>
          <w:shd w:val="clear" w:color="auto" w:fill="FFFFFF"/>
          <w:lang w:val="zh-CN"/>
        </w:rPr>
        <w:t>所有指标都基本达到了预期的效果，所有项目经费都实现了价值的最大化。</w:t>
      </w:r>
    </w:p>
    <w:p w14:paraId="39A4E197">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rPr>
        <w:t>（二）</w:t>
      </w:r>
      <w:r>
        <w:rPr>
          <w:rFonts w:hint="eastAsia" w:ascii="Times New Roman" w:hAnsi="Times New Roman"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eastAsia" w:ascii="Times New Roman" w:hAnsi="Times New Roman" w:eastAsia="仿宋_GB2312" w:cs="仿宋_GB2312"/>
          <w:b w:val="0"/>
          <w:bCs w:val="0"/>
          <w:kern w:val="0"/>
          <w:position w:val="0"/>
          <w:sz w:val="32"/>
          <w:szCs w:val="32"/>
          <w:highlight w:val="none"/>
          <w:lang w:val="zh-CN" w:eastAsia="zh-CN" w:bidi="ar-SA"/>
        </w:rPr>
        <w:t>根据</w:t>
      </w:r>
      <w:r>
        <w:rPr>
          <w:rFonts w:hint="eastAsia" w:ascii="Times New Roman" w:hAnsi="Times New Roman" w:eastAsia="仿宋_GB2312" w:cs="仿宋_GB2312"/>
          <w:b w:val="0"/>
          <w:bCs w:val="0"/>
          <w:kern w:val="0"/>
          <w:position w:val="0"/>
          <w:sz w:val="32"/>
          <w:szCs w:val="32"/>
          <w:highlight w:val="none"/>
          <w:lang w:val="en-US" w:eastAsia="zh-CN" w:bidi="ar-SA"/>
        </w:rPr>
        <w:t>专项预算项目资金支持对象选择所属指标进行绩效分析。支持对象</w:t>
      </w:r>
      <w:r>
        <w:rPr>
          <w:rFonts w:hint="eastAsia" w:ascii="Times New Roman" w:hAnsi="Times New Roman" w:eastAsia="仿宋_GB2312" w:cs="仿宋_GB2312"/>
          <w:b w:val="0"/>
          <w:bCs w:val="0"/>
          <w:kern w:val="0"/>
          <w:position w:val="0"/>
          <w:sz w:val="32"/>
          <w:szCs w:val="32"/>
          <w:highlight w:val="none"/>
          <w:lang w:val="zh-CN" w:eastAsia="zh-CN" w:bidi="ar-SA"/>
        </w:rPr>
        <w:t>包括产业发展、民生保障、基础设施、行政运转等方面。</w:t>
      </w:r>
    </w:p>
    <w:p w14:paraId="5741F23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1.产业发展。围绕符合性、成长性、经济性进行绩效分析。</w:t>
      </w:r>
    </w:p>
    <w:p w14:paraId="2D9B74C9">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w:t>
      </w:r>
      <w:r>
        <w:rPr>
          <w:rFonts w:hint="eastAsia" w:ascii="Times New Roman" w:hAnsi="Times New Roman" w:eastAsia="仿宋_GB2312" w:cs="仿宋_GB2312"/>
          <w:b w:val="0"/>
          <w:bCs w:val="0"/>
          <w:kern w:val="0"/>
          <w:position w:val="0"/>
          <w:sz w:val="32"/>
          <w:szCs w:val="32"/>
          <w:highlight w:val="none"/>
          <w:lang w:val="zh-CN" w:eastAsia="zh-CN" w:bidi="ar-SA"/>
        </w:rPr>
        <w:t>民生保障。</w:t>
      </w:r>
      <w:r>
        <w:rPr>
          <w:rFonts w:hint="eastAsia" w:ascii="Times New Roman" w:hAnsi="Times New Roman" w:eastAsia="仿宋_GB2312" w:cs="仿宋_GB2312"/>
          <w:b w:val="0"/>
          <w:bCs w:val="0"/>
          <w:kern w:val="0"/>
          <w:position w:val="0"/>
          <w:sz w:val="32"/>
          <w:szCs w:val="32"/>
          <w:highlight w:val="none"/>
          <w:lang w:val="en-US" w:eastAsia="zh-CN" w:bidi="ar-SA"/>
        </w:rPr>
        <w:t>围绕区域均衡性、对象精准性、标准合理性、群众满意度进行绩效分析。</w:t>
      </w:r>
    </w:p>
    <w:p w14:paraId="2AF6077B">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3.基础设施。在建项目围绕工程进度和资金拨付进行绩效分析；建成项目围绕项目验收、功能实现、后续管护进行</w:t>
      </w:r>
      <w:r>
        <w:rPr>
          <w:rFonts w:hint="eastAsia" w:ascii="Times New Roman" w:hAnsi="Times New Roman" w:eastAsia="仿宋_GB2312" w:cs="仿宋_GB2312"/>
          <w:b w:val="0"/>
          <w:bCs w:val="0"/>
          <w:kern w:val="0"/>
          <w:position w:val="0"/>
          <w:sz w:val="32"/>
          <w:szCs w:val="32"/>
          <w:highlight w:val="none"/>
          <w:lang w:val="zh-CN" w:eastAsia="zh-CN" w:bidi="ar-SA"/>
        </w:rPr>
        <w:t>绩效分析。</w:t>
      </w:r>
    </w:p>
    <w:p w14:paraId="40D57406">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4.</w:t>
      </w:r>
      <w:r>
        <w:rPr>
          <w:rFonts w:hint="eastAsia" w:ascii="Times New Roman" w:hAnsi="Times New Roman" w:eastAsia="仿宋_GB2312" w:cs="仿宋_GB2312"/>
          <w:b w:val="0"/>
          <w:bCs w:val="0"/>
          <w:kern w:val="0"/>
          <w:position w:val="0"/>
          <w:sz w:val="32"/>
          <w:szCs w:val="32"/>
          <w:highlight w:val="none"/>
          <w:lang w:val="zh-CN" w:eastAsia="zh-CN" w:bidi="ar-SA"/>
        </w:rPr>
        <w:t>行政运转。围绕用途合规性、程序合规性、标准合规性进行绩效分析。</w:t>
      </w:r>
    </w:p>
    <w:p w14:paraId="7D84A6A5">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楷体_GB2312" w:cs="Times New Roman"/>
          <w:b/>
          <w:color w:val="auto"/>
          <w:sz w:val="32"/>
          <w:szCs w:val="32"/>
          <w:highlight w:val="none"/>
          <w:u w:val="none"/>
          <w:lang w:val="zh-CN"/>
        </w:rPr>
        <w:t>（三）</w:t>
      </w:r>
      <w:r>
        <w:rPr>
          <w:rFonts w:hint="eastAsia" w:ascii="Times New Roman" w:hAnsi="Times New Roman"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eastAsia" w:ascii="Times New Roman" w:hAnsi="Times New Roman" w:eastAsia="仿宋_GB2312" w:cs="仿宋_GB2312"/>
          <w:b w:val="0"/>
          <w:bCs w:val="0"/>
          <w:kern w:val="0"/>
          <w:position w:val="0"/>
          <w:sz w:val="32"/>
          <w:szCs w:val="32"/>
          <w:highlight w:val="none"/>
          <w:lang w:val="zh-CN" w:eastAsia="zh-CN" w:bidi="ar-SA"/>
        </w:rPr>
        <w:t>根据项目个性自行设定部分指标，反映该项指标执行完成情况。</w:t>
      </w:r>
    </w:p>
    <w:p w14:paraId="705C5E1A">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四、评价结论</w:t>
      </w:r>
    </w:p>
    <w:p w14:paraId="6C8AE09A">
      <w:pPr>
        <w:keepNext w:val="0"/>
        <w:keepLines w:val="0"/>
        <w:pageBreakBefore w:val="0"/>
        <w:widowControl/>
        <w:kinsoku/>
        <w:wordWrap/>
        <w:overflowPunct/>
        <w:topLinePunct w:val="0"/>
        <w:autoSpaceDE/>
        <w:autoSpaceDN/>
        <w:bidi w:val="0"/>
        <w:adjustRightInd w:val="0"/>
        <w:snapToGrid w:val="0"/>
        <w:spacing w:line="600" w:lineRule="atLeast"/>
        <w:ind w:firstLine="640" w:firstLineChars="200"/>
        <w:contextualSpacing/>
        <w:jc w:val="left"/>
        <w:textAlignment w:val="auto"/>
        <w:rPr>
          <w:rFonts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lang w:val="zh-CN"/>
        </w:rPr>
        <w:t>根据县级部门整体绩效自评打分表，本单位自评得分</w:t>
      </w:r>
      <w:r>
        <w:rPr>
          <w:rFonts w:hint="eastAsia" w:ascii="仿宋_GB2312" w:hAnsi="宋体" w:eastAsia="仿宋_GB2312" w:cs="宋体"/>
          <w:color w:val="000000"/>
          <w:kern w:val="0"/>
          <w:sz w:val="32"/>
          <w:szCs w:val="32"/>
          <w:shd w:val="clear" w:color="auto" w:fill="FFFFFF"/>
          <w:lang w:val="en-US" w:eastAsia="zh-CN"/>
        </w:rPr>
        <w:t>98</w:t>
      </w:r>
      <w:r>
        <w:rPr>
          <w:rFonts w:hint="eastAsia" w:ascii="仿宋_GB2312" w:hAnsi="宋体" w:eastAsia="仿宋_GB2312" w:cs="宋体"/>
          <w:color w:val="000000"/>
          <w:kern w:val="0"/>
          <w:sz w:val="32"/>
          <w:szCs w:val="32"/>
          <w:shd w:val="clear" w:color="auto" w:fill="FFFFFF"/>
        </w:rPr>
        <w:t>分。本单位组织相关人员会商编制年初部门预算，共同讨论绩效目标编制审核工作，确保了年度绩效目标编制科学合理、规范完整、细化量化并与预算安排相匹配；事中执行绩效运行监控，对发现的问题及时处置落实，全面实现了绩效目标。</w:t>
      </w:r>
    </w:p>
    <w:p w14:paraId="129AF60C">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五、存在主要问题</w:t>
      </w:r>
    </w:p>
    <w:p w14:paraId="27426AAA">
      <w:pPr>
        <w:widowControl/>
        <w:numPr>
          <w:ilvl w:val="0"/>
          <w:numId w:val="0"/>
        </w:numPr>
        <w:adjustRightInd w:val="0"/>
        <w:snapToGrid w:val="0"/>
        <w:spacing w:line="580" w:lineRule="exact"/>
        <w:ind w:firstLine="640" w:firstLineChars="200"/>
        <w:contextualSpacing/>
        <w:jc w:val="left"/>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仿宋_GB2312" w:hAnsi="仿宋_GB2312" w:eastAsia="仿宋_GB2312" w:cs="仿宋_GB2312"/>
          <w:color w:val="000000"/>
          <w:kern w:val="0"/>
          <w:sz w:val="32"/>
          <w:szCs w:val="32"/>
          <w:shd w:val="clear" w:fill="FFFFFF"/>
          <w:lang w:val="zh-CN" w:eastAsia="zh-CN" w:bidi="ar-SA"/>
        </w:rPr>
        <w:t>在资金管理过程中，财务管理制度需完善。</w:t>
      </w:r>
    </w:p>
    <w:p w14:paraId="4AED75B8">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zh-CN" w:eastAsia="zh-CN" w:bidi="ar-SA"/>
        </w:rPr>
      </w:pPr>
      <w:r>
        <w:rPr>
          <w:rFonts w:hint="eastAsia" w:ascii="黑体" w:hAnsi="黑体" w:eastAsia="黑体" w:cs="黑体"/>
          <w:b w:val="0"/>
          <w:bCs w:val="0"/>
          <w:kern w:val="0"/>
          <w:position w:val="0"/>
          <w:sz w:val="32"/>
          <w:szCs w:val="32"/>
          <w:highlight w:val="none"/>
          <w:lang w:val="zh-CN" w:eastAsia="zh-CN" w:bidi="ar-SA"/>
        </w:rPr>
        <w:t>六、改进建议</w:t>
      </w:r>
    </w:p>
    <w:p w14:paraId="528FD4B1">
      <w:pPr>
        <w:widowControl/>
        <w:numPr>
          <w:ilvl w:val="0"/>
          <w:numId w:val="0"/>
        </w:numPr>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 w:val="32"/>
          <w:szCs w:val="32"/>
          <w:shd w:val="clear" w:fill="FFFFFF"/>
          <w:lang w:val="zh-CN" w:eastAsia="zh-CN" w:bidi="ar-SA"/>
        </w:rPr>
      </w:pPr>
      <w:r>
        <w:rPr>
          <w:rFonts w:hint="eastAsia" w:ascii="仿宋_GB2312" w:hAnsi="仿宋_GB2312" w:eastAsia="仿宋_GB2312" w:cs="仿宋_GB2312"/>
          <w:color w:val="000000"/>
          <w:kern w:val="0"/>
          <w:sz w:val="32"/>
          <w:szCs w:val="32"/>
          <w:shd w:val="clear" w:fill="FFFFFF"/>
          <w:lang w:val="zh-CN" w:eastAsia="zh-CN" w:bidi="ar-SA"/>
        </w:rPr>
        <w:t>1.细化预算编制工作，严格按照预算编制的相关制度和要求进行预算编制，进一步提高预算编制的科学性、严谨性和可控性，按照预算编制的相关制度和要求进行支付。</w:t>
      </w:r>
    </w:p>
    <w:p w14:paraId="5F6B2647">
      <w:pPr>
        <w:widowControl/>
        <w:numPr>
          <w:ilvl w:val="0"/>
          <w:numId w:val="0"/>
        </w:numPr>
        <w:adjustRightInd w:val="0"/>
        <w:snapToGrid w:val="0"/>
        <w:spacing w:line="580" w:lineRule="exact"/>
        <w:ind w:firstLine="640" w:firstLineChars="200"/>
        <w:contextualSpacing/>
        <w:jc w:val="left"/>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仿宋_GB2312" w:hAnsi="仿宋_GB2312" w:eastAsia="仿宋_GB2312" w:cs="仿宋_GB2312"/>
          <w:color w:val="000000"/>
          <w:kern w:val="0"/>
          <w:sz w:val="32"/>
          <w:szCs w:val="32"/>
          <w:shd w:val="clear" w:fill="FFFFFF"/>
          <w:lang w:val="zh-CN" w:eastAsia="zh-CN" w:bidi="ar-SA"/>
        </w:rPr>
        <w:t>2.加强财务管理，健全管理制度体系。按照预算规定的费用项目和用途进行资金使用，杜绝超支现象的发生。</w:t>
      </w:r>
    </w:p>
    <w:p w14:paraId="3AB3D5B6">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26D9190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163CABA4">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6E1E31AD">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729C96F9">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39E3189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77E30E6A">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5911A2FB">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4B404EDC">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79EE1D26">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1FFE545A">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6B952C8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7BAC67E6">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339DE235">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6573A0A0">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65A5C2EE">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4A69CDAE">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3D9CB440">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01C321BA">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01DBB17F">
      <w:pPr>
        <w:widowControl/>
        <w:jc w:val="center"/>
        <w:rPr>
          <w:rFonts w:hint="eastAsia" w:ascii="Times New Roman" w:hAnsi="Times New Roman" w:eastAsia="仿宋"/>
          <w:b w:val="0"/>
          <w:color w:val="auto"/>
          <w:highlight w:val="none"/>
        </w:rPr>
      </w:pPr>
      <w:bookmarkStart w:id="42" w:name="_Toc15396618"/>
      <w:r>
        <w:rPr>
          <w:rFonts w:hint="eastAsia" w:ascii="Times New Roman" w:hAnsi="Times New Roman" w:eastAsia="黑体"/>
          <w:color w:val="auto"/>
          <w:sz w:val="44"/>
          <w:szCs w:val="44"/>
          <w:highlight w:val="none"/>
        </w:rPr>
        <w:t>第</w:t>
      </w:r>
      <w:r>
        <w:rPr>
          <w:rStyle w:val="19"/>
          <w:rFonts w:hint="eastAsia" w:ascii="Times New Roman" w:hAnsi="Times New Roman" w:eastAsia="黑体"/>
          <w:b w:val="0"/>
          <w:color w:val="auto"/>
          <w:highlight w:val="none"/>
        </w:rPr>
        <w:t>五部分 附表</w:t>
      </w:r>
      <w:bookmarkEnd w:id="41"/>
      <w:bookmarkEnd w:id="42"/>
      <w:bookmarkStart w:id="43" w:name="_Toc15396619"/>
    </w:p>
    <w:p w14:paraId="27AF5283">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339A17A0">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43"/>
    </w:p>
    <w:p w14:paraId="2F8B4A0F">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4" w:name="_Toc15396620"/>
      <w:r>
        <w:rPr>
          <w:rFonts w:hint="eastAsia" w:ascii="Times New Roman" w:hAnsi="Times New Roman" w:eastAsia="仿宋_GB2312" w:cs="仿宋_GB2312"/>
          <w:color w:val="auto"/>
          <w:sz w:val="32"/>
          <w:szCs w:val="32"/>
          <w:highlight w:val="none"/>
        </w:rPr>
        <w:t>二、收入决算表</w:t>
      </w:r>
      <w:bookmarkEnd w:id="44"/>
    </w:p>
    <w:p w14:paraId="22F42553">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5" w:name="_Toc15396621"/>
      <w:r>
        <w:rPr>
          <w:rFonts w:hint="eastAsia" w:ascii="Times New Roman" w:hAnsi="Times New Roman" w:eastAsia="仿宋_GB2312" w:cs="仿宋_GB2312"/>
          <w:color w:val="auto"/>
          <w:sz w:val="32"/>
          <w:szCs w:val="32"/>
          <w:highlight w:val="none"/>
        </w:rPr>
        <w:t>三、支出决算表</w:t>
      </w:r>
      <w:bookmarkEnd w:id="45"/>
    </w:p>
    <w:p w14:paraId="002B0C84">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6" w:name="_Toc15396622"/>
      <w:r>
        <w:rPr>
          <w:rFonts w:hint="eastAsia" w:ascii="Times New Roman" w:hAnsi="Times New Roman" w:eastAsia="仿宋_GB2312" w:cs="仿宋_GB2312"/>
          <w:color w:val="auto"/>
          <w:sz w:val="32"/>
          <w:szCs w:val="32"/>
          <w:highlight w:val="none"/>
        </w:rPr>
        <w:t>四、财政拨款收入支出决算总表</w:t>
      </w:r>
      <w:bookmarkEnd w:id="46"/>
    </w:p>
    <w:p w14:paraId="078A4EC0">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7" w:name="_Toc15396623"/>
      <w:r>
        <w:rPr>
          <w:rFonts w:hint="eastAsia" w:ascii="Times New Roman" w:hAnsi="Times New Roman" w:eastAsia="仿宋_GB2312" w:cs="仿宋_GB2312"/>
          <w:color w:val="auto"/>
          <w:sz w:val="32"/>
          <w:szCs w:val="32"/>
          <w:highlight w:val="none"/>
        </w:rPr>
        <w:t>五、财政拨款支出决算明细表</w:t>
      </w:r>
      <w:bookmarkEnd w:id="47"/>
      <w:bookmarkStart w:id="48" w:name="_Toc15396624"/>
    </w:p>
    <w:p w14:paraId="3BB7B7BA">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48"/>
    </w:p>
    <w:p w14:paraId="5B8B44E4">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9" w:name="_Toc15396625"/>
      <w:r>
        <w:rPr>
          <w:rFonts w:hint="eastAsia" w:ascii="Times New Roman" w:hAnsi="Times New Roman" w:eastAsia="仿宋_GB2312" w:cs="仿宋_GB2312"/>
          <w:color w:val="auto"/>
          <w:sz w:val="32"/>
          <w:szCs w:val="32"/>
          <w:highlight w:val="none"/>
        </w:rPr>
        <w:t>七、一般公共预算财政拨款支出决算明细表</w:t>
      </w:r>
      <w:bookmarkEnd w:id="49"/>
    </w:p>
    <w:p w14:paraId="519B2A1D">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0" w:name="_Toc15396626"/>
      <w:r>
        <w:rPr>
          <w:rFonts w:hint="eastAsia" w:ascii="Times New Roman" w:hAnsi="Times New Roman" w:eastAsia="仿宋_GB2312" w:cs="仿宋_GB2312"/>
          <w:color w:val="auto"/>
          <w:sz w:val="32"/>
          <w:szCs w:val="32"/>
          <w:highlight w:val="none"/>
        </w:rPr>
        <w:t>八、一般公共预算财政拨款基本支出决算表</w:t>
      </w:r>
      <w:bookmarkEnd w:id="50"/>
    </w:p>
    <w:p w14:paraId="734479DA">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1" w:name="_Toc15396627"/>
      <w:r>
        <w:rPr>
          <w:rFonts w:hint="eastAsia" w:ascii="Times New Roman" w:hAnsi="Times New Roman" w:eastAsia="仿宋_GB2312" w:cs="仿宋_GB2312"/>
          <w:color w:val="auto"/>
          <w:sz w:val="32"/>
          <w:szCs w:val="32"/>
          <w:highlight w:val="none"/>
        </w:rPr>
        <w:t>九、一般公共预算财政拨款项目支出决算表</w:t>
      </w:r>
      <w:bookmarkEnd w:id="51"/>
    </w:p>
    <w:p w14:paraId="0CF30159">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2" w:name="_Toc15396628"/>
      <w:r>
        <w:rPr>
          <w:rFonts w:hint="eastAsia" w:ascii="Times New Roman" w:hAnsi="Times New Roman" w:eastAsia="仿宋_GB2312" w:cs="仿宋_GB2312"/>
          <w:color w:val="auto"/>
          <w:sz w:val="32"/>
          <w:szCs w:val="32"/>
          <w:highlight w:val="none"/>
        </w:rPr>
        <w:t>十、</w:t>
      </w:r>
      <w:bookmarkEnd w:id="52"/>
      <w:r>
        <w:rPr>
          <w:rFonts w:hint="eastAsia" w:ascii="Times New Roman" w:hAnsi="Times New Roman" w:eastAsia="仿宋_GB2312" w:cs="仿宋_GB2312"/>
          <w:color w:val="auto"/>
          <w:sz w:val="32"/>
          <w:szCs w:val="32"/>
          <w:highlight w:val="none"/>
        </w:rPr>
        <w:t>政府性基金预算财政拨款收入支出决算表</w:t>
      </w:r>
    </w:p>
    <w:p w14:paraId="22524B12">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3" w:name="_Toc15396629"/>
      <w:r>
        <w:rPr>
          <w:rFonts w:hint="eastAsia" w:ascii="Times New Roman" w:hAnsi="Times New Roman" w:eastAsia="仿宋_GB2312" w:cs="仿宋_GB2312"/>
          <w:color w:val="auto"/>
          <w:sz w:val="32"/>
          <w:szCs w:val="32"/>
          <w:highlight w:val="none"/>
        </w:rPr>
        <w:t>十一、</w:t>
      </w:r>
      <w:bookmarkEnd w:id="53"/>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35D3D424">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30"/>
      <w:r>
        <w:rPr>
          <w:rFonts w:hint="eastAsia" w:ascii="Times New Roman" w:hAnsi="Times New Roman" w:eastAsia="仿宋_GB2312" w:cs="仿宋_GB2312"/>
          <w:color w:val="auto"/>
          <w:sz w:val="32"/>
          <w:szCs w:val="32"/>
          <w:highlight w:val="none"/>
        </w:rPr>
        <w:t>十二、</w:t>
      </w:r>
      <w:bookmarkEnd w:id="54"/>
      <w:r>
        <w:rPr>
          <w:rFonts w:hint="eastAsia" w:ascii="Times New Roman" w:hAnsi="Times New Roman" w:eastAsia="仿宋_GB2312" w:cs="仿宋_GB2312"/>
          <w:color w:val="auto"/>
          <w:sz w:val="32"/>
          <w:szCs w:val="32"/>
          <w:highlight w:val="none"/>
          <w:lang w:eastAsia="zh-CN"/>
        </w:rPr>
        <w:t>国有资本经营预算财政拨款支出决算表</w:t>
      </w:r>
    </w:p>
    <w:p w14:paraId="0B0C39BF">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55" w:name="_Toc15396631"/>
      <w:r>
        <w:rPr>
          <w:rFonts w:hint="eastAsia" w:ascii="Times New Roman" w:hAnsi="Times New Roman" w:eastAsia="仿宋_GB2312" w:cs="仿宋_GB2312"/>
          <w:color w:val="auto"/>
          <w:sz w:val="32"/>
          <w:szCs w:val="32"/>
          <w:highlight w:val="none"/>
        </w:rPr>
        <w:t>十三、</w:t>
      </w:r>
      <w:bookmarkEnd w:id="55"/>
      <w:r>
        <w:rPr>
          <w:rFonts w:hint="eastAsia" w:ascii="Times New Roman" w:hAnsi="Times New Roman" w:eastAsia="仿宋_GB2312" w:cs="仿宋_GB2312"/>
          <w:color w:val="auto"/>
          <w:sz w:val="32"/>
          <w:szCs w:val="32"/>
          <w:highlight w:val="none"/>
          <w:lang w:eastAsia="zh-CN"/>
        </w:rPr>
        <w:t>财政拨款“三公”经费支出决算表</w:t>
      </w:r>
    </w:p>
    <w:p w14:paraId="7A1A04B6">
      <w:pPr>
        <w:rPr>
          <w:rFonts w:hint="eastAsia" w:ascii="Times New Roman" w:hAnsi="Times New Roman"/>
          <w:lang w:eastAsia="zh-CN"/>
        </w:rPr>
      </w:pPr>
    </w:p>
    <w:p w14:paraId="46D43DF0"/>
    <w:sectPr>
      <w:footerReference r:id="rId7" w:type="default"/>
      <w:pgSz w:w="11906" w:h="16838"/>
      <w:pgMar w:top="1440" w:right="1800" w:bottom="1440" w:left="1800" w:header="851" w:footer="992" w:gutter="0"/>
      <w:pgNumType w:fmt="numberInDash"/>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eblaitj" w:date="2025-11-03T10:10:33Z" w:initials="e">
    <w:p w14:paraId="3DC93C2C">
      <w:pPr>
        <w:pStyle w:val="7"/>
        <w:rPr>
          <w:rFonts w:hint="eastAsia" w:eastAsia="宋体"/>
          <w:lang w:val="en-US" w:eastAsia="zh-CN"/>
        </w:rPr>
      </w:pPr>
      <w:r>
        <w:rPr>
          <w:rFonts w:hint="eastAsia"/>
          <w:lang w:val="en-US" w:eastAsia="zh-CN"/>
        </w:rPr>
        <w:t>图表上备注年份和金额</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DC93C2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51B09">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EBD75B">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DEBD75B">
                    <w:pPr>
                      <w:pStyle w:val="11"/>
                    </w:pPr>
                    <w:r>
                      <w:fldChar w:fldCharType="begin"/>
                    </w:r>
                    <w:r>
                      <w:instrText xml:space="preserve"> PAGE  \* MERGEFORMAT </w:instrText>
                    </w:r>
                    <w:r>
                      <w:fldChar w:fldCharType="separate"/>
                    </w:r>
                    <w:r>
                      <w:t>- 2 -</w:t>
                    </w:r>
                    <w:r>
                      <w:fldChar w:fldCharType="end"/>
                    </w:r>
                  </w:p>
                </w:txbxContent>
              </v:textbox>
            </v:shape>
          </w:pict>
        </mc:Fallback>
      </mc:AlternateContent>
    </w:r>
    <w:r>
      <w:rPr>
        <w:rFonts w:hint="eastAsia"/>
        <w:lang w:val="en-US" w:eastAsia="zh-CN"/>
      </w:rPr>
      <w:t>1</w:t>
    </w:r>
  </w:p>
  <w:p w14:paraId="5BE8E475">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5508C">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3EC087">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53EC087">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234EA">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51EEC2">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151EEC2">
                    <w:pPr>
                      <w:pStyle w:val="11"/>
                    </w:pPr>
                    <w:r>
                      <w:fldChar w:fldCharType="begin"/>
                    </w:r>
                    <w:r>
                      <w:instrText xml:space="preserve"> PAGE  \* MERGEFORMAT </w:instrText>
                    </w:r>
                    <w:r>
                      <w:fldChar w:fldCharType="separate"/>
                    </w:r>
                    <w:r>
                      <w:t>- 2 -</w:t>
                    </w:r>
                    <w:r>
                      <w:fldChar w:fldCharType="end"/>
                    </w:r>
                  </w:p>
                </w:txbxContent>
              </v:textbox>
            </v:shape>
          </w:pict>
        </mc:Fallback>
      </mc:AlternateContent>
    </w:r>
    <w:r>
      <w:rPr>
        <w:rFonts w:hint="eastAsia"/>
        <w:lang w:val="en-US" w:eastAsia="zh-CN"/>
      </w:rPr>
      <w:t>1</w:t>
    </w:r>
  </w:p>
  <w:p w14:paraId="117A2115">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019BA2"/>
    <w:multiLevelType w:val="singleLevel"/>
    <w:tmpl w:val="BD019BA2"/>
    <w:lvl w:ilvl="0" w:tentative="0">
      <w:start w:val="1"/>
      <w:numFmt w:val="chineseCounting"/>
      <w:suff w:val="nothing"/>
      <w:lvlText w:val="（%1）"/>
      <w:lvlJc w:val="left"/>
      <w:rPr>
        <w:rFonts w:hint="eastAsia"/>
      </w:rPr>
    </w:lvl>
  </w:abstractNum>
  <w:abstractNum w:abstractNumId="1">
    <w:nsid w:val="D7A63049"/>
    <w:multiLevelType w:val="singleLevel"/>
    <w:tmpl w:val="D7A63049"/>
    <w:lvl w:ilvl="0" w:tentative="0">
      <w:start w:val="5"/>
      <w:numFmt w:val="chineseCounting"/>
      <w:suff w:val="nothing"/>
      <w:lvlText w:val="%1、"/>
      <w:lvlJc w:val="left"/>
      <w:rPr>
        <w:rFonts w:hint="eastAsia"/>
      </w:rPr>
    </w:lvl>
  </w:abstractNum>
  <w:abstractNum w:abstractNumId="2">
    <w:nsid w:val="FE89EBF0"/>
    <w:multiLevelType w:val="singleLevel"/>
    <w:tmpl w:val="FE89EBF0"/>
    <w:lvl w:ilvl="0" w:tentative="0">
      <w:start w:val="1"/>
      <w:numFmt w:val="chineseCounting"/>
      <w:suff w:val="nothing"/>
      <w:lvlText w:val="%1、"/>
      <w:lvlJc w:val="left"/>
      <w:rPr>
        <w:rFonts w:hint="eastAsia"/>
      </w:rPr>
    </w:lvl>
  </w:abstractNum>
  <w:abstractNum w:abstractNumId="3">
    <w:nsid w:val="335B6335"/>
    <w:multiLevelType w:val="singleLevel"/>
    <w:tmpl w:val="335B6335"/>
    <w:lvl w:ilvl="0" w:tentative="0">
      <w:start w:val="2"/>
      <w:numFmt w:val="chineseCounting"/>
      <w:suff w:val="nothing"/>
      <w:lvlText w:val="（%1）"/>
      <w:lvlJc w:val="left"/>
      <w:rPr>
        <w:rFonts w:hint="eastAsia"/>
      </w:rPr>
    </w:lvl>
  </w:abstractNum>
  <w:abstractNum w:abstractNumId="4">
    <w:nsid w:val="6E1560A7"/>
    <w:multiLevelType w:val="singleLevel"/>
    <w:tmpl w:val="6E1560A7"/>
    <w:lvl w:ilvl="0" w:tentative="0">
      <w:start w:val="2"/>
      <w:numFmt w:val="chineseCounting"/>
      <w:suff w:val="nothing"/>
      <w:lvlText w:val="（%1）"/>
      <w:lvlJc w:val="left"/>
      <w:rPr>
        <w:rFonts w:hint="eastAsia"/>
      </w:rPr>
    </w:lvl>
  </w:abstractNum>
  <w:abstractNum w:abstractNumId="5">
    <w:nsid w:val="71667971"/>
    <w:multiLevelType w:val="singleLevel"/>
    <w:tmpl w:val="71667971"/>
    <w:lvl w:ilvl="0" w:tentative="0">
      <w:start w:val="7"/>
      <w:numFmt w:val="decimal"/>
      <w:lvlText w:val="%1."/>
      <w:lvlJc w:val="left"/>
      <w:pPr>
        <w:tabs>
          <w:tab w:val="left" w:pos="312"/>
        </w:tabs>
      </w:p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blaitj">
    <w15:presenceInfo w15:providerId="None" w15:userId="eblait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4YzAwMWMxODU1NjNkMzk2ODBlZmM1ZjY1ZmFhODEifQ=="/>
  </w:docVars>
  <w:rsids>
    <w:rsidRoot w:val="0E427E0B"/>
    <w:rsid w:val="00BA3803"/>
    <w:rsid w:val="071F2612"/>
    <w:rsid w:val="08332835"/>
    <w:rsid w:val="086E311A"/>
    <w:rsid w:val="0E427E0B"/>
    <w:rsid w:val="0E72571D"/>
    <w:rsid w:val="0EF40828"/>
    <w:rsid w:val="135A334F"/>
    <w:rsid w:val="13FB7F63"/>
    <w:rsid w:val="14E76E65"/>
    <w:rsid w:val="163836F0"/>
    <w:rsid w:val="16AF5960"/>
    <w:rsid w:val="16CD7CF0"/>
    <w:rsid w:val="21DA787B"/>
    <w:rsid w:val="23CE7442"/>
    <w:rsid w:val="280D678A"/>
    <w:rsid w:val="286F2FA1"/>
    <w:rsid w:val="2AB92391"/>
    <w:rsid w:val="30F944A5"/>
    <w:rsid w:val="33775400"/>
    <w:rsid w:val="339C09C3"/>
    <w:rsid w:val="39014967"/>
    <w:rsid w:val="41B40CCE"/>
    <w:rsid w:val="42CD6DEA"/>
    <w:rsid w:val="44EE5A81"/>
    <w:rsid w:val="49127851"/>
    <w:rsid w:val="49D905E3"/>
    <w:rsid w:val="4EFE20DA"/>
    <w:rsid w:val="51746DF3"/>
    <w:rsid w:val="523A167B"/>
    <w:rsid w:val="52B15DE1"/>
    <w:rsid w:val="531232B6"/>
    <w:rsid w:val="532212E9"/>
    <w:rsid w:val="53BD07B5"/>
    <w:rsid w:val="55A7262F"/>
    <w:rsid w:val="57F05A0E"/>
    <w:rsid w:val="58150BC0"/>
    <w:rsid w:val="58CC704B"/>
    <w:rsid w:val="5AEE394A"/>
    <w:rsid w:val="60AA3E6F"/>
    <w:rsid w:val="617E39AC"/>
    <w:rsid w:val="631F56D1"/>
    <w:rsid w:val="637F5A87"/>
    <w:rsid w:val="65A11CE5"/>
    <w:rsid w:val="687A4A6F"/>
    <w:rsid w:val="6B930322"/>
    <w:rsid w:val="6B945E48"/>
    <w:rsid w:val="6C496C32"/>
    <w:rsid w:val="70745C8D"/>
    <w:rsid w:val="72C963D7"/>
    <w:rsid w:val="759C4277"/>
    <w:rsid w:val="7B30793B"/>
    <w:rsid w:val="7E4F049B"/>
    <w:rsid w:val="7F673200"/>
    <w:rsid w:val="7F747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widowControl w:val="0"/>
      <w:spacing w:before="240" w:after="60"/>
      <w:jc w:val="center"/>
      <w:outlineLvl w:val="0"/>
    </w:pPr>
    <w:rPr>
      <w:rFonts w:hint="default" w:ascii="Cambria" w:hAnsi="Cambria" w:cs="Times New Roman"/>
      <w:b/>
      <w:kern w:val="2"/>
      <w:sz w:val="32"/>
      <w:szCs w:val="32"/>
    </w:rPr>
  </w:style>
  <w:style w:type="paragraph" w:styleId="6">
    <w:name w:val="Normal Indent"/>
    <w:basedOn w:val="1"/>
    <w:next w:val="1"/>
    <w:qFormat/>
    <w:uiPriority w:val="0"/>
    <w:pPr>
      <w:ind w:firstLine="200" w:firstLineChars="200"/>
    </w:pPr>
  </w:style>
  <w:style w:type="paragraph" w:styleId="7">
    <w:name w:val="annotation text"/>
    <w:basedOn w:val="1"/>
    <w:qFormat/>
    <w:uiPriority w:val="0"/>
    <w:pPr>
      <w:jc w:val="left"/>
    </w:pPr>
  </w:style>
  <w:style w:type="paragraph" w:styleId="8">
    <w:name w:val="Body Text"/>
    <w:basedOn w:val="1"/>
    <w:qFormat/>
    <w:uiPriority w:val="99"/>
    <w:pPr>
      <w:spacing w:beforeLines="30"/>
    </w:pPr>
    <w:rPr>
      <w:rFonts w:ascii="仿宋_GB2312" w:eastAsia="仿宋_GB2312"/>
      <w:kern w:val="0"/>
      <w:sz w:val="30"/>
    </w:rPr>
  </w:style>
  <w:style w:type="paragraph" w:styleId="9">
    <w:name w:val="Body Text Indent"/>
    <w:basedOn w:val="1"/>
    <w:next w:val="10"/>
    <w:qFormat/>
    <w:uiPriority w:val="0"/>
    <w:pPr>
      <w:spacing w:after="120"/>
      <w:ind w:leftChars="200"/>
    </w:pPr>
    <w:rPr>
      <w:rFonts w:ascii="仿宋_GB2312"/>
      <w:szCs w:val="32"/>
    </w:rPr>
  </w:style>
  <w:style w:type="paragraph" w:styleId="10">
    <w:name w:val="Body Text First Indent 2"/>
    <w:basedOn w:val="9"/>
    <w:unhideWhenUsed/>
    <w:qFormat/>
    <w:uiPriority w:val="99"/>
    <w:pPr>
      <w:ind w:firstLine="420" w:firstLineChars="200"/>
    </w:pPr>
  </w:style>
  <w:style w:type="paragraph" w:styleId="11">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pPr>
      <w:keepNext w:val="0"/>
      <w:keepLines w:val="0"/>
      <w:widowControl w:val="0"/>
      <w:suppressLineNumbers w:val="0"/>
      <w:spacing w:before="100" w:beforeAutospacing="1" w:after="100" w:afterAutospacing="1"/>
      <w:ind w:left="0" w:right="0"/>
      <w:jc w:val="left"/>
    </w:pPr>
    <w:rPr>
      <w:rFonts w:hint="default" w:ascii="Times New Roman" w:hAnsi="Times New Roman" w:eastAsia="宋体" w:cs="Times New Roman"/>
      <w:kern w:val="0"/>
      <w:sz w:val="24"/>
      <w:szCs w:val="24"/>
      <w:lang w:val="en-US" w:eastAsia="zh-CN" w:bidi="ar"/>
    </w:rPr>
  </w:style>
  <w:style w:type="character" w:styleId="18">
    <w:name w:val="Emphasis"/>
    <w:basedOn w:val="17"/>
    <w:qFormat/>
    <w:uiPriority w:val="20"/>
    <w:rPr>
      <w:i/>
    </w:rPr>
  </w:style>
  <w:style w:type="character" w:customStyle="1" w:styleId="19">
    <w:name w:val="标题 1 Char"/>
    <w:basedOn w:val="17"/>
    <w:link w:val="3"/>
    <w:qFormat/>
    <w:uiPriority w:val="9"/>
    <w:rPr>
      <w:b/>
      <w:bCs/>
      <w:kern w:val="44"/>
      <w:sz w:val="44"/>
      <w:szCs w:val="44"/>
    </w:rPr>
  </w:style>
  <w:style w:type="character" w:customStyle="1" w:styleId="20">
    <w:name w:val="标题 2 Char"/>
    <w:basedOn w:val="17"/>
    <w:link w:val="4"/>
    <w:qFormat/>
    <w:uiPriority w:val="9"/>
    <w:rPr>
      <w:rFonts w:asciiTheme="majorHAnsi" w:hAnsiTheme="majorHAnsi" w:eastAsiaTheme="majorEastAsia" w:cstheme="majorBidi"/>
      <w:b/>
      <w:bCs/>
      <w:sz w:val="32"/>
      <w:szCs w:val="32"/>
    </w:rPr>
  </w:style>
  <w:style w:type="paragraph" w:styleId="21">
    <w:name w:val="List Paragraph"/>
    <w:basedOn w:val="1"/>
    <w:qFormat/>
    <w:uiPriority w:val="34"/>
    <w:pPr>
      <w:ind w:firstLine="420" w:firstLineChars="200"/>
    </w:p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3">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24">
    <w:name w:val="font21"/>
    <w:basedOn w:val="17"/>
    <w:qFormat/>
    <w:uiPriority w:val="0"/>
    <w:rPr>
      <w:rFonts w:ascii="宋体" w:hAnsi="宋体" w:eastAsia="宋体" w:cs="宋体"/>
      <w:color w:val="000000"/>
      <w:sz w:val="18"/>
      <w:szCs w:val="18"/>
      <w:u w:val="none"/>
    </w:rPr>
  </w:style>
  <w:style w:type="character" w:customStyle="1" w:styleId="25">
    <w:name w:val="font61"/>
    <w:basedOn w:val="17"/>
    <w:qFormat/>
    <w:uiPriority w:val="0"/>
    <w:rPr>
      <w:rFonts w:hint="eastAsia" w:ascii="宋体" w:hAnsi="宋体" w:eastAsia="宋体" w:cs="宋体"/>
      <w:color w:val="000000"/>
      <w:sz w:val="20"/>
      <w:szCs w:val="20"/>
      <w:u w:val="none"/>
    </w:rPr>
  </w:style>
  <w:style w:type="character" w:customStyle="1" w:styleId="26">
    <w:name w:val="font71"/>
    <w:basedOn w:val="17"/>
    <w:qFormat/>
    <w:uiPriority w:val="0"/>
    <w:rPr>
      <w:rFonts w:ascii="Helvetica" w:hAnsi="Helvetica" w:eastAsia="Helvetica" w:cs="Helvetica"/>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ec9152b6-0a2f-4f3a-9191-f6c737ec8ffd</errorID>
      <errorWord>马克思列宁主义.毛泽东思想.邓小平理论</errorWord>
      <group>L1_Political</group>
      <groupName>政治性问题</groupName>
      <ability>L2_Keyword</ability>
      <abilityName>固定表述</abilityName>
      <candidateList>
        <item>马克思列宁主义、毛泽东思想、邓小平理论</item>
      </candidateList>
      <explain>注意检查当前固定表述标点是否使用规范。</explain>
      <paraID>23B66AD0</paraID>
      <start>94</start>
      <end>113</end>
      <status>modified</status>
      <modifiedWord>马克思列宁主义、毛泽东思想、邓小平理论</modifiedWord>
      <trackRevisions>false</trackRevisions>
    </reviewItem>
    <reviewItem>
      <errorID>d7c27978-3b67-42f9-921f-2c0f8a1921da</errorID>
      <errorWord>保障党员的权利</errorWord>
      <group>L1_Political</group>
      <groupName>政治性问题</groupName>
      <ability>L2_Keyword</ability>
      <abilityName>固定表述</abilityName>
      <candidateList>
        <item>保障党员权利</item>
      </candidateList>
      <explain>词汇“保障党员权利”在特定场景下为固定表述形式，请确认此处的“保障党员的权利”是否存在不当。</explain>
      <paraID>23B66AD0</paraID>
      <start>158</start>
      <end>164</end>
      <status>modified</status>
      <modifiedWord>保障党员权利</modifiedWord>
      <trackRevisions>false</trackRevisions>
    </reviewItem>
    <reviewItem>
      <errorID>b92ce456-4a33-4061-a391-cf94511e84ff</errorID>
      <errorWord>组</errorWord>
      <group>L1_Word</group>
      <groupName>字词问题</groupName>
      <ability>L2_Typo</ability>
      <abilityName>字词错误</abilityName>
      <candidateList>
        <item>组织</item>
      </candidateList>
      <explain>❶〈动〉安排分散的人或事物使具有一定的系统性或整体性：～人力｜～联欢晚会｜这篇文章～得很好。❷〈名〉系统；配合关系：～严密｜～松散。❸〈名〉纺织品经纬纱线的结构：平纹～｜斜纹～｜缎纹～。❹〈名〉机体中构成器官的单位，是由许多形态和功能相同的细胞按一定的方式结合而成的。人和高等动物体内有上皮组织、结缔组织、肌组织和神经组织。❺〈名〉按照一定的宗旨和系统建立起来的集体：党团～｜工会～｜向～汇报工作。</explain>
      <paraID>23B66AD0</paraID>
      <start>296</start>
      <end>298</end>
      <status>modified</status>
      <modifiedWord>组织</modifiedWord>
      <trackRevisions>false</trackRevisions>
    </reviewItem>
    <reviewItem>
      <errorID>bf9e690b-8481-4c3c-acb3-5146030ee1d2</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23B66AD0</paraID>
      <start>318</start>
      <end>321</end>
      <status>ignored</status>
      <modifiedWord/>
      <trackRevisions>false</trackRevisions>
    </reviewItem>
    <reviewItem>
      <errorID>fafcb1ee-376e-4b1b-8f9d-af15af831bc5</errorID>
      <errorWord>农村基本经济制度</errorWord>
      <group>L1_Political</group>
      <groupName>政治性问题</groupName>
      <ability>L2_Keyword</ability>
      <abilityName>固定表述</abilityName>
      <candidateList>
        <item>农村基本经营制度</item>
      </candidateList>
      <explain>词汇“农村基本经营制度”在特定场景下为固定表述形式，请确认此处的“农村基本经济制度”是否存在不当。</explain>
      <paraID>67367631</paraID>
      <start>34</start>
      <end>42</end>
      <status>ignored</status>
      <modifiedWord/>
      <trackRevisions>false</trackRevisions>
    </reviewItem>
    <reviewItem>
      <errorID>2c8b7429-c4bb-418f-8df8-73146ddbd662</errorID>
      <errorWord>立党为公，执政为民</errorWord>
      <group>L1_Political</group>
      <groupName>政治性问题</groupName>
      <ability>L2_Keyword</ability>
      <abilityName>固定表述</abilityName>
      <candidateList>
        <item>立党为公、执政为民</item>
      </candidateList>
      <explain>注意检查当前固定表述标点是否使用规范。</explain>
      <paraID>67367631</paraID>
      <start>210</start>
      <end>219</end>
      <status>modified</status>
      <modifiedWord>立党为公、执政为民</modifiedWord>
      <trackRevisions>false</trackRevisions>
    </reviewItem>
    <reviewItem>
      <errorID>2b95a7ad-299b-427e-82a0-2b88b6b07d83</errorID>
      <errorWord>党委.政府</errorWord>
      <group>L1_Political</group>
      <groupName>政治性问题</groupName>
      <ability>L2_Keyword</ability>
      <abilityName>固定表述</abilityName>
      <candidateList>
        <item>党委、政府</item>
      </candidateList>
      <explain>注意检查当前固定表述标点是否使用规范。</explain>
      <paraID>67367631</paraID>
      <start>578</start>
      <end>583</end>
      <status>modified</status>
      <modifiedWord>党委、政府</modifiedWord>
      <trackRevisions>false</trackRevisions>
    </reviewItem>
    <reviewItem>
      <errorID>dc3d4937-210c-4987-9181-d3c30e2277b9</errorID>
      <errorWord>.</errorWord>
      <group>L1_Format</group>
      <groupName>格式问题</groupName>
      <ability>L2_HalfPunc</ability>
      <abilityName>全半角检查</abilityName>
      <candidateList>
        <item>。</item>
      </candidateList>
      <explain>文本全半角错误。</explain>
      <paraID>3A4C8A19</paraID>
      <start>58</start>
      <end>59</end>
      <status>ignored</status>
      <modifiedWord/>
      <trackRevisions>false</trackRevisions>
    </reviewItem>
    <reviewItem>
      <errorID>3497a725-68e4-4890-9708-90cfb7619797</errorID>
      <errorWord>.</errorWord>
      <group>L1_Format</group>
      <groupName>格式问题</groupName>
      <ability>L2_HalfPunc</ability>
      <abilityName>全半角检查</abilityName>
      <candidateList>
        <item>。</item>
      </candidateList>
      <explain>文本全半角错误。</explain>
      <paraID>3A4C8A19</paraID>
      <start>65</start>
      <end>66</end>
      <status>ignored</status>
      <modifiedWord/>
      <trackRevisions>false</trackRevisions>
    </reviewItem>
    <reviewItem>
      <errorID>47353ae4-685f-4e33-87e7-e4beed8a035b</errorID>
      <errorWord>.</errorWord>
      <group>L1_Format</group>
      <groupName>格式问题</groupName>
      <ability>L2_HalfPunc</ability>
      <abilityName>全半角检查</abilityName>
      <candidateList>
        <item>。</item>
      </candidateList>
      <explain>文本全半角错误。</explain>
      <paraID>3A4C8A19</paraID>
      <start>68</start>
      <end>69</end>
      <status>ignored</status>
      <modifiedWord/>
      <trackRevisions>false</trackRevisions>
    </reviewItem>
    <reviewItem>
      <errorID>a0254dd8-60f8-4b3f-8509-572d4063b0f2</errorID>
      <errorWord>.</errorWord>
      <group>L1_Format</group>
      <groupName>格式问题</groupName>
      <ability>L2_HalfPunc</ability>
      <abilityName>全半角检查</abilityName>
      <candidateList>
        <item>。</item>
      </candidateList>
      <explain>文本全半角错误。</explain>
      <paraID>3A4C8A19</paraID>
      <start>81</start>
      <end>82</end>
      <status>ignored</status>
      <modifiedWord/>
      <trackRevisions>false</trackRevisions>
    </reviewItem>
    <reviewItem>
      <errorID>7383e610-74ee-46f3-a93e-bca845e6b280</errorID>
      <errorWord>.</errorWord>
      <group>L1_Format</group>
      <groupName>格式问题</groupName>
      <ability>L2_HalfPunc</ability>
      <abilityName>全半角检查</abilityName>
      <candidateList>
        <item>。</item>
      </candidateList>
      <explain>文本全半角错误。</explain>
      <paraID>3A4C8A19</paraID>
      <start>94</start>
      <end>95</end>
      <status>ignored</status>
      <modifiedWord/>
      <trackRevisions>false</trackRevisions>
    </reviewItem>
    <reviewItem>
      <errorID>2e8fef55-db46-44f8-898b-cb49b37bcff3</errorID>
      <errorWord>放治</errorWord>
      <group>L1_Word</group>
      <groupName>字词问题</groupName>
      <ability>L2_Typo</ability>
      <abilityName>字词错误</abilityName>
      <candidateList>
        <item>防治</item>
      </candidateList>
      <explain>〈动〉预防和治疗、治理（疾病、灾害等）：～结核病｜～病虫害｜～风沙。</explain>
      <paraID>3A4C8A19</paraID>
      <start>97</start>
      <end>99</end>
      <status>modified</status>
      <modifiedWord>防治</modifiedWord>
      <trackRevisions>false</trackRevisions>
    </reviewItem>
    <reviewItem>
      <errorID>2a6d8306-5acd-4fe3-ac1e-e24a824c572f</errorID>
      <errorWord>.</errorWord>
      <group>L1_Format</group>
      <groupName>格式问题</groupName>
      <ability>L2_HalfPunc</ability>
      <abilityName>全半角检查</abilityName>
      <candidateList>
        <item>。</item>
      </candidateList>
      <explain>文本全半角错误。</explain>
      <paraID>3A4C8A19</paraID>
      <start>127</start>
      <end>128</end>
      <status>ignored</status>
      <modifiedWord/>
      <trackRevisions>false</trackRevisions>
    </reviewItem>
    <reviewItem>
      <errorID>91740eb9-12d4-42ea-90cc-f86839c74525</errorID>
      <errorWord>.</errorWord>
      <group>L1_Format</group>
      <groupName>格式问题</groupName>
      <ability>L2_HalfPunc</ability>
      <abilityName>全半角检查</abilityName>
      <candidateList>
        <item>。</item>
      </candidateList>
      <explain>文本全半角错误。</explain>
      <paraID>3A4C8A19</paraID>
      <start>141</start>
      <end>142</end>
      <status>ignored</status>
      <modifiedWord/>
      <trackRevisions>false</trackRevisions>
    </reviewItem>
    <reviewItem>
      <errorID>639fb9c4-853c-414d-81b1-529e4c4d771a</errorID>
      <errorWord>.</errorWord>
      <group>L1_Format</group>
      <groupName>格式问题</groupName>
      <ability>L2_HalfPunc</ability>
      <abilityName>全半角检查</abilityName>
      <candidateList>
        <item>。</item>
      </candidateList>
      <explain>文本全半角错误。</explain>
      <paraID>3A4C8A19</paraID>
      <start>146</start>
      <end>147</end>
      <status>ignored</status>
      <modifiedWord/>
      <trackRevisions>false</trackRevisions>
    </reviewItem>
    <reviewItem>
      <errorID>3e5ac894-5847-4b6b-8321-d0e88ebea290</errorID>
      <errorWord>.</errorWord>
      <group>L1_Format</group>
      <groupName>格式问题</groupName>
      <ability>L2_HalfPunc</ability>
      <abilityName>全半角检查</abilityName>
      <candidateList>
        <item>。</item>
      </candidateList>
      <explain>文本全半角错误。</explain>
      <paraID>3A4C8A19</paraID>
      <start>236</start>
      <end>237</end>
      <status>ignored</status>
      <modifiedWord/>
      <trackRevisions>false</trackRevisions>
    </reviewItem>
    <reviewItem>
      <errorID>1e41ab96-a07e-495b-851a-5eb56f325bc8</errorID>
      <errorWord>.</errorWord>
      <group>L1_Format</group>
      <groupName>格式问题</groupName>
      <ability>L2_HalfPunc</ability>
      <abilityName>全半角检查</abilityName>
      <candidateList>
        <item>。</item>
      </candidateList>
      <explain>文本全半角错误。</explain>
      <paraID>3A4C8A19</paraID>
      <start>251</start>
      <end>252</end>
      <status>ignored</status>
      <modifiedWord/>
      <trackRevisions>false</trackRevisions>
    </reviewItem>
    <reviewItem>
      <errorID>9becc43d-2d5e-451f-8ad4-4d399f8e4df9</errorID>
      <errorWord>.</errorWord>
      <group>L1_Format</group>
      <groupName>格式问题</groupName>
      <ability>L2_HalfPunc</ability>
      <abilityName>全半角检查</abilityName>
      <candidateList>
        <item>。</item>
      </candidateList>
      <explain>文本全半角错误。</explain>
      <paraID>3A4C8A19</paraID>
      <start>261</start>
      <end>262</end>
      <status>ignored</status>
      <modifiedWord/>
      <trackRevisions>false</trackRevisions>
    </reviewItem>
    <reviewItem>
      <errorID>da17a5f1-8ae8-4763-b0ab-9f24dcb3dc23</errorID>
      <errorWord>.</errorWord>
      <group>L1_Format</group>
      <groupName>格式问题</groupName>
      <ability>L2_HalfPunc</ability>
      <abilityName>全半角检查</abilityName>
      <candidateList>
        <item>。</item>
      </candidateList>
      <explain>文本全半角错误。</explain>
      <paraID>3A4C8A19</paraID>
      <start>268</start>
      <end>269</end>
      <status>ignored</status>
      <modifiedWord/>
      <trackRevisions>false</trackRevisions>
    </reviewItem>
    <reviewItem>
      <errorID>70f25d90-f357-4619-8559-3678fb4acddd</errorID>
      <errorWord>.</errorWord>
      <group>L1_Word</group>
      <groupName>字词问题</groupName>
      <ability>L2_Typo</ability>
      <abilityName>字词错误</abilityName>
      <candidateList>
        <item>.以</item>
      </candidateList>
      <explain/>
      <paraID>3A4C8A19</paraID>
      <start>282</start>
      <end>284</end>
      <status>modified</status>
      <modifiedWord>.以</modifiedWord>
      <trackRevisions>false</trackRevisions>
    </reviewItem>
    <reviewItem>
      <errorID>ea01257a-0406-4b17-ad30-c48d7f8544d2</errorID>
      <errorWord>.</errorWord>
      <group>L1_Format</group>
      <groupName>格式问题</groupName>
      <ability>L2_HalfPunc</ability>
      <abilityName>全半角检查</abilityName>
      <candidateList>
        <item>。</item>
      </candidateList>
      <explain>文本全半角错误。</explain>
      <paraID>3A4C8A19</paraID>
      <start>333</start>
      <end>334</end>
      <status>ignored</status>
      <modifiedWord/>
      <trackRevisions>false</trackRevisions>
    </reviewItem>
    <reviewItem>
      <errorID>3ce49b10-24ff-4b0a-ae21-2f2e4889dc81</errorID>
      <errorWord>.</errorWord>
      <group>L1_Format</group>
      <groupName>格式问题</groupName>
      <ability>L2_HalfPunc</ability>
      <abilityName>全半角检查</abilityName>
      <candidateList>
        <item>。</item>
      </candidateList>
      <explain>文本全半角错误。</explain>
      <paraID>3A4C8A19</paraID>
      <start>336</start>
      <end>337</end>
      <status>ignored</status>
      <modifiedWord/>
      <trackRevisions>false</trackRevisions>
    </reviewItem>
    <reviewItem>
      <errorID>9e12bb2e-a84d-43bf-8eee-8bd212d6d8ef</errorID>
      <errorWord>巩固脱贫攻坚成果</errorWord>
      <group>L1_Word</group>
      <groupName>字词问题</groupName>
      <ability>L2_Typo</ability>
      <abilityName>字词错误</abilityName>
      <candidateList>
        <item>巩固拓展脱贫攻坚成果</item>
      </candidateList>
      <explain/>
      <paraID> 5770789</paraID>
      <start>10</start>
      <end>18</end>
      <status>ignored</status>
      <modifiedWord/>
      <trackRevisions>false</trackRevisions>
    </reviewItem>
    <reviewItem>
      <errorID>3492967b-5a07-460f-a94d-bd9a5cc61d82</errorID>
      <errorWord>巩固脱贫攻坚成果</errorWord>
      <group>L1_Word</group>
      <groupName>字词问题</groupName>
      <ability>L2_Typo</ability>
      <abilityName>字词错误</abilityName>
      <candidateList>
        <item>巩固拓展脱贫攻坚成果</item>
      </candidateList>
      <explain/>
      <paraID>4E477EB9</paraID>
      <start>10</start>
      <end>18</end>
      <status>ignored</status>
      <modifiedWord/>
      <trackRevisions>false</trackRevisions>
    </reviewItem>
    <reviewItem>
      <errorID>46253bb6-2fe4-4e6c-a2dc-8ac7b2bec0cb</errorID>
      <errorWord>巩固脱贫攻坚成果</errorWord>
      <group>L1_Word</group>
      <groupName>字词问题</groupName>
      <ability>L2_Typo</ability>
      <abilityName>字词错误</abilityName>
      <candidateList>
        <item>巩固拓展脱贫攻坚成果</item>
      </candidateList>
      <explain/>
      <paraID>4E477EB9</paraID>
      <start>29</start>
      <end>37</end>
      <status>ignored</status>
      <modifiedWord/>
      <trackRevisions>false</trackRevisions>
    </reviewItem>
    <reviewItem>
      <errorID>2a73c311-2388-46c4-8db4-f9b6f3f25dcb</errorID>
      <errorWord>(</errorWord>
      <group>L1_Format</group>
      <groupName>格式问题</groupName>
      <ability>L2_HalfPunc</ability>
      <abilityName>全半角检查</abilityName>
      <candidateList>
        <item>（</item>
      </candidateList>
      <explain>文本全半角错误。</explain>
      <paraID>109064D4</paraID>
      <start>19</start>
      <end>20</end>
      <status>modified</status>
      <modifiedWord>（</modifiedWord>
      <trackRevisions>false</trackRevisions>
    </reviewItem>
    <reviewItem>
      <errorID>b07a9a04-bca3-459a-bbf7-5ab50e3564ab</errorID>
      <errorWord>)</errorWord>
      <group>L1_Format</group>
      <groupName>格式问题</groupName>
      <ability>L2_HalfPunc</ability>
      <abilityName>全半角检查</abilityName>
      <candidateList>
        <item>）</item>
      </candidateList>
      <explain>文本全半角错误。</explain>
      <paraID>109064D4</paraID>
      <start>46</start>
      <end>47</end>
      <status>modified</status>
      <modifiedWord>）</modifiedWord>
      <trackRevisions>false</trackRevisions>
    </reviewItem>
    <reviewItem>
      <errorID>f59322f1-a586-4218-918f-145f97f1711c</errorID>
      <errorWord>主要是</errorWord>
      <group>L1_Word</group>
      <groupName>字词问题</groupName>
      <ability>L2_Typo</ability>
      <abilityName>字词错误</abilityName>
      <candidateList>
        <item>主要</item>
      </candidateList>
      <explain>〈形〉属性词。有关事物中最重要的；起决定作用的：～原因｜～目的｜～人物。</explain>
      <paraID>5E7A92F3</paraID>
      <start>77</start>
      <end>79</end>
      <status>modified</status>
      <modifiedWord>主要</modifiedWord>
      <trackRevisions>false</trackRevisions>
    </reviewItem>
    <reviewItem>
      <errorID>93fcaf26-1362-4594-957a-bc92ab5a7910</errorID>
      <errorWord>，</errorWord>
      <group>L1_Word</group>
      <groupName>字词问题</groupName>
      <ability>L2_Typo</ability>
      <abilityName>字词错误</abilityName>
      <candidateList>
        <item>，在</item>
      </candidateList>
      <explain/>
      <paraID>55C40B8F</paraID>
      <start>59</start>
      <end>61</end>
      <status>modified</status>
      <modifiedWord>，在</modifiedWord>
      <trackRevisions>false</trackRevisions>
    </reviewItem>
    <reviewItem>
      <errorID>e19857de-a67b-44ea-af52-e7e7b1e4a8ec</errorID>
      <errorWord>巩固脱贫攻坚成果</errorWord>
      <group>L1_Word</group>
      <groupName>字词问题</groupName>
      <ability>L2_Typo</ability>
      <abilityName>字词错误</abilityName>
      <candidateList>
        <item>巩固拓展脱贫攻坚成果</item>
      </candidateList>
      <explain/>
      <paraID> 59CEADA</paraID>
      <start>11</start>
      <end>19</end>
      <status>ignored</status>
      <modifiedWord/>
      <trackRevisions>false</trackRevisions>
    </reviewItem>
    <reviewItem>
      <errorID>7ba3c752-906c-4b55-865d-6039d95eedc1</errorID>
      <errorWord>巩固脱贫攻坚成果</errorWord>
      <group>L1_Word</group>
      <groupName>字词问题</groupName>
      <ability>L2_Typo</ability>
      <abilityName>字词错误</abilityName>
      <candidateList>
        <item>巩固拓展脱贫攻坚成果</item>
      </candidateList>
      <explain/>
      <paraID>4F85F2F4</paraID>
      <start>11</start>
      <end>19</end>
      <status>ignored</status>
      <modifiedWord/>
      <trackRevisions>false</trackRevisions>
    </reviewItem>
    <reviewItem>
      <errorID>1b417da6-86ef-48b4-ae2a-94910467654a</errorID>
      <errorWord>巩固脱贫攻坚成果</errorWord>
      <group>L1_Word</group>
      <groupName>字词问题</groupName>
      <ability>L2_Typo</ability>
      <abilityName>字词错误</abilityName>
      <candidateList>
        <item>巩固拓展脱贫攻坚成果</item>
      </candidateList>
      <explain/>
      <paraID>4F85F2F4</paraID>
      <start>30</start>
      <end>38</end>
      <status>ignored</status>
      <modifiedWord/>
      <trackRevisions>false</trackRevisions>
    </reviewItem>
    <reviewItem>
      <errorID>e60f00d7-de37-4f34-a6f8-4446b43bc6e4</errorID>
      <errorWord>培养和弘扬社会主义核心价值观</errorWord>
      <group>L1_Political</group>
      <groupName>政治性问题</groupName>
      <ability>L2_Keyword</ability>
      <abilityName>固定表述</abilityName>
      <candidateList>
        <item>培育和弘扬社会主义核心价值观</item>
      </candidateList>
      <explain>词汇“培育和弘扬社会主义核心价值观”在特定场景下为固定表述形式，请确认此处的“培养和弘扬社会主义核心价值观”是否存在不当。</explain>
      <paraID>3D2E9259</paraID>
      <start>22</start>
      <end>36</end>
      <status>modified</status>
      <modifiedWord>培育和弘扬社会主义核心价值观</modifiedWord>
      <trackRevisions>false</trackRevisions>
    </reviewItem>
    <reviewItem>
      <errorID>4eee88f3-1c7d-4878-9a0e-4cac61c219ab</errorID>
      <errorWord>强</errorWord>
      <group>L1_Word</group>
      <groupName>字词问题</groupName>
      <ability>L2_Typo</ability>
      <abilityName>字词错误</abilityName>
      <candidateList>
        <item>强对</item>
      </candidateList>
      <explain/>
      <paraID>2BAF5A05</paraID>
      <start>32</start>
      <end>34</end>
      <status>modified</status>
      <modifiedWord>强对</modifiedWord>
      <trackRevisions>false</trackRevisions>
    </reviewItem>
    <reviewItem>
      <errorID>e683d98f-7ccf-4554-9168-e78099e925c8</errorID>
      <errorWord>三会一课</errorWord>
      <group>L1_Political</group>
      <groupName>政治性问题</groupName>
      <ability>L2_Keyword</ability>
      <abilityName>固定表述</abilityName>
      <candidateList>
        <item>“三会一课”</item>
      </candidateList>
      <explain>注意检查当前固定表述标点是否使用规范。</explain>
      <paraID> DB2EC91</paraID>
      <start>54</start>
      <end>60</end>
      <status>modified</status>
      <modifiedWord>“三会一课”</modifiedWord>
      <trackRevisions>false</trackRevisions>
    </reviewItem>
    <reviewItem>
      <errorID>b10e61c4-eccc-42b6-9449-6549ac5a7fcb</errorID>
      <errorWord>、等</errorWord>
      <group>L1_Punc</group>
      <groupName>标点问题</groupName>
      <ability>L2_Punc</ability>
      <abilityName>标点符号检查</abilityName>
      <candidateList>
        <item>等</item>
      </candidateList>
      <explain>“及”“和”“等”连词前不宜使用顿号，建议删除（或使用逗号）。</explain>
      <paraID> DB2EC91</paraID>
      <start>71</start>
      <end>72</end>
      <status>modified</status>
      <modifiedWord>等</modifiedWord>
      <trackRevisions>false</trackRevisions>
    </reviewItem>
    <reviewItem>
      <errorID>a316c6b8-40b2-4df6-80c5-cfd6f5ab8962</errorID>
      <errorWord>保障维</errorWord>
      <group>L1_Word</group>
      <groupName>字词问题</groupName>
      <ability>L2_Typo</ability>
      <abilityName>字词错误</abilityName>
      <candidateList>
        <item>保障</item>
      </candidateList>
      <explain/>
      <paraID>4A32639A</paraID>
      <start>45</start>
      <end>47</end>
      <status>modified</status>
      <modifiedWord>保障</modifiedWord>
      <trackRevisions>false</trackRevisions>
    </reviewItem>
    <reviewItem>
      <errorID>78491cdb-fbd0-4796-814b-f9ce798cb53e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3F0BA581</paraID>
      <start>31</start>
      <end>39</end>
      <status>ignored</status>
      <modifiedWord/>
      <trackRevisions>false</trackRevisions>
    </reviewItem>
    <reviewItem>
      <errorID>8f3a4351-f21d-46b5-94e9-cca5ec2522f6</errorID>
      <errorWord>。.</errorWord>
      <group>L1_Punc</group>
      <groupName>标点问题</groupName>
      <ability>L2_Punc</ability>
      <abilityName>标点符号检查</abilityName>
      <candidateList>
        <item>。</item>
      </candidateList>
      <explain/>
      <paraID>5F5337CE</paraID>
      <start>15</start>
      <end>16</end>
      <status>modified</status>
      <modifiedWord>。</modifiedWord>
      <trackRevisions>false</trackRevisions>
    </reviewItem>
    <reviewItem>
      <errorID>4d3d6a65-a2ff-44da-9181-abd4d875c558</errorID>
      <errorWord>使用</errorWord>
      <group>L1_Word</group>
      <groupName>字词问题</groupName>
      <ability>L2_Typo</ability>
      <abilityName>字词错误</abilityName>
      <candidateList>
        <item>采取</item>
      </candidateList>
      <explain>“使用～措施”搭配不当，建议修改为“采取～措施”。</explain>
      <paraID>738814AF</paraID>
      <start>56</start>
      <end>58</end>
      <status>ignored</status>
      <modifiedWord/>
      <trackRevisions>false</trackRevisions>
    </reviewItem>
    <reviewItem>
      <errorID>33173cfa-9e1b-49d1-ad86-d6cbe679106a</errorID>
      <errorWord>-</errorWord>
      <group>L1_Format</group>
      <groupName>格式问题</groupName>
      <ability>L2_HalfPunc</ability>
      <abilityName>全半角检查</abilityName>
      <candidateList>
        <item>－</item>
      </candidateList>
      <explain>文本全半角错误。</explain>
      <paraID>7398875C</paraID>
      <start>21</start>
      <end>22</end>
      <status>modified</status>
      <modifiedWord>－</modifiedWord>
      <trackRevisions>false</trackRevisions>
    </reviewItem>
    <reviewItem>
      <errorID>d67edbd1-6b0f-44a3-a475-e9951e0a125b</errorID>
      <errorWord>;</errorWord>
      <group>L1_Format</group>
      <groupName>格式问题</groupName>
      <ability>L2_HalfPunc</ability>
      <abilityName>全半角检查</abilityName>
      <candidateList>
        <item>；</item>
      </candidateList>
      <explain>文本全半角错误。</explain>
      <paraID>29D8E07B</paraID>
      <start>46</start>
      <end>47</end>
      <status>modified</status>
      <modifiedWord>；</modifiedWord>
      <trackRevisions>false</trackRevisions>
    </reviewItem>
    <reviewItem>
      <errorID>677120a8-d162-4354-b0e9-d0cc185e19f5</errorID>
      <errorWord>,</errorWord>
      <group>L1_Format</group>
      <groupName>格式问题</groupName>
      <ability>L2_HalfPunc</ability>
      <abilityName>全半角检查</abilityName>
      <candidateList>
        <item>，</item>
      </candidateList>
      <explain>文本全半角错误。</explain>
      <paraID>29D8E07B</paraID>
      <start>65</start>
      <end>66</end>
      <status>modified</status>
      <modifiedWord>，</modifiedWord>
      <trackRevisions>false</trackRevisions>
    </reviewItem>
    <reviewItem>
      <errorID>2743e3db-c2d6-4c7e-924e-21764aff6cc9</errorID>
      <errorWord>.</errorWord>
      <group>L1_Format</group>
      <groupName>格式问题</groupName>
      <ability>L2_HalfPunc</ability>
      <abilityName>全半角检查</abilityName>
      <candidateList>
        <item>。</item>
      </candidateList>
      <explain>文本全半角错误。</explain>
      <paraID>29D8E07B</paraID>
      <start>94</start>
      <end>95</end>
      <status>ignored</status>
      <modifiedWord/>
      <trackRevisions>false</trackRevisions>
    </reviewItem>
    <reviewItem>
      <errorID>babb54ed-479c-4670-9f54-f4cf810fe1fe</errorID>
      <errorWord>-</errorWord>
      <group>L1_Format</group>
      <groupName>格式问题</groupName>
      <ability>L2_HalfPunc</ability>
      <abilityName>全半角检查</abilityName>
      <candidateList>
        <item>－</item>
      </candidateList>
      <explain>文本全半角错误。</explain>
      <paraID>32AC5FA5</paraID>
      <start>21</start>
      <end>22</end>
      <status>modified</status>
      <modifiedWord>－</modifiedWord>
      <trackRevisions>false</trackRevisions>
    </reviewItem>
    <reviewItem>
      <errorID>f19c53e7-69e8-4fc9-9189-893963317e44</errorID>
      <errorWord>;</errorWord>
      <group>L1_Format</group>
      <groupName>格式问题</groupName>
      <ability>L2_HalfPunc</ability>
      <abilityName>全半角检查</abilityName>
      <candidateList>
        <item>；</item>
      </candidateList>
      <explain>文本全半角错误。</explain>
      <paraID>6AE0071C</paraID>
      <start>46</start>
      <end>47</end>
      <status>modified</status>
      <modifiedWord>；</modifiedWord>
      <trackRevisions>false</trackRevisions>
    </reviewItem>
    <reviewItem>
      <errorID>f7a741fb-7f9b-4859-a24b-651bcf1f3106</errorID>
      <errorWord>,</errorWord>
      <group>L1_Format</group>
      <groupName>格式问题</groupName>
      <ability>L2_HalfPunc</ability>
      <abilityName>全半角检查</abilityName>
      <candidateList>
        <item>，</item>
      </candidateList>
      <explain>文本全半角错误。</explain>
      <paraID>6AE0071C</paraID>
      <start>65</start>
      <end>66</end>
      <status>modified</status>
      <modifiedWord>，</modifiedWord>
      <trackRevisions>false</trackRevisions>
    </reviewItem>
    <reviewItem>
      <errorID>3f86c1f9-f787-4f68-ab2c-f3b4fa9107c3</errorID>
      <errorWord>.</errorWord>
      <group>L1_Format</group>
      <groupName>格式问题</groupName>
      <ability>L2_HalfPunc</ability>
      <abilityName>全半角检查</abilityName>
      <candidateList>
        <item>。</item>
      </candidateList>
      <explain>文本全半角错误。</explain>
      <paraID>6AE0071C</paraID>
      <start>94</start>
      <end>95</end>
      <status>ignored</status>
      <modifiedWord/>
      <trackRevisions>false</trackRevisions>
    </reviewItem>
    <reviewItem>
      <errorID>7f4ace4c-1287-4a66-acd6-6283ae393190</errorID>
      <errorWord>-</errorWord>
      <group>L1_Format</group>
      <groupName>格式问题</groupName>
      <ability>L2_HalfPunc</ability>
      <abilityName>全半角检查</abilityName>
      <candidateList>
        <item>－</item>
      </candidateList>
      <explain>文本全半角错误。</explain>
      <paraID>2B00DE45</paraID>
      <start>21</start>
      <end>22</end>
      <status>modified</status>
      <modifiedWord>－</modifiedWord>
      <trackRevisions>false</trackRevisions>
    </reviewItem>
    <reviewItem>
      <errorID>c312a35b-b513-4f18-9b63-8d0754c7d11a</errorID>
      <errorWord>;</errorWord>
      <group>L1_Format</group>
      <groupName>格式问题</groupName>
      <ability>L2_HalfPunc</ability>
      <abilityName>全半角检查</abilityName>
      <candidateList>
        <item>；</item>
      </candidateList>
      <explain>文本全半角错误。</explain>
      <paraID>3DB0F78C</paraID>
      <start>46</start>
      <end>47</end>
      <status>modified</status>
      <modifiedWord>；</modifiedWord>
      <trackRevisions>false</trackRevisions>
    </reviewItem>
    <reviewItem>
      <errorID>ef4c1b67-65b7-4f63-a51d-5f011a3cbb7c</errorID>
      <errorWord>,</errorWord>
      <group>L1_Format</group>
      <groupName>格式问题</groupName>
      <ability>L2_HalfPunc</ability>
      <abilityName>全半角检查</abilityName>
      <candidateList>
        <item>，</item>
      </candidateList>
      <explain>文本全半角错误。</explain>
      <paraID>3DB0F78C</paraID>
      <start>65</start>
      <end>66</end>
      <status>modified</status>
      <modifiedWord>，</modifiedWord>
      <trackRevisions>false</trackRevisions>
    </reviewItem>
    <reviewItem>
      <errorID>7e593631-7009-49a4-9dbd-19a4a3ee05d7</errorID>
      <errorWord>.</errorWord>
      <group>L1_Format</group>
      <groupName>格式问题</groupName>
      <ability>L2_HalfPunc</ability>
      <abilityName>全半角检查</abilityName>
      <candidateList>
        <item>。</item>
      </candidateList>
      <explain>文本全半角错误。</explain>
      <paraID>3DB0F78C</paraID>
      <start>94</start>
      <end>95</end>
      <status>ignored</status>
      <modifiedWord/>
      <trackRevisions>false</trackRevisions>
    </reviewItem>
    <reviewItem>
      <errorID>7793725d-fe8c-4a71-80b2-ff2097a58cad</errorID>
      <errorWord>-</errorWord>
      <group>L1_Format</group>
      <groupName>格式问题</groupName>
      <ability>L2_HalfPunc</ability>
      <abilityName>全半角检查</abilityName>
      <candidateList>
        <item>－</item>
      </candidateList>
      <explain>文本全半角错误。</explain>
      <paraID>32062374</paraID>
      <start>21</start>
      <end>22</end>
      <status>modified</status>
      <modifiedWord>－</modifiedWord>
      <trackRevisions>false</trackRevisions>
    </reviewItem>
    <reviewItem>
      <errorID>fb739a07-6800-4e25-ab52-c91fb9fcfff8</errorID>
      <errorWord>平台平台</errorWord>
      <group>L1_Word</group>
      <groupName>字词问题</groupName>
      <ability>L2_Typo</ability>
      <abilityName>字词错误</abilityName>
      <candidateList>
        <item>平台</item>
      </candidateList>
      <explain>〈名〉❶晒台。❷生产和施工过程中，为操作方便而设置的工作台，有的能移动和升降。❸指计算机硬件或软件的操作环境。❹泛指进行某项工作所需要的环境或条件：科技推广站为农民学习科学知识、获取市场信息提供了～。</explain>
      <paraID>32062374</paraID>
      <start>42</start>
      <end>44</end>
      <status>modified</status>
      <modifiedWord>平台</modifiedWord>
      <trackRevisions>false</trackRevisions>
    </reviewItem>
    <reviewItem>
      <errorID>457e024f-ec48-413b-b0c6-db9971ad9ab8</errorID>
      <errorWord>建筑檐高</errorWord>
      <group>L1_Knowledge</group>
      <groupName>知识性问题</groupName>
      <ability>L2_Term</ability>
      <abilityName>专业术语</abilityName>
      <candidateList>
        <item>建筑限高</item>
      </candidateList>
      <explain/>
      <paraID>6FFC004B</paraID>
      <start>27</start>
      <end>31</end>
      <status>modified</status>
      <modifiedWord>建筑限高</modifiedWord>
      <trackRevisions>false</trackRevisions>
    </reviewItem>
    <reviewItem>
      <errorID>80481389-48c8-4f6e-8fce-7443dbb3e1b9</errorID>
      <errorWord>物质</errorWord>
      <group>L1_Word</group>
      <groupName>字词问题</groupName>
      <ability>L2_Typo</ability>
      <abilityName>字词错误</abilityName>
      <candidateList>
        <item>物资</item>
      </candidateList>
      <explain/>
      <paraID>6FFC004B</paraID>
      <start>45</start>
      <end>47</end>
      <status>modified</status>
      <modifiedWord>物资</modifiedWord>
      <trackRevisions>false</trackRevisions>
    </reviewItem>
    <reviewItem>
      <errorID>d3cd2b1e-dfb7-4e2b-86b3-d97f352746b9</errorID>
      <errorWord>建筑檐高</errorWord>
      <group>L1_Knowledge</group>
      <groupName>知识性问题</groupName>
      <ability>L2_Term</ability>
      <abilityName>专业术语</abilityName>
      <candidateList>
        <item>建筑限高</item>
      </candidateList>
      <explain/>
      <paraID>14C34E14</paraID>
      <start>27</start>
      <end>31</end>
      <status>modified</status>
      <modifiedWord>建筑限高</modifiedWord>
      <trackRevisions>false</trackRevisions>
    </reviewItem>
    <reviewItem>
      <errorID>e2d49a05-a682-4b3b-86df-f96a7495bd34</errorID>
      <errorWord>物质</errorWord>
      <group>L1_Word</group>
      <groupName>字词问题</groupName>
      <ability>L2_Typo</ability>
      <abilityName>字词错误</abilityName>
      <candidateList>
        <item>物资</item>
      </candidateList>
      <explain/>
      <paraID>14C34E14</paraID>
      <start>45</start>
      <end>47</end>
      <status>modified</status>
      <modifiedWord>物资</modifiedWord>
      <trackRevisions>false</trackRevisions>
    </reviewItem>
    <reviewItem>
      <errorID>0548ddc8-045d-4468-8d58-e2d0756e223f</errorID>
      <errorWord>;</errorWord>
      <group>L1_Format</group>
      <groupName>格式问题</groupName>
      <ability>L2_HalfPunc</ability>
      <abilityName>全半角检查</abilityName>
      <candidateList>
        <item>；</item>
      </candidateList>
      <explain>文本全半角错误。</explain>
      <paraID>3745B692</paraID>
      <start>46</start>
      <end>47</end>
      <status>modified</status>
      <modifiedWord>；</modifiedWord>
      <trackRevisions>false</trackRevisions>
    </reviewItem>
    <reviewItem>
      <errorID>d0da6084-f4a8-4c40-971b-fc1c8865f640</errorID>
      <errorWord>,</errorWord>
      <group>L1_Format</group>
      <groupName>格式问题</groupName>
      <ability>L2_HalfPunc</ability>
      <abilityName>全半角检查</abilityName>
      <candidateList>
        <item>，</item>
      </candidateList>
      <explain>文本全半角错误。</explain>
      <paraID>3745B692</paraID>
      <start>65</start>
      <end>66</end>
      <status>modified</status>
      <modifiedWord>，</modifiedWord>
      <trackRevisions>false</trackRevisions>
    </reviewItem>
    <reviewItem>
      <errorID>db6d176c-a80c-41dd-bf31-1acd50715001</errorID>
      <errorWord>.</errorWord>
      <group>L1_Format</group>
      <groupName>格式问题</groupName>
      <ability>L2_HalfPunc</ability>
      <abilityName>全半角检查</abilityName>
      <candidateList>
        <item>。</item>
      </candidateList>
      <explain>文本全半角错误。</explain>
      <paraID>3745B692</paraID>
      <start>94</start>
      <end>95</end>
      <status>ignored</status>
      <modifiedWord/>
      <trackRevisions>false</trackRevisions>
    </reviewItem>
    <reviewItem>
      <errorID>2d29a86e-0bc3-41d3-87a9-5688be50942c</errorID>
      <errorWord>-</errorWord>
      <group>L1_Format</group>
      <groupName>格式问题</groupName>
      <ability>L2_HalfPunc</ability>
      <abilityName>全半角检查</abilityName>
      <candidateList>
        <item>－</item>
      </candidateList>
      <explain>文本全半角错误。</explain>
      <paraID>2F702B1D</paraID>
      <start>21</start>
      <end>22</end>
      <status>modified</status>
      <modifiedWord>－</modifiedWord>
      <trackRevisions>false</trackRevisions>
    </reviewItem>
    <reviewItem>
      <errorID>32865288-4d4b-4d41-aca5-8d721e86bd54</errorID>
      <errorWord>公益性墓建设</errorWord>
      <group>L1_Word</group>
      <groupName>字词问题</groupName>
      <ability>L2_Typo</ability>
      <abilityName>字词错误</abilityName>
      <candidateList>
        <item>公益性墓地建设</item>
      </candidateList>
      <explain/>
      <paraID>203FE398</paraID>
      <start>15</start>
      <end>22</end>
      <status>modified</status>
      <modifiedWord>公益性墓地建设</modifiedWord>
      <trackRevisions>false</trackRevisions>
    </reviewItem>
    <reviewItem>
      <errorID>32cb3357-7611-47fc-8d7b-cebf33ef2dc2</errorID>
      <errorWord>;</errorWord>
      <group>L1_Format</group>
      <groupName>格式问题</groupName>
      <ability>L2_HalfPunc</ability>
      <abilityName>全半角检查</abilityName>
      <candidateList>
        <item>；</item>
      </candidateList>
      <explain>文本全半角错误。</explain>
      <paraID>7A8DA763</paraID>
      <start>46</start>
      <end>47</end>
      <status>modified</status>
      <modifiedWord>；</modifiedWord>
      <trackRevisions>false</trackRevisions>
    </reviewItem>
    <reviewItem>
      <errorID>6c239114-25f9-4c4f-bbf3-05f31711c5b8</errorID>
      <errorWord>,</errorWord>
      <group>L1_Format</group>
      <groupName>格式问题</groupName>
      <ability>L2_HalfPunc</ability>
      <abilityName>全半角检查</abilityName>
      <candidateList>
        <item>，</item>
      </candidateList>
      <explain>文本全半角错误。</explain>
      <paraID>7A8DA763</paraID>
      <start>65</start>
      <end>66</end>
      <status>modified</status>
      <modifiedWord>，</modifiedWord>
      <trackRevisions>false</trackRevisions>
    </reviewItem>
    <reviewItem>
      <errorID>257162ec-534c-43ef-9daa-75e101f664eb</errorID>
      <errorWord>.</errorWord>
      <group>L1_Format</group>
      <groupName>格式问题</groupName>
      <ability>L2_HalfPunc</ability>
      <abilityName>全半角检查</abilityName>
      <candidateList>
        <item>。</item>
      </candidateList>
      <explain>文本全半角错误。</explain>
      <paraID>7A8DA763</paraID>
      <start>94</start>
      <end>95</end>
      <status>ignored</status>
      <modifiedWord/>
      <trackRevisions>false</trackRevisions>
    </reviewItem>
    <reviewItem>
      <errorID>809b1803-4487-40d1-b267-49abce8581f6</errorID>
      <errorWord>;</errorWord>
      <group>L1_Format</group>
      <groupName>格式问题</groupName>
      <ability>L2_HalfPunc</ability>
      <abilityName>全半角检查</abilityName>
      <candidateList>
        <item>；</item>
      </candidateList>
      <explain>文本全半角错误。</explain>
      <paraID>423DD063</paraID>
      <start>46</start>
      <end>47</end>
      <status>modified</status>
      <modifiedWord>；</modifiedWord>
      <trackRevisions>false</trackRevisions>
    </reviewItem>
    <reviewItem>
      <errorID>e1c984cb-67e5-4f84-b3cb-25df279a1eb5</errorID>
      <errorWord>,</errorWord>
      <group>L1_Format</group>
      <groupName>格式问题</groupName>
      <ability>L2_HalfPunc</ability>
      <abilityName>全半角检查</abilityName>
      <candidateList>
        <item>，</item>
      </candidateList>
      <explain>文本全半角错误。</explain>
      <paraID>423DD063</paraID>
      <start>65</start>
      <end>66</end>
      <status>modified</status>
      <modifiedWord>，</modifiedWord>
      <trackRevisions>false</trackRevisions>
    </reviewItem>
    <reviewItem>
      <errorID>8f030ab2-5c72-4bb7-aa10-548e89cdc16e</errorID>
      <errorWord>.</errorWord>
      <group>L1_Format</group>
      <groupName>格式问题</groupName>
      <ability>L2_HalfPunc</ability>
      <abilityName>全半角检查</abilityName>
      <candidateList>
        <item>。</item>
      </candidateList>
      <explain>文本全半角错误。</explain>
      <paraID>423DD063</paraID>
      <start>94</start>
      <end>95</end>
      <status>ignored</status>
      <modifiedWord/>
      <trackRevisions>false</trackRevisions>
    </reviewItem>
    <reviewItem>
      <errorID>0466c2ff-0d59-44bc-97d7-de0e2e2f11d4</errorID>
      <errorWord>-</errorWord>
      <group>L1_Format</group>
      <groupName>格式问题</groupName>
      <ability>L2_HalfPunc</ability>
      <abilityName>全半角检查</abilityName>
      <candidateList>
        <item>－</item>
      </candidateList>
      <explain>文本全半角错误。</explain>
      <paraID>2D81909C</paraID>
      <start>21</start>
      <end>22</end>
      <status>modified</status>
      <modifiedWord>－</modifiedWord>
      <trackRevisions>false</trackRevisions>
    </reviewItem>
    <reviewItem>
      <errorID>42526576-3cb2-411d-9dea-642cce5a368c</errorID>
      <errorWord>;</errorWord>
      <group>L1_Format</group>
      <groupName>格式问题</groupName>
      <ability>L2_HalfPunc</ability>
      <abilityName>全半角检查</abilityName>
      <candidateList>
        <item>；</item>
      </candidateList>
      <explain>文本全半角错误。</explain>
      <paraID>78AC058C</paraID>
      <start>46</start>
      <end>47</end>
      <status>modified</status>
      <modifiedWord>；</modifiedWord>
      <trackRevisions>false</trackRevisions>
    </reviewItem>
    <reviewItem>
      <errorID>fb0d0133-f8e4-41b5-8a14-132b285dae6f</errorID>
      <errorWord>,</errorWord>
      <group>L1_Format</group>
      <groupName>格式问题</groupName>
      <ability>L2_HalfPunc</ability>
      <abilityName>全半角检查</abilityName>
      <candidateList>
        <item>，</item>
      </candidateList>
      <explain>文本全半角错误。</explain>
      <paraID>78AC058C</paraID>
      <start>65</start>
      <end>66</end>
      <status>modified</status>
      <modifiedWord>，</modifiedWord>
      <trackRevisions>false</trackRevisions>
    </reviewItem>
    <reviewItem>
      <errorID>0693ec0a-6a6e-4b04-a8b6-0d4e218b7fe0</errorID>
      <errorWord>.</errorWord>
      <group>L1_Format</group>
      <groupName>格式问题</groupName>
      <ability>L2_HalfPunc</ability>
      <abilityName>全半角检查</abilityName>
      <candidateList>
        <item>。</item>
      </candidateList>
      <explain>文本全半角错误。</explain>
      <paraID>78AC058C</paraID>
      <start>94</start>
      <end>95</end>
      <status>ignored</status>
      <modifiedWord/>
      <trackRevisions>false</trackRevisions>
    </reviewItem>
    <reviewItem>
      <errorID>339554f3-c9e1-4a40-9d8d-497d1afbd0c3</errorID>
      <errorWord>和</errorWord>
      <group>L1_Word</group>
      <groupName>字词问题</groupName>
      <ability>L2_Typo</ability>
      <abilityName>字词错误</abilityName>
      <candidateList>
        <item>和城</item>
      </candidateList>
      <explain/>
      <paraID>5E8802B4</paraID>
      <start>19</start>
      <end>21</end>
      <status>modified</status>
      <modifiedWord>和城</modifiedWord>
      <trackRevisions>false</trackRevisions>
    </reviewItem>
    <reviewItem>
      <errorID>bb6d9ca6-3bdf-43d9-ad9f-53f1a0b7af45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79EF79A2</paraID>
      <start>0</start>
      <end>2</end>
      <status>modified</status>
      <modifiedWord>1.</modifiedWord>
      <trackRevisions>false</trackRevisions>
    </reviewItem>
    <reviewItem>
      <errorID>ea691816-d424-4f00-a95b-53c29a36cd11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34FCF000</paraID>
      <start>0</start>
      <end>2</end>
      <status>modified</status>
      <modifiedWord>2.</modifiedWord>
      <trackRevisions>false</trackRevisions>
    </reviewItem>
    <reviewItem>
      <errorID>c0753128-308f-45b6-a950-3ad9c40da8f2</errorID>
      <errorWord>反应</errorWord>
      <group>L1_Word</group>
      <groupName>字词问题</groupName>
      <ability>L2_Typo</ability>
      <abilityName>字词错误</abilityName>
      <candidateList>
        <item>反映</item>
      </candidateList>
      <explain>〈动〉❶反照，比喻把客观事物的实质表现出来：这部小说～了现实的生活和斗争。❷把情况、意见等告诉上级或有关部门：把情况～到县里｜他～的意见值得重视。❸通常指机体接受和回答客观事物影响的活动过程。</explain>
      <paraID>4991F142</paraID>
      <start>6</start>
      <end>8</end>
      <status>modified</status>
      <modifiedWord>反映</modifiedWord>
      <trackRevisions>false</trackRevisions>
    </reviewItem>
    <reviewItem>
      <errorID>f47acff6-afac-48fe-9f6f-3ec224143669</errorID>
      <errorWord>会计帐</errorWord>
      <group>L1_Word</group>
      <groupName>字词问题</groupName>
      <ability>L2_Alias</ability>
      <abilityName>也作/曾用词</abilityName>
      <candidateList>
        <item>会计账</item>
      </candidateList>
      <explain>词汇[会计帐]为不规范表述或旧称，其规范书面表述为[会计账]。</explain>
      <paraID>4991F142</paraID>
      <start>98</start>
      <end>101</end>
      <status>modified</status>
      <modifiedWord>会计账</modifiedWord>
      <trackRevisions>false</trackRevisions>
    </reviewItem>
    <reviewItem>
      <errorID>df6aa2bb-7df9-4c8f-9367-0c3aa2d845f6</errorID>
      <errorWord>县委政府</errorWord>
      <group>L1_Political</group>
      <groupName>政治性问题</groupName>
      <ability>L2_Unpolitical</ability>
      <abilityName>政治敏感错误</abilityName>
      <candidateList>
        <item>县委、县政府</item>
      </candidateList>
      <explain/>
      <paraID> B086A68</paraID>
      <start>3</start>
      <end>9</end>
      <status>modified</status>
      <modifiedWord>县委、县政府</modifiedWord>
      <trackRevisions>false</trackRevisions>
    </reviewItem>
    <reviewItem>
      <errorID>8f12d8e5-c580-4cb1-8285-6c4e175d539b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6E93F6C7</paraID>
      <start>0</start>
      <end>2</end>
      <status>modified</status>
      <modifiedWord>1.</modifiedWord>
      <trackRevisions>false</trackRevisions>
    </reviewItem>
    <reviewItem>
      <errorID>b56cf4d5-5a9d-4b34-a153-bd2434430a45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3A74F7C8</paraID>
      <start>0</start>
      <end>2</end>
      <status>modified</status>
      <modifiedWord>2.</modifiedWord>
      <trackRevisions>false</trackRevisions>
    </reviewItem>
    <reviewItem>
      <errorID>34aedb39-58be-4419-892a-16b487637bc0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AB45F39</paraID>
      <start>0</start>
      <end>2</end>
      <status>modified</status>
      <modifiedWord>3.</modifiedWord>
      <trackRevisions>false</trackRevisions>
    </reviewItem>
    <reviewItem>
      <errorID>47ff72fc-ae21-43b8-a6b7-b0f212d1798e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528FD4B1</paraID>
      <start>0</start>
      <end>2</end>
      <status>modified</status>
      <modifiedWord>1.</modifiedWord>
      <trackRevisions>false</trackRevisions>
    </reviewItem>
    <reviewItem>
      <errorID>427d3c89-59ea-4d40-b3fa-b87e7d0a1bff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5F6B2647</paraID>
      <start>0</start>
      <end>2</end>
      <status>modified</status>
      <modifiedWord>2.</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481999-8dcf-4b1b-9b1b-5666fcdfa8ae}">
  <ds:schemaRefs/>
</ds:datastoreItem>
</file>

<file path=docProps/app.xml><?xml version="1.0" encoding="utf-8"?>
<Properties xmlns="http://schemas.openxmlformats.org/officeDocument/2006/extended-properties" xmlns:vt="http://schemas.openxmlformats.org/officeDocument/2006/docPropsVTypes">
  <Template>Normal.dotm</Template>
  <Pages>45</Pages>
  <Words>23</Words>
  <Characters>26</Characters>
  <Lines>0</Lines>
  <Paragraphs>0</Paragraphs>
  <TotalTime>3</TotalTime>
  <ScaleCrop>false</ScaleCrop>
  <LinksUpToDate>false</LinksUpToDate>
  <CharactersWithSpaces>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2025-09-21T15:57:00Z</dcterms:created>
  <dc:creator>一百零一层</dc:creator>
  <cp:lastModifiedBy>碧云天</cp:lastModifiedBy>
  <dcterms:modified xsi:type="dcterms:W3CDTF">2026-01-05T07:13:52Z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48E9D2B8C76F488ABFCBEAF3A6B4DE2E_13</vt:lpwstr>
  </property>
  <property fmtid="{D5CDD505-2E9C-101B-9397-08002B2CF9AE}" pid="4" name="KSOTemplateDocerSaveRecord">
    <vt:lpwstr>eyJoZGlkIjoiNzI2ZGI0OGUzMDAzMzk0YmE1OTYyMDVlZGMwMmYyODYiLCJ1c2VySWQiOiIxMTM5NjM2MTk5In0=</vt:lpwstr>
  </property>
</Properties>
</file>