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D6035">
      <w:pPr>
        <w:spacing w:line="580" w:lineRule="exact"/>
        <w:contextualSpacing/>
        <w:rPr>
          <w:rFonts w:hint="eastAsia" w:ascii="黑体" w:hAnsi="黑体" w:eastAsia="黑体" w:cs="黑体"/>
          <w:sz w:val="32"/>
          <w:szCs w:val="32"/>
          <w:lang w:val="zh-CN" w:eastAsia="zh-CN"/>
        </w:rPr>
      </w:pPr>
      <w:r>
        <w:rPr>
          <w:rFonts w:hint="eastAsia" w:ascii="黑体" w:hAnsi="黑体" w:eastAsia="黑体" w:cs="黑体"/>
          <w:sz w:val="32"/>
          <w:szCs w:val="32"/>
          <w:lang w:val="zh-CN"/>
        </w:rPr>
        <w:t>附件</w:t>
      </w:r>
      <w:r>
        <w:rPr>
          <w:rFonts w:hint="eastAsia" w:ascii="黑体" w:hAnsi="黑体" w:eastAsia="黑体" w:cs="黑体"/>
          <w:sz w:val="32"/>
          <w:szCs w:val="32"/>
          <w:lang w:val="en-US" w:eastAsia="zh-CN"/>
        </w:rPr>
        <w:t>2</w:t>
      </w:r>
    </w:p>
    <w:p w14:paraId="55F7277D">
      <w:pPr>
        <w:widowControl/>
        <w:spacing w:line="580" w:lineRule="exact"/>
        <w:ind w:firstLine="883" w:firstLineChars="200"/>
        <w:contextualSpacing/>
        <w:jc w:val="center"/>
        <w:rPr>
          <w:rFonts w:ascii="宋体"/>
          <w:b/>
          <w:sz w:val="44"/>
          <w:szCs w:val="44"/>
          <w:shd w:val="clear" w:color="auto" w:fill="FFFFFF"/>
        </w:rPr>
      </w:pPr>
    </w:p>
    <w:p w14:paraId="571B4293">
      <w:pPr>
        <w:widowControl/>
        <w:numPr>
          <w:ilvl w:val="0"/>
          <w:numId w:val="0"/>
        </w:numPr>
        <w:spacing w:line="580" w:lineRule="exact"/>
        <w:contextualSpacing/>
        <w:jc w:val="center"/>
        <w:rPr>
          <w:rFonts w:hint="eastAsia" w:ascii="方正小标宋简体" w:hAnsi="宋体" w:eastAsia="方正小标宋简体"/>
          <w:sz w:val="44"/>
          <w:szCs w:val="44"/>
          <w:shd w:val="clear" w:color="auto" w:fill="FFFFFF"/>
          <w:lang w:eastAsia="zh-CN"/>
        </w:rPr>
      </w:pPr>
      <w:r>
        <w:rPr>
          <w:rFonts w:hint="eastAsia" w:ascii="方正小标宋简体" w:hAnsi="宋体" w:eastAsia="方正小标宋简体"/>
          <w:sz w:val="44"/>
          <w:szCs w:val="44"/>
          <w:shd w:val="clear" w:color="auto" w:fill="FFFFFF"/>
          <w:lang w:eastAsia="zh-CN"/>
        </w:rPr>
        <w:t>部门整体支出预算绩效自评报告范本</w:t>
      </w:r>
    </w:p>
    <w:p w14:paraId="7FCB9D75">
      <w:pPr>
        <w:widowControl/>
        <w:numPr>
          <w:ilvl w:val="0"/>
          <w:numId w:val="0"/>
        </w:numPr>
        <w:spacing w:line="580" w:lineRule="exact"/>
        <w:contextualSpacing/>
        <w:jc w:val="center"/>
        <w:rPr>
          <w:rFonts w:hint="eastAsia" w:ascii="楷体_GB2312" w:hAnsi="楷体_GB2312" w:eastAsia="楷体_GB2312" w:cs="楷体_GB2312"/>
          <w:sz w:val="44"/>
          <w:szCs w:val="44"/>
          <w:shd w:val="clear" w:color="auto" w:fill="FFFFFF"/>
        </w:rPr>
      </w:pPr>
      <w:r>
        <w:rPr>
          <w:rFonts w:hint="eastAsia" w:ascii="楷体_GB2312" w:hAnsi="楷体_GB2312" w:eastAsia="楷体_GB2312" w:cs="楷体_GB2312"/>
          <w:szCs w:val="32"/>
          <w:shd w:val="clear" w:color="auto" w:fill="FFFFFF"/>
        </w:rPr>
        <w:t>（报告范围包括机关和下属单位）</w:t>
      </w:r>
    </w:p>
    <w:p w14:paraId="61BBE1DD">
      <w:pPr>
        <w:widowControl/>
        <w:adjustRightInd w:val="0"/>
        <w:snapToGrid w:val="0"/>
        <w:spacing w:line="580" w:lineRule="exact"/>
        <w:ind w:firstLine="660" w:firstLineChars="200"/>
        <w:contextualSpacing/>
        <w:jc w:val="center"/>
        <w:rPr>
          <w:rFonts w:ascii="方正仿宋_GBK" w:hAnsi="宋体" w:eastAsia="方正仿宋_GBK" w:cs="宋体"/>
          <w:color w:val="000000"/>
          <w:kern w:val="0"/>
          <w:sz w:val="33"/>
          <w:szCs w:val="33"/>
          <w:shd w:val="clear" w:color="auto" w:fill="FFFFFF"/>
        </w:rPr>
      </w:pPr>
    </w:p>
    <w:p w14:paraId="631FE6E3">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both"/>
        <w:textAlignment w:val="auto"/>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部门基本情况</w:t>
      </w:r>
    </w:p>
    <w:p w14:paraId="4269BFB6">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楷体_GB2312" w:eastAsia="楷体_GB2312" w:cs="宋体"/>
          <w:color w:val="000000"/>
          <w:kern w:val="0"/>
          <w:szCs w:val="32"/>
          <w:shd w:val="clear" w:color="auto" w:fill="FFFFFF"/>
          <w:lang w:val="zh-CN" w:eastAsia="zh-CN" w:bidi="ar-SA"/>
        </w:rPr>
      </w:pPr>
      <w:r>
        <w:rPr>
          <w:rFonts w:hint="eastAsia" w:ascii="楷体_GB2312" w:eastAsia="楷体_GB2312" w:cs="宋体"/>
          <w:color w:val="000000"/>
          <w:kern w:val="0"/>
          <w:szCs w:val="32"/>
          <w:shd w:val="clear" w:color="auto" w:fill="FFFFFF"/>
          <w:lang w:val="zh-CN" w:eastAsia="zh-CN" w:bidi="ar-SA"/>
        </w:rPr>
        <w:t>（</w:t>
      </w:r>
      <w:r>
        <w:rPr>
          <w:rFonts w:hint="eastAsia" w:ascii="楷体_GB2312" w:eastAsia="楷体_GB2312" w:cs="宋体"/>
          <w:color w:val="000000"/>
          <w:kern w:val="0"/>
          <w:szCs w:val="32"/>
          <w:shd w:val="clear" w:color="auto" w:fill="FFFFFF"/>
          <w:lang w:val="en-US" w:eastAsia="zh-CN" w:bidi="ar-SA"/>
        </w:rPr>
        <w:t>一</w:t>
      </w:r>
      <w:r>
        <w:rPr>
          <w:rFonts w:hint="eastAsia" w:ascii="楷体_GB2312" w:eastAsia="楷体_GB2312" w:cs="宋体"/>
          <w:color w:val="000000"/>
          <w:kern w:val="0"/>
          <w:szCs w:val="32"/>
          <w:shd w:val="clear" w:color="auto" w:fill="FFFFFF"/>
          <w:lang w:val="zh-CN" w:eastAsia="zh-CN" w:bidi="ar-SA"/>
        </w:rPr>
        <w:t>）机构组成</w:t>
      </w:r>
    </w:p>
    <w:p w14:paraId="2D83C580">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宋体" w:eastAsia="仿宋_GB2312" w:cs="宋体"/>
          <w:color w:val="auto"/>
          <w:kern w:val="0"/>
          <w:sz w:val="32"/>
          <w:szCs w:val="32"/>
          <w:lang w:val="zh-CN" w:eastAsia="zh-CN"/>
        </w:rPr>
      </w:pPr>
      <w:r>
        <w:rPr>
          <w:rFonts w:hint="eastAsia" w:ascii="仿宋_GB2312" w:hAnsi="宋体" w:eastAsia="仿宋_GB2312" w:cs="宋体"/>
          <w:color w:val="auto"/>
          <w:kern w:val="0"/>
          <w:sz w:val="32"/>
          <w:szCs w:val="32"/>
          <w:lang w:val="zh-CN" w:eastAsia="zh-CN"/>
        </w:rPr>
        <w:t>峨边彝族自治县新场乡人民政府为行政单位，部门预算单位1个，</w:t>
      </w:r>
      <w:r>
        <w:rPr>
          <w:rFonts w:hint="eastAsia" w:ascii="仿宋_GB2312" w:hAnsi="宋体" w:eastAsia="仿宋_GB2312" w:cs="宋体"/>
          <w:color w:val="auto"/>
          <w:kern w:val="0"/>
          <w:sz w:val="32"/>
          <w:szCs w:val="32"/>
          <w:lang w:val="en-US" w:eastAsia="zh-CN"/>
        </w:rPr>
        <w:t>内设五办两中心。包括党政办公室、党建工作办公室、社会事务和社会治理办公室、经济发展和规划建设办公室、综合执法和应急管理办公室、便民服务中心、农业综合服务中心。</w:t>
      </w:r>
    </w:p>
    <w:p w14:paraId="11ABDA50">
      <w:pPr>
        <w:keepNext w:val="0"/>
        <w:keepLines w:val="0"/>
        <w:pageBreakBefore w:val="0"/>
        <w:widowControl/>
        <w:numPr>
          <w:ilvl w:val="0"/>
          <w:numId w:val="1"/>
        </w:numPr>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楷体_GB2312" w:eastAsia="楷体_GB2312" w:cs="宋体"/>
          <w:color w:val="000000"/>
          <w:kern w:val="0"/>
          <w:szCs w:val="32"/>
          <w:shd w:val="clear" w:color="auto" w:fill="FFFFFF"/>
          <w:lang w:val="zh-CN" w:eastAsia="zh-CN" w:bidi="ar-SA"/>
        </w:rPr>
      </w:pPr>
      <w:r>
        <w:rPr>
          <w:rFonts w:hint="eastAsia" w:ascii="楷体_GB2312" w:eastAsia="楷体_GB2312" w:cs="宋体"/>
          <w:color w:val="000000"/>
          <w:kern w:val="0"/>
          <w:szCs w:val="32"/>
          <w:shd w:val="clear" w:color="auto" w:fill="FFFFFF"/>
          <w:lang w:val="zh-CN" w:eastAsia="zh-CN" w:bidi="ar-SA"/>
        </w:rPr>
        <w:t>机构职能和人员概况</w:t>
      </w:r>
    </w:p>
    <w:p w14:paraId="6D9E02C6">
      <w:pPr>
        <w:pStyle w:val="3"/>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color w:val="000000"/>
          <w:kern w:val="0"/>
          <w:szCs w:val="32"/>
          <w:shd w:val="clear" w:color="auto" w:fill="FFFFFF"/>
          <w:lang w:val="en-US" w:eastAsia="zh-CN"/>
        </w:rPr>
        <w:t>1.机构职能</w:t>
      </w:r>
    </w:p>
    <w:p w14:paraId="7A42DA12">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负责贯彻执行党和国家的路线方针政策、法律法规规章，执行县委、县政府的决定，研究决定辖区政治、经济、文化、社会、生态文明等领域事业发展的重大事项并组织实施。</w:t>
      </w:r>
    </w:p>
    <w:p w14:paraId="20DEFC5D">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统筹落实关于辖区发展的重大决策，参与辖区建设规划和公</w:t>
      </w:r>
      <w:bookmarkStart w:id="0" w:name="_GoBack"/>
      <w:bookmarkEnd w:id="0"/>
      <w:r>
        <w:rPr>
          <w:rFonts w:hint="eastAsia" w:ascii="仿宋_GB2312" w:hAnsi="宋体" w:eastAsia="仿宋_GB2312" w:cs="宋体"/>
          <w:color w:val="auto"/>
          <w:kern w:val="0"/>
          <w:sz w:val="32"/>
          <w:szCs w:val="32"/>
          <w:lang w:val="en-US" w:eastAsia="zh-CN"/>
        </w:rPr>
        <w:t>共服务设施布局，建立健全基层社会治理工作机制，引导、整合辖区内各种社会力量为区域发展服务，推动辖区健康、有序、可持续发展。</w:t>
      </w:r>
    </w:p>
    <w:p w14:paraId="488207FA">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负责加强基层党组织建设和基层政权建设，巩固党的执政基础；统筹协调辖区内各领域党建工作，推进社区党建、单位党建、行业党建和区域化党建互联互动，统筹抓好新领域新业态新群体党建工作。负责人大、政协、统战、民族宗教、群团工作。</w:t>
      </w:r>
    </w:p>
    <w:p w14:paraId="66D9F41A">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加强基层意识形态工作，推进基层精神文明建设，培养和弘扬社会主义核心价值观，创造良好社会环境。</w:t>
      </w:r>
    </w:p>
    <w:p w14:paraId="722C52DE">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负责拟定经济发展规划并组织实施。促进经济发展，推进产业结构调整，促进经济增长方式转变，促进农民增收。</w:t>
      </w:r>
    </w:p>
    <w:p w14:paraId="4357610B">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负责拟定社会事业发展规划并组织实施。负责教育、科技，文化旅游、体育、广播电视、民政、卫生健康、医疗保障、残疾人保障、社会保险、退役军人服务等工作，推进便民服务规范化建设管理，落实与群众密切相关的各项公共服务政策。</w:t>
      </w:r>
    </w:p>
    <w:p w14:paraId="4BEE325E">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负责拟定乡村振兴发展规划并组织实施。负责农业产业升级转型、美丽乡村建设、农村文化生活繁荣、农村基础设施和公共服务能力提升、脱贫攻坚等工作。</w:t>
      </w:r>
    </w:p>
    <w:p w14:paraId="031C57D2">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负责城乡基层治理工作，深化党建引领城乡基层治理，构建共建、共治、共享的城乡基层治理工作格局，推进和谐宜居乡村建设；加强社会主义民主法治建设，承担社会治理、信访维稳、综治中心、社区戒毒、社区康复、法治建设、反邪教等工作。</w:t>
      </w:r>
    </w:p>
    <w:p w14:paraId="6D547662">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负责辖区公共事务综合管理，参与辖区规划建设，负责拟定村镇国土空间规划并组织实施，承担重点工程建设、 乡村道路建设及公共设施、水利设施等管理工作，对辖区事关群众利益的重大决策和重大项目提出建议。负责统筹组织协调指挥辖区内派驻和基层执法等力量。</w:t>
      </w:r>
    </w:p>
    <w:p w14:paraId="0415DF23">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负责应急管理和安全生产工作，落实安全生产责任制，建立健全应对突发紧急事件的处置管理机制，构建公共安全防控体系。</w:t>
      </w:r>
    </w:p>
    <w:p w14:paraId="23A5A6FB">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负责自然资源、生态环境保护工作，做好网格化环境监管，开展自然资源、环境保护隐患排查和治理，配合有关部门查处自然资源、环境违法行为，做好辖区内自然资源及生态环境保护工作。</w:t>
      </w:r>
    </w:p>
    <w:p w14:paraId="20E91A4C">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负责推进基层民主法治建设，加强普法依法治理，维护群众合法权益。负责协助武装部门做好辖区民兵训练和公民服兵役工作。</w:t>
      </w:r>
    </w:p>
    <w:p w14:paraId="2D474373">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按照干部管理权限，负责干部的教育、培训、选拔、考核和监督工作。加强本级财政、所属行政事业单位以及村级财务的核算和监督。</w:t>
      </w:r>
    </w:p>
    <w:p w14:paraId="02C1E760">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根据法定职责或受委托承担辖区内审批服务、公共服务、各类社会事务服务等职责。负责制定完善权力清单、责任清单、公共服务清单，建立清单动态调整和公示机制，推进党务政务公开，接受群众监督，增加公信力。</w:t>
      </w:r>
    </w:p>
    <w:p w14:paraId="3C5BD442">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履行法律法规、规章规定的其他职责，承办县委、县政府交办的其他工作。</w:t>
      </w:r>
    </w:p>
    <w:p w14:paraId="1554D4D6">
      <w:pPr>
        <w:pStyle w:val="3"/>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000000"/>
          <w:kern w:val="0"/>
          <w:szCs w:val="32"/>
          <w:shd w:val="clear" w:color="auto" w:fill="FFFFFF"/>
          <w:lang w:val="zh-CN" w:eastAsia="zh-CN"/>
        </w:rPr>
      </w:pPr>
      <w:r>
        <w:rPr>
          <w:rFonts w:hint="eastAsia" w:ascii="仿宋_GB2312" w:hAnsi="仿宋_GB2312" w:eastAsia="仿宋_GB2312" w:cs="仿宋_GB2312"/>
          <w:color w:val="000000"/>
          <w:kern w:val="0"/>
          <w:szCs w:val="32"/>
          <w:shd w:val="clear" w:color="auto" w:fill="FFFFFF"/>
          <w:lang w:val="en-US" w:eastAsia="zh-CN"/>
        </w:rPr>
        <w:t>2.</w:t>
      </w:r>
      <w:r>
        <w:rPr>
          <w:rFonts w:hint="eastAsia" w:ascii="仿宋_GB2312" w:hAnsi="仿宋_GB2312" w:eastAsia="仿宋_GB2312" w:cs="仿宋_GB2312"/>
          <w:color w:val="000000"/>
          <w:kern w:val="0"/>
          <w:szCs w:val="32"/>
          <w:shd w:val="clear" w:color="auto" w:fill="FFFFFF"/>
          <w:lang w:val="zh-CN" w:eastAsia="zh-CN"/>
        </w:rPr>
        <w:t>人员概况</w:t>
      </w:r>
    </w:p>
    <w:p w14:paraId="1D38D5ED">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新场乡机关行政编制17名。核定领导职数10名，其中党委书记1名，乡长（副书记）1名，人大主席1名，专职副书记1名、副乡长3名（其中1名兼任武装部长）、武装部长1名、纪委书记1名、组织委员1名（兼任统战委员、宣传委员、人大副主席）、政法委员1名。设中层职数5名。新场乡设2个直属事业单位，事业编制核定为14名。2024年底，乡镇在职人员总数31人，其中：行政人员20人，事业人员11人。</w:t>
      </w:r>
    </w:p>
    <w:p w14:paraId="6FFE1F93">
      <w:pPr>
        <w:keepNext w:val="0"/>
        <w:keepLines w:val="0"/>
        <w:pageBreakBefore w:val="0"/>
        <w:widowControl/>
        <w:numPr>
          <w:ilvl w:val="0"/>
          <w:numId w:val="1"/>
        </w:numPr>
        <w:kinsoku/>
        <w:wordWrap/>
        <w:overflowPunct/>
        <w:topLinePunct w:val="0"/>
        <w:autoSpaceDE/>
        <w:autoSpaceDN/>
        <w:bidi w:val="0"/>
        <w:adjustRightInd w:val="0"/>
        <w:snapToGrid w:val="0"/>
        <w:spacing w:line="600" w:lineRule="exact"/>
        <w:ind w:left="0" w:leftChars="0" w:firstLine="640" w:firstLineChars="200"/>
        <w:contextualSpacing/>
        <w:jc w:val="both"/>
        <w:textAlignment w:val="auto"/>
        <w:rPr>
          <w:rFonts w:hint="eastAsia" w:ascii="楷体_GB2312" w:eastAsia="楷体_GB2312" w:cs="宋体"/>
          <w:color w:val="000000"/>
          <w:kern w:val="0"/>
          <w:szCs w:val="32"/>
          <w:shd w:val="clear" w:color="auto" w:fill="FFFFFF"/>
          <w:lang w:val="zh-CN"/>
        </w:rPr>
      </w:pPr>
      <w:r>
        <w:rPr>
          <w:rFonts w:hint="eastAsia" w:ascii="楷体_GB2312" w:eastAsia="楷体_GB2312" w:cs="宋体"/>
          <w:color w:val="000000"/>
          <w:kern w:val="0"/>
          <w:szCs w:val="32"/>
          <w:shd w:val="clear" w:color="auto" w:fill="FFFFFF"/>
          <w:lang w:val="zh-CN" w:eastAsia="zh-CN" w:bidi="ar-SA"/>
        </w:rPr>
        <w:t>年度主要工作任务</w:t>
      </w:r>
    </w:p>
    <w:p w14:paraId="72787531">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黑体" w:hAnsi="黑体" w:eastAsia="黑体" w:cs="黑体"/>
          <w:b w:val="0"/>
          <w:bCs w:val="0"/>
          <w:snapToGrid w:val="0"/>
          <w:color w:val="000000"/>
          <w:sz w:val="32"/>
          <w:lang w:val="en-US" w:eastAsia="zh-CN"/>
        </w:rPr>
      </w:pPr>
      <w:r>
        <w:rPr>
          <w:rFonts w:hint="eastAsia" w:ascii="仿宋_GB2312" w:hAnsi="宋体" w:eastAsia="仿宋_GB2312" w:cs="宋体"/>
          <w:color w:val="auto"/>
          <w:kern w:val="0"/>
          <w:sz w:val="32"/>
          <w:szCs w:val="32"/>
        </w:rPr>
        <w:t>在县委、县政府的坚强领导下，新场乡始终坚持以习近平新时代中国特色社会主义思想为指导，全面贯彻落实县委</w:t>
      </w:r>
      <w:r>
        <w:rPr>
          <w:rFonts w:hint="eastAsia" w:ascii="仿宋_GB2312" w:hAnsi="宋体" w:eastAsia="仿宋_GB2312" w:cs="宋体"/>
          <w:color w:val="auto"/>
          <w:kern w:val="0"/>
          <w:sz w:val="32"/>
          <w:szCs w:val="32"/>
          <w:lang w:eastAsia="zh-CN"/>
        </w:rPr>
        <w:t>、县</w:t>
      </w:r>
      <w:r>
        <w:rPr>
          <w:rFonts w:hint="eastAsia" w:ascii="仿宋_GB2312" w:hAnsi="宋体" w:eastAsia="仿宋_GB2312" w:cs="宋体"/>
          <w:color w:val="auto"/>
          <w:kern w:val="0"/>
          <w:sz w:val="32"/>
          <w:szCs w:val="32"/>
        </w:rPr>
        <w:t>政府的各项决策部署，团结带领全乡干部群众，统筹</w:t>
      </w:r>
      <w:r>
        <w:rPr>
          <w:rFonts w:hint="eastAsia" w:ascii="仿宋_GB2312" w:eastAsia="仿宋_GB2312" w:cs="宋体"/>
          <w:color w:val="auto"/>
          <w:kern w:val="0"/>
          <w:sz w:val="32"/>
          <w:szCs w:val="32"/>
          <w:lang w:eastAsia="zh-CN"/>
        </w:rPr>
        <w:t>推进</w:t>
      </w:r>
      <w:r>
        <w:rPr>
          <w:rFonts w:hint="eastAsia" w:ascii="仿宋_GB2312" w:hAnsi="宋体" w:eastAsia="仿宋_GB2312" w:cs="宋体"/>
          <w:color w:val="auto"/>
          <w:kern w:val="0"/>
          <w:sz w:val="32"/>
          <w:szCs w:val="32"/>
        </w:rPr>
        <w:t>经济社会发展，聚焦党的建设、乡村振兴、项目推进、安全生产等</w:t>
      </w:r>
      <w:r>
        <w:rPr>
          <w:rFonts w:hint="eastAsia" w:ascii="仿宋_GB2312" w:hAnsi="宋体" w:eastAsia="仿宋_GB2312" w:cs="宋体"/>
          <w:color w:val="auto"/>
          <w:kern w:val="0"/>
          <w:sz w:val="32"/>
          <w:szCs w:val="32"/>
          <w:lang w:eastAsia="zh-CN"/>
        </w:rPr>
        <w:t>工作</w:t>
      </w:r>
      <w:r>
        <w:rPr>
          <w:rFonts w:hint="eastAsia" w:ascii="仿宋_GB2312" w:hAnsi="宋体" w:eastAsia="仿宋_GB2312" w:cs="宋体"/>
          <w:color w:val="auto"/>
          <w:kern w:val="0"/>
          <w:sz w:val="32"/>
          <w:szCs w:val="32"/>
        </w:rPr>
        <w:t>，统筹发展和安全，各项事业持续健康发展。</w:t>
      </w:r>
    </w:p>
    <w:p w14:paraId="193D0FA1">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lang w:val="en-US" w:eastAsia="zh-CN"/>
        </w:rPr>
        <w:t>始终把思想政治建设贯穿工作始终。</w:t>
      </w:r>
      <w:r>
        <w:rPr>
          <w:rFonts w:hint="eastAsia" w:ascii="仿宋_GB2312" w:hAnsi="仿宋_GB2312" w:eastAsia="仿宋_GB2312" w:cs="仿宋_GB2312"/>
          <w:color w:val="auto"/>
          <w:sz w:val="32"/>
          <w:szCs w:val="32"/>
          <w:lang w:val="en-US" w:eastAsia="zh-CN"/>
        </w:rPr>
        <w:t>压紧</w:t>
      </w:r>
      <w:r>
        <w:rPr>
          <w:rFonts w:hint="default" w:ascii="仿宋_GB2312" w:hAnsi="仿宋_GB2312" w:eastAsia="仿宋_GB2312" w:cs="仿宋_GB2312"/>
          <w:color w:val="auto"/>
          <w:sz w:val="32"/>
          <w:szCs w:val="32"/>
          <w:lang w:val="en-US" w:eastAsia="zh-CN"/>
        </w:rPr>
        <w:t>压实班子成员“一岗双责”，持续抓好党内政治生活，严格落实好基层党组织三会一课、主题党日、组织生活会、等制度，把“两个维护”落实到基层党建全过程各方面。</w:t>
      </w:r>
    </w:p>
    <w:p w14:paraId="3F924BFC">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lang w:val="en-US" w:eastAsia="zh-CN"/>
        </w:rPr>
        <w:t>强化保障、深度惠民，不断增进民生福祉。</w:t>
      </w:r>
      <w:r>
        <w:rPr>
          <w:rFonts w:hint="eastAsia" w:ascii="仿宋_GB2312" w:hAnsi="仿宋_GB2312" w:eastAsia="仿宋_GB2312" w:cs="仿宋_GB2312"/>
          <w:color w:val="auto"/>
          <w:sz w:val="32"/>
          <w:szCs w:val="32"/>
          <w:lang w:val="en-US" w:eastAsia="zh-CN"/>
        </w:rPr>
        <w:t>深入开展“节奏更快、效率更高、质量更优”主题实践活动，实施干部能力提升计划，制定“机关干部全覆盖下村”工作方案，推动干部深入基层，密切干群关系。同时，</w:t>
      </w:r>
      <w:r>
        <w:rPr>
          <w:rFonts w:hint="default" w:ascii="仿宋_GB2312" w:hAnsi="仿宋_GB2312" w:eastAsia="仿宋_GB2312" w:cs="仿宋_GB2312"/>
          <w:color w:val="auto"/>
          <w:sz w:val="32"/>
          <w:szCs w:val="32"/>
          <w:lang w:val="en-US" w:eastAsia="zh-CN"/>
        </w:rPr>
        <w:t>加快完善社会保障体系，深入推进全民参保计划。做好临时救助工作，着重化解因病、因残困难家庭问题，强化动态管理，兜牢民生底线。</w:t>
      </w:r>
    </w:p>
    <w:p w14:paraId="77A946FC">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lang w:val="en-US" w:eastAsia="zh-CN"/>
        </w:rPr>
        <w:t>稳大局保安全，着力推进社会和谐稳定。坚决落实安全生产工作要求，紧盯重点安全风险领域，强化安全生产、防灾减灾、消防安全意识，遏制较大以上事故的发生，全力维护社会大局和谐稳定。</w:t>
      </w:r>
    </w:p>
    <w:p w14:paraId="6C6C9E8C">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抓产业聚特色，着力推进产业结构优化。一是特色农业升级。以“一核两片四基地，一纵一环两干多支”为总体规划思路，探索规模化、特色化花牛养殖模式，始终围绕新场（辣椒）复合现代农业产业园区做文章，整乡规划，全域推进。积极争创省三星级现代农业园区。巩固3000亩“玉米+辣椒”套种核心基地，配套智能化育秧育苗中心、农事服务中心，进一步提升机械化率。二是三产融合发展。举办辣椒采摘节，构建“线上直播+线下节会”营销矩阵；推动“辣必小心”加工厂投产，延伸加工链条。建设“辣椒科技小院”，打造20亩良种试验基地。三是集体经济增效。推动联合总社转型升级，实行县供销社+村股份经济合作社+农民专业合作社“三社融合”发展模式，成立新场强村供销公司，拓展农资供应、日用品供销、快递物流、广告办公用品等业务，发展新型集体经济，服务全乡产业发展。</w:t>
      </w:r>
    </w:p>
    <w:p w14:paraId="6E05328C">
      <w:pPr>
        <w:pStyle w:val="3"/>
        <w:keepNext w:val="0"/>
        <w:keepLines w:val="0"/>
        <w:pageBreakBefore w:val="0"/>
        <w:kinsoku/>
        <w:wordWrap/>
        <w:overflowPunct/>
        <w:topLinePunct w:val="0"/>
        <w:autoSpaceDE/>
        <w:autoSpaceDN/>
        <w:bidi w:val="0"/>
        <w:spacing w:line="600" w:lineRule="exact"/>
        <w:jc w:val="both"/>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（四）部门整体支出绩效目标</w:t>
      </w:r>
    </w:p>
    <w:p w14:paraId="1A25529B">
      <w:pPr>
        <w:pStyle w:val="3"/>
        <w:keepNext w:val="0"/>
        <w:keepLines w:val="0"/>
        <w:pageBreakBefore w:val="0"/>
        <w:kinsoku/>
        <w:wordWrap/>
        <w:overflowPunct/>
        <w:topLinePunct w:val="0"/>
        <w:autoSpaceDE/>
        <w:autoSpaceDN/>
        <w:bidi w:val="0"/>
        <w:spacing w:line="600" w:lineRule="exact"/>
        <w:ind w:firstLine="640" w:firstLineChars="200"/>
        <w:jc w:val="both"/>
        <w:textAlignment w:val="auto"/>
        <w:rPr>
          <w:rFonts w:ascii="楷体_GB2312" w:hAnsi="宋体" w:eastAsia="楷体_GB2312" w:cs="宋体"/>
          <w:color w:val="000000"/>
          <w:kern w:val="0"/>
          <w:szCs w:val="32"/>
          <w:shd w:val="clear" w:color="auto" w:fill="FFFFFF"/>
          <w:lang w:val="zh-CN"/>
        </w:rPr>
      </w:pPr>
      <w:r>
        <w:rPr>
          <w:rFonts w:hint="eastAsia" w:ascii="仿宋_GB2312" w:hAnsi="Times New Roman" w:eastAsia="仿宋_GB2312" w:cs="Times New Roman"/>
          <w:sz w:val="32"/>
          <w:szCs w:val="32"/>
          <w:highlight w:val="none"/>
          <w:lang w:val="zh-CN" w:eastAsia="zh-CN"/>
        </w:rPr>
        <w:t>解决全乡5个行政村村民最关心、最直接、最现实问题，包括各项公益事项建设，改善农村人居环境，保障维全乡辖区内群众办好事、做好事、解决事等支出。</w:t>
      </w:r>
    </w:p>
    <w:p w14:paraId="05FB87A7">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both"/>
        <w:textAlignment w:val="auto"/>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二、部门财政资金收支情况</w:t>
      </w:r>
    </w:p>
    <w:p w14:paraId="2F910002">
      <w:pPr>
        <w:pStyle w:val="3"/>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（一）部门财政资金收入情况</w:t>
      </w:r>
    </w:p>
    <w:p w14:paraId="62A5BA1A">
      <w:pPr>
        <w:pStyle w:val="3"/>
        <w:keepNext w:val="0"/>
        <w:keepLines w:val="0"/>
        <w:pageBreakBefore w:val="0"/>
        <w:kinsoku/>
        <w:wordWrap/>
        <w:overflowPunct/>
        <w:topLinePunct w:val="0"/>
        <w:autoSpaceDE/>
        <w:autoSpaceDN/>
        <w:bidi w:val="0"/>
        <w:spacing w:line="600" w:lineRule="exact"/>
        <w:jc w:val="both"/>
        <w:textAlignment w:val="auto"/>
        <w:rPr>
          <w:rFonts w:ascii="楷体_GB2312" w:hAnsi="宋体" w:eastAsia="楷体_GB2312" w:cs="宋体"/>
          <w:color w:val="000000"/>
          <w:kern w:val="0"/>
          <w:szCs w:val="32"/>
          <w:shd w:val="clear" w:color="auto" w:fill="FFFFFF"/>
          <w:lang w:val="zh-CN"/>
        </w:rPr>
      </w:pPr>
      <w:r>
        <w:rPr>
          <w:rFonts w:hint="eastAsia" w:ascii="仿宋_GB2312" w:eastAsia="仿宋_GB2312"/>
          <w:sz w:val="32"/>
          <w:szCs w:val="32"/>
          <w:highlight w:val="none"/>
          <w:lang w:val="en-US" w:eastAsia="zh-CN"/>
        </w:rPr>
        <w:t>2024年财政拨款收入653.04万元</w:t>
      </w:r>
      <w:r>
        <w:rPr>
          <w:rStyle w:val="13"/>
          <w:rFonts w:hint="eastAsia" w:ascii="仿宋_GB2312"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，其中：上年结转0万元；一般公共预算拨款收入653.04 万元；政府性基金预算拨款收入0万元。</w:t>
      </w:r>
    </w:p>
    <w:p w14:paraId="3902069C">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（二）部门财政资金支出情况</w:t>
      </w:r>
    </w:p>
    <w:p w14:paraId="433550F4">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ascii="楷体_GB2312" w:hAnsi="宋体" w:eastAsia="楷体_GB2312" w:cs="宋体"/>
          <w:color w:val="auto"/>
          <w:kern w:val="0"/>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lang w:val="en-US" w:eastAsia="zh-CN" w:bidi="ar-SA"/>
        </w:rPr>
        <w:t>峨边彝族自治县新场乡人民政府</w:t>
      </w:r>
      <w:r>
        <w:rPr>
          <w:rFonts w:hint="eastAsia" w:ascii="仿宋_GB2312" w:hAnsi="仿宋_GB2312" w:eastAsia="仿宋_GB2312" w:cs="仿宋_GB2312"/>
          <w:color w:val="auto"/>
          <w:kern w:val="0"/>
          <w:sz w:val="32"/>
          <w:szCs w:val="32"/>
          <w:highlight w:val="none"/>
          <w:lang w:eastAsia="zh-CN" w:bidi="ar-SA"/>
        </w:rPr>
        <w:t>202</w:t>
      </w:r>
      <w:r>
        <w:rPr>
          <w:rFonts w:hint="eastAsia" w:ascii="仿宋_GB2312" w:hAnsi="仿宋_GB2312" w:eastAsia="仿宋_GB2312" w:cs="仿宋_GB2312"/>
          <w:color w:val="auto"/>
          <w:kern w:val="0"/>
          <w:sz w:val="32"/>
          <w:szCs w:val="32"/>
          <w:highlight w:val="none"/>
          <w:lang w:val="en-US" w:eastAsia="zh-CN" w:bidi="ar-SA"/>
        </w:rPr>
        <w:t>4</w:t>
      </w:r>
      <w:r>
        <w:rPr>
          <w:rFonts w:hint="eastAsia" w:ascii="仿宋_GB2312" w:hAnsi="仿宋_GB2312" w:eastAsia="仿宋_GB2312" w:cs="仿宋_GB2312"/>
          <w:color w:val="auto"/>
          <w:kern w:val="0"/>
          <w:sz w:val="32"/>
          <w:szCs w:val="32"/>
          <w:highlight w:val="none"/>
          <w:lang w:bidi="ar-SA"/>
        </w:rPr>
        <w:t>年支出预算</w:t>
      </w:r>
      <w:r>
        <w:rPr>
          <w:rFonts w:hint="eastAsia" w:ascii="仿宋_GB2312" w:hAnsi="仿宋_GB2312" w:eastAsia="仿宋_GB2312" w:cs="仿宋_GB2312"/>
          <w:color w:val="auto"/>
          <w:kern w:val="0"/>
          <w:sz w:val="32"/>
          <w:szCs w:val="32"/>
          <w:highlight w:val="none"/>
          <w:lang w:val="en-US" w:eastAsia="zh-CN" w:bidi="ar-SA"/>
        </w:rPr>
        <w:t>653.04</w:t>
      </w:r>
      <w:r>
        <w:rPr>
          <w:rFonts w:hint="eastAsia" w:ascii="仿宋_GB2312" w:hAnsi="仿宋_GB2312" w:eastAsia="仿宋_GB2312" w:cs="仿宋_GB2312"/>
          <w:color w:val="auto"/>
          <w:kern w:val="0"/>
          <w:sz w:val="32"/>
          <w:szCs w:val="32"/>
          <w:highlight w:val="none"/>
          <w:lang w:bidi="ar-SA"/>
        </w:rPr>
        <w:t>万元，其中：基本支出</w:t>
      </w:r>
      <w:r>
        <w:rPr>
          <w:rFonts w:hint="eastAsia" w:ascii="仿宋_GB2312" w:hAnsi="仿宋_GB2312" w:eastAsia="仿宋_GB2312" w:cs="仿宋_GB2312"/>
          <w:color w:val="auto"/>
          <w:kern w:val="0"/>
          <w:sz w:val="32"/>
          <w:szCs w:val="32"/>
          <w:highlight w:val="none"/>
          <w:lang w:val="en-US" w:eastAsia="zh-CN" w:bidi="ar-SA"/>
        </w:rPr>
        <w:t>554.01万元</w:t>
      </w:r>
      <w:r>
        <w:rPr>
          <w:rFonts w:hint="eastAsia" w:ascii="仿宋_GB2312" w:hAnsi="仿宋_GB2312" w:eastAsia="仿宋_GB2312" w:cs="仿宋_GB2312"/>
          <w:color w:val="auto"/>
          <w:kern w:val="0"/>
          <w:sz w:val="32"/>
          <w:szCs w:val="32"/>
          <w:highlight w:val="none"/>
          <w:lang w:bidi="ar-SA"/>
        </w:rPr>
        <w:t>，占</w:t>
      </w:r>
      <w:r>
        <w:rPr>
          <w:rFonts w:hint="eastAsia" w:ascii="仿宋_GB2312" w:hAnsi="仿宋_GB2312" w:eastAsia="仿宋_GB2312" w:cs="仿宋_GB2312"/>
          <w:color w:val="auto"/>
          <w:kern w:val="0"/>
          <w:sz w:val="32"/>
          <w:szCs w:val="32"/>
          <w:highlight w:val="none"/>
          <w:lang w:val="en-US" w:eastAsia="zh-CN" w:bidi="ar-SA"/>
        </w:rPr>
        <w:t>99.71</w:t>
      </w:r>
      <w:r>
        <w:rPr>
          <w:rFonts w:hint="eastAsia" w:ascii="仿宋_GB2312" w:hAnsi="仿宋_GB2312" w:eastAsia="仿宋_GB2312" w:cs="仿宋_GB2312"/>
          <w:color w:val="auto"/>
          <w:kern w:val="0"/>
          <w:sz w:val="32"/>
          <w:szCs w:val="32"/>
          <w:highlight w:val="none"/>
          <w:lang w:bidi="ar-SA"/>
        </w:rPr>
        <w:t>%；项目支出</w:t>
      </w:r>
      <w:r>
        <w:rPr>
          <w:rFonts w:hint="eastAsia" w:ascii="仿宋_GB2312" w:hAnsi="仿宋_GB2312" w:eastAsia="仿宋_GB2312" w:cs="仿宋_GB2312"/>
          <w:color w:val="auto"/>
          <w:kern w:val="0"/>
          <w:sz w:val="32"/>
          <w:szCs w:val="32"/>
          <w:highlight w:val="none"/>
          <w:lang w:val="en-US" w:eastAsia="zh-CN" w:bidi="ar-SA"/>
        </w:rPr>
        <w:t>99.03</w:t>
      </w:r>
      <w:r>
        <w:rPr>
          <w:rFonts w:hint="eastAsia" w:ascii="仿宋_GB2312" w:hAnsi="仿宋_GB2312" w:eastAsia="仿宋_GB2312" w:cs="仿宋_GB2312"/>
          <w:color w:val="auto"/>
          <w:kern w:val="0"/>
          <w:sz w:val="32"/>
          <w:szCs w:val="32"/>
          <w:highlight w:val="none"/>
          <w:lang w:bidi="ar-SA"/>
        </w:rPr>
        <w:t>万元，占</w:t>
      </w:r>
      <w:r>
        <w:rPr>
          <w:rFonts w:hint="eastAsia" w:ascii="仿宋_GB2312" w:hAnsi="仿宋_GB2312" w:eastAsia="仿宋_GB2312" w:cs="仿宋_GB2312"/>
          <w:color w:val="auto"/>
          <w:kern w:val="0"/>
          <w:sz w:val="32"/>
          <w:szCs w:val="32"/>
          <w:highlight w:val="none"/>
          <w:lang w:val="en-US" w:eastAsia="zh-CN" w:bidi="ar-SA"/>
        </w:rPr>
        <w:t>0.29</w:t>
      </w:r>
      <w:r>
        <w:rPr>
          <w:rFonts w:hint="eastAsia" w:ascii="仿宋_GB2312" w:hAnsi="仿宋_GB2312" w:eastAsia="仿宋_GB2312" w:cs="仿宋_GB2312"/>
          <w:color w:val="auto"/>
          <w:kern w:val="0"/>
          <w:sz w:val="32"/>
          <w:szCs w:val="32"/>
          <w:highlight w:val="none"/>
          <w:lang w:bidi="ar-SA"/>
        </w:rPr>
        <w:t>%。</w:t>
      </w:r>
    </w:p>
    <w:p w14:paraId="373A570C">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both"/>
        <w:textAlignment w:val="auto"/>
        <w:rPr>
          <w:rFonts w:hint="eastAsia" w:ascii="楷体_GB2312" w:hAnsi="宋体" w:eastAsia="楷体_GB2312" w:cs="宋体"/>
          <w:color w:val="000000"/>
          <w:kern w:val="0"/>
          <w:szCs w:val="32"/>
          <w:shd w:val="clear" w:color="auto" w:fill="FFFFFF"/>
          <w:lang w:val="en-US" w:eastAsia="zh-CN"/>
        </w:rPr>
      </w:pPr>
      <w:r>
        <w:rPr>
          <w:rFonts w:hint="eastAsia" w:ascii="楷体_GB2312" w:hAnsi="宋体" w:eastAsia="楷体_GB2312" w:cs="宋体"/>
          <w:color w:val="000000"/>
          <w:kern w:val="0"/>
          <w:szCs w:val="32"/>
          <w:shd w:val="clear" w:color="auto" w:fill="FFFFFF"/>
          <w:lang w:val="zh-CN"/>
        </w:rPr>
        <w:t>（三）部门财政资金结转结余情况</w:t>
      </w:r>
    </w:p>
    <w:p w14:paraId="43A3E32C">
      <w:pPr>
        <w:pStyle w:val="21"/>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default" w:ascii="楷体_GB2312" w:hAnsi="宋体" w:eastAsia="楷体_GB2312" w:cs="宋体"/>
          <w:color w:val="000000"/>
          <w:kern w:val="0"/>
          <w:szCs w:val="32"/>
          <w:shd w:val="clear" w:color="auto" w:fill="FFFFFF"/>
          <w:lang w:val="en-US" w:eastAsia="zh-CN"/>
        </w:rPr>
      </w:pP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2023年度财政资金结转结余0元。</w:t>
      </w:r>
    </w:p>
    <w:p w14:paraId="0C6DFDF2">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both"/>
        <w:textAlignment w:val="auto"/>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三、部门整体绩效管理情况（根据部门整体支出绩效自评</w:t>
      </w:r>
      <w:r>
        <w:rPr>
          <w:rFonts w:hint="eastAsia" w:ascii="黑体" w:hAnsi="黑体" w:eastAsia="黑体" w:cs="宋体"/>
          <w:color w:val="000000"/>
          <w:kern w:val="0"/>
          <w:szCs w:val="32"/>
          <w:shd w:val="clear" w:color="auto" w:fill="FFFFFF"/>
          <w:lang w:eastAsia="zh-CN"/>
        </w:rPr>
        <w:t>和部门预算项目支出绩效自评情况</w:t>
      </w:r>
      <w:r>
        <w:rPr>
          <w:rFonts w:hint="eastAsia" w:ascii="黑体" w:hAnsi="黑体" w:eastAsia="黑体" w:cs="宋体"/>
          <w:color w:val="000000"/>
          <w:kern w:val="0"/>
          <w:szCs w:val="32"/>
          <w:shd w:val="clear" w:color="auto" w:fill="FFFFFF"/>
        </w:rPr>
        <w:t>进行描述）</w:t>
      </w:r>
    </w:p>
    <w:p w14:paraId="35965812">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（一）部门整体履职绩效分析</w:t>
      </w:r>
    </w:p>
    <w:p w14:paraId="5622FD2A">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仿宋" w:hAnsi="仿宋" w:eastAsia="仿宋" w:cs="仿宋"/>
          <w:color w:val="000000"/>
          <w:kern w:val="0"/>
          <w:szCs w:val="32"/>
          <w:shd w:val="clear" w:color="auto" w:fill="FFFFFF"/>
          <w:lang w:val="zh-CN" w:eastAsia="zh-CN" w:bidi="ar-SA"/>
        </w:rPr>
      </w:pP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新场乡人民政府预算编制严格按照上级部门要求编制并及时报送，项目分类也严格按照上级部门要求分类，未发现有不按照要求编制、报送等行为。预算管理方面，编制内在职人员控制率小于100%，部门经费支出控制在预算内。制度执行总体较好，但仍需进一步强化，资金使用管理需进一步加强。绩效目标按要求向社会公开，部门整体绩效自评情况和自行组织的评价情况向社会公开，及时整改了绩效管理发现问题，向财政部门反馈结果应用情况。</w:t>
      </w:r>
    </w:p>
    <w:p w14:paraId="07102525">
      <w:pPr>
        <w:keepNext w:val="0"/>
        <w:keepLines w:val="0"/>
        <w:pageBreakBefore w:val="0"/>
        <w:widowControl/>
        <w:numPr>
          <w:ilvl w:val="0"/>
          <w:numId w:val="2"/>
        </w:numPr>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楷体_GB2312" w:hAnsi="楷体_GB2312" w:eastAsia="楷体_GB2312" w:cs="楷体_GB2312"/>
          <w:color w:val="000000"/>
          <w:kern w:val="0"/>
          <w:szCs w:val="32"/>
          <w:highlight w:val="none"/>
          <w:shd w:val="clear" w:color="auto" w:fill="FFFFFF"/>
          <w:lang w:val="zh-CN"/>
        </w:rPr>
      </w:pPr>
      <w:r>
        <w:rPr>
          <w:rFonts w:hint="eastAsia" w:ascii="楷体_GB2312" w:hAnsi="楷体_GB2312" w:eastAsia="楷体_GB2312" w:cs="楷体_GB2312"/>
          <w:color w:val="000000"/>
          <w:kern w:val="0"/>
          <w:szCs w:val="32"/>
          <w:highlight w:val="none"/>
          <w:shd w:val="clear" w:color="auto" w:fill="FFFFFF"/>
          <w:lang w:val="zh-CN"/>
        </w:rPr>
        <w:t>特定目标类项目绩效分析</w:t>
      </w:r>
    </w:p>
    <w:p w14:paraId="161B825A">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both"/>
        <w:textAlignment w:val="auto"/>
        <w:rPr>
          <w:rFonts w:ascii="仿宋_GB2312" w:hAnsi="宋体" w:eastAsia="仿宋_GB2312" w:cs="宋体"/>
          <w:color w:val="000000"/>
          <w:kern w:val="0"/>
          <w:szCs w:val="32"/>
          <w:highlight w:val="yellow"/>
          <w:shd w:val="clear" w:color="auto" w:fill="FFFFFF"/>
          <w:lang w:val="zh-CN"/>
        </w:rPr>
      </w:pP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新场乡</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人民政府绩效目标按要求向社会公开，部门整体绩效自评情况和自行组织的评价情况向社会公开，及时整改了绩效管理发现问题，向财政部门反馈结果应用情况。资金主要投入</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在：交通劝导员补贴3.6万元；交通安全工作经费2万元；拖欠企业账款清偿项目13.8万元；峨边彝族自治县新场乡长虹村多功能综合服务平台项目12.13万元；峨边射箭坪综合服务区管理运行费项目12万元；2024年基层组织和农村公共服务运行维护费（上级）47万元；城乡融合重大项目前期工作经费8.5万元。</w:t>
      </w:r>
    </w:p>
    <w:p w14:paraId="52538FA4">
      <w:pPr>
        <w:pStyle w:val="8"/>
        <w:keepNext w:val="0"/>
        <w:keepLines w:val="0"/>
        <w:pageBreakBefore w:val="0"/>
        <w:widowControl/>
        <w:numPr>
          <w:ilvl w:val="0"/>
          <w:numId w:val="2"/>
        </w:numPr>
        <w:shd w:val="clear" w:color="auto" w:fill="FFFFFF"/>
        <w:kinsoku/>
        <w:wordWrap/>
        <w:overflowPunct/>
        <w:topLinePunct w:val="0"/>
        <w:autoSpaceDE/>
        <w:autoSpaceDN/>
        <w:bidi w:val="0"/>
        <w:spacing w:before="0" w:beforeAutospacing="0" w:after="0" w:afterAutospacing="0" w:line="600" w:lineRule="exact"/>
        <w:ind w:left="0" w:leftChars="0" w:firstLine="640" w:firstLineChars="200"/>
        <w:jc w:val="both"/>
        <w:textAlignment w:val="auto"/>
        <w:rPr>
          <w:rStyle w:val="13"/>
          <w:rFonts w:hint="eastAsia" w:ascii="楷体_GB2312" w:hAnsi="楷体_GB2312" w:eastAsia="楷体_GB2312" w:cs="楷体_GB2312"/>
          <w:b w:val="0"/>
          <w:bCs w:val="0"/>
          <w:i w:val="0"/>
          <w:iCs w:val="0"/>
          <w:caps w:val="0"/>
          <w:smallCaps w:val="0"/>
          <w:color w:val="000000"/>
          <w:spacing w:val="0"/>
          <w:kern w:val="2"/>
          <w:sz w:val="32"/>
          <w:szCs w:val="32"/>
          <w:highlight w:val="none"/>
          <w:shd w:val="clear" w:color="auto" w:fill="FFFFFF"/>
          <w:lang w:val="zh-CN" w:eastAsia="zh-CN" w:bidi="ar-SA"/>
        </w:rPr>
      </w:pPr>
      <w:r>
        <w:rPr>
          <w:rStyle w:val="13"/>
          <w:rFonts w:hint="eastAsia" w:ascii="楷体_GB2312" w:hAnsi="楷体_GB2312" w:eastAsia="楷体_GB2312" w:cs="楷体_GB2312"/>
          <w:b w:val="0"/>
          <w:bCs w:val="0"/>
          <w:i w:val="0"/>
          <w:iCs w:val="0"/>
          <w:caps w:val="0"/>
          <w:smallCaps w:val="0"/>
          <w:color w:val="000000"/>
          <w:spacing w:val="0"/>
          <w:kern w:val="2"/>
          <w:sz w:val="32"/>
          <w:szCs w:val="32"/>
          <w:highlight w:val="none"/>
          <w:shd w:val="clear" w:color="auto" w:fill="FFFFFF"/>
          <w:lang w:val="zh-CN" w:eastAsia="zh-CN" w:bidi="ar-SA"/>
        </w:rPr>
        <w:t>部门预算项目支出情况分析</w:t>
      </w:r>
    </w:p>
    <w:p w14:paraId="0A5C34AF">
      <w:pPr>
        <w:pStyle w:val="8"/>
        <w:keepNext w:val="0"/>
        <w:keepLines w:val="0"/>
        <w:pageBreakBefore w:val="0"/>
        <w:widowControl/>
        <w:numPr>
          <w:ilvl w:val="0"/>
          <w:numId w:val="0"/>
        </w:numPr>
        <w:shd w:val="clear" w:color="auto" w:fill="FFFFFF"/>
        <w:kinsoku/>
        <w:wordWrap/>
        <w:overflowPunct/>
        <w:topLinePunct w:val="0"/>
        <w:autoSpaceDE/>
        <w:autoSpaceDN/>
        <w:bidi w:val="0"/>
        <w:spacing w:before="0" w:beforeAutospacing="0" w:after="0" w:afterAutospacing="0" w:line="600" w:lineRule="exact"/>
        <w:ind w:firstLine="640" w:firstLineChars="200"/>
        <w:jc w:val="both"/>
        <w:textAlignment w:val="auto"/>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pP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1.</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乡镇交管办劝导员补贴及乡镇交管办工作经费项目，新场乡共计</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预算5.6</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万</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元，实际支付5.6万元。</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乡镇交管办劝导员补贴及乡镇交管办工作经费项目严格按照《</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四川省人民政府办公厅关于印发建立健全全省农村道路交通安全管理工作机制实施方案的通知》（川办函〔2014〕106号）文件精神及时发放交通劝导员补贴和支付</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交管办工作经费。</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经综合汇总得出峨边彝族自治县新场乡</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乡镇交管办劝导员补贴及乡镇交管办工作经费项目</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绩效评价等级为优。</w:t>
      </w:r>
    </w:p>
    <w:p w14:paraId="07D53156">
      <w:pPr>
        <w:keepNext w:val="0"/>
        <w:keepLines w:val="0"/>
        <w:pageBreakBefore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bidi w:val="0"/>
        <w:snapToGrid w:val="0"/>
        <w:spacing w:line="600" w:lineRule="exact"/>
        <w:ind w:firstLine="640" w:firstLineChars="200"/>
        <w:jc w:val="both"/>
        <w:textAlignment w:val="auto"/>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pP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2.射箭坪综合服务区管理运行</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费</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项目，新场乡共计预算12万元，实际支付12万元。</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根据《峨边彝族自治县财政局关于开展20</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24</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年部门整体、项目和政策支出绩效评价工作的通知》文件精神，</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我单位认真组织开展了部门整体支出绩效评价工作，绩效评价自评</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得分：</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98</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分。</w:t>
      </w:r>
    </w:p>
    <w:p w14:paraId="0CFC6510">
      <w:pPr>
        <w:keepNext w:val="0"/>
        <w:keepLines w:val="0"/>
        <w:pageBreakBefore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bidi w:val="0"/>
        <w:snapToGrid w:val="0"/>
        <w:spacing w:line="600" w:lineRule="exact"/>
        <w:ind w:firstLine="640" w:firstLineChars="200"/>
        <w:jc w:val="both"/>
        <w:textAlignment w:val="auto"/>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pP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3.拖欠企业账款清偿项目，新场乡共计预算13.8万元，实际支付13.8万元。</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根据《峨边彝族自治县财政局关于开展20</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24</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年部门整体、项目和政策支出绩效评价工作的通知》文件精神，</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我单位认真组织开展了部门整体支出绩效评价工作，绩效评价自评</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得分：</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98</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分。</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 xml:space="preserve"> </w:t>
      </w:r>
    </w:p>
    <w:p w14:paraId="688668ED">
      <w:pPr>
        <w:keepNext w:val="0"/>
        <w:keepLines w:val="0"/>
        <w:pageBreakBefore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bidi w:val="0"/>
        <w:snapToGrid w:val="0"/>
        <w:spacing w:line="600" w:lineRule="exact"/>
        <w:ind w:firstLine="640" w:firstLineChars="200"/>
        <w:jc w:val="both"/>
        <w:textAlignment w:val="auto"/>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pP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4.峨边彝族自治县新场乡长虹村多功能综合服务平台项目，新场乡共计预算12.13万元，实际支付12.13万元。</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该项目</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符合当前经济社会发展需要，按程序报镇党委研究通过实施，最终报县财政备案。项目管理由村级主管，乡人民政府监管；资金使用严格按照相关文件规定执行。</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截至20</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24</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年</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12月31日，圆满</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完成目标任务，资金拨付</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12.13万元，资金拨付率达到100%，经过该项目的实施，成功</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改善长虹村办公条件，</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提高村民办事效率，更好地服务村民，</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为发展乡村振兴提供可靠保障。根据《峨边彝族自治县财政局关于开展</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2024</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年部门整体、项目和政策支出绩效评价工作的通知》文件精神，</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我单位认真组织开展了部门整体支出绩效评价工作，绩效评价自评</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得分：</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98</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分。</w:t>
      </w:r>
    </w:p>
    <w:p w14:paraId="77516CEC">
      <w:pPr>
        <w:keepNext w:val="0"/>
        <w:keepLines w:val="0"/>
        <w:pageBreakBefore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bidi w:val="0"/>
        <w:snapToGrid w:val="0"/>
        <w:spacing w:line="600" w:lineRule="exact"/>
        <w:ind w:firstLine="640" w:firstLineChars="200"/>
        <w:jc w:val="both"/>
        <w:textAlignment w:val="auto"/>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pP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5.峨边射箭坪综合服务区管理运行费项目，新场乡共计预算12万元，实际支付12万元。项目符合党中央、国务院和省委、省政府、市委、市政府、县委、县政府决策部署；符合当前经济社会发展需要，按程序报镇党委研究通过实施，最终报县财政备案。项目管理由村级主管，乡人民政府监管；资金使用严格按照相关文件规定执行。</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截至202</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4</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年</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12月31日，全乡5个村圆满</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完成目标任务，资金拨付</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12万元，资金拨付率达到100%，经过该项目的实施，保障了射箭坪综合服务区工作正常开展，</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合计</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12</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万元。根据《峨边彝族自治县财政局关于开展20</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24</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年部门整体、项目和政策支出绩效评价工作的通知》文件精神，</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我单位认真组织开展了部门整体支出绩效评价工作，绩效评价自评</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得分：</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98</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分。</w:t>
      </w:r>
    </w:p>
    <w:p w14:paraId="5AC525B8">
      <w:pPr>
        <w:keepNext w:val="0"/>
        <w:keepLines w:val="0"/>
        <w:pageBreakBefore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bidi w:val="0"/>
        <w:snapToGrid w:val="0"/>
        <w:spacing w:line="600" w:lineRule="exact"/>
        <w:ind w:firstLine="640" w:firstLineChars="200"/>
        <w:jc w:val="both"/>
        <w:textAlignment w:val="auto"/>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pP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6.2024年基层组织和农村公共服务运行维护费（上级）项目，新场乡共计预算47万元，实际支付47万元。项目符合党中央、国务院和省委、省政府、市委、市政府、县委、县政府决策部署；符合当前经济社会发展需要，经过村级“四议两公开”研究制定，报乡党委研究通过实施，最终报县财政备案。项目管理由村级主管，乡人民政府监管；资金使用严格按照《四川省财政厅关于全面建立基层组织活动和公共服务运行经费保障机制的通知》（川财基〔2016〕1号）、《四川省财政厅关于印发〈四川省基层组织活动和公共服务运行经费使用管理办法〉的通知》（川财基〔2016〕7号）、《四川省财政厅关于规范基层组织活动和公共服务运行经费使用管理的通知》（川财基函〔2016〕13号）等文件规定执行。</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截至202</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4</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年</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12月31日，全乡5个村圆满</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完成目标任务，资金拨付</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47万元，资金拨付率达到100%。</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根据《峨边彝族自治县财政局关于开展20</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24</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年财政绩效评价工作的通知》文件精神，</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我单位认真组织开展了部门整体支出绩效评价工作，绩效评价自评</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得分：</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98</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分。</w:t>
      </w:r>
    </w:p>
    <w:p w14:paraId="523D2CBA">
      <w:pPr>
        <w:keepNext w:val="0"/>
        <w:keepLines w:val="0"/>
        <w:pageBreakBefore w:val="0"/>
        <w:numPr>
          <w:ilvl w:val="0"/>
          <w:numId w:val="3"/>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snapToGrid w:val="0"/>
        <w:spacing w:line="520" w:lineRule="exact"/>
        <w:ind w:firstLine="640" w:firstLineChars="200"/>
        <w:jc w:val="both"/>
        <w:textAlignment w:val="auto"/>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pP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城乡融合重大项目前期工作经费项目，新场乡共计预算8.5万元，实际支付8.5万元。</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根据《峨边彝族自治县财政局关于开展20</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24</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年财政绩效评价工作的通知》文件精神，</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我单位认真组织开展了部门整体支出绩效评价工作，绩效评价自评</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得分：</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98</w:t>
      </w: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分。</w:t>
      </w:r>
    </w:p>
    <w:p w14:paraId="7E88C790">
      <w:pPr>
        <w:keepNext w:val="0"/>
        <w:keepLines w:val="0"/>
        <w:pageBreakBefore w:val="0"/>
        <w:numPr>
          <w:ilvl w:val="0"/>
          <w:numId w:val="2"/>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snapToGrid w:val="0"/>
        <w:spacing w:line="520" w:lineRule="exact"/>
        <w:ind w:left="0" w:leftChars="0" w:firstLine="640" w:firstLineChars="200"/>
        <w:jc w:val="both"/>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结果应用情况</w:t>
      </w:r>
    </w:p>
    <w:p w14:paraId="29912F66">
      <w:pPr>
        <w:keepNext w:val="0"/>
        <w:keepLines w:val="0"/>
        <w:pageBreakBefore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snapToGrid w:val="0"/>
        <w:spacing w:line="520" w:lineRule="exact"/>
        <w:ind w:firstLine="640" w:firstLineChars="200"/>
        <w:jc w:val="both"/>
        <w:textAlignment w:val="auto"/>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pPr>
      <w:r>
        <w:rPr>
          <w:rStyle w:val="13"/>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我乡认真贯彻落实预算绩效管理新要求新标准，切实转变思想观念，加强绩效管理在财务预算、经费开支中的统筹作用，进一步明确预算编制、预算执行分析、预算调整、决算评价工作要求和流程，对预算的编制、批复、执行、追加、调整、决算、考评等进行全过程管理。按要求开展项目和政策事前绩效评估，事中监控监测分析调整，事后绩效评价并将评价结果运用。</w:t>
      </w:r>
    </w:p>
    <w:p w14:paraId="701954F3">
      <w:pPr>
        <w:keepNext w:val="0"/>
        <w:keepLines w:val="0"/>
        <w:pageBreakBefore w:val="0"/>
        <w:numPr>
          <w:ilvl w:val="0"/>
          <w:numId w:val="4"/>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snapToGrid w:val="0"/>
        <w:spacing w:line="520" w:lineRule="exact"/>
        <w:ind w:firstLine="640" w:firstLineChars="200"/>
        <w:jc w:val="both"/>
        <w:textAlignment w:val="auto"/>
        <w:rPr>
          <w:rFonts w:hint="eastAsia"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评价结论及建议</w:t>
      </w:r>
    </w:p>
    <w:p w14:paraId="0D61C0C7">
      <w:pPr>
        <w:keepNext w:val="0"/>
        <w:keepLines w:val="0"/>
        <w:pageBreakBefore w:val="0"/>
        <w:numPr>
          <w:ilvl w:val="0"/>
          <w:numId w:val="5"/>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snapToGrid w:val="0"/>
        <w:spacing w:line="520" w:lineRule="exact"/>
        <w:ind w:firstLine="640" w:firstLineChars="200"/>
        <w:jc w:val="both"/>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评价结论</w:t>
      </w:r>
    </w:p>
    <w:p w14:paraId="0285B546">
      <w:pPr>
        <w:keepNext w:val="0"/>
        <w:keepLines w:val="0"/>
        <w:pageBreakBefore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snapToGrid w:val="0"/>
        <w:spacing w:line="520" w:lineRule="exact"/>
        <w:ind w:firstLine="640" w:firstLineChars="200"/>
        <w:jc w:val="both"/>
        <w:textAlignment w:val="auto"/>
        <w:rPr>
          <w:rStyle w:val="13"/>
          <w:rFonts w:hint="eastAsia" w:ascii="仿宋" w:hAnsi="仿宋" w:eastAsia="仿宋" w:cs="仿宋"/>
          <w:b w:val="0"/>
          <w:bCs w:val="0"/>
          <w:i w:val="0"/>
          <w:iCs w:val="0"/>
          <w:caps w:val="0"/>
          <w:smallCaps w:val="0"/>
          <w:color w:val="000000"/>
          <w:spacing w:val="0"/>
          <w:sz w:val="32"/>
          <w:szCs w:val="32"/>
          <w:highlight w:val="none"/>
          <w:shd w:val="clear" w:color="auto" w:fill="FFFFFF"/>
        </w:rPr>
      </w:pPr>
      <w:r>
        <w:rPr>
          <w:rFonts w:hint="eastAsia" w:ascii="仿宋" w:hAnsi="仿宋" w:eastAsia="仿宋" w:cs="仿宋"/>
          <w:color w:val="000000"/>
          <w:kern w:val="0"/>
          <w:sz w:val="32"/>
          <w:szCs w:val="32"/>
          <w:shd w:val="clear" w:color="auto" w:fill="FFFFFF"/>
          <w:lang w:val="en-US" w:eastAsia="zh-CN" w:bidi="ar-SA"/>
        </w:rPr>
        <w:t>2024年，新场乡人民政府认真贯彻执行预算法，认真实施预算绩效管理，重视资金支出绩效考核评价工作，采取有效的资金使用管理措施，各项资金使用严格履行审批程序，确保财政预算资金充分发挥绩效，资金使用达到了预期效果，较好地保障了各项工作开展，实现了2024年财政预算支出的绩效目标，</w:t>
      </w:r>
      <w:r>
        <w:rPr>
          <w:rStyle w:val="13"/>
          <w:rFonts w:hint="eastAsia" w:ascii="仿宋" w:hAnsi="仿宋" w:eastAsia="仿宋" w:cs="仿宋"/>
          <w:b w:val="0"/>
          <w:bCs w:val="0"/>
          <w:i w:val="0"/>
          <w:iCs w:val="0"/>
          <w:caps w:val="0"/>
          <w:smallCaps w:val="0"/>
          <w:color w:val="000000"/>
          <w:spacing w:val="0"/>
          <w:sz w:val="32"/>
          <w:szCs w:val="32"/>
          <w:shd w:val="clear" w:color="auto" w:fill="FFFFFF"/>
        </w:rPr>
        <w:t>根据《峨边彝族自治县财政局关于开展</w:t>
      </w:r>
      <w:r>
        <w:rPr>
          <w:rStyle w:val="13"/>
          <w:rFonts w:hint="eastAsia" w:ascii="仿宋" w:hAnsi="仿宋" w:eastAsia="仿宋" w:cs="仿宋"/>
          <w:b w:val="0"/>
          <w:bCs w:val="0"/>
          <w:i w:val="0"/>
          <w:iCs w:val="0"/>
          <w:caps w:val="0"/>
          <w:smallCaps w:val="0"/>
          <w:color w:val="000000"/>
          <w:spacing w:val="0"/>
          <w:sz w:val="32"/>
          <w:szCs w:val="32"/>
          <w:shd w:val="clear" w:color="auto" w:fill="FFFFFF"/>
          <w:lang w:val="en-US" w:eastAsia="zh-CN"/>
        </w:rPr>
        <w:t>2024</w:t>
      </w:r>
      <w:r>
        <w:rPr>
          <w:rStyle w:val="13"/>
          <w:rFonts w:hint="eastAsia" w:ascii="仿宋" w:hAnsi="仿宋" w:eastAsia="仿宋" w:cs="仿宋"/>
          <w:b w:val="0"/>
          <w:bCs w:val="0"/>
          <w:i w:val="0"/>
          <w:iCs w:val="0"/>
          <w:caps w:val="0"/>
          <w:smallCaps w:val="0"/>
          <w:color w:val="000000"/>
          <w:spacing w:val="0"/>
          <w:sz w:val="32"/>
          <w:szCs w:val="32"/>
          <w:shd w:val="clear" w:color="auto" w:fill="FFFFFF"/>
        </w:rPr>
        <w:t>年部门整体、项目和政策支出绩效评价工作的通知》文件精神，</w:t>
      </w:r>
      <w:r>
        <w:rPr>
          <w:rStyle w:val="13"/>
          <w:rFonts w:hint="eastAsia" w:ascii="仿宋" w:hAnsi="仿宋" w:eastAsia="仿宋" w:cs="仿宋"/>
          <w:b w:val="0"/>
          <w:bCs w:val="0"/>
          <w:i w:val="0"/>
          <w:iCs w:val="0"/>
          <w:caps w:val="0"/>
          <w:smallCaps w:val="0"/>
          <w:color w:val="000000"/>
          <w:spacing w:val="0"/>
          <w:sz w:val="32"/>
          <w:szCs w:val="32"/>
          <w:shd w:val="clear" w:color="auto" w:fill="FFFFFF"/>
          <w:lang w:val="en-US" w:eastAsia="zh-CN"/>
        </w:rPr>
        <w:t>新场乡</w:t>
      </w:r>
      <w:r>
        <w:rPr>
          <w:rStyle w:val="13"/>
          <w:rFonts w:hint="eastAsia" w:ascii="仿宋" w:hAnsi="仿宋" w:eastAsia="仿宋" w:cs="仿宋"/>
          <w:b w:val="0"/>
          <w:bCs w:val="0"/>
          <w:i w:val="0"/>
          <w:iCs w:val="0"/>
          <w:caps w:val="0"/>
          <w:smallCaps w:val="0"/>
          <w:color w:val="000000"/>
          <w:spacing w:val="0"/>
          <w:sz w:val="32"/>
          <w:szCs w:val="32"/>
          <w:shd w:val="clear" w:color="auto" w:fill="FFFFFF"/>
        </w:rPr>
        <w:t>人民政府认真组织开展了部门整体支出绩效评价工作，绩效评价</w:t>
      </w:r>
      <w:r>
        <w:rPr>
          <w:rStyle w:val="13"/>
          <w:rFonts w:hint="eastAsia" w:ascii="仿宋" w:hAnsi="仿宋" w:eastAsia="仿宋" w:cs="仿宋"/>
          <w:b w:val="0"/>
          <w:bCs w:val="0"/>
          <w:i w:val="0"/>
          <w:iCs w:val="0"/>
          <w:caps w:val="0"/>
          <w:smallCaps w:val="0"/>
          <w:color w:val="000000"/>
          <w:spacing w:val="0"/>
          <w:sz w:val="32"/>
          <w:szCs w:val="32"/>
          <w:highlight w:val="none"/>
          <w:shd w:val="clear" w:color="auto" w:fill="FFFFFF"/>
        </w:rPr>
        <w:t>得分：</w:t>
      </w:r>
      <w:r>
        <w:rPr>
          <w:rStyle w:val="13"/>
          <w:rFonts w:hint="eastAsia" w:ascii="仿宋" w:hAnsi="仿宋" w:eastAsia="仿宋" w:cs="仿宋"/>
          <w:b w:val="0"/>
          <w:bCs w:val="0"/>
          <w:i w:val="0"/>
          <w:iCs w:val="0"/>
          <w:caps w:val="0"/>
          <w:smallCaps w:val="0"/>
          <w:color w:val="000000"/>
          <w:spacing w:val="0"/>
          <w:sz w:val="32"/>
          <w:szCs w:val="32"/>
          <w:highlight w:val="none"/>
          <w:shd w:val="clear" w:color="auto" w:fill="FFFFFF"/>
          <w:lang w:val="en-US" w:eastAsia="zh-CN"/>
        </w:rPr>
        <w:t>98</w:t>
      </w:r>
      <w:r>
        <w:rPr>
          <w:rStyle w:val="13"/>
          <w:rFonts w:hint="eastAsia" w:ascii="仿宋" w:hAnsi="仿宋" w:eastAsia="仿宋" w:cs="仿宋"/>
          <w:b w:val="0"/>
          <w:bCs w:val="0"/>
          <w:i w:val="0"/>
          <w:iCs w:val="0"/>
          <w:caps w:val="0"/>
          <w:smallCaps w:val="0"/>
          <w:color w:val="000000"/>
          <w:spacing w:val="0"/>
          <w:sz w:val="32"/>
          <w:szCs w:val="32"/>
          <w:highlight w:val="none"/>
          <w:shd w:val="clear" w:color="auto" w:fill="FFFFFF"/>
        </w:rPr>
        <w:t>分。</w:t>
      </w:r>
    </w:p>
    <w:p w14:paraId="338A7B35">
      <w:pPr>
        <w:keepNext w:val="0"/>
        <w:keepLines w:val="0"/>
        <w:pageBreakBefore w:val="0"/>
        <w:numPr>
          <w:ilvl w:val="0"/>
          <w:numId w:val="5"/>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snapToGrid w:val="0"/>
        <w:spacing w:line="520" w:lineRule="exact"/>
        <w:ind w:left="0" w:leftChars="0" w:firstLine="640" w:firstLineChars="200"/>
        <w:jc w:val="both"/>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存在问题</w:t>
      </w:r>
    </w:p>
    <w:p w14:paraId="2A2E470B">
      <w:pPr>
        <w:keepNext w:val="0"/>
        <w:keepLines w:val="0"/>
        <w:pageBreakBefore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snapToGrid w:val="0"/>
        <w:spacing w:line="520" w:lineRule="exact"/>
        <w:ind w:firstLine="640" w:firstLineChars="200"/>
        <w:jc w:val="both"/>
        <w:textAlignment w:val="auto"/>
        <w:rPr>
          <w:rFonts w:hint="eastAsia" w:ascii="仿宋" w:hAnsi="仿宋" w:eastAsia="仿宋" w:cs="仿宋"/>
          <w:lang w:val="en-US" w:eastAsia="zh-CN"/>
        </w:rPr>
      </w:pPr>
      <w:r>
        <w:rPr>
          <w:rFonts w:hint="eastAsia" w:ascii="仿宋" w:hAnsi="仿宋" w:eastAsia="仿宋" w:cs="仿宋"/>
          <w:lang w:val="en-US" w:eastAsia="zh-CN"/>
        </w:rPr>
        <w:t>1.注重绩效思想理念有待进一步强化；2.绩效管理措施有待进一步细化。</w:t>
      </w:r>
    </w:p>
    <w:p w14:paraId="604BA8EF">
      <w:pPr>
        <w:keepNext w:val="0"/>
        <w:keepLines w:val="0"/>
        <w:pageBreakBefore w:val="0"/>
        <w:numPr>
          <w:ilvl w:val="0"/>
          <w:numId w:val="5"/>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snapToGrid w:val="0"/>
        <w:spacing w:line="520" w:lineRule="exact"/>
        <w:ind w:left="0" w:leftChars="0" w:firstLine="640" w:firstLineChars="200"/>
        <w:jc w:val="both"/>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改进建议</w:t>
      </w:r>
    </w:p>
    <w:p w14:paraId="3609B7B6">
      <w:pPr>
        <w:keepNext w:val="0"/>
        <w:keepLines w:val="0"/>
        <w:pageBreakBefore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snapToGrid w:val="0"/>
        <w:spacing w:line="520" w:lineRule="exact"/>
        <w:ind w:firstLine="640" w:firstLineChars="200"/>
        <w:jc w:val="both"/>
        <w:textAlignment w:val="auto"/>
        <w:rPr>
          <w:rFonts w:ascii="楷体_GB2312" w:hAnsi="宋体" w:eastAsia="楷体_GB2312" w:cs="宋体"/>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en-US" w:eastAsia="zh-CN" w:bidi="ar-SA"/>
        </w:rPr>
        <w:t>1.加强培训，提高认识；2.完善机制，强化督导。</w:t>
      </w:r>
    </w:p>
    <w:sectPr>
      <w:headerReference r:id="rId3" w:type="default"/>
      <w:footerReference r:id="rId4" w:type="default"/>
      <w:footerReference r:id="rId5" w:type="even"/>
      <w:pgSz w:w="11906" w:h="16838"/>
      <w:pgMar w:top="2041" w:right="1468" w:bottom="1587" w:left="1468" w:header="851" w:footer="992" w:gutter="0"/>
      <w:pgNumType w:fmt="decimal" w:start="1"/>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A70E16A-E13E-4F1D-994C-A78475D0064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
    <w:altName w:val="Times New Roman"/>
    <w:panose1 w:val="00000000000000000000"/>
    <w:charset w:val="00"/>
    <w:family w:val="roman"/>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embedRegular r:id="rId2" w:fontKey="{B531F080-5740-4432-9050-87273E91A140}"/>
  </w:font>
  <w:font w:name="方正黑体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embedRegular r:id="rId3" w:fontKey="{5569233B-6A9D-446F-8F17-68D100A9A311}"/>
  </w:font>
  <w:font w:name="楷体_GB2312">
    <w:panose1 w:val="02010609030101010101"/>
    <w:charset w:val="86"/>
    <w:family w:val="auto"/>
    <w:pitch w:val="default"/>
    <w:sig w:usb0="00000001" w:usb1="080E0000" w:usb2="00000000" w:usb3="00000000" w:csb0="00040000" w:csb1="00000000"/>
    <w:embedRegular r:id="rId4" w:fontKey="{44FF44C0-D6B4-4874-A4B2-B210F66F91CD}"/>
  </w:font>
  <w:font w:name="仿宋">
    <w:panose1 w:val="02010609060101010101"/>
    <w:charset w:val="86"/>
    <w:family w:val="modern"/>
    <w:pitch w:val="default"/>
    <w:sig w:usb0="800002BF" w:usb1="38CF7CFA" w:usb2="00000016" w:usb3="00000000" w:csb0="00040001" w:csb1="00000000"/>
    <w:embedRegular r:id="rId5" w:fontKey="{EE3B7044-4112-4642-8120-06AABADC6ED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06C0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80A96A">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D80A96A">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A7C35">
    <w:pPr>
      <w:pStyle w:val="6"/>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3E8924BC">
    <w:pPr>
      <w:pStyle w:val="6"/>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01258">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019BA2"/>
    <w:multiLevelType w:val="singleLevel"/>
    <w:tmpl w:val="BD019BA2"/>
    <w:lvl w:ilvl="0" w:tentative="0">
      <w:start w:val="1"/>
      <w:numFmt w:val="chineseCounting"/>
      <w:suff w:val="nothing"/>
      <w:lvlText w:val="（%1）"/>
      <w:lvlJc w:val="left"/>
      <w:rPr>
        <w:rFonts w:hint="eastAsia"/>
      </w:rPr>
    </w:lvl>
  </w:abstractNum>
  <w:abstractNum w:abstractNumId="1">
    <w:nsid w:val="D7A63049"/>
    <w:multiLevelType w:val="singleLevel"/>
    <w:tmpl w:val="D7A63049"/>
    <w:lvl w:ilvl="0" w:tentative="0">
      <w:start w:val="5"/>
      <w:numFmt w:val="chineseCounting"/>
      <w:suff w:val="nothing"/>
      <w:lvlText w:val="%1、"/>
      <w:lvlJc w:val="left"/>
      <w:rPr>
        <w:rFonts w:hint="eastAsia"/>
      </w:rPr>
    </w:lvl>
  </w:abstractNum>
  <w:abstractNum w:abstractNumId="2">
    <w:nsid w:val="335B6335"/>
    <w:multiLevelType w:val="singleLevel"/>
    <w:tmpl w:val="335B6335"/>
    <w:lvl w:ilvl="0" w:tentative="0">
      <w:start w:val="2"/>
      <w:numFmt w:val="chineseCounting"/>
      <w:suff w:val="nothing"/>
      <w:lvlText w:val="（%1）"/>
      <w:lvlJc w:val="left"/>
      <w:rPr>
        <w:rFonts w:hint="eastAsia"/>
      </w:rPr>
    </w:lvl>
  </w:abstractNum>
  <w:abstractNum w:abstractNumId="3">
    <w:nsid w:val="6E1560A7"/>
    <w:multiLevelType w:val="singleLevel"/>
    <w:tmpl w:val="6E1560A7"/>
    <w:lvl w:ilvl="0" w:tentative="0">
      <w:start w:val="2"/>
      <w:numFmt w:val="chineseCounting"/>
      <w:suff w:val="nothing"/>
      <w:lvlText w:val="（%1）"/>
      <w:lvlJc w:val="left"/>
      <w:rPr>
        <w:rFonts w:hint="eastAsia"/>
      </w:rPr>
    </w:lvl>
  </w:abstractNum>
  <w:abstractNum w:abstractNumId="4">
    <w:nsid w:val="71667971"/>
    <w:multiLevelType w:val="singleLevel"/>
    <w:tmpl w:val="71667971"/>
    <w:lvl w:ilvl="0" w:tentative="0">
      <w:start w:val="7"/>
      <w:numFmt w:val="decimal"/>
      <w:lvlText w:val="%1."/>
      <w:lvlJc w:val="left"/>
      <w:pPr>
        <w:tabs>
          <w:tab w:val="left" w:pos="312"/>
        </w:tabs>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NotTrackMoves/>
  <w:documentProtection w:enforcement="0"/>
  <w:defaultTabStop w:val="420"/>
  <w:drawingGridHorizontalSpacing w:val="160"/>
  <w:drawingGridVerticalSpacing w:val="435"/>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3946B2A"/>
    <w:rsid w:val="044C330C"/>
    <w:rsid w:val="0F702DCC"/>
    <w:rsid w:val="0FD03043"/>
    <w:rsid w:val="10B71B4A"/>
    <w:rsid w:val="13E94EDC"/>
    <w:rsid w:val="152E4A94"/>
    <w:rsid w:val="18834365"/>
    <w:rsid w:val="19927F78"/>
    <w:rsid w:val="20711F01"/>
    <w:rsid w:val="20D3703A"/>
    <w:rsid w:val="21AE59D8"/>
    <w:rsid w:val="286F56EA"/>
    <w:rsid w:val="29FB0312"/>
    <w:rsid w:val="2CC05B77"/>
    <w:rsid w:val="2D527252"/>
    <w:rsid w:val="2D7A67E5"/>
    <w:rsid w:val="329102D6"/>
    <w:rsid w:val="344A2B14"/>
    <w:rsid w:val="3A9520B3"/>
    <w:rsid w:val="3DE562B7"/>
    <w:rsid w:val="3E6507EA"/>
    <w:rsid w:val="40A35A86"/>
    <w:rsid w:val="41C85016"/>
    <w:rsid w:val="42DC31A4"/>
    <w:rsid w:val="47550EBA"/>
    <w:rsid w:val="4A0F35DD"/>
    <w:rsid w:val="50BB3388"/>
    <w:rsid w:val="55FF3FAD"/>
    <w:rsid w:val="649A4F60"/>
    <w:rsid w:val="6636451A"/>
    <w:rsid w:val="67135CAC"/>
    <w:rsid w:val="6BE94116"/>
    <w:rsid w:val="705F6A24"/>
    <w:rsid w:val="70B90980"/>
    <w:rsid w:val="724A6091"/>
    <w:rsid w:val="72C40DC1"/>
    <w:rsid w:val="7434641A"/>
    <w:rsid w:val="753D0260"/>
    <w:rsid w:val="78916378"/>
    <w:rsid w:val="792532AC"/>
    <w:rsid w:val="7BC20073"/>
    <w:rsid w:val="7C631402"/>
    <w:rsid w:val="7DCC0F6E"/>
    <w:rsid w:val="7E140770"/>
    <w:rsid w:val="7FFB739A"/>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0" w:semiHidden="0"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0" w:semiHidden="0" w:name="Emphasis" w:locked="1"/>
    <w:lsdException w:qFormat="1" w:unhideWhenUsed="0" w:uiPriority="99" w:semiHidden="0" w:name="Document Map"/>
    <w:lsdException w:uiPriority="99" w:name="Plain Text" w:locked="1"/>
    <w:lsdException w:uiPriority="99" w:name="E-mail Signature" w:locked="1"/>
    <w:lsdException w:qFormat="1" w:unhideWhenUsed="0"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locked/>
    <w:uiPriority w:val="0"/>
    <w:pPr>
      <w:widowControl w:val="0"/>
      <w:spacing w:before="240" w:after="60"/>
      <w:jc w:val="center"/>
      <w:outlineLvl w:val="0"/>
    </w:pPr>
    <w:rPr>
      <w:rFonts w:hint="default" w:ascii="Cambria" w:hAnsi="Cambria" w:cs="Times New Roman"/>
      <w:b/>
      <w:kern w:val="2"/>
      <w:sz w:val="32"/>
      <w:szCs w:val="32"/>
    </w:rPr>
  </w:style>
  <w:style w:type="paragraph" w:styleId="3">
    <w:name w:val="Normal Indent"/>
    <w:basedOn w:val="1"/>
    <w:next w:val="1"/>
    <w:qFormat/>
    <w:locked/>
    <w:uiPriority w:val="0"/>
    <w:pPr>
      <w:ind w:firstLine="200" w:firstLineChars="200"/>
    </w:pPr>
  </w:style>
  <w:style w:type="paragraph" w:styleId="4">
    <w:name w:val="Document Map"/>
    <w:basedOn w:val="1"/>
    <w:link w:val="14"/>
    <w:qFormat/>
    <w:uiPriority w:val="99"/>
    <w:rPr>
      <w:rFonts w:ascii="宋体"/>
      <w:sz w:val="18"/>
      <w:szCs w:val="18"/>
    </w:rPr>
  </w:style>
  <w:style w:type="paragraph" w:styleId="5">
    <w:name w:val="Balloon Text"/>
    <w:basedOn w:val="1"/>
    <w:link w:val="15"/>
    <w:semiHidden/>
    <w:qFormat/>
    <w:uiPriority w:val="99"/>
    <w:rPr>
      <w:sz w:val="18"/>
      <w:szCs w:val="18"/>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locked/>
    <w:uiPriority w:val="0"/>
    <w:pPr>
      <w:spacing w:before="100" w:beforeAutospacing="1" w:after="100" w:afterAutospacing="1"/>
      <w:jc w:val="left"/>
    </w:pPr>
    <w:rPr>
      <w:rFonts w:ascii="Calibri" w:hAnsi="Calibri" w:eastAsia="宋体"/>
      <w:kern w:val="0"/>
      <w:sz w:val="24"/>
      <w:szCs w:val="24"/>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qFormat/>
    <w:uiPriority w:val="99"/>
    <w:rPr>
      <w:rFonts w:cs="Times New Roman"/>
    </w:rPr>
  </w:style>
  <w:style w:type="character" w:styleId="13">
    <w:name w:val="Emphasis"/>
    <w:basedOn w:val="11"/>
    <w:qFormat/>
    <w:locked/>
    <w:uiPriority w:val="0"/>
    <w:rPr>
      <w:i/>
    </w:rPr>
  </w:style>
  <w:style w:type="character" w:customStyle="1" w:styleId="14">
    <w:name w:val="文档结构图 Char"/>
    <w:link w:val="4"/>
    <w:qFormat/>
    <w:locked/>
    <w:uiPriority w:val="99"/>
    <w:rPr>
      <w:rFonts w:ascii="宋体" w:cs="Times New Roman"/>
      <w:kern w:val="2"/>
      <w:sz w:val="18"/>
      <w:szCs w:val="18"/>
    </w:rPr>
  </w:style>
  <w:style w:type="character" w:customStyle="1" w:styleId="15">
    <w:name w:val="批注框文本 Char"/>
    <w:link w:val="5"/>
    <w:semiHidden/>
    <w:qFormat/>
    <w:locked/>
    <w:uiPriority w:val="99"/>
    <w:rPr>
      <w:rFonts w:cs="Times New Roman"/>
      <w:sz w:val="2"/>
    </w:rPr>
  </w:style>
  <w:style w:type="character" w:customStyle="1" w:styleId="16">
    <w:name w:val="页脚 Char"/>
    <w:link w:val="6"/>
    <w:qFormat/>
    <w:locked/>
    <w:uiPriority w:val="99"/>
    <w:rPr>
      <w:rFonts w:cs="Times New Roman"/>
      <w:kern w:val="2"/>
      <w:sz w:val="18"/>
      <w:szCs w:val="18"/>
    </w:rPr>
  </w:style>
  <w:style w:type="character" w:customStyle="1" w:styleId="17">
    <w:name w:val="页眉 Char"/>
    <w:link w:val="7"/>
    <w:semiHidden/>
    <w:qFormat/>
    <w:locked/>
    <w:uiPriority w:val="99"/>
    <w:rPr>
      <w:rFonts w:cs="Times New Roman"/>
      <w:sz w:val="18"/>
      <w:szCs w:val="18"/>
    </w:rPr>
  </w:style>
  <w:style w:type="paragraph" w:customStyle="1" w:styleId="18">
    <w:name w:val="四号正文"/>
    <w:basedOn w:val="1"/>
    <w:link w:val="19"/>
    <w:qFormat/>
    <w:uiPriority w:val="99"/>
    <w:pPr>
      <w:spacing w:line="360" w:lineRule="auto"/>
    </w:pPr>
    <w:rPr>
      <w:rFonts w:ascii="??" w:hAnsi="??" w:cs="宋体"/>
      <w:color w:val="000000"/>
      <w:kern w:val="0"/>
      <w:sz w:val="28"/>
      <w:szCs w:val="21"/>
    </w:rPr>
  </w:style>
  <w:style w:type="character" w:customStyle="1" w:styleId="19">
    <w:name w:val="四号正文 Char"/>
    <w:link w:val="18"/>
    <w:qFormat/>
    <w:locked/>
    <w:uiPriority w:val="99"/>
    <w:rPr>
      <w:rFonts w:ascii="??" w:hAnsi="??" w:eastAsia="宋体" w:cs="宋体"/>
      <w:color w:val="000000"/>
      <w:sz w:val="21"/>
      <w:szCs w:val="21"/>
      <w:lang w:val="en-US" w:eastAsia="zh-CN" w:bidi="ar-SA"/>
    </w:rPr>
  </w:style>
  <w:style w:type="paragraph" w:customStyle="1" w:styleId="20">
    <w:name w:val="a"/>
    <w:basedOn w:val="1"/>
    <w:qFormat/>
    <w:uiPriority w:val="99"/>
    <w:pPr>
      <w:widowControl/>
      <w:spacing w:before="100" w:beforeAutospacing="1" w:after="100" w:afterAutospacing="1"/>
      <w:jc w:val="left"/>
    </w:pPr>
    <w:rPr>
      <w:rFonts w:ascii="宋体" w:hAnsi="宋体" w:cs="宋体"/>
      <w:kern w:val="0"/>
      <w:sz w:val="24"/>
    </w:rPr>
  </w:style>
  <w:style w:type="paragraph" w:customStyle="1" w:styleId="21">
    <w:name w:val="Default"/>
    <w:qFormat/>
    <w:uiPriority w:val="99"/>
    <w:pPr>
      <w:widowControl w:val="0"/>
      <w:autoSpaceDE w:val="0"/>
      <w:autoSpaceDN w:val="0"/>
      <w:adjustRightInd w:val="0"/>
    </w:pPr>
    <w:rPr>
      <w:rFonts w:ascii="仿宋_GB2312" w:hAnsi="Times New Roman" w:eastAsia="仿宋_GB2312" w:cs="仿宋_GB2312"/>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10</Pages>
  <Words>717</Words>
  <Characters>718</Characters>
  <Lines>3</Lines>
  <Paragraphs>1</Paragraphs>
  <TotalTime>11</TotalTime>
  <ScaleCrop>false</ScaleCrop>
  <LinksUpToDate>false</LinksUpToDate>
  <CharactersWithSpaces>718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夏颜X</cp:lastModifiedBy>
  <cp:lastPrinted>2025-07-11T01:52:49Z</cp:lastPrinted>
  <dcterms:modified xsi:type="dcterms:W3CDTF">2025-07-11T01:53:21Z</dcterms:modified>
  <dc:title>区域性就业培训基地建设项目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eyJoZGlkIjoiNGYzNGRmZTAyODY3ZWQ4YjM4NDEwMTA4MzA3MTkxYjAiLCJ1c2VySWQiOiI1NTIwOTA0NTcifQ==</vt:lpwstr>
  </property>
  <property fmtid="{D5CDD505-2E9C-101B-9397-08002B2CF9AE}" pid="4" name="ICV">
    <vt:lpwstr>89B4164D01CE49D3B1DA1F08F2467AC5_13</vt:lpwstr>
  </property>
</Properties>
</file>