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580" w:lineRule="exact"/>
        <w:ind w:firstLineChars="100" w:firstLine="330"/>
        <w:contextualSpacing/>
        <w:rPr>
          <w:rFonts w:ascii="方正黑体_GBK" w:eastAsia="方正黑体_GBK" w:hint="eastAsia"/>
          <w:sz w:val="33"/>
          <w:szCs w:val="33"/>
          <w:lang w:val="en-US" w:eastAsia="zh-CN"/>
        </w:rPr>
      </w:pPr>
      <w:r>
        <w:rPr>
          <w:rFonts w:ascii="方正黑体_GBK" w:eastAsia="方正黑体_GBK" w:hint="eastAsia"/>
          <w:sz w:val="33"/>
          <w:szCs w:val="33"/>
          <w:lang w:val="zh-CN"/>
        </w:rPr>
        <w:t>附件</w:t>
      </w:r>
      <w:r>
        <w:rPr>
          <w:rFonts w:ascii="方正黑体_GBK" w:eastAsia="方正黑体_GBK" w:hint="eastAsia"/>
          <w:sz w:val="33"/>
          <w:szCs w:val="33"/>
          <w:lang w:val="en-US" w:eastAsia="zh-CN"/>
        </w:rPr>
        <w:t>1</w:t>
      </w:r>
    </w:p>
    <w:p>
      <w:pPr>
        <w:pStyle w:val="15"/>
        <w:rPr>
          <w:rFonts w:hint="eastAsia"/>
          <w:lang w:val="en-US" w:eastAsia="zh-CN"/>
        </w:rPr>
      </w:pPr>
    </w:p>
    <w:p>
      <w:pPr>
        <w:widowControl/>
        <w:spacing w:line="580" w:lineRule="exact"/>
        <w:contextualSpacing/>
        <w:jc w:val="center"/>
        <w:rPr>
          <w:rFonts w:ascii="方正小标宋简体" w:eastAsia="方正小标宋简体"/>
          <w:sz w:val="44"/>
          <w:szCs w:val="44"/>
          <w:shd w:val="clear" w:color="auto" w:fill="FFFFFF"/>
          <w:lang w:val="en-US" w:eastAsia="zh-CN"/>
        </w:rPr>
      </w:pPr>
      <w:r>
        <w:rPr>
          <w:rFonts w:ascii="方正小标宋简体" w:eastAsia="方正小标宋简体" w:hint="eastAsia"/>
          <w:sz w:val="44"/>
          <w:szCs w:val="44"/>
          <w:shd w:val="clear" w:color="auto" w:fill="FFFFFF"/>
          <w:lang w:eastAsia="zh-CN"/>
        </w:rPr>
        <w:t>峨边彝族自治县</w:t>
      </w:r>
      <w:r>
        <w:rPr>
          <w:rFonts w:ascii="方正小标宋简体" w:eastAsia="方正小标宋简体" w:hint="eastAsia"/>
          <w:sz w:val="44"/>
          <w:szCs w:val="44"/>
          <w:shd w:val="clear" w:color="auto" w:fill="FFFFFF"/>
          <w:lang w:val="en-US" w:eastAsia="zh-CN"/>
        </w:rPr>
        <w:t>新场乡人民政府</w:t>
      </w:r>
    </w:p>
    <w:p>
      <w:pPr>
        <w:widowControl/>
        <w:spacing w:line="580" w:lineRule="exact"/>
        <w:contextualSpacing/>
        <w:jc w:val="center"/>
        <w:rPr>
          <w:rFonts w:ascii="方正小标宋简体" w:eastAsia="方正小标宋简体" w:hint="eastAsia"/>
          <w:sz w:val="44"/>
          <w:szCs w:val="44"/>
          <w:shd w:val="clear" w:color="auto" w:fill="FFFFFF"/>
          <w:lang w:eastAsia="zh-CN"/>
        </w:rPr>
      </w:pPr>
      <w:r>
        <w:rPr>
          <w:rFonts w:ascii="方正小标宋简体" w:eastAsia="方正小标宋简体" w:hint="eastAsia"/>
          <w:sz w:val="44"/>
          <w:szCs w:val="44"/>
          <w:shd w:val="clear" w:color="auto" w:fill="FFFFFF"/>
          <w:lang w:eastAsia="zh-CN"/>
        </w:rPr>
        <w:t>20</w:t>
      </w:r>
      <w:r>
        <w:rPr>
          <w:rFonts w:ascii="方正小标宋简体" w:eastAsia="方正小标宋简体" w:hint="eastAsia"/>
          <w:sz w:val="44"/>
          <w:szCs w:val="44"/>
          <w:shd w:val="clear" w:color="auto" w:fill="FFFFFF"/>
          <w:lang w:val="en-US" w:eastAsia="zh-CN"/>
        </w:rPr>
        <w:t>22</w:t>
      </w:r>
      <w:r>
        <w:rPr>
          <w:rFonts w:ascii="方正小标宋简体" w:eastAsia="方正小标宋简体" w:hint="eastAsia"/>
          <w:sz w:val="44"/>
          <w:szCs w:val="44"/>
          <w:shd w:val="clear" w:color="auto" w:fill="FFFFFF"/>
          <w:lang w:eastAsia="zh-CN"/>
        </w:rPr>
        <w:t>年度部门整体</w:t>
      </w:r>
      <w:r>
        <w:rPr>
          <w:rFonts w:ascii="方正小标宋简体" w:eastAsia="方正小标宋简体" w:hint="eastAsia"/>
          <w:sz w:val="44"/>
          <w:szCs w:val="44"/>
          <w:shd w:val="clear" w:color="auto" w:fill="FFFFFF"/>
          <w:lang w:val="en-US" w:eastAsia="zh-CN"/>
        </w:rPr>
        <w:t>绩效自评</w:t>
      </w:r>
    </w:p>
    <w:p>
      <w:pPr>
        <w:widowControl/>
        <w:spacing w:line="580" w:lineRule="exact"/>
        <w:contextualSpacing/>
        <w:jc w:val="center"/>
        <w:rPr>
          <w:rFonts w:ascii="方正小标宋简体" w:eastAsia="方正小标宋简体" w:hint="eastAsia"/>
          <w:sz w:val="44"/>
          <w:szCs w:val="44"/>
          <w:shd w:val="clear" w:color="auto" w:fill="FFFFFF"/>
          <w:lang w:eastAsia="zh-CN"/>
        </w:rPr>
      </w:pPr>
      <w:r>
        <w:rPr>
          <w:rFonts w:ascii="方正小标宋简体" w:eastAsia="方正小标宋简体" w:hint="eastAsia"/>
          <w:sz w:val="44"/>
          <w:szCs w:val="44"/>
          <w:shd w:val="clear" w:color="auto" w:fill="FFFFFF"/>
          <w:lang w:eastAsia="zh-CN"/>
        </w:rPr>
        <w:t>报告</w:t>
      </w:r>
    </w:p>
    <w:p>
      <w:pPr>
        <w:pStyle w:val="15"/>
        <w:rPr>
          <w:rFonts w:ascii="仿宋_GB2312" w:eastAsia="仿宋_GB2312" w:hint="eastAsia"/>
          <w:szCs w:val="32"/>
          <w:shd w:val="clear" w:color="auto" w:fill="FFFFFF"/>
        </w:rPr>
      </w:pPr>
    </w:p>
    <w:p/>
    <w:p>
      <w:pPr>
        <w:widowControl/>
        <w:adjustRightInd w:val="0"/>
        <w:snapToGrid w:val="0"/>
        <w:spacing w:line="580" w:lineRule="exact"/>
        <w:ind w:firstLineChars="200" w:firstLine="640"/>
        <w:contextualSpacing/>
        <w:jc w:val="left"/>
        <w:rPr>
          <w:rFonts w:ascii="黑体" w:eastAsia="黑体" w:cs="宋体"/>
          <w:color w:val="000000"/>
          <w:kern w:val="0"/>
          <w:szCs w:val="32"/>
          <w:shd w:val="clear" w:color="auto" w:fill="FFFFFF"/>
          <w:lang w:val="zh-CN"/>
        </w:rPr>
      </w:pPr>
      <w:r>
        <w:rPr>
          <w:rFonts w:ascii="黑体" w:eastAsia="黑体" w:cs="宋体" w:hint="eastAsia"/>
          <w:color w:val="000000"/>
          <w:kern w:val="0"/>
          <w:szCs w:val="32"/>
          <w:shd w:val="clear" w:color="auto" w:fill="FFFFFF"/>
        </w:rPr>
        <w:t>一、</w:t>
      </w:r>
      <w:r>
        <w:rPr>
          <w:rFonts w:ascii="黑体" w:eastAsia="黑体" w:cs="宋体" w:hint="eastAsia"/>
          <w:color w:val="000000"/>
          <w:kern w:val="0"/>
          <w:szCs w:val="32"/>
          <w:shd w:val="clear" w:color="auto" w:fill="FFFFFF"/>
          <w:lang w:val="zh-CN"/>
        </w:rPr>
        <w:t>部门基本情况</w:t>
      </w:r>
    </w:p>
    <w:p>
      <w:pPr>
        <w:widowControl/>
        <w:adjustRightInd w:val="0"/>
        <w:snapToGrid w:val="0"/>
        <w:spacing w:line="580" w:lineRule="exact"/>
        <w:ind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（一）机构组成。</w:t>
      </w:r>
    </w:p>
    <w:p>
      <w:pPr>
        <w:widowControl/>
        <w:adjustRightInd w:val="0"/>
        <w:snapToGrid w:val="0"/>
        <w:spacing w:line="580" w:lineRule="exact"/>
        <w:ind w:firstLineChars="200" w:firstLine="640"/>
        <w:contextualSpacing/>
        <w:jc w:val="left"/>
        <w:rPr>
          <w:rFonts w:ascii="楷体_GB2312" w:eastAsia="仿宋_GB2312" w:cs="宋体" w:hAnsi="楷体_GB2312" w:hint="eastAsia"/>
          <w:color w:val="000000"/>
          <w:kern w:val="0"/>
          <w:szCs w:val="32"/>
          <w:shd w:val="clear" w:color="auto" w:fill="FFFFFF"/>
          <w:lang w:val="zh-CN" w:eastAsia="zh-CN"/>
        </w:rPr>
      </w:pP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新场乡</w:t>
      </w:r>
      <w:r>
        <w:rPr>
          <w:rStyle w:val="22"/>
          <w:rFonts w:ascii="仿宋_GB2312" w:eastAsia="仿宋_GB2312" w:cs="仿宋_GB2312"/>
          <w:b w:val="0"/>
          <w:bCs w:val="0"/>
          <w:i w:val="0"/>
          <w:iCs w:val="0"/>
          <w:caps w:val="0"/>
          <w:smallCaps w:val="0"/>
          <w:color w:val="000000"/>
          <w:spacing w:val="0"/>
          <w:sz w:val="32"/>
          <w:szCs w:val="32"/>
          <w:shd w:val="clear" w:color="auto" w:fill="FFFFFF"/>
        </w:rPr>
        <w:t>人民政府属行政单位，</w:t>
      </w:r>
      <w:r>
        <w:rPr>
          <w:rStyle w:val="22"/>
          <w:rFonts w:ascii="仿宋_GB2312" w:eastAsia="仿宋_GB2312" w:cs="仿宋_GB2312"/>
          <w:b w:val="0"/>
          <w:bCs w:val="0"/>
          <w:i w:val="0"/>
          <w:iCs w:val="0"/>
          <w:caps w:val="0"/>
          <w:smallCaps w:val="0"/>
          <w:color w:val="000000"/>
          <w:spacing w:val="0"/>
          <w:sz w:val="32"/>
          <w:szCs w:val="32"/>
          <w:shd w:val="clear" w:color="auto" w:fill="FFFFFF"/>
        </w:rPr>
        <w:t>内设六办一所四中心。包括党政</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办公室</w:t>
      </w:r>
      <w:r>
        <w:rPr>
          <w:rStyle w:val="22"/>
          <w:rFonts w:ascii="仿宋_GB2312" w:eastAsia="仿宋_GB2312" w:cs="仿宋_GB2312"/>
          <w:b w:val="0"/>
          <w:bCs w:val="0"/>
          <w:i w:val="0"/>
          <w:iCs w:val="0"/>
          <w:caps w:val="0"/>
          <w:smallCaps w:val="0"/>
          <w:color w:val="000000"/>
          <w:spacing w:val="0"/>
          <w:sz w:val="32"/>
          <w:szCs w:val="32"/>
          <w:shd w:val="clear" w:color="auto" w:fill="FFFFFF"/>
        </w:rPr>
        <w:t>、党建办公室、社会事务办公室</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eastAsia="zh-CN"/>
        </w:rPr>
        <w:t>、</w:t>
      </w:r>
      <w:r>
        <w:rPr>
          <w:rStyle w:val="22"/>
          <w:rFonts w:ascii="仿宋_GB2312" w:eastAsia="仿宋_GB2312" w:cs="仿宋_GB2312"/>
          <w:b w:val="0"/>
          <w:bCs w:val="0"/>
          <w:i w:val="0"/>
          <w:iCs w:val="0"/>
          <w:caps w:val="0"/>
          <w:smallCaps w:val="0"/>
          <w:color w:val="000000"/>
          <w:spacing w:val="0"/>
          <w:sz w:val="32"/>
          <w:szCs w:val="32"/>
          <w:shd w:val="clear" w:color="auto" w:fill="FFFFFF"/>
        </w:rPr>
        <w:t>规划建设管理办公室、乡村振兴办公室、综合执法办公室</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eastAsia="zh-CN"/>
        </w:rPr>
        <w:t>、</w:t>
      </w:r>
      <w:r>
        <w:rPr>
          <w:rStyle w:val="22"/>
          <w:rFonts w:ascii="仿宋_GB2312" w:eastAsia="仿宋_GB2312" w:cs="仿宋_GB2312"/>
          <w:b w:val="0"/>
          <w:bCs w:val="0"/>
          <w:i w:val="0"/>
          <w:iCs w:val="0"/>
          <w:caps w:val="0"/>
          <w:smallCaps w:val="0"/>
          <w:color w:val="000000"/>
          <w:spacing w:val="0"/>
          <w:sz w:val="32"/>
          <w:szCs w:val="32"/>
          <w:shd w:val="clear" w:color="auto" w:fill="FFFFFF"/>
        </w:rPr>
        <w:t>财政所、便民服务中心、农业综合服务中心、综治中心、文化旅游服务中心</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eastAsia="zh-CN"/>
        </w:rPr>
        <w:t>。</w:t>
      </w:r>
    </w:p>
    <w:p>
      <w:pPr>
        <w:widowControl/>
        <w:numPr>
          <w:ilvl w:val="0"/>
          <w:numId w:val="1"/>
        </w:numPr>
        <w:adjustRightInd w:val="0"/>
        <w:snapToGrid w:val="0"/>
        <w:spacing w:line="580" w:lineRule="exact"/>
        <w:ind w:left="0"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机构职能和人员概况。</w:t>
      </w:r>
    </w:p>
    <w:p>
      <w:pPr>
        <w:pStyle w:val="15"/>
        <w:rPr>
          <w:rFonts w:eastAsia="楷体_GB2312" w:hint="eastAsia"/>
          <w:lang w:val="en-US" w:eastAsia="zh-CN"/>
        </w:rPr>
      </w:pPr>
      <w:r>
        <w:rPr>
          <w:rFonts w:ascii="楷体_GB2312" w:eastAsia="楷体_GB2312" w:cs="宋体" w:hint="eastAsia"/>
          <w:color w:val="000000"/>
          <w:kern w:val="0"/>
          <w:szCs w:val="32"/>
          <w:shd w:val="clear" w:color="auto" w:fill="FFFFFF"/>
          <w:lang w:val="en-US" w:eastAsia="zh-CN"/>
        </w:rPr>
        <w:t>1.机构职能</w:t>
      </w:r>
    </w:p>
    <w:p>
      <w:pPr>
        <w:widowControl/>
        <w:adjustRightInd w:val="0"/>
        <w:snapToGrid w:val="0"/>
        <w:spacing w:line="580" w:lineRule="exact"/>
        <w:ind w:firstLineChars="200" w:firstLine="640"/>
        <w:contextualSpacing/>
        <w:jc w:val="left"/>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负责贯彻执行党和国家的路线方针政策、法律法规规章，执行县委、县政府的决定，研究决定辖区政治、经济、文化、社会、生态文明等领域事业发展的重大事项并组织实施。</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统筹落实关于辖区发展的重大决策，参与辖区建设规划和公共服务设施布局，建立健全基层社会治理工作机制，引导、整合辖区内各种社会力量为区域发展服务，推动辖区健康、有序、可持续发展。</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加强基层党组织建设和基层政权建设，巩固党的执政基础；统筹协调辖区内各领域党建工作，推进社区党建、单位党建、行业党建和区域化党建互联互动，统筹抓好新领域新业态新群体党建工作。负责人大、政协、统战、民族宗教、群团工作。</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加强基层意识形态工作，推进基层精神文明建设，培养和弘扬社会主义核心价值观，创造良好社会环境。</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负责拟定经济发展规划并组织实施。促进经济发展，推进产业结构调整，促进经济增长方式转变，促进农民增收。</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拟定社会事业发展规划并组织实施。负责教育、科技，文化旅游、体育、广播电视、民政、卫生健康、医疗保障、残疾人保障、社会保险、退役军人服务等工作，推进使民服务规范化建设管理，落实与群众密切相关的各项公共服务政策。</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负责拟定乡村振兴发展规划并组织实施。负责农业产业升级转型、美丽乡村建设、农村文化生活繁荣、农村基础设施和公共服务能力提升、脱贫攻坚等工作。</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城乡基层治理工作，深化党建引领城乡基层治理，构建共建、共治、共享的城乡基层治理工作格局，推进和谐宜居乡村建设;加强社会主义民主法制建设，承担社会治理、信访维稳、综治中心、社区戒毒、社区康复、法治建设、反邪教等工作。</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负责辖区公共事务综合管理，参与辖区规划建设，负责拟定村镇国土空间规划并组织实施，承担重点工程建设、 乡村道路建设及公共设施、水利设施等管理工作，对辖区事关群众利益的重大决策和重大项目提出建议。负责统筹组织协调指挥辖区内派驻和基层执法等力量。</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负责应急管理和安全生产工作，落实安全生产责任制，建立健全应对突发紧急事件的处置管理机制，构建公共安全防控体系</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负责自然资源、生态环境保护工作，做好网格化环监管，开展自然资源、环境保护隐患排查和治理，配合有关部门查处自然资源、环境违法行为，做好辖区内自然资源及生态环境保护工作。</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负责推进基层民主法治建设，加强普法依法治理，维护群众合法权益。负责协助武装部门做好辖区民兵训练和公民服兵役工作。</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按照干部管理权限，负责干部的教育、培训、选拔、考核和监督工作。加强本级财政、所属行政事业单位以及村级财务的核算和监督。</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根据法定职责或受委托承担辖区内审批服务、公共服务、各类社会事务服务等职责。负责制定完善权力清单、责任清单、公共服务清单，建立清单动态调整和公示机制，推进党务政务公开，接受群众监督，增加公信力。</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履行法律、法规、规章规定的其他职责，承办县委、县政府交办的其他工作。</w:t>
      </w:r>
    </w:p>
    <w:p>
      <w:pPr>
        <w:pStyle w:val="15"/>
        <w:rPr>
          <w:rFonts w:ascii="楷体_GB2312" w:eastAsia="楷体_GB2312" w:cs="宋体" w:hint="eastAsia"/>
          <w:color w:val="000000"/>
          <w:kern w:val="0"/>
          <w:szCs w:val="32"/>
          <w:shd w:val="clear" w:color="auto" w:fill="FFFFFF"/>
          <w:lang w:val="zh-CN" w:eastAsia="zh-CN"/>
        </w:rPr>
      </w:pPr>
      <w:r>
        <w:rPr>
          <w:rFonts w:ascii="楷体_GB2312" w:eastAsia="楷体_GB2312" w:cs="宋体" w:hint="eastAsia"/>
          <w:color w:val="000000"/>
          <w:kern w:val="0"/>
          <w:szCs w:val="32"/>
          <w:shd w:val="clear" w:color="auto" w:fill="FFFFFF"/>
          <w:lang w:val="en-US" w:eastAsia="zh-CN"/>
        </w:rPr>
        <w:t>2.</w:t>
      </w:r>
      <w:r>
        <w:rPr>
          <w:rFonts w:ascii="楷体_GB2312" w:eastAsia="楷体_GB2312" w:cs="宋体" w:hint="eastAsia"/>
          <w:color w:val="000000"/>
          <w:kern w:val="0"/>
          <w:szCs w:val="32"/>
          <w:shd w:val="clear" w:color="auto" w:fill="FFFFFF"/>
          <w:lang w:val="zh-CN" w:eastAsia="zh-CN"/>
        </w:rPr>
        <w:t>人员概况</w:t>
      </w:r>
    </w:p>
    <w:p>
      <w:pPr>
        <w:widowControl/>
        <w:adjustRightInd w:val="0"/>
        <w:snapToGrid w:val="0"/>
        <w:spacing w:line="580" w:lineRule="exact"/>
        <w:ind w:firstLineChars="200" w:firstLine="640"/>
        <w:contextualSpacing/>
        <w:jc w:val="left"/>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新场机关行政编制1</w:t>
      </w: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7</w:t>
      </w: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名。核定领导职数10名</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w:t>
      </w: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其中党委书记1名，</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乡</w:t>
      </w:r>
      <w:r>
        <w:rPr>
          <w:rStyle w:val="22"/>
          <w:rFonts w:ascii="仿宋_GB2312" w:eastAsia="仿宋_GB2312" w:cs="仿宋_GB2312"/>
          <w:b w:val="0"/>
          <w:bCs w:val="0"/>
          <w:i w:val="0"/>
          <w:iCs w:val="0"/>
          <w:caps w:val="0"/>
          <w:smallCaps w:val="0"/>
          <w:color w:val="000000"/>
          <w:spacing w:val="0"/>
          <w:sz w:val="32"/>
          <w:szCs w:val="32"/>
          <w:shd w:val="clear" w:color="auto" w:fill="FFFFFF"/>
          <w:lang w:val="en-US" w:eastAsia="zh-CN"/>
        </w:rPr>
        <w:t>长(副书记)1名，人大主席1名，专职副书记1名、副乡长2名(其中1名兼任武装部长)、纪委书记1名、组织委员1名(兼任统战委员)、宣传委员1名(兼任人大副主席)、政法委员1名。设中层职数7名</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。新场乡设4个直属事业单位，事业编制核定为16名。</w:t>
      </w:r>
    </w:p>
    <w:p>
      <w:pPr>
        <w:widowControl/>
        <w:numPr>
          <w:ilvl w:val="0"/>
          <w:numId w:val="1"/>
        </w:numPr>
        <w:adjustRightInd w:val="0"/>
        <w:snapToGrid w:val="0"/>
        <w:spacing w:line="580" w:lineRule="exact"/>
        <w:ind w:left="0" w:firstLineChars="200" w:firstLine="640"/>
        <w:contextualSpacing/>
        <w:jc w:val="left"/>
        <w:rPr>
          <w:rStyle w:val="0"/>
          <w:rFonts w:ascii="楷体_GB2312" w:eastAsia="楷体_GB2312" w:cs="宋体" w:hint="eastAsia"/>
          <w:color w:val="000000"/>
          <w:kern w:val="0"/>
          <w:szCs w:val="32"/>
          <w:shd w:val="clear" w:color="auto" w:fill="FFFFFF"/>
          <w:lang w:val="zh-CN"/>
        </w:rPr>
      </w:pPr>
      <w:r>
        <w:rPr>
          <w:rStyle w:val="0"/>
          <w:rFonts w:ascii="楷体_GB2312" w:eastAsia="楷体_GB2312" w:cs="宋体" w:hint="eastAsia"/>
          <w:color w:val="000000"/>
          <w:kern w:val="0"/>
          <w:szCs w:val="32"/>
          <w:shd w:val="clear" w:color="auto" w:fill="FFFFFF"/>
          <w:lang w:val="zh-CN"/>
        </w:rPr>
        <w:t>年度主要工作任务。</w:t>
      </w:r>
    </w:p>
    <w:p>
      <w:pPr>
        <w:pStyle w:val="15"/>
        <w:spacing w:line="580" w:lineRule="exact"/>
        <w:ind w:left="0" w:firstLineChars="200" w:firstLine="640"/>
        <w:jc w:val="left"/>
        <w:rPr>
          <w:rStyle w:val="22"/>
          <w:rFonts w:ascii="仿宋_GB2312" w:eastAsia="仿宋_GB2312" w:cs="仿宋_GB2312"/>
          <w:i w:val="0"/>
          <w:color w:val="000000"/>
          <w:szCs w:val="32"/>
          <w:shd w:val="clear" w:color="auto" w:fill="FFFFFF"/>
          <w:lang w:bidi="ar-SA"/>
        </w:rPr>
      </w:pPr>
      <w:r>
        <w:rPr>
          <w:rStyle w:val="22"/>
          <w:rFonts w:ascii="仿宋_GB2312" w:eastAsia="仿宋_GB2312" w:cs="仿宋_GB2312"/>
          <w:i w:val="0"/>
          <w:color w:val="000000"/>
          <w:szCs w:val="32"/>
          <w:shd w:val="clear" w:color="auto" w:fill="FFFFFF"/>
          <w:lang w:bidi="ar-SA"/>
        </w:rPr>
        <w:t>（一）加强党的建设，夯实党建基础</w:t>
      </w:r>
    </w:p>
    <w:p>
      <w:pPr>
        <w:pStyle w:val="15"/>
        <w:spacing w:line="580" w:lineRule="exact"/>
        <w:ind w:left="0" w:firstLineChars="250" w:firstLine="80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i w:val="0"/>
          <w:color w:val="000000"/>
          <w:szCs w:val="32"/>
          <w:shd w:val="clear" w:color="auto" w:fill="FFFFFF"/>
          <w:lang w:bidi="ar-SA"/>
        </w:rPr>
        <w:t>一是抓实政策学习贯彻。把迎接和学习宣传贯彻党的二十大作为首要政治任务和工作主题主线，深入学习贯彻习近平总书记来川视察重要指示精神，认真抓好省第十二次党代会、省委十二届二次全会、市委八届五次、六次全会精神以及县委九届四次全会精神的学习宣传贯彻。全年共组织召开乡党委会、乡村干部会、院坝会等53场次专题学习，</w:t>
      </w: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党委班子成员到联系村党支部宣讲6次，覆盖党员群众1200余人。</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二是扎实开展“大调研”。从有利于解决矛盾问题、有利于推动当前工作、有利于促进长远发展出发，扎实开展“大调研”工作。绘制全域农房、重点设施、重点产业分布图；对全乡1835户群众家庭5大类50个具体指标建立数据库；党政主要领导带头走访1387户，召开户长会25场，大接访3次，解决困难问题38个，收集意见建议8条；主动向上汇报、对接工作20余次，争取政策和资金支持；组织23名乡村干部外出考察学习，开拓视野、提升素能。</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三是夯实基层党建基础。加强基层党组织规范化建设，严格落实“三会一课”“党员民主评议”“四议两公开”等党内制度，每月细化党建任务清单，并督促抓好落实。严格党员教育管理，组建6支党员志愿服务队伍，每月开展“党员义工日”活动，充分发挥党员先锋模范作用，党群干群关系进一步融洽。全年新发展党员2名，培养村级后备干部7名，先后有5名乡村党员干部受到县级以上表扬，树立了新场党员干部的良好形象。</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四是深化党风廉政建设。认真履行“一岗双责”，制定年度党风廉政工作计划，细化责任清单并抓好落实，每季度听取班子成员履责情况汇报，对班子成员、中层干部、村“两委”干部和驻村工作队开展全覆盖廉政谈心谈话。常态化督查各村重点工作推进情况，点对点发出问题通报60余条，责令限期整改。开展“阳光问廉坝坝会”12场，收集群众问题、诉求类意见建议120余条，及时回应群众关切，群众满意度稳步提升。对4名党员进行党纪处分，开展廉洁警示教育10余次，对星星村廉洁教育点进行升级改造，纯洁党员队伍，保障基层风清气正。</w:t>
      </w:r>
    </w:p>
    <w:p>
      <w:pPr>
        <w:pStyle w:val="15"/>
        <w:spacing w:line="580" w:lineRule="exact"/>
        <w:ind w:left="0" w:firstLineChars="150" w:firstLine="48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（二）巩固脱贫成果，接续乡村振兴</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一是多措并举巩固成效。常态化开展防止返贫动态监测，新增监测户9户，申请医疗救助134192.35元，发动社会力量捐助12万元，严格落实监测户帮扶措施，全年未发生漏测失帮和规模性返贫的问题。多管齐下促进农户稳定增收，常态化推送就业信息，发放“五小到户”奖补329户1018970元；充分发挥本地企业作用，解决群众就地就业266人；开展就业培训1批次55人次，全面消除已脱贫家庭零就业。全乡脱贫人口人均纯收入19779.75元，同比增长10.92％，实现了“两个高于”的增收目标。</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二是农业发展稳步推进。开展农资市场检查20次，农产品质量安全抽样检测35次307个，超额完成任务。开展农村固废回收和资源化利用，秸秆综合利用率、农膜回收率、畜禽粪污处置率均达90%以上，病死畜禽专业无害化处理达100%。完成豆玉复合种植1280.12亩，大豆2176.3亩，玉米5239亩，水稻9.8亩，薯类1870亩，小春449亩，秋粮2604.8亩，年出栏生猪1.55万头，圆满完成目标任务。严格耕地保护，严控设施农用地审批、开展大棚房排查整治回头看、违建拆除和撂荒地整治、严控耕地“非农化”“非粮化”，流出耕地恢复整改48.57亩。</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三是人居环境持续改善。持续开展垃圾、厕所、污水治理“三大革命”，新改造卫生厕所321户，农村生活污水治理有效处理1189户；扎实开展村庄五清、场镇七大秩序整治、农业废弃物利用“三大行动”。“五清”行动中创新建立划片包干、重点户包联、“红黑榜”评选三种工作机制，受到市委通报表扬，多次在全乡拉通排名中名列前茅。</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四是集体经济蓬勃发展。积极探索新型集体经济发展模式，在各村集体经济独立自主充分发展的基础上，整合全乡5个村250万元闲置资金，抱团发展，成立了全市首家乡级集体经济组织——新场乡股份经济合作联合总社，成立贸易、劳务2个下属公司，主要开展农产品销售、劳务承接等经营业务，自2022年8月成立以来，集体经济增收近10万元，相关做法受到市委农办通报表扬。</w:t>
      </w:r>
    </w:p>
    <w:p>
      <w:pPr>
        <w:pStyle w:val="15"/>
        <w:spacing w:line="580" w:lineRule="exact"/>
        <w:ind w:left="0" w:firstLineChars="150" w:firstLine="48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（三）保障改善民生，提升幸福指数</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一是完善基础设施建设。完成庞桃路加宽改造、星星村5组产业路新建、星星至羊子岩产业路黑化、庞沟村氛围提升项目、星星村风貌打造项目、庞沟村污水一体化处理项目、长虹农村生活污水处理项目等21个民生工程项目。实施县乡村道改善提升工程，开工建设星星村1组产业路、羊子岩村三组通组路加宽改造、星星村通村路黑化项目，加快优化路网空间布局，提升等级结构。</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二是强化重点项目保障。坚持党建保障中心工作开展，统筹15名乡、村党员干部成立重点项目协调工作专班3个，确保峨金路加宽改造、成昆复线供电工程、通达化工异地迁建、高标准农田建设等省、市、县重点项目有序推进。</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三是提升社会保障水平。办理城乡居民养老保险新参保登记70人、退休人员养老保险24人；兑现残疾人家庭扶持产业发展物化补贴17户、临时救助6人、人道救助6人、医疗救助31人；兑现残疾人居家生活就业补贴40户、自主创业补助2户；完成全乡门牌号清理发放上墙工作，退役军人和优抚对象信息采集149人。在春节、彝族年等重要节点慰问困难家庭28户。</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（四）树牢底线思维，维护安全稳定</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一是安全生产常抓不懈。常态化开展道路交通安全宣传28次，隐患排查45次，全年上路劝导8172车次，联合城区中队开展3次专项整治行动。严格落实森林防灭火“9个上阵”和“12个100%”要求，开展7次演练，维护设备10余次，填充灭火器42瓶。每月开展矿山企业安全生产巡查，排查隐患100余条，全部限期整改到位。开展水电站安全检查6次，地质灾害隐患排查50余次，组织开展防汛演练9次。开展自建房安全排查整治，摸排疑似隐患问题33个，全面完成整改。</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二是基层治理稳步提升。活用“积分超市”，开展“洁美星”评选4批次112户，全面推行志愿服务积分制管理，激发群众内生动力，积极参与村级事务管理。着力抓好信访稳定，每月开展社会稳定形势分析研判，化解矛盾纠纷8起，其中信访积案4起，核查处理和回复“心连心”交办件8件，确保了党的二十大、省十二次党代会等重点时段稳定，未发生越级上访事件。</w:t>
      </w:r>
    </w:p>
    <w:p>
      <w:pPr>
        <w:pStyle w:val="15"/>
        <w:spacing w:line="580" w:lineRule="exact"/>
        <w:ind w:left="0" w:firstLineChars="200" w:firstLine="640"/>
        <w:jc w:val="left"/>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zh-CN" w:eastAsia="zh-CN" w:bidi="ar-SA"/>
        </w:rPr>
        <w:t>三是统筹抓好疫情防控。严格落实疫情防控有关工作要求，发放疫情防控温馨提示明白卡1570份，组织开展4轮全员核酸检测，群众接种疫苗2586人次，种率达96％；常态化做好中高风险地区摸排，摸排重点地区返回人员97人，县外返峨人员581人，劝导红事缓办13起，白事简办7起。协调购买抗疫药品（布洛芬）2批次共2万片，向县疫情防控指挥部捐献1万片，剩余药品在乡卫生院和各村卫生室的指导下，免费发放给有需要的群众，筑牢抗疫防线。</w:t>
      </w:r>
    </w:p>
    <w:p>
      <w:pPr>
        <w:widowControl/>
        <w:numPr>
          <w:ilvl w:val="0"/>
          <w:numId w:val="1"/>
        </w:numPr>
        <w:adjustRightInd w:val="0"/>
        <w:snapToGrid w:val="0"/>
        <w:spacing w:line="580" w:lineRule="exact"/>
        <w:ind w:left="0"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部门整体支出绩效目标。</w:t>
      </w:r>
    </w:p>
    <w:p>
      <w:pPr>
        <w:widowControl/>
        <w:adjustRightInd w:val="0"/>
        <w:snapToGrid w:val="0"/>
        <w:spacing w:line="580" w:lineRule="exact"/>
        <w:ind w:left="0" w:firstLineChars="200" w:firstLine="640"/>
        <w:contextualSpacing/>
        <w:jc w:val="left"/>
        <w:rPr>
          <w:rFonts w:ascii="楷体_GB2312" w:eastAsia="楷体_GB2312" w:cs="宋体" w:hint="eastAsia"/>
          <w:color w:val="000000"/>
          <w:kern w:val="0"/>
          <w:szCs w:val="32"/>
          <w:shd w:val="clear" w:color="auto" w:fill="FFFFFF"/>
          <w:lang w:val="zh-CN"/>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en-US" w:eastAsia="zh-CN" w:bidi="ar-SA"/>
        </w:rPr>
        <w:t>保障村组干部意外伤害保险、养老保险缴纳，解决全乡5个行政村村民最关心、最直接、最限时问题，包括各项公益事项建设，改善农村人居环境，保障维全乡辖区内群众办好事、做好事、解决事等支出。</w:t>
      </w:r>
    </w:p>
    <w:p>
      <w:pPr>
        <w:widowControl/>
        <w:adjustRightInd w:val="0"/>
        <w:snapToGrid w:val="0"/>
        <w:spacing w:line="580" w:lineRule="exact"/>
        <w:ind w:firstLineChars="200" w:firstLine="640"/>
        <w:contextualSpacing/>
        <w:jc w:val="left"/>
        <w:rPr>
          <w:rFonts w:ascii="黑体" w:eastAsia="黑体" w:cs="宋体"/>
          <w:color w:val="000000"/>
          <w:kern w:val="0"/>
          <w:szCs w:val="32"/>
          <w:shd w:val="clear" w:color="auto" w:fill="FFFFFF"/>
        </w:rPr>
      </w:pPr>
      <w:r>
        <w:rPr>
          <w:rFonts w:ascii="黑体" w:eastAsia="黑体" w:cs="宋体" w:hint="eastAsia"/>
          <w:color w:val="000000"/>
          <w:kern w:val="0"/>
          <w:szCs w:val="32"/>
          <w:shd w:val="clear" w:color="auto" w:fill="FFFFFF"/>
        </w:rPr>
        <w:t>二、部门财政资金收支情况</w:t>
      </w:r>
    </w:p>
    <w:p>
      <w:pPr>
        <w:widowControl/>
        <w:adjustRightInd w:val="0"/>
        <w:snapToGrid w:val="0"/>
        <w:spacing w:line="580" w:lineRule="exact"/>
        <w:ind w:firstLineChars="200" w:firstLine="640"/>
        <w:contextualSpacing/>
        <w:jc w:val="left"/>
        <w:rPr>
          <w:rFonts w:ascii="楷体_GB2312" w:eastAsia="楷体_GB2312" w:cs="宋体"/>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（一）部门财政资金收入情况。</w:t>
      </w:r>
    </w:p>
    <w:p>
      <w:pPr>
        <w:widowControl/>
        <w:adjustRightInd w:val="0"/>
        <w:snapToGrid w:val="0"/>
        <w:spacing w:line="580" w:lineRule="exact"/>
        <w:ind w:firstLineChars="200" w:firstLine="640"/>
        <w:contextualSpacing/>
        <w:jc w:val="left"/>
        <w:rPr>
          <w:rFonts w:ascii="楷体_GB2312" w:eastAsia="楷体_GB2312" w:cs="宋体" w:hint="eastAsia"/>
          <w:color w:val="000000"/>
          <w:kern w:val="0"/>
          <w:szCs w:val="32"/>
          <w:shd w:val="clear" w:color="auto" w:fill="FFFFFF"/>
          <w:lang w:val="zh-CN"/>
        </w:rPr>
      </w:pPr>
      <w:r>
        <w:rPr>
          <w:rStyle w:val="22"/>
          <w:rFonts w:ascii="仿宋_GB2312" w:eastAsia="仿宋_GB2312" w:cs="仿宋_GB2312" w:hint="eastAsia"/>
          <w:b w:val="0"/>
          <w:bCs w:val="0"/>
          <w:i w:val="0"/>
          <w:iCs w:val="0"/>
          <w:caps w:val="0"/>
          <w:smallCaps w:val="0"/>
          <w:color w:val="000000"/>
          <w:spacing w:val="0"/>
          <w:kern w:val="2"/>
          <w:sz w:val="32"/>
          <w:szCs w:val="32"/>
          <w:shd w:val="clear" w:color="auto" w:fill="FFFFFF"/>
          <w:lang w:val="en-US" w:eastAsia="zh-CN" w:bidi="ar-SA"/>
        </w:rPr>
        <w:t>2022年度财政拨款收入1007.33万元，其中：上年结转 0万元；一般公共预算拨款收入993.94 万元；政府性基金预算拨款收入13.39万元。</w:t>
      </w:r>
    </w:p>
    <w:p>
      <w:pPr>
        <w:widowControl/>
        <w:numPr>
          <w:ilvl w:val="0"/>
          <w:numId w:val="2"/>
        </w:numPr>
        <w:adjustRightInd w:val="0"/>
        <w:snapToGrid w:val="0"/>
        <w:spacing w:line="580" w:lineRule="exact"/>
        <w:ind w:left="0"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部门财政资金支出情况。</w:t>
      </w:r>
    </w:p>
    <w:p>
      <w:pPr>
        <w:keepNext w:val="0"/>
        <w:keepLines w:val="0"/>
        <w:pageBreakBefore w:val="0"/>
        <w:widowControl w:val="0"/>
        <w:kinsoku/>
        <w:wordWrap/>
        <w:overflowPunct/>
        <w:topLinePunct w:val="0"/>
        <w:autoSpaceDE/>
        <w:autoSpaceDN/>
        <w:bidi w:val="0"/>
        <w:adjustRightInd/>
        <w:snapToGrid/>
        <w:spacing w:line="580" w:lineRule="exact"/>
        <w:ind w:firstLineChars="200" w:firstLine="640"/>
        <w:jc w:val="left"/>
        <w:textAlignment w:val="auto"/>
        <w:rPr>
          <w:szCs w:val="32"/>
          <w:lang w:val="zh-CN"/>
        </w:rPr>
      </w:pPr>
      <w:r>
        <w:rPr>
          <w:rFonts w:ascii="仿宋_GB2312" w:eastAsia="仿宋_GB2312" w:cs="仿宋_GB2312" w:hint="eastAsia"/>
          <w:szCs w:val="32"/>
          <w:lang w:val="en-US" w:eastAsia="zh-CN"/>
        </w:rPr>
        <w:t>2022年度</w:t>
      </w:r>
      <w:r>
        <w:rPr>
          <w:rFonts w:ascii="仿宋_GB2312" w:eastAsia="仿宋_GB2312" w:cs="仿宋_GB2312" w:hint="eastAsia"/>
          <w:szCs w:val="32"/>
          <w:lang w:val="zh-CN" w:eastAsia="zh-CN"/>
        </w:rPr>
        <w:t>财政资金支出</w:t>
      </w:r>
      <w:r>
        <w:rPr>
          <w:rFonts w:ascii="仿宋_GB2312" w:eastAsia="仿宋_GB2312" w:cs="仿宋_GB2312" w:hint="eastAsia"/>
          <w:szCs w:val="32"/>
          <w:lang w:val="en-US" w:eastAsia="zh-CN"/>
        </w:rPr>
        <w:t>1007.33万元，其中：基本支出843.80万元；项目支出163.53万元。</w:t>
      </w:r>
    </w:p>
    <w:p>
      <w:pPr>
        <w:widowControl/>
        <w:adjustRightInd w:val="0"/>
        <w:snapToGrid w:val="0"/>
        <w:spacing w:line="580" w:lineRule="exact"/>
        <w:ind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（三）部门财政资金结转结余情况。</w:t>
      </w:r>
    </w:p>
    <w:p>
      <w:pPr>
        <w:keepNext w:val="0"/>
        <w:keepLines w:val="0"/>
        <w:pageBreakBefore w:val="0"/>
        <w:widowControl w:val="0"/>
        <w:kinsoku/>
        <w:wordWrap/>
        <w:overflowPunct/>
        <w:topLinePunct w:val="0"/>
        <w:autoSpaceDE/>
        <w:autoSpaceDN/>
        <w:bidi w:val="0"/>
        <w:adjustRightInd/>
        <w:snapToGrid/>
        <w:spacing w:line="580" w:lineRule="exact"/>
        <w:ind w:leftChars="200" w:left="640"/>
        <w:jc w:val="left"/>
        <w:textAlignment w:val="auto"/>
        <w:rPr>
          <w:lang w:val="zh-CN"/>
        </w:rPr>
      </w:pPr>
      <w:r>
        <w:rPr>
          <w:rFonts w:ascii="仿宋_GB2312" w:eastAsia="仿宋_GB2312" w:cs="仿宋_GB2312" w:hint="eastAsia"/>
          <w:szCs w:val="32"/>
        </w:rPr>
        <w:t>2022年度财政资金结转结余0元</w:t>
      </w:r>
      <w:r>
        <w:rPr>
          <w:rFonts w:ascii="仿宋_GB2312" w:eastAsia="仿宋_GB2312" w:cs="仿宋_GB2312" w:hint="eastAsia"/>
          <w:sz w:val="30"/>
          <w:szCs w:val="30"/>
          <w:lang w:val="en-US" w:eastAsia="zh-CN"/>
        </w:rPr>
        <w:t>。</w:t>
      </w:r>
    </w:p>
    <w:p>
      <w:pPr>
        <w:widowControl/>
        <w:adjustRightInd w:val="0"/>
        <w:snapToGrid w:val="0"/>
        <w:spacing w:line="580" w:lineRule="exact"/>
        <w:ind w:firstLineChars="200" w:firstLine="640"/>
        <w:contextualSpacing/>
        <w:jc w:val="left"/>
        <w:rPr>
          <w:rFonts w:ascii="黑体" w:eastAsia="黑体" w:cs="宋体"/>
          <w:color w:val="000000"/>
          <w:kern w:val="0"/>
          <w:szCs w:val="32"/>
          <w:shd w:val="clear" w:color="auto" w:fill="FFFFFF"/>
        </w:rPr>
      </w:pPr>
      <w:r>
        <w:rPr>
          <w:rFonts w:ascii="黑体" w:eastAsia="黑体" w:cs="宋体" w:hint="eastAsia"/>
          <w:color w:val="000000"/>
          <w:kern w:val="0"/>
          <w:szCs w:val="32"/>
          <w:shd w:val="clear" w:color="auto" w:fill="FFFFFF"/>
        </w:rPr>
        <w:t>三、部门整体绩效管理情况（根据自评体系进行描述）</w:t>
      </w:r>
    </w:p>
    <w:p>
      <w:pPr>
        <w:widowControl/>
        <w:adjustRightInd w:val="0"/>
        <w:snapToGrid w:val="0"/>
        <w:spacing w:line="580" w:lineRule="exact"/>
        <w:ind w:firstLineChars="200" w:firstLine="640"/>
        <w:contextualSpacing/>
        <w:jc w:val="left"/>
        <w:rPr>
          <w:rFonts w:ascii="楷体_GB2312" w:eastAsia="楷体_GB2312" w:cs="宋体"/>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（一）部门整体履职绩效分析。</w:t>
      </w:r>
    </w:p>
    <w:p>
      <w:pPr>
        <w:widowControl/>
        <w:adjustRightInd w:val="0"/>
        <w:snapToGrid w:val="0"/>
        <w:spacing w:line="580" w:lineRule="exact"/>
        <w:ind w:firstLineChars="200" w:firstLine="640"/>
        <w:contextualSpacing/>
        <w:jc w:val="left"/>
        <w:rPr>
          <w:rFonts w:ascii="仿宋_GB2312" w:eastAsia="仿宋_GB2312" w:cs="宋体"/>
          <w:color w:val="000000"/>
          <w:kern w:val="0"/>
          <w:szCs w:val="32"/>
          <w:shd w:val="clear" w:color="auto" w:fill="FFFFFF"/>
          <w:lang w:val="zh-CN"/>
        </w:rPr>
      </w:pPr>
      <w:r>
        <w:rPr>
          <w:rFonts w:ascii="仿宋_GB2312" w:eastAsia="仿宋_GB2312" w:cs="宋体" w:hint="eastAsia"/>
          <w:color w:val="000000"/>
          <w:kern w:val="0"/>
          <w:szCs w:val="32"/>
          <w:shd w:val="clear" w:color="auto" w:fill="FFFFFF"/>
          <w:lang w:val="en-US" w:eastAsia="zh-CN"/>
        </w:rPr>
        <w:t>新场乡</w:t>
      </w:r>
      <w:r>
        <w:rPr>
          <w:rFonts w:ascii="仿宋_GB2312" w:eastAsia="仿宋_GB2312" w:cs="宋体" w:hint="eastAsia"/>
          <w:color w:val="000000"/>
          <w:kern w:val="0"/>
          <w:szCs w:val="32"/>
          <w:shd w:val="clear" w:color="auto" w:fill="FFFFFF"/>
          <w:lang w:val="zh-CN"/>
        </w:rPr>
        <w:t>人民政府</w:t>
      </w:r>
      <w:r>
        <w:rPr>
          <w:rFonts w:ascii="仿宋_GB2312" w:cs="宋体" w:hAnsi="仿宋_GB2312" w:hint="eastAsia"/>
          <w:color w:val="000000"/>
          <w:kern w:val="0"/>
          <w:szCs w:val="32"/>
          <w:shd w:val="clear" w:color="auto" w:fill="FFFFFF"/>
          <w:lang w:val="en-US" w:eastAsia="zh-CN"/>
          <w:highlight w:val="auto"/>
        </w:rPr>
        <w:t>预</w:t>
      </w:r>
      <w:r>
        <w:rPr>
          <w:rFonts w:ascii="仿宋_GB2312" w:eastAsia="仿宋_GB2312" w:cs="宋体" w:hint="eastAsia"/>
          <w:color w:val="000000"/>
          <w:kern w:val="0"/>
          <w:szCs w:val="32"/>
          <w:shd w:val="clear" w:color="auto" w:fill="FFFFFF"/>
          <w:lang w:val="en-US" w:eastAsia="zh-CN"/>
        </w:rPr>
        <w:t>算编制严格按照上级部门要求编制并及时报送，项目分类也严格按照上级部门要求分类，未发现有不按照要求编制、报送等行为。</w:t>
      </w:r>
      <w:r>
        <w:rPr>
          <w:rFonts w:ascii="仿宋_GB2312" w:eastAsia="仿宋_GB2312" w:cs="宋体"/>
          <w:color w:val="000000"/>
          <w:kern w:val="0"/>
          <w:szCs w:val="32"/>
          <w:shd w:val="clear" w:color="auto" w:fill="FFFFFF"/>
          <w:lang w:val="zh-CN" w:eastAsia="zh-CN"/>
        </w:rPr>
        <w:t>预算管理方面，编制内在职人员控制率小于100%，</w:t>
      </w:r>
      <w:r>
        <w:rPr>
          <w:rFonts w:ascii="仿宋_GB2312" w:eastAsia="仿宋_GB2312" w:cs="宋体" w:hint="eastAsia"/>
          <w:color w:val="000000"/>
          <w:kern w:val="0"/>
          <w:szCs w:val="32"/>
          <w:shd w:val="clear" w:color="auto" w:fill="FFFFFF"/>
          <w:lang w:val="zh-CN" w:eastAsia="zh-CN"/>
        </w:rPr>
        <w:t>部门经费</w:t>
      </w:r>
      <w:r>
        <w:rPr>
          <w:rFonts w:ascii="仿宋_GB2312" w:eastAsia="仿宋_GB2312" w:cs="宋体"/>
          <w:color w:val="000000"/>
          <w:kern w:val="0"/>
          <w:szCs w:val="32"/>
          <w:shd w:val="clear" w:color="auto" w:fill="FFFFFF"/>
          <w:lang w:val="zh-CN" w:eastAsia="zh-CN"/>
        </w:rPr>
        <w:t>支出控制在预算内。制度执行总体较</w:t>
      </w:r>
      <w:r>
        <w:rPr>
          <w:rFonts w:ascii="仿宋_GB2312" w:eastAsia="仿宋_GB2312" w:cs="宋体" w:hint="eastAsia"/>
          <w:color w:val="000000"/>
          <w:kern w:val="0"/>
          <w:szCs w:val="32"/>
          <w:shd w:val="clear" w:color="auto" w:fill="FFFFFF"/>
          <w:lang w:val="zh-CN" w:eastAsia="zh-CN"/>
        </w:rPr>
        <w:t>好</w:t>
      </w:r>
      <w:r>
        <w:rPr>
          <w:rFonts w:ascii="仿宋_GB2312" w:eastAsia="仿宋_GB2312" w:cs="宋体"/>
          <w:color w:val="000000"/>
          <w:kern w:val="0"/>
          <w:szCs w:val="32"/>
          <w:shd w:val="clear" w:color="auto" w:fill="FFFFFF"/>
          <w:lang w:val="zh-CN" w:eastAsia="zh-CN"/>
        </w:rPr>
        <w:t>，但仍需进一步强化，资金使用管理需进一步加强。</w:t>
      </w:r>
      <w:r>
        <w:rPr>
          <w:rFonts w:ascii="仿宋_GB2312" w:eastAsia="仿宋_GB2312" w:cs="宋体" w:hint="eastAsia"/>
          <w:color w:val="000000"/>
          <w:kern w:val="0"/>
          <w:szCs w:val="32"/>
          <w:shd w:val="clear" w:color="auto" w:fill="FFFFFF"/>
          <w:lang w:val="zh-CN" w:eastAsia="zh-CN"/>
        </w:rPr>
        <w:t>绩效目标按要求向社会公开，部门整体绩效自评情况和自行组织的评价</w:t>
      </w:r>
      <w:r>
        <w:rPr>
          <w:rFonts w:ascii="仿宋_GB2312" w:eastAsia="仿宋_GB2312" w:cs="宋体" w:hint="eastAsia"/>
          <w:color w:val="000000"/>
          <w:kern w:val="0"/>
          <w:szCs w:val="32"/>
          <w:shd w:val="clear" w:color="auto" w:fill="FFFFFF"/>
          <w:lang w:val="zh-CN"/>
        </w:rPr>
        <w:t>情况向社会公开，及时整改了绩效管理发现问题，向财政部门反馈结果应用情况。资金主要投入在城乡环境整治、人居环境改善、乡村及镇区风貌、村民活动场所建设、文化设施建设、治安维稳、基础设施建设等方面，通过统计分析获取了人民群众对生态环境的健康度、居住生活的舒适度、工作出行的便捷度、居住生活的安全度各方面的良好评价。</w:t>
      </w:r>
    </w:p>
    <w:p>
      <w:pPr>
        <w:widowControl/>
        <w:adjustRightInd w:val="0"/>
        <w:snapToGrid w:val="0"/>
        <w:spacing w:line="580" w:lineRule="exact"/>
        <w:ind w:firstLineChars="200" w:firstLine="640"/>
        <w:contextualSpacing/>
        <w:jc w:val="left"/>
        <w:rPr>
          <w:rFonts w:ascii="楷体_GB2312" w:eastAsia="楷体_GB2312" w:cs="宋体"/>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（二）特定目标类项目绩效分析。</w:t>
      </w:r>
    </w:p>
    <w:p>
      <w:pPr>
        <w:widowControl/>
        <w:adjustRightInd w:val="0"/>
        <w:snapToGrid w:val="0"/>
        <w:spacing w:line="580" w:lineRule="exact"/>
        <w:ind w:left="0" w:firstLineChars="200" w:firstLine="640"/>
        <w:contextualSpacing/>
        <w:jc w:val="left"/>
        <w:rPr>
          <w:rFonts w:ascii="仿宋_GB2312" w:eastAsia="仿宋_GB2312" w:cs="宋体" w:hint="eastAsia"/>
          <w:color w:val="000000"/>
          <w:kern w:val="0"/>
          <w:szCs w:val="32"/>
          <w:shd w:val="clear" w:color="auto" w:fill="FFFFFF"/>
          <w:lang w:val="zh-CN"/>
        </w:rPr>
      </w:pPr>
      <w:r>
        <w:rPr>
          <w:rFonts w:ascii="仿宋_GB2312" w:eastAsia="仿宋_GB2312" w:cs="宋体" w:hint="eastAsia"/>
          <w:color w:val="000000"/>
          <w:kern w:val="0"/>
          <w:szCs w:val="32"/>
          <w:shd w:val="clear" w:color="auto" w:fill="FFFFFF"/>
          <w:lang w:val="en-US" w:eastAsia="zh-CN"/>
        </w:rPr>
        <w:t>1.</w:t>
      </w:r>
      <w:r>
        <w:rPr>
          <w:rFonts w:ascii="仿宋_GB2312" w:eastAsia="仿宋_GB2312" w:cs="宋体" w:hint="eastAsia"/>
          <w:color w:val="000000"/>
          <w:kern w:val="0"/>
          <w:szCs w:val="32"/>
          <w:shd w:val="clear" w:color="auto" w:fill="FFFFFF"/>
          <w:lang w:val="zh-CN"/>
        </w:rPr>
        <w:t>整体情况</w:t>
      </w:r>
    </w:p>
    <w:p>
      <w:pPr>
        <w:pStyle w:val="15"/>
        <w:spacing w:line="580" w:lineRule="exact"/>
        <w:rPr>
          <w:lang w:val="zh-CN"/>
        </w:rPr>
      </w:pPr>
      <w:r>
        <w:rPr>
          <w:rFonts w:ascii="仿宋_GB2312" w:eastAsia="仿宋_GB2312" w:cs="宋体" w:hint="eastAsia"/>
          <w:color w:val="000000"/>
          <w:kern w:val="0"/>
          <w:szCs w:val="32"/>
          <w:shd w:val="clear" w:color="auto" w:fill="FFFFFF"/>
          <w:lang w:val="zh-CN" w:eastAsia="zh-CN"/>
        </w:rPr>
        <w:t>新场乡项目具体为：射箭坪综合服务区运行管理维护费维21.78万元；计生专干岗位补贴1.98万元；城乡环境治理管理中队公益性岗位补贴9.60万元；乡镇农村人居环境整治考核奖补资金13.39万元；新场乡新凤村太阳能路灯安装工程14.99万元；峨边彝族自治县积分超市工作经费12.00万元；新场乡2018-2019年“互联网+精准扶贫”代理记帐平台费用</w:t>
      </w:r>
      <w:r>
        <w:rPr>
          <w:rFonts w:ascii="仿宋_GB2312" w:eastAsia="仿宋_GB2312" w:cs="宋体" w:hint="eastAsia"/>
          <w:color w:val="000000"/>
          <w:kern w:val="0"/>
          <w:szCs w:val="32"/>
          <w:shd w:val="clear" w:color="auto" w:fill="FFFFFF"/>
          <w:lang w:val="en-US" w:eastAsia="zh-CN"/>
        </w:rPr>
        <w:t>3.60万元；2021年度新场乡村（社区）绩效考核经费20.00万元；村组干部养老保险补助11.50万元；村组干部意外伤害保险1.09万元；基层组织和农村公共服务运行费48万元；交管办工作经费2.00万元；交通劝导员补贴3.60万元。</w:t>
      </w:r>
    </w:p>
    <w:p>
      <w:pPr>
        <w:widowControl/>
        <w:adjustRightInd w:val="0"/>
        <w:snapToGrid w:val="0"/>
        <w:spacing w:line="580" w:lineRule="exact"/>
        <w:ind w:firstLineChars="200" w:firstLine="640"/>
        <w:contextualSpacing/>
        <w:jc w:val="left"/>
        <w:rPr>
          <w:rFonts w:ascii="仿宋_GB2312" w:eastAsia="仿宋_GB2312" w:cs="宋体" w:hint="eastAsia"/>
          <w:color w:val="000000"/>
          <w:kern w:val="0"/>
          <w:szCs w:val="32"/>
          <w:shd w:val="clear" w:color="auto" w:fill="FFFFFF"/>
          <w:lang w:val="en-US" w:eastAsia="zh-CN"/>
        </w:rPr>
      </w:pPr>
      <w:r>
        <w:rPr>
          <w:rFonts w:ascii="仿宋_GB2312" w:eastAsia="仿宋_GB2312" w:cs="宋体" w:hint="eastAsia"/>
          <w:color w:val="000000"/>
          <w:kern w:val="0"/>
          <w:szCs w:val="32"/>
          <w:shd w:val="clear" w:color="auto" w:fill="FFFFFF"/>
          <w:lang w:val="zh-CN"/>
        </w:rPr>
        <w:t>2.100万以上项目：</w:t>
      </w:r>
      <w:r>
        <w:rPr>
          <w:rFonts w:ascii="仿宋_GB2312" w:eastAsia="仿宋_GB2312" w:cs="宋体" w:hint="eastAsia"/>
          <w:color w:val="000000"/>
          <w:kern w:val="0"/>
          <w:szCs w:val="32"/>
          <w:shd w:val="clear" w:color="auto" w:fill="FFFFFF"/>
          <w:lang w:val="en-US" w:eastAsia="zh-CN"/>
        </w:rPr>
        <w:t>无</w:t>
      </w:r>
    </w:p>
    <w:p>
      <w:pPr>
        <w:widowControl/>
        <w:adjustRightInd w:val="0"/>
        <w:snapToGrid w:val="0"/>
        <w:spacing w:line="580" w:lineRule="exact"/>
        <w:ind w:firstLineChars="200" w:firstLine="640"/>
        <w:contextualSpacing/>
        <w:jc w:val="left"/>
        <w:rPr>
          <w:rFonts w:ascii="楷体_GB2312" w:eastAsia="楷体_GB2312" w:cs="宋体"/>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（三）结果应用情况。</w:t>
      </w:r>
    </w:p>
    <w:p>
      <w:pPr>
        <w:widowControl/>
        <w:adjustRightInd w:val="0"/>
        <w:snapToGrid w:val="0"/>
        <w:spacing w:line="580" w:lineRule="exact"/>
        <w:ind w:firstLineChars="200" w:firstLine="640"/>
        <w:contextualSpacing/>
        <w:jc w:val="left"/>
        <w:rPr>
          <w:rFonts w:ascii="仿宋_GB2312" w:eastAsia="仿宋_GB2312" w:cs="宋体"/>
          <w:color w:val="000000"/>
          <w:kern w:val="0"/>
          <w:szCs w:val="32"/>
          <w:shd w:val="clear" w:color="auto" w:fill="FFFFFF"/>
          <w:lang w:val="zh-CN"/>
        </w:rPr>
      </w:pPr>
      <w:r>
        <w:rPr>
          <w:rFonts w:ascii="仿宋_GB2312" w:eastAsia="仿宋_GB2312" w:cs="宋体" w:hint="eastAsia"/>
          <w:color w:val="000000"/>
          <w:kern w:val="0"/>
          <w:szCs w:val="32"/>
          <w:shd w:val="clear" w:color="auto" w:fill="FFFFFF"/>
          <w:lang w:val="zh-CN"/>
        </w:rPr>
        <w:t>本单位按照财政局下达的预算指标，严格执行预算内开支，保障了单位正常运转。本部门的预决算编制均按照县财政局下达的相关文件指标进行了编制，按时完成经、编制工作，决算报表和说明均在峨边彝族自治县政府门户网站公开。绩效目标也按照有关文件如实进行了填报。</w:t>
      </w:r>
    </w:p>
    <w:p>
      <w:pPr>
        <w:widowControl/>
        <w:adjustRightInd w:val="0"/>
        <w:snapToGrid w:val="0"/>
        <w:spacing w:line="580" w:lineRule="exact"/>
        <w:ind w:firstLineChars="200" w:firstLine="640"/>
        <w:contextualSpacing/>
        <w:jc w:val="left"/>
        <w:rPr>
          <w:rFonts w:ascii="黑体" w:eastAsia="黑体" w:cs="宋体"/>
          <w:color w:val="000000"/>
          <w:kern w:val="0"/>
          <w:szCs w:val="32"/>
          <w:shd w:val="clear" w:color="auto" w:fill="FFFFFF"/>
        </w:rPr>
      </w:pPr>
      <w:r>
        <w:rPr>
          <w:rFonts w:ascii="黑体" w:eastAsia="黑体" w:cs="宋体" w:hint="eastAsia"/>
          <w:color w:val="000000"/>
          <w:kern w:val="0"/>
          <w:szCs w:val="32"/>
          <w:shd w:val="clear" w:color="auto" w:fill="FFFFFF"/>
        </w:rPr>
        <w:t>四、评价结论及建议</w:t>
      </w:r>
    </w:p>
    <w:p>
      <w:pPr>
        <w:widowControl/>
        <w:adjustRightInd w:val="0"/>
        <w:snapToGrid w:val="0"/>
        <w:spacing w:line="580" w:lineRule="exact"/>
        <w:ind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（一）评价结论。</w:t>
      </w:r>
    </w:p>
    <w:p>
      <w:pPr>
        <w:widowControl/>
        <w:adjustRightInd w:val="0"/>
        <w:snapToGrid w:val="0"/>
        <w:spacing w:line="580" w:lineRule="exact"/>
        <w:ind w:firstLineChars="200" w:firstLine="640"/>
        <w:contextualSpacing/>
        <w:jc w:val="left"/>
        <w:rPr>
          <w:lang w:val="zh-CN"/>
        </w:rPr>
      </w:pPr>
      <w:r>
        <w:rPr>
          <w:rStyle w:val="22"/>
          <w:rFonts w:ascii="仿宋_GB2312" w:eastAsia="仿宋_GB2312" w:cs="仿宋_GB2312"/>
          <w:b w:val="0"/>
          <w:bCs w:val="0"/>
          <w:i w:val="0"/>
          <w:iCs w:val="0"/>
          <w:caps w:val="0"/>
          <w:smallCaps w:val="0"/>
          <w:color w:val="000000"/>
          <w:spacing w:val="0"/>
          <w:sz w:val="32"/>
          <w:szCs w:val="32"/>
          <w:shd w:val="clear" w:color="auto" w:fill="FFFFFF"/>
        </w:rPr>
        <w:t>根据《</w:t>
      </w:r>
      <w:r>
        <w:rPr>
          <w:rStyle w:val="22"/>
          <w:rFonts w:ascii="仿宋_GB2312" w:eastAsia="仿宋_GB2312" w:cs="仿宋_GB2312" w:hint="eastAsia"/>
          <w:b w:val="0"/>
          <w:bCs w:val="0"/>
          <w:i w:val="0"/>
          <w:iCs w:val="0"/>
          <w:caps w:val="0"/>
          <w:smallCaps w:val="0"/>
          <w:color w:val="000000"/>
          <w:spacing w:val="0"/>
          <w:sz w:val="32"/>
          <w:szCs w:val="32"/>
          <w:shd w:val="clear" w:color="auto" w:fill="FFFFFF"/>
        </w:rPr>
        <w:t>峨边彝族自治县财政局关于开展2022年部门整体、项目和政策支出绩效评价工作的通知</w:t>
      </w:r>
      <w:r>
        <w:rPr>
          <w:rStyle w:val="22"/>
          <w:rFonts w:ascii="仿宋_GB2312" w:eastAsia="仿宋_GB2312" w:cs="仿宋_GB2312"/>
          <w:b w:val="0"/>
          <w:bCs w:val="0"/>
          <w:i w:val="0"/>
          <w:iCs w:val="0"/>
          <w:caps w:val="0"/>
          <w:smallCaps w:val="0"/>
          <w:color w:val="000000"/>
          <w:spacing w:val="0"/>
          <w:sz w:val="32"/>
          <w:szCs w:val="32"/>
          <w:shd w:val="clear" w:color="auto" w:fill="FFFFFF"/>
        </w:rPr>
        <w:t>》文件精神，</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新场乡</w:t>
      </w:r>
      <w:r>
        <w:rPr>
          <w:rStyle w:val="22"/>
          <w:rFonts w:ascii="仿宋_GB2312" w:eastAsia="仿宋_GB2312" w:cs="仿宋_GB2312"/>
          <w:b w:val="0"/>
          <w:bCs w:val="0"/>
          <w:i w:val="0"/>
          <w:iCs w:val="0"/>
          <w:caps w:val="0"/>
          <w:smallCaps w:val="0"/>
          <w:color w:val="000000"/>
          <w:spacing w:val="0"/>
          <w:sz w:val="32"/>
          <w:szCs w:val="32"/>
          <w:shd w:val="clear" w:color="auto" w:fill="FFFFFF"/>
        </w:rPr>
        <w:t>人民政府认真组织开展了部门整体支出绩效评价工作，绩效评价得分：</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98</w:t>
      </w:r>
      <w:r>
        <w:rPr>
          <w:rStyle w:val="22"/>
          <w:rFonts w:ascii="仿宋_GB2312" w:eastAsia="仿宋_GB2312" w:cs="仿宋_GB2312"/>
          <w:b w:val="0"/>
          <w:bCs w:val="0"/>
          <w:i w:val="0"/>
          <w:iCs w:val="0"/>
          <w:caps w:val="0"/>
          <w:smallCaps w:val="0"/>
          <w:color w:val="000000"/>
          <w:spacing w:val="0"/>
          <w:sz w:val="32"/>
          <w:szCs w:val="32"/>
          <w:shd w:val="clear" w:color="auto" w:fill="FFFFFF"/>
        </w:rPr>
        <w:t>分。</w:t>
      </w:r>
    </w:p>
    <w:p>
      <w:pPr>
        <w:widowControl/>
        <w:numPr>
          <w:ilvl w:val="0"/>
          <w:numId w:val="3"/>
        </w:numPr>
        <w:adjustRightInd w:val="0"/>
        <w:snapToGrid w:val="0"/>
        <w:spacing w:line="580" w:lineRule="exact"/>
        <w:ind w:left="0"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存在问题。</w:t>
      </w:r>
    </w:p>
    <w:p>
      <w:pPr>
        <w:widowControl/>
        <w:adjustRightInd w:val="0"/>
        <w:snapToGrid w:val="0"/>
        <w:spacing w:line="580" w:lineRule="exact"/>
        <w:ind w:firstLineChars="200" w:firstLine="640"/>
        <w:contextualSpacing/>
        <w:jc w:val="left"/>
        <w:rPr>
          <w:lang w:val="zh-CN"/>
        </w:rPr>
      </w:pP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zh-CN"/>
        </w:rPr>
        <w:t>预决算项目支出编制</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准确性有待提高，项目分类需进一步细化，</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zh-CN"/>
        </w:rPr>
        <w:t>项目执行情况还需进一步提高，财务人员业务水平还需加强等问题。</w:t>
      </w:r>
    </w:p>
    <w:p>
      <w:pPr>
        <w:widowControl/>
        <w:numPr>
          <w:ilvl w:val="0"/>
          <w:numId w:val="3"/>
        </w:numPr>
        <w:adjustRightInd w:val="0"/>
        <w:snapToGrid w:val="0"/>
        <w:spacing w:line="580" w:lineRule="exact"/>
        <w:ind w:left="0" w:firstLineChars="200" w:firstLine="640"/>
        <w:contextualSpacing/>
        <w:jc w:val="left"/>
        <w:rPr>
          <w:rFonts w:ascii="楷体_GB2312" w:eastAsia="楷体_GB2312" w:cs="宋体" w:hint="eastAsia"/>
          <w:color w:val="000000"/>
          <w:kern w:val="0"/>
          <w:szCs w:val="32"/>
          <w:shd w:val="clear" w:color="auto" w:fill="FFFFFF"/>
          <w:lang w:val="zh-CN"/>
        </w:rPr>
      </w:pPr>
      <w:r>
        <w:rPr>
          <w:rFonts w:ascii="楷体_GB2312" w:eastAsia="楷体_GB2312" w:cs="宋体" w:hint="eastAsia"/>
          <w:color w:val="000000"/>
          <w:kern w:val="0"/>
          <w:szCs w:val="32"/>
          <w:shd w:val="clear" w:color="auto" w:fill="FFFFFF"/>
          <w:lang w:val="zh-CN"/>
        </w:rPr>
        <w:t>改进建议。</w:t>
      </w:r>
    </w:p>
    <w:p>
      <w:pPr>
        <w:widowControl/>
        <w:adjustRightInd w:val="0"/>
        <w:snapToGrid w:val="0"/>
        <w:spacing w:line="580" w:lineRule="exact"/>
        <w:ind w:firstLineChars="200" w:firstLine="640"/>
        <w:contextualSpacing/>
        <w:jc w:val="left"/>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pPr>
      <w:bookmarkStart w:id="0" w:name="_GoBack"/>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1.严格预算编制。预算编制工作做早、做细、做实，把预算审核贯穿于日常财政管理工作中，科学合理地制定定额标准，既要统筹兼顾各部门的主要职能、任务，同时也要准确合理的给予各部门财力保障。</w:t>
      </w:r>
    </w:p>
    <w:p>
      <w:pPr>
        <w:widowControl/>
        <w:adjustRightInd w:val="0"/>
        <w:snapToGrid w:val="0"/>
        <w:spacing w:line="580" w:lineRule="exact"/>
        <w:ind w:firstLineChars="200" w:firstLine="640"/>
        <w:contextualSpacing/>
        <w:jc w:val="left"/>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2.建立完善的项目支出、项目绩效评价制度，在项目资金使用过程中进行监督，全程管理项目支出进度，及时采取措施完善各项管理漏洞，确保财政资金发挥最大效益。</w:t>
      </w:r>
    </w:p>
    <w:p>
      <w:pPr>
        <w:widowControl/>
        <w:adjustRightInd w:val="0"/>
        <w:snapToGrid w:val="0"/>
        <w:spacing w:line="580" w:lineRule="exact"/>
        <w:ind w:firstLineChars="200" w:firstLine="640"/>
        <w:contextualSpacing/>
        <w:jc w:val="left"/>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pP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3.加强财务知识学习，提高财务人员业务水平。</w:t>
      </w:r>
    </w:p>
    <w:p>
      <w:pPr>
        <w:widowControl/>
        <w:adjustRightInd w:val="0"/>
        <w:snapToGrid w:val="0"/>
        <w:spacing w:line="580" w:lineRule="exact"/>
        <w:ind w:firstLineChars="200" w:firstLine="640"/>
        <w:contextualSpacing/>
        <w:jc w:val="left"/>
        <w:rPr>
          <w:rStyle w:val="22"/>
          <w:rFonts w:ascii="仿宋_GB2312" w:eastAsia="仿宋_GB2312" w:cs="仿宋_GB2312" w:hint="eastAsia"/>
          <w:b w:val="0"/>
          <w:bCs w:val="0"/>
          <w:i w:val="0"/>
          <w:iCs w:val="0"/>
          <w:caps w:val="0"/>
          <w:smallCaps w:val="0"/>
          <w:color w:val="000000"/>
          <w:spacing w:val="0"/>
          <w:sz w:val="32"/>
          <w:szCs w:val="32"/>
          <w:shd w:val="clear" w:color="auto" w:fill="FFFFFF"/>
          <w:lang w:val="zh-CN"/>
        </w:rPr>
      </w:pP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en-US" w:eastAsia="zh-CN"/>
        </w:rPr>
        <w:t>4.</w:t>
      </w:r>
      <w:r>
        <w:rPr>
          <w:rStyle w:val="22"/>
          <w:rFonts w:ascii="仿宋_GB2312" w:eastAsia="仿宋_GB2312" w:cs="仿宋_GB2312" w:hint="eastAsia"/>
          <w:b w:val="0"/>
          <w:bCs w:val="0"/>
          <w:i w:val="0"/>
          <w:iCs w:val="0"/>
          <w:caps w:val="0"/>
          <w:smallCaps w:val="0"/>
          <w:color w:val="000000"/>
          <w:spacing w:val="0"/>
          <w:sz w:val="32"/>
          <w:szCs w:val="32"/>
          <w:shd w:val="clear" w:color="auto" w:fill="FFFFFF"/>
          <w:lang w:val="zh-CN" w:eastAsia="zh-CN"/>
        </w:rPr>
        <w:t>加强财务管理，严格财务审核。加强单位财务管理，健全单位财务管理制度体系，规范单位财务行为。在费用报账支付时，按照预算规定的费用项目和用途进行资金使用审核、财务严格核算，杜绝超支现象的发生。</w:t>
      </w:r>
    </w:p>
    <w:sectPr>
      <w:headerReference w:type="default" r:id="rId2"/>
      <w:footerReference w:type="even" r:id="rId3"/>
      <w:pgSz w:w="11906" w:h="16838"/>
      <w:pgMar w:top="907" w:right="1361" w:bottom="851" w:left="1361" w:header="851" w:footer="992" w:gutter="0"/>
      <w:pgNumType w:fmt="numberInDash" w:start="12"/>
      <w:docGrid w:type="lines" w:linePitch="435"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7A"/>
    <w:family w:val="auto"/>
    <w:pitch w:val="variable"/>
    <w:sig w:usb0="00000003" w:usb1="288F0000" w:usb2="00000006" w:usb3="00000000" w:csb0="00040001" w:csb1="00000000"/>
  </w:font>
  <w:font w:name="方正黑体_GBK">
    <w:altName w:val="微软雅黑"/>
    <w:panose1 w:val="03000509000000000000"/>
    <w:charset w:val="86"/>
    <w:family w:val="auto"/>
    <w:pitch w:val="variable"/>
    <w:sig w:usb0="00000000" w:usb1="00000000" w:usb2="00000000" w:usb3="00000000" w:csb0="00040000" w:csb1="00000000"/>
  </w:font>
  <w:font w:name="方正小标宋简体">
    <w:altName w:val="黑体"/>
    <w:panose1 w:val="03000509000000000000"/>
    <w:charset w:val="86"/>
    <w:family w:val="script"/>
    <w:pitch w:val="variable"/>
    <w:sig w:usb0="00000000" w:usb1="00000000" w:usb2="00000000" w:usb3="00000000" w:csb0="00040000" w:csb1="00000000"/>
  </w:font>
  <w:font w:name="仿宋_GB2312">
    <w:altName w:val="仿宋"/>
    <w:panose1 w:val="02010609030101010101"/>
    <w:charset w:val="86"/>
    <w:family w:val="modern"/>
    <w:pitch w:val="variable"/>
    <w:sig w:usb0="00000000" w:usb1="00000000" w:usb2="00000000" w:usb3="00000000" w:csb0="00040000" w:csb1="00000000"/>
  </w:font>
  <w:font w:name="黑体">
    <w:panose1 w:val="02010609060101010101"/>
    <w:charset w:val="86"/>
    <w:family w:val="auto"/>
    <w:pitch w:val="variable"/>
    <w:sig w:usb0="800002BF" w:usb1="38CF7CFA" w:usb2="00000016" w:usb3="00000000" w:csb0="00040001" w:csb1="00000000"/>
  </w:font>
  <w:font w:name="楷体_GB2312">
    <w:altName w:val="楷体"/>
    <w:panose1 w:val="02010609030101010101"/>
    <w:charset w:val="86"/>
    <w:family w:val="modern"/>
    <w:pitch w:val="variable"/>
    <w:sig w:usb0="00000000" w:usb1="00000000" w:usb2="00000000" w:usb3="00000000" w:csb0="00040000" w:csb1="00000000"/>
  </w:font>
  <w:font w:name="Times New Roman">
    <w:panose1 w:val="02020603050405020304"/>
    <w:charset w:val="CC"/>
    <w:family w:val="roman"/>
    <w:pitch w:val="variable"/>
    <w:sig w:usb0="E0002EFF" w:usb1="C000785B" w:usb2="00000009" w:usb3="00000000" w:csb0="400001FF" w:csb1="FFFF0000"/>
  </w:font>
  <w:font w:name="Arial">
    <w:panose1 w:val="020B0604020202020204"/>
    <w:charset w:val="01"/>
    <w:family w:val="swiss"/>
    <w:pitch w:val="variable"/>
    <w:sig w:usb0="E0002EFF" w:usb1="C000785B" w:usb2="00000009" w:usb3="00000000" w:csb0="400001FF" w:csb1="FFFF0000"/>
  </w:font>
  <w:font w:name="??">
    <w:altName w:val="Times New Roman"/>
    <w:panose1 w:val="00000000000000000000"/>
    <w:charset w:val="00"/>
    <w:family w:val="roman"/>
    <w:pitch w:val="variable"/>
    <w:sig w:usb0="00000000" w:usb1="00000000" w:usb2="00000000" w:usb3="00000000" w:csb0="0000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8"/>
      <w:tabs>
        <w:tab w:val="center" w:pos="4153"/>
        <w:tab w:val="right" w:pos="8306"/>
      </w:tabs>
    </w:pPr>
    <w:r>
      <w:rPr>
        <w:rFonts w:ascii="宋体"/>
        <w:sz w:val="28"/>
        <w:szCs w:val="28"/>
      </w:rPr>
      <w:fldChar w:fldCharType="begin"/>
    </w:r>
    <w:r>
      <w:rPr>
        <w:rFonts w:ascii="宋体"/>
        <w:sz w:val="28"/>
        <w:szCs w:val="28"/>
      </w:rPr>
      <w:instrText xml:space="preserve"> PAGE   \* MERGEFORMAT </w:instrText>
    </w:r>
    <w:r>
      <w:rPr>
        <w:rFonts w:ascii="宋体"/>
        <w:sz w:val="28"/>
        <w:szCs w:val="28"/>
      </w:rPr>
      <w:fldChar w:fldCharType="separate"/>
    </w:r>
    <w:r>
      <w:rPr>
        <w:rFonts w:ascii="宋体"/>
        <w:sz w:val="28"/>
        <w:szCs w:val="28"/>
        <w:lang w:val="zh-CN"/>
      </w:rPr>
      <w:t>-</w:t>
    </w:r>
    <w:r>
      <w:rPr>
        <w:rFonts w:ascii="宋体"/>
        <w:sz w:val="28"/>
        <w:szCs w:val="28"/>
      </w:rPr>
      <w:t xml:space="preserve"> 12 -</w:t>
    </w:r>
    <w:r>
      <w:rPr>
        <w:rFonts w:ascii="宋体"/>
        <w:sz w:val="28"/>
        <w:szCs w:val="28"/>
      </w:rPr>
      <w:fldChar w:fldCharType="end"/>
    </w:r>
  </w:p>
  <w:p>
    <w:pPr>
      <w:pStyle w:val="18"/>
      <w:tabs>
        <w:tab w:val="clear" w:pos="4153"/>
        <w:tab w:val="clear" w:pos="8306"/>
        <w:tab w:val="right" w:pos="9184"/>
      </w:tabs>
      <w:rPr>
        <w:rFonts w:ascii="宋体"/>
        <w:sz w:val="28"/>
        <w:szCs w:val="28"/>
      </w:rPr>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16AABA55"/>
    <w:multiLevelType w:val="singleLevel"/>
    <w:tmpl w:val="16AABA55"/>
    <w:lvl w:ilvl="0">
      <w:start w:val="2"/>
      <w:numFmt w:val="chineseCounting"/>
      <w:lvlRestart w:val="0"/>
      <w:suff w:val="nothing"/>
      <w:lvlText w:val="（%1）"/>
      <w:lvlJc w:val="left"/>
      <w:pPr>
        <w:tabs>
          <w:tab w:val="num" w:pos="0"/>
        </w:tabs>
        <w:ind w:left="0" w:hanging="0"/>
      </w:pPr>
      <w:rPr>
        <w:rFonts w:hint="eastAsia"/>
      </w:rPr>
    </w:lvl>
  </w:abstractNum>
  <w:abstractNum w:abstractNumId="1">
    <w:nsid w:val="C0C18BD4"/>
    <w:multiLevelType w:val="singleLevel"/>
    <w:tmpl w:val="C0C18BD4"/>
    <w:lvl w:ilvl="0">
      <w:start w:val="2"/>
      <w:numFmt w:val="chineseCounting"/>
      <w:lvlRestart w:val="0"/>
      <w:suff w:val="nothing"/>
      <w:lvlText w:val="（%1）"/>
      <w:lvlJc w:val="left"/>
      <w:pPr>
        <w:tabs>
          <w:tab w:val="num" w:pos="0"/>
        </w:tabs>
        <w:ind w:left="0" w:hanging="0"/>
      </w:pPr>
      <w:rPr>
        <w:rFonts w:hint="eastAsia"/>
      </w:rPr>
    </w:lvl>
  </w:abstractNum>
  <w:abstractNum w:abstractNumId="2">
    <w:nsid w:val="A957E713"/>
    <w:multiLevelType w:val="singleLevel"/>
    <w:tmpl w:val="A957E713"/>
    <w:lvl w:ilvl="0">
      <w:start w:val="2"/>
      <w:numFmt w:val="chineseCounting"/>
      <w:lvlRestart w:val="0"/>
      <w:suff w:val="nothing"/>
      <w:lvlText w:val="（%1）"/>
      <w:lvlJc w:val="left"/>
      <w:pPr>
        <w:tabs>
          <w:tab w:val="num" w:pos="0"/>
        </w:tabs>
        <w:ind w:left="0" w:hanging="0"/>
      </w:pPr>
      <w:rPr>
        <w:rFonts w:hint="eastAsia"/>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60"/>
  <w:drawingGridVerticalSpacing w:val="435"/>
  <w:displayHorizontalDrawingGridEvery w:val="0"/>
  <w:displayVerticalDrawingGridEvery w:val="1"/>
  <w:characterSpacingControl w:val="compressPunctuation"/>
  <w:noLineBreaksAfter w:lang="zh-CN" w:val="$([{£¥·‘“〈《「『【〔〖〝﹙﹛﹝＄（．［｛￡￥"/>
  <w:noLineBreaksBefore w:lang="zh-CN" w:val="!%),.:;&gt;?]}¢¨°·ˇˉ―‖’”…‰′″›℃∶、。〃〉》」』】〕〗〞︶︺︾﹀﹄﹚﹜﹞！＂％＇），．：；？］｀｜｝～￠"/>
  <w:compat>
    <w:spaceForUL/>
    <w:balanceSingleByteDoubleByteWidth/>
    <w:ulTrailSpace/>
    <w:doNotExpandShiftReturn/>
    <w:adjustLineHeightInTable/>
    <w:compatSetting w:name="compatibilityMode" w:uri="http://schemas.microsoft.com/office/word" w:val="14"/>
  </w:compat>
  <w:docVars>
    <w:docVar w:name="commondata" w:val="eyJoZGlkIjoiMzhmYjM5NTA0YjI5NzMzN2MyMTk1ZWYxMTE5ODY5NDY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latentStyles w:count="98">
    <w:lsdException w:name="Normal Indent" w:locked="1"/>
    <w:lsdException w:name="Title" w:locked="1"/>
    <w:lsdException w:name="Emphasis" w:locked="1"/>
    <w:lsdException w:name="heading 1" w:locked="1"/>
    <w:lsdException w:name="heading 2" w:locked="1"/>
    <w:lsdException w:name="heading 3" w:locked="1"/>
    <w:lsdException w:name="heading 4" w:locked="1"/>
    <w:lsdException w:name="heading 5" w:locked="1"/>
    <w:lsdException w:name="heading 6" w:locked="1"/>
    <w:lsdException w:name="heading 7" w:locked="1"/>
    <w:lsdException w:name="heading 8" w:locked="1"/>
    <w:lsdException w:name="heading 9" w:locked="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annotation text" w:locked="1"/>
    <w:lsdException w:name="index heading" w:locked="1"/>
    <w:lsdException w:name="caption" w:locked="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locked="1"/>
  </w:latentStyles>
  <w:style w:type="paragraph" w:default="1" w:styleId="0">
    <w:name w:val="Normal"/>
    <w:next w:val="15"/>
    <w:pPr>
      <w:widowControl w:val="0"/>
      <w:jc w:val="both"/>
    </w:pPr>
    <w:rPr>
      <w:rFonts w:ascii="Times New Roman" w:eastAsia="宋体" w:cs="Times New Roman" w:hAnsi="Times New Roman"/>
      <w:kern w:val="2"/>
      <w:sz w:val="32"/>
      <w:szCs w:val="24"/>
      <w:lang w:val="en-US" w:eastAsia="zh-CN" w:bidi="ar-SA"/>
    </w:rPr>
  </w:style>
  <w:style w:type="paragraph" w:styleId="1">
    <w:name w:val="heading 1"/>
    <w:basedOn w:val="0"/>
    <w:locked/>
    <w:next w:val="0"/>
    <w:pPr>
      <w:keepNext/>
      <w:keepLines/>
      <w:spacing w:before="340" w:after="330" w:line="578" w:lineRule="auto"/>
      <w:outlineLvl w:val="0"/>
    </w:pPr>
    <w:rPr>
      <w:b/>
      <w:bCs/>
      <w:kern w:val="44"/>
      <w:sz w:val="44"/>
    </w:rPr>
  </w:style>
  <w:style w:type="paragraph" w:styleId="2">
    <w:name w:val="heading 2"/>
    <w:basedOn w:val="0"/>
    <w:locked/>
    <w:next w:val="0"/>
    <w:pPr>
      <w:keepNext/>
      <w:keepLines/>
      <w:spacing w:before="260" w:after="260" w:line="415" w:lineRule="auto"/>
      <w:outlineLvl w:val="1"/>
    </w:pPr>
    <w:rPr>
      <w:rFonts w:ascii="Arial" w:eastAsia="黑体" w:hAnsi="Arial"/>
      <w:b/>
      <w:sz w:val="32"/>
    </w:rPr>
  </w:style>
  <w:style w:type="paragraph" w:styleId="3">
    <w:name w:val="heading 3"/>
    <w:basedOn w:val="0"/>
    <w:locked/>
    <w:next w:val="0"/>
    <w:pPr>
      <w:keepNext/>
      <w:keepLines/>
      <w:spacing w:before="260" w:after="260" w:line="415" w:lineRule="auto"/>
      <w:outlineLvl w:val="2"/>
    </w:pPr>
    <w:rPr>
      <w:b/>
      <w:sz w:val="32"/>
    </w:rPr>
  </w:style>
  <w:style w:type="character" w:default="1" w:styleId="10">
    <w:name w:val="Default Paragraph Font"/>
  </w:style>
  <w:style w:type="paragraph" w:styleId="15">
    <w:name w:val="Normal Indent"/>
    <w:basedOn w:val="0"/>
    <w:locked/>
    <w:next w:val="0"/>
    <w:pPr>
      <w:ind w:firstLineChars="200" w:firstLine="200"/>
    </w:pPr>
  </w:style>
  <w:style w:type="paragraph" w:styleId="16">
    <w:name w:val="Document Map"/>
    <w:basedOn w:val="0"/>
    <w:rPr>
      <w:rFonts w:ascii="宋体"/>
      <w:sz w:val="18"/>
      <w:szCs w:val="18"/>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Title"/>
    <w:basedOn w:val="0"/>
    <w:locked/>
    <w:next w:val="0"/>
    <w:pPr>
      <w:spacing w:before="240" w:after="60"/>
      <w:jc w:val="center"/>
      <w:outlineLvl w:val="0"/>
    </w:pPr>
    <w:rPr>
      <w:rFonts w:ascii="Arial" w:cs="Arial" w:hAnsi="Arial"/>
      <w:b/>
      <w:bCs/>
      <w:sz w:val="32"/>
      <w:szCs w:val="32"/>
    </w:rPr>
  </w:style>
  <w:style w:type="character" w:styleId="21">
    <w:name w:val="page number"/>
    <w:rPr>
      <w:rFonts w:cs="Times New Roman"/>
    </w:rPr>
  </w:style>
  <w:style w:type="character" w:styleId="22">
    <w:name w:val="Emphasis"/>
    <w:basedOn w:val="10"/>
    <w:locked/>
    <w:rPr>
      <w:i/>
    </w:rPr>
  </w:style>
  <w:style w:type="paragraph" w:customStyle="1" w:styleId="23">
    <w:name w:val="四号正文"/>
    <w:basedOn w:val="0"/>
    <w:pPr>
      <w:spacing w:line="360" w:lineRule="auto"/>
    </w:pPr>
    <w:rPr>
      <w:rFonts w:ascii="??" w:cs="宋体" w:hAnsi="??"/>
      <w:color w:val="000000"/>
      <w:kern w:val="0"/>
      <w:sz w:val="28"/>
      <w:szCs w:val="21"/>
    </w:rPr>
  </w:style>
  <w:style w:type="paragraph" w:customStyle="1" w:styleId="24">
    <w:name w:val="a"/>
    <w:basedOn w:val="0"/>
    <w:pPr>
      <w:widowControl/>
      <w:spacing w:before="100" w:beforeAutospacing="1" w:after="10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styles" Target="styles.xml"/><Relationship Id="rId5" Type="http://schemas.openxmlformats.org/officeDocument/2006/relationships/numbering" Target="numbering.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11</TotalTime>
  <Application>Yozo_Office27021597764231180</Application>
  <Pages>10</Pages>
  <Words>0</Words>
  <Characters>4415</Characters>
  <Lines>0</Lines>
  <Paragraphs>76</Paragraphs>
  <CharactersWithSpaces>5887</CharactersWithSpaces>
  <Company>PSZX</Company>
</Properties>
</file>

<file path=docProps/core.xml><?xml version="1.0" encoding="utf-8"?>
<cp:coreProperties xmlns:cp="http://schemas.openxmlformats.org/package/2006/metadata/core-properties" xmlns:dc="http://purl.org/dc/elements/1.1/" xmlns:dcterms="http://purl.org/dc/terms/" xmlns:xsi="http://www.w3.org/2001/XMLSchema-instance">
  <dc:title>区域性就业培训基地建设项目</dc:title>
  <dc:creator>陈萍</dc:creator>
  <cp:lastModifiedBy>Administrator</cp:lastModifiedBy>
  <cp:revision>14</cp:revision>
  <cp:lastPrinted>2022-03-15T02:17:00Z</cp:lastPrinted>
  <dcterms:created xsi:type="dcterms:W3CDTF">2020-05-28T09:28:00Z</dcterms:created>
  <dcterms:modified xsi:type="dcterms:W3CDTF">2023-08-28T09:49:52Z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737D8AC93F0342118D98EB778A553457_13</vt:lpwstr>
  </property>
</Properties>
</file>