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3</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ind w:firstLine="883" w:firstLineChars="200"/>
        <w:contextualSpacing/>
        <w:jc w:val="center"/>
        <w:rPr>
          <w:rFonts w:hint="default" w:ascii="宋体" w:hAnsi="宋体" w:eastAsia="宋体"/>
          <w:b/>
          <w:sz w:val="44"/>
          <w:szCs w:val="44"/>
          <w:shd w:val="clear" w:color="auto" w:fill="FFFFFF"/>
          <w:lang w:val="en-US" w:eastAsia="zh-CN"/>
        </w:rPr>
      </w:pPr>
      <w:r>
        <w:rPr>
          <w:rFonts w:hint="eastAsia" w:ascii="宋体" w:hAnsi="宋体" w:eastAsia="宋体"/>
          <w:b/>
          <w:sz w:val="44"/>
          <w:szCs w:val="44"/>
          <w:shd w:val="clear" w:color="auto" w:fill="FFFFFF"/>
          <w:lang w:eastAsia="zh-CN"/>
        </w:rPr>
        <w:t>峨边彝族自治县</w:t>
      </w:r>
      <w:r>
        <w:rPr>
          <w:rFonts w:hint="eastAsia" w:ascii="宋体" w:hAnsi="宋体" w:eastAsia="宋体"/>
          <w:b/>
          <w:sz w:val="44"/>
          <w:szCs w:val="44"/>
          <w:shd w:val="clear" w:color="auto" w:fill="FFFFFF"/>
          <w:lang w:val="en-US" w:eastAsia="zh-CN"/>
        </w:rPr>
        <w:t>新场乡人民政府</w:t>
      </w:r>
    </w:p>
    <w:p>
      <w:pPr>
        <w:widowControl/>
        <w:spacing w:line="580" w:lineRule="exact"/>
        <w:contextualSpacing/>
        <w:jc w:val="center"/>
        <w:rPr>
          <w:rFonts w:ascii="宋体" w:hAnsi="宋体" w:eastAsia="宋体"/>
          <w:b/>
          <w:sz w:val="44"/>
          <w:szCs w:val="44"/>
          <w:shd w:val="clear" w:color="auto" w:fill="FFFFFF"/>
        </w:rPr>
      </w:pPr>
      <w:r>
        <w:rPr>
          <w:rFonts w:hint="eastAsia" w:ascii="宋体" w:hAnsi="宋体" w:eastAsia="宋体"/>
          <w:b/>
          <w:sz w:val="44"/>
          <w:szCs w:val="44"/>
          <w:shd w:val="clear" w:color="auto" w:fill="FFFFFF"/>
          <w:lang w:val="en-US" w:eastAsia="zh-CN"/>
        </w:rPr>
        <w:t xml:space="preserve">    </w:t>
      </w:r>
      <w:r>
        <w:rPr>
          <w:rFonts w:hint="eastAsia" w:ascii="宋体" w:hAnsi="宋体" w:eastAsia="宋体"/>
          <w:b/>
          <w:sz w:val="44"/>
          <w:szCs w:val="44"/>
          <w:shd w:val="clear" w:color="auto" w:fill="FFFFFF"/>
        </w:rPr>
        <w:t>20</w:t>
      </w:r>
      <w:r>
        <w:rPr>
          <w:rFonts w:hint="eastAsia" w:ascii="宋体" w:hAnsi="宋体" w:eastAsia="宋体"/>
          <w:b/>
          <w:sz w:val="44"/>
          <w:szCs w:val="44"/>
          <w:shd w:val="clear" w:color="auto" w:fill="FFFFFF"/>
          <w:lang w:val="en-US" w:eastAsia="zh-CN"/>
        </w:rPr>
        <w:t>21</w:t>
      </w:r>
      <w:r>
        <w:rPr>
          <w:rFonts w:hint="eastAsia" w:ascii="宋体" w:hAnsi="宋体" w:eastAsia="宋体"/>
          <w:b/>
          <w:sz w:val="44"/>
          <w:szCs w:val="44"/>
          <w:shd w:val="clear" w:color="auto" w:fill="FFFFFF"/>
        </w:rPr>
        <w:t>年度部门整体支出绩效评价</w:t>
      </w:r>
    </w:p>
    <w:p>
      <w:pPr>
        <w:widowControl/>
        <w:spacing w:line="580" w:lineRule="exact"/>
        <w:contextualSpacing/>
        <w:jc w:val="center"/>
        <w:rPr>
          <w:rFonts w:ascii="宋体" w:hAnsi="宋体" w:eastAsia="宋体"/>
          <w:b/>
          <w:sz w:val="44"/>
          <w:szCs w:val="44"/>
          <w:shd w:val="clear" w:color="auto" w:fill="FFFFFF"/>
        </w:rPr>
      </w:pPr>
      <w:r>
        <w:rPr>
          <w:rFonts w:hint="eastAsia" w:ascii="宋体" w:hAnsi="宋体" w:eastAsia="宋体"/>
          <w:b/>
          <w:sz w:val="44"/>
          <w:szCs w:val="44"/>
          <w:shd w:val="clear" w:color="auto" w:fill="FFFFFF"/>
        </w:rPr>
        <w:t>报告</w:t>
      </w:r>
    </w:p>
    <w:p>
      <w:pPr>
        <w:widowControl/>
        <w:adjustRightInd w:val="0"/>
        <w:snapToGrid w:val="0"/>
        <w:spacing w:line="580" w:lineRule="exact"/>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en-US" w:eastAsia="zh-CN"/>
        </w:rPr>
        <w:t>我乡行政机构由中共峨边彝族自治县新场乡党委和峨边彝族自治县新场乡人民政府组成，下设4个乡镇直属事业单位，分别为农业综合服务中心、文化旅游服务中心、便民服务中心和综治中心</w:t>
      </w:r>
      <w:r>
        <w:rPr>
          <w:rFonts w:hint="eastAsia" w:ascii="仿宋_GB2312" w:hAnsi="仿宋" w:cs="宋体"/>
          <w:color w:val="000000"/>
          <w:kern w:val="0"/>
          <w:sz w:val="32"/>
          <w:szCs w:val="32"/>
          <w:lang w:eastAsia="zh-CN"/>
        </w:rPr>
        <w:t>。</w:t>
      </w:r>
    </w:p>
    <w:p>
      <w:pPr>
        <w:widowControl/>
        <w:numPr>
          <w:ilvl w:val="0"/>
          <w:numId w:val="1"/>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机构职能。</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1、负责贯彻执行党和国家的路线方针政策、法律法规规章，执行县委、县政府的决定，研究决定辖区政治、经济、文化、社会、生态文明等领域事业发展的重大事项并组织实施。</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2、</w:t>
      </w:r>
      <w:r>
        <w:rPr>
          <w:rFonts w:hint="default" w:ascii="仿宋_GB2312" w:hAnsi="宋体" w:cs="宋体"/>
          <w:color w:val="000000"/>
          <w:kern w:val="0"/>
          <w:szCs w:val="32"/>
          <w:shd w:val="clear" w:color="auto" w:fill="FFFFFF"/>
          <w:lang w:val="en-US" w:eastAsia="zh-CN"/>
        </w:rPr>
        <w:t>统筹落实关于辖区发展的重大决策，参与辖区建设规划和公共服务设施布局，建立健全基层社会治理工作机制，引导、整合辖区内各种社会力量为区域发展服务，推动辖区健康、有序、可持续发展。</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3、</w:t>
      </w:r>
      <w:r>
        <w:rPr>
          <w:rFonts w:hint="default" w:ascii="仿宋_GB2312" w:hAnsi="宋体" w:cs="宋体"/>
          <w:color w:val="000000"/>
          <w:kern w:val="0"/>
          <w:szCs w:val="32"/>
          <w:shd w:val="clear" w:color="auto" w:fill="FFFFFF"/>
          <w:lang w:val="en-US" w:eastAsia="zh-CN"/>
        </w:rPr>
        <w:t>负责加强基层党组织建设和基层政权建设，巩固党的执政基础；统筹协调辖区内各领域党建工作，推进社区党建、单位党建、行业党建和区域化党建互联互动，统筹抓好新领域新业态新群体党建工作。负责人大、政协、统战、民族宗教、群团工作。</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4、</w:t>
      </w:r>
      <w:r>
        <w:rPr>
          <w:rFonts w:hint="default" w:ascii="仿宋_GB2312" w:hAnsi="宋体" w:cs="宋体"/>
          <w:color w:val="000000"/>
          <w:kern w:val="0"/>
          <w:szCs w:val="32"/>
          <w:shd w:val="clear" w:color="auto" w:fill="FFFFFF"/>
          <w:lang w:val="en-US" w:eastAsia="zh-CN"/>
        </w:rPr>
        <w:t>加强基层意识形态工作，推进基层精神文明建设，培养和弘扬社会主义核心价值观，创造良好社会环境。</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5、</w:t>
      </w:r>
      <w:r>
        <w:rPr>
          <w:rFonts w:hint="default" w:ascii="仿宋_GB2312" w:hAnsi="宋体" w:cs="宋体"/>
          <w:color w:val="000000"/>
          <w:kern w:val="0"/>
          <w:szCs w:val="32"/>
          <w:shd w:val="clear" w:color="auto" w:fill="FFFFFF"/>
          <w:lang w:val="en-US" w:eastAsia="zh-CN"/>
        </w:rPr>
        <w:t>负责拟定经济发展规划并组织实施。促进经济发展，推进产业结构调整，促进经济增长方式转变，促进农民增收。</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6、</w:t>
      </w:r>
      <w:r>
        <w:rPr>
          <w:rFonts w:hint="default" w:ascii="仿宋_GB2312" w:hAnsi="宋体" w:cs="宋体"/>
          <w:color w:val="000000"/>
          <w:kern w:val="0"/>
          <w:szCs w:val="32"/>
          <w:shd w:val="clear" w:color="auto" w:fill="FFFFFF"/>
          <w:lang w:val="en-US" w:eastAsia="zh-CN"/>
        </w:rPr>
        <w:t>负责拟定社会事业发展规划并组织实施。负责教育、科技，文化旅游、体育、广播电视、民政、卫生健康、医疗保障、残疾人保障、社会保险、退役军人服务等工作，推进使民服务规范化建设管理，落实与群众密切相关的各项公共服务政策。</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7、</w:t>
      </w:r>
      <w:r>
        <w:rPr>
          <w:rFonts w:hint="default" w:ascii="仿宋_GB2312" w:hAnsi="宋体" w:cs="宋体"/>
          <w:color w:val="000000"/>
          <w:kern w:val="0"/>
          <w:szCs w:val="32"/>
          <w:shd w:val="clear" w:color="auto" w:fill="FFFFFF"/>
          <w:lang w:val="en-US" w:eastAsia="zh-CN"/>
        </w:rPr>
        <w:t>负责拟定乡村振兴发展规划并组织实施。负责农业产业升级转型、美丽乡村建设、农村文化生活繁荣、农村基础设施和公共服务能力提升、脱贫攻坚等工作。</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8、</w:t>
      </w:r>
      <w:r>
        <w:rPr>
          <w:rFonts w:hint="default" w:ascii="仿宋_GB2312" w:hAnsi="宋体" w:cs="宋体"/>
          <w:color w:val="000000"/>
          <w:kern w:val="0"/>
          <w:szCs w:val="32"/>
          <w:shd w:val="clear" w:color="auto" w:fill="FFFFFF"/>
          <w:lang w:val="en-US" w:eastAsia="zh-CN"/>
        </w:rPr>
        <w:t>负责城乡基层治理工作，深化党建引领城乡基层治理，构建共建、共治、共享的城乡基层治理工作格局，推进和谐宜居乡村建设;加强社会主义民主法制建设，承担社会治理、信访维稳、综治中心、社区戒毒、社区康复、法治建设、反邪教等工作。</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9、</w:t>
      </w:r>
      <w:r>
        <w:rPr>
          <w:rFonts w:hint="default" w:ascii="仿宋_GB2312" w:hAnsi="宋体" w:cs="宋体"/>
          <w:color w:val="000000"/>
          <w:kern w:val="0"/>
          <w:szCs w:val="32"/>
          <w:shd w:val="clear" w:color="auto" w:fill="FFFFFF"/>
          <w:lang w:val="en-US" w:eastAsia="zh-CN"/>
        </w:rPr>
        <w:t>负责辖区公共事务综合管理，参与辖区规划建设，负责拟定村镇国土空间规划并组织实施，承担重点工程建设、 乡村道路建设及公共设施、水利设施等管理工作，对辖区事关群众利益的重大决策和重大项目提出建议。负责统筹组织协调指挥辖区内派驻和基层执法等力量。</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10、</w:t>
      </w:r>
      <w:r>
        <w:rPr>
          <w:rFonts w:hint="default" w:ascii="仿宋_GB2312" w:hAnsi="宋体" w:cs="宋体"/>
          <w:color w:val="000000"/>
          <w:kern w:val="0"/>
          <w:szCs w:val="32"/>
          <w:shd w:val="clear" w:color="auto" w:fill="FFFFFF"/>
          <w:lang w:val="en-US" w:eastAsia="zh-CN"/>
        </w:rPr>
        <w:t>负责应急管理和安全生产工作，落实安全生产责任制，建立健全应对突发紧急事件的处置管理机制，构建公共安全防控体系</w:t>
      </w:r>
      <w:r>
        <w:rPr>
          <w:rFonts w:hint="eastAsia" w:ascii="仿宋_GB2312" w:hAnsi="宋体" w:cs="宋体"/>
          <w:color w:val="000000"/>
          <w:kern w:val="0"/>
          <w:szCs w:val="32"/>
          <w:shd w:val="clear" w:color="auto" w:fill="FFFFFF"/>
          <w:lang w:val="en-US" w:eastAsia="zh-CN"/>
        </w:rPr>
        <w:t>。</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11、</w:t>
      </w:r>
      <w:r>
        <w:rPr>
          <w:rFonts w:hint="default" w:ascii="仿宋_GB2312" w:hAnsi="宋体" w:cs="宋体"/>
          <w:color w:val="000000"/>
          <w:kern w:val="0"/>
          <w:szCs w:val="32"/>
          <w:shd w:val="clear" w:color="auto" w:fill="FFFFFF"/>
          <w:lang w:val="en-US" w:eastAsia="zh-CN"/>
        </w:rPr>
        <w:t>负责自然资源、生态环境保护工作，做好网格化环监管，开展自然资源、环境保护隐患排查和治理，配合有关部门查处自然资源、环境违法行为，做好辖区内自然资源及生态环境保护工作。</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12、</w:t>
      </w:r>
      <w:r>
        <w:rPr>
          <w:rFonts w:hint="default" w:ascii="仿宋_GB2312" w:hAnsi="宋体" w:cs="宋体"/>
          <w:color w:val="000000"/>
          <w:kern w:val="0"/>
          <w:szCs w:val="32"/>
          <w:shd w:val="clear" w:color="auto" w:fill="FFFFFF"/>
          <w:lang w:val="en-US" w:eastAsia="zh-CN"/>
        </w:rPr>
        <w:t>负责推进基层民主法治建设，加强普法依法治理，维护群众合法权益。负责协助武装部门做好辖区民兵训练和公民服兵役工作。</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13、</w:t>
      </w:r>
      <w:r>
        <w:rPr>
          <w:rFonts w:hint="default" w:ascii="仿宋_GB2312" w:hAnsi="宋体" w:cs="宋体"/>
          <w:color w:val="000000"/>
          <w:kern w:val="0"/>
          <w:szCs w:val="32"/>
          <w:shd w:val="clear" w:color="auto" w:fill="FFFFFF"/>
          <w:lang w:val="en-US" w:eastAsia="zh-CN"/>
        </w:rPr>
        <w:t>按照干部管理权限，负责干部的教育、培训、选拔、考核和监督工作。加强本级财政、所属行政事业单位以及村级财务的核算和监督。</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14、</w:t>
      </w:r>
      <w:r>
        <w:rPr>
          <w:rFonts w:hint="default" w:ascii="仿宋_GB2312" w:hAnsi="宋体" w:cs="宋体"/>
          <w:color w:val="000000"/>
          <w:kern w:val="0"/>
          <w:szCs w:val="32"/>
          <w:shd w:val="clear" w:color="auto" w:fill="FFFFFF"/>
          <w:lang w:val="en-US" w:eastAsia="zh-CN"/>
        </w:rPr>
        <w:t>根据法定职责或受委托承担辖区内审批服务、公共服务、各类社会事务服务等职责。负责制定完善权力清单、责任清单、公共服务清单，建立清单动态调整和公示机制，推进党务政务公开，接受群众监督，增加公信力。</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15、</w:t>
      </w:r>
      <w:r>
        <w:rPr>
          <w:rFonts w:hint="default" w:ascii="仿宋_GB2312" w:hAnsi="宋体" w:cs="宋体"/>
          <w:color w:val="000000"/>
          <w:kern w:val="0"/>
          <w:szCs w:val="32"/>
          <w:shd w:val="clear" w:color="auto" w:fill="FFFFFF"/>
          <w:lang w:val="en-US" w:eastAsia="zh-CN"/>
        </w:rPr>
        <w:t>履行法律、法规、规章规定的其他职责，承办县委、县政府交办的其他工作。</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（三）人员概况。</w:t>
      </w:r>
    </w:p>
    <w:p>
      <w:pPr>
        <w:widowControl/>
        <w:numPr>
          <w:ilvl w:val="0"/>
          <w:numId w:val="0"/>
        </w:numPr>
        <w:tabs>
          <w:tab w:val="left" w:pos="3840"/>
        </w:tabs>
        <w:adjustRightInd w:val="0"/>
        <w:snapToGrid w:val="0"/>
        <w:spacing w:line="580" w:lineRule="exact"/>
        <w:ind w:firstLine="320" w:firstLineChars="100"/>
        <w:contextualSpacing/>
        <w:jc w:val="left"/>
        <w:rPr>
          <w:rFonts w:hint="eastAsia" w:ascii="楷体_GB2312" w:hAnsi="宋体" w:eastAsia="仿宋_GB2312" w:cs="宋体"/>
          <w:color w:val="000000"/>
          <w:kern w:val="0"/>
          <w:szCs w:val="32"/>
          <w:shd w:val="clear" w:color="auto" w:fill="FFFFFF"/>
          <w:lang w:val="zh-CN" w:eastAsia="zh-CN"/>
        </w:rPr>
      </w:pPr>
      <w:r>
        <w:rPr>
          <w:rStyle w:val="9"/>
          <w:rFonts w:hint="eastAsia" w:ascii="仿宋_GB2312" w:hAnsi="宋体" w:eastAsia="仿宋_GB2312" w:cs="仿宋_GB2312"/>
          <w:b w:val="0"/>
          <w:bCs w:val="0"/>
          <w:i w:val="0"/>
          <w:iCs w:val="0"/>
          <w:caps w:val="0"/>
          <w:color w:val="000000"/>
          <w:spacing w:val="0"/>
          <w:sz w:val="32"/>
          <w:szCs w:val="32"/>
          <w:lang w:val="en-US" w:eastAsia="zh-CN"/>
        </w:rPr>
        <w:t>新场乡</w:t>
      </w:r>
      <w:r>
        <w:rPr>
          <w:rStyle w:val="9"/>
          <w:rFonts w:ascii="仿宋_GB2312" w:hAnsi="宋体" w:eastAsia="仿宋_GB2312" w:cs="仿宋_GB2312"/>
          <w:b w:val="0"/>
          <w:bCs w:val="0"/>
          <w:i w:val="0"/>
          <w:iCs w:val="0"/>
          <w:caps w:val="0"/>
          <w:color w:val="000000"/>
          <w:spacing w:val="0"/>
          <w:sz w:val="32"/>
          <w:szCs w:val="32"/>
        </w:rPr>
        <w:t>总编制</w:t>
      </w:r>
      <w:r>
        <w:rPr>
          <w:rStyle w:val="9"/>
          <w:rFonts w:hint="eastAsia" w:ascii="仿宋_GB2312" w:hAnsi="宋体" w:eastAsia="仿宋_GB2312" w:cs="仿宋_GB2312"/>
          <w:b w:val="0"/>
          <w:bCs w:val="0"/>
          <w:i w:val="0"/>
          <w:iCs w:val="0"/>
          <w:caps w:val="0"/>
          <w:color w:val="000000"/>
          <w:spacing w:val="0"/>
          <w:sz w:val="32"/>
          <w:szCs w:val="32"/>
          <w:lang w:val="en-US" w:eastAsia="zh-CN"/>
        </w:rPr>
        <w:t>32</w:t>
      </w:r>
      <w:r>
        <w:rPr>
          <w:rStyle w:val="9"/>
          <w:rFonts w:hint="default" w:ascii="仿宋_GB2312" w:hAnsi="宋体" w:eastAsia="仿宋_GB2312" w:cs="仿宋_GB2312"/>
          <w:b w:val="0"/>
          <w:bCs w:val="0"/>
          <w:i w:val="0"/>
          <w:iCs w:val="0"/>
          <w:caps w:val="0"/>
          <w:color w:val="000000"/>
          <w:spacing w:val="0"/>
          <w:sz w:val="32"/>
          <w:szCs w:val="32"/>
        </w:rPr>
        <w:t>名，其中：行政编制</w:t>
      </w:r>
      <w:r>
        <w:rPr>
          <w:rStyle w:val="9"/>
          <w:rFonts w:hint="eastAsia" w:ascii="仿宋_GB2312" w:hAnsi="宋体" w:eastAsia="仿宋_GB2312" w:cs="仿宋_GB2312"/>
          <w:b w:val="0"/>
          <w:bCs w:val="0"/>
          <w:i w:val="0"/>
          <w:iCs w:val="0"/>
          <w:caps w:val="0"/>
          <w:color w:val="000000"/>
          <w:spacing w:val="0"/>
          <w:sz w:val="32"/>
          <w:szCs w:val="32"/>
          <w:lang w:val="en-US" w:eastAsia="zh-CN"/>
        </w:rPr>
        <w:t>18</w:t>
      </w:r>
      <w:r>
        <w:rPr>
          <w:rStyle w:val="9"/>
          <w:rFonts w:hint="default" w:ascii="仿宋_GB2312" w:hAnsi="宋体" w:eastAsia="仿宋_GB2312" w:cs="仿宋_GB2312"/>
          <w:b w:val="0"/>
          <w:bCs w:val="0"/>
          <w:i w:val="0"/>
          <w:iCs w:val="0"/>
          <w:caps w:val="0"/>
          <w:color w:val="000000"/>
          <w:spacing w:val="0"/>
          <w:sz w:val="32"/>
          <w:szCs w:val="32"/>
        </w:rPr>
        <w:t>名，工勤编制0名，事业编制</w:t>
      </w:r>
      <w:r>
        <w:rPr>
          <w:rStyle w:val="9"/>
          <w:rFonts w:hint="eastAsia" w:ascii="仿宋_GB2312" w:hAnsi="宋体" w:eastAsia="仿宋_GB2312" w:cs="仿宋_GB2312"/>
          <w:b w:val="0"/>
          <w:bCs w:val="0"/>
          <w:i w:val="0"/>
          <w:iCs w:val="0"/>
          <w:caps w:val="0"/>
          <w:color w:val="000000"/>
          <w:spacing w:val="0"/>
          <w:sz w:val="32"/>
          <w:szCs w:val="32"/>
          <w:lang w:val="en-US" w:eastAsia="zh-CN"/>
        </w:rPr>
        <w:t>14</w:t>
      </w:r>
      <w:r>
        <w:rPr>
          <w:rStyle w:val="9"/>
          <w:rFonts w:hint="default" w:ascii="仿宋_GB2312" w:hAnsi="宋体" w:eastAsia="仿宋_GB2312" w:cs="仿宋_GB2312"/>
          <w:b w:val="0"/>
          <w:bCs w:val="0"/>
          <w:i w:val="0"/>
          <w:iCs w:val="0"/>
          <w:caps w:val="0"/>
          <w:color w:val="000000"/>
          <w:spacing w:val="0"/>
          <w:sz w:val="32"/>
          <w:szCs w:val="32"/>
        </w:rPr>
        <w:t>名</w:t>
      </w:r>
      <w:r>
        <w:rPr>
          <w:rStyle w:val="9"/>
          <w:rFonts w:hint="eastAsia" w:ascii="仿宋_GB2312" w:hAnsi="宋体" w:eastAsia="仿宋_GB2312" w:cs="仿宋_GB2312"/>
          <w:b w:val="0"/>
          <w:bCs w:val="0"/>
          <w:i w:val="0"/>
          <w:iCs w:val="0"/>
          <w:caps w:val="0"/>
          <w:color w:val="000000"/>
          <w:spacing w:val="0"/>
          <w:sz w:val="32"/>
          <w:szCs w:val="32"/>
          <w:lang w:eastAsia="zh-CN"/>
        </w:rPr>
        <w:t>，</w:t>
      </w:r>
      <w:r>
        <w:rPr>
          <w:rStyle w:val="9"/>
          <w:rFonts w:hint="default" w:ascii="仿宋_GB2312" w:hAnsi="宋体" w:eastAsia="仿宋_GB2312" w:cs="仿宋_GB2312"/>
          <w:b w:val="0"/>
          <w:bCs w:val="0"/>
          <w:i w:val="0"/>
          <w:iCs w:val="0"/>
          <w:caps w:val="0"/>
          <w:color w:val="000000"/>
          <w:spacing w:val="0"/>
          <w:sz w:val="32"/>
          <w:szCs w:val="32"/>
        </w:rPr>
        <w:t>在</w:t>
      </w:r>
      <w:r>
        <w:rPr>
          <w:rStyle w:val="9"/>
          <w:rFonts w:hint="eastAsia" w:ascii="仿宋_GB2312" w:hAnsi="宋体" w:eastAsia="仿宋_GB2312" w:cs="仿宋_GB2312"/>
          <w:b w:val="0"/>
          <w:bCs w:val="0"/>
          <w:i w:val="0"/>
          <w:iCs w:val="0"/>
          <w:caps w:val="0"/>
          <w:color w:val="000000"/>
          <w:spacing w:val="0"/>
          <w:sz w:val="32"/>
          <w:szCs w:val="32"/>
          <w:lang w:val="en-US" w:eastAsia="zh-CN"/>
        </w:rPr>
        <w:t>编</w:t>
      </w:r>
      <w:r>
        <w:rPr>
          <w:rStyle w:val="9"/>
          <w:rFonts w:hint="default" w:ascii="仿宋_GB2312" w:hAnsi="宋体" w:eastAsia="仿宋_GB2312" w:cs="仿宋_GB2312"/>
          <w:b w:val="0"/>
          <w:bCs w:val="0"/>
          <w:i w:val="0"/>
          <w:iCs w:val="0"/>
          <w:caps w:val="0"/>
          <w:color w:val="000000"/>
          <w:spacing w:val="0"/>
          <w:sz w:val="32"/>
          <w:szCs w:val="32"/>
        </w:rPr>
        <w:t>人员总数</w:t>
      </w:r>
      <w:r>
        <w:rPr>
          <w:rStyle w:val="9"/>
          <w:rFonts w:hint="eastAsia" w:ascii="仿宋_GB2312" w:hAnsi="宋体" w:eastAsia="仿宋_GB2312" w:cs="仿宋_GB2312"/>
          <w:b w:val="0"/>
          <w:bCs w:val="0"/>
          <w:i w:val="0"/>
          <w:iCs w:val="0"/>
          <w:caps w:val="0"/>
          <w:color w:val="000000"/>
          <w:spacing w:val="0"/>
          <w:sz w:val="32"/>
          <w:szCs w:val="32"/>
          <w:lang w:val="en-US" w:eastAsia="zh-CN"/>
        </w:rPr>
        <w:t>32</w:t>
      </w:r>
      <w:r>
        <w:rPr>
          <w:rStyle w:val="9"/>
          <w:rFonts w:hint="default" w:ascii="仿宋_GB2312" w:hAnsi="宋体" w:eastAsia="仿宋_GB2312" w:cs="仿宋_GB2312"/>
          <w:b w:val="0"/>
          <w:bCs w:val="0"/>
          <w:i w:val="0"/>
          <w:iCs w:val="0"/>
          <w:caps w:val="0"/>
          <w:color w:val="000000"/>
          <w:spacing w:val="0"/>
          <w:sz w:val="32"/>
          <w:szCs w:val="32"/>
        </w:rPr>
        <w:t>名</w:t>
      </w:r>
      <w:r>
        <w:rPr>
          <w:rStyle w:val="9"/>
          <w:rFonts w:hint="eastAsia" w:ascii="仿宋_GB2312" w:hAnsi="宋体" w:eastAsia="仿宋_GB2312" w:cs="仿宋_GB2312"/>
          <w:b w:val="0"/>
          <w:bCs w:val="0"/>
          <w:i w:val="0"/>
          <w:iCs w:val="0"/>
          <w:caps w:val="0"/>
          <w:color w:val="000000"/>
          <w:spacing w:val="0"/>
          <w:sz w:val="32"/>
          <w:szCs w:val="32"/>
          <w:lang w:eastAsia="zh-CN"/>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default" w:ascii="仿宋_GB2312" w:hAnsi="宋体" w:cs="宋体"/>
          <w:color w:val="000000" w:themeColor="text1"/>
          <w:kern w:val="0"/>
          <w:szCs w:val="32"/>
          <w:shd w:val="clear" w:color="auto" w:fill="FFFFFF"/>
          <w:lang w:val="en-US"/>
        </w:rPr>
      </w:pPr>
      <w:r>
        <w:rPr>
          <w:rFonts w:hint="eastAsia" w:ascii="仿宋_GB2312" w:hAnsi="宋体" w:cs="宋体"/>
          <w:color w:val="000000" w:themeColor="text1"/>
          <w:kern w:val="0"/>
          <w:szCs w:val="32"/>
          <w:shd w:val="clear" w:color="auto" w:fill="FFFFFF"/>
          <w:lang w:val="en-US" w:eastAsia="zh-CN"/>
        </w:rPr>
        <w:t>我乡2021年财政拨款预算收入992.6万元，其中上级资金   35万元，县级资金957.6万元。</w:t>
      </w:r>
    </w:p>
    <w:p>
      <w:pPr>
        <w:widowControl/>
        <w:adjustRightInd w:val="0"/>
        <w:snapToGrid w:val="0"/>
        <w:spacing w:line="580" w:lineRule="exact"/>
        <w:ind w:firstLine="640" w:firstLineChars="200"/>
        <w:contextualSpacing/>
        <w:jc w:val="left"/>
        <w:rPr>
          <w:rFonts w:hint="eastAsia" w:ascii="仿宋_GB2312" w:hAnsi="宋体" w:cs="宋体"/>
          <w:color w:val="000000" w:themeColor="text1"/>
          <w:kern w:val="0"/>
          <w:szCs w:val="32"/>
          <w:shd w:val="clear" w:color="auto" w:fill="FFFFFF"/>
          <w:lang w:val="zh-CN"/>
        </w:rPr>
      </w:pPr>
      <w:r>
        <w:rPr>
          <w:rFonts w:hint="eastAsia" w:ascii="仿宋_GB2312" w:hAnsi="宋体" w:cs="宋体"/>
          <w:color w:val="000000" w:themeColor="text1"/>
          <w:kern w:val="0"/>
          <w:szCs w:val="32"/>
          <w:shd w:val="clear" w:color="auto" w:fill="FFFFFF"/>
          <w:lang w:val="zh-CN"/>
        </w:rPr>
        <w:t>（二）部门财政资金支出情况。</w:t>
      </w:r>
    </w:p>
    <w:p>
      <w:pPr>
        <w:widowControl/>
        <w:adjustRightInd w:val="0"/>
        <w:snapToGrid w:val="0"/>
        <w:spacing w:line="580" w:lineRule="exact"/>
        <w:ind w:firstLine="640" w:firstLineChars="200"/>
        <w:contextualSpacing/>
        <w:jc w:val="left"/>
        <w:rPr>
          <w:rFonts w:hint="default" w:ascii="仿宋_GB2312" w:hAnsi="宋体" w:eastAsia="仿宋_GB2312" w:cs="宋体"/>
          <w:color w:val="FF0000"/>
          <w:kern w:val="0"/>
          <w:szCs w:val="32"/>
          <w:highlight w:val="none"/>
          <w:shd w:val="clear" w:color="auto" w:fill="FFFFFF"/>
          <w:lang w:val="en-US" w:eastAsia="zh-CN"/>
        </w:rPr>
      </w:pPr>
      <w:r>
        <w:rPr>
          <w:rFonts w:hint="eastAsia" w:ascii="仿宋_GB2312" w:hAnsi="宋体" w:cs="宋体"/>
          <w:color w:val="000000" w:themeColor="text1"/>
          <w:kern w:val="0"/>
          <w:szCs w:val="32"/>
          <w:shd w:val="clear" w:color="auto" w:fill="FFFFFF"/>
          <w:lang w:val="zh-CN"/>
        </w:rPr>
        <w:t>基本支出</w:t>
      </w:r>
      <w:r>
        <w:rPr>
          <w:rFonts w:hint="eastAsia" w:ascii="仿宋_GB2312" w:hAnsi="宋体" w:cs="宋体"/>
          <w:color w:val="000000" w:themeColor="text1"/>
          <w:kern w:val="0"/>
          <w:szCs w:val="32"/>
          <w:shd w:val="clear" w:color="auto" w:fill="FFFFFF"/>
          <w:lang w:val="en-US" w:eastAsia="zh-CN"/>
        </w:rPr>
        <w:t>844.04万元，项目支出148.56万元，其中项目14个，具体支出为：射箭坪综</w:t>
      </w:r>
      <w:r>
        <w:rPr>
          <w:rFonts w:hint="eastAsia" w:ascii="仿宋_GB2312" w:hAnsi="宋体" w:cs="宋体"/>
          <w:color w:val="000000" w:themeColor="text1"/>
          <w:kern w:val="0"/>
          <w:szCs w:val="32"/>
          <w:highlight w:val="none"/>
          <w:shd w:val="clear" w:color="auto" w:fill="FFFFFF"/>
          <w:lang w:val="en-US" w:eastAsia="zh-CN"/>
        </w:rPr>
        <w:t>合服务区项目17.11万元;农村公共运行维护项目48万元;乡镇森林防灭火工</w:t>
      </w:r>
      <w:bookmarkStart w:id="0" w:name="_GoBack"/>
      <w:bookmarkEnd w:id="0"/>
      <w:r>
        <w:rPr>
          <w:rFonts w:hint="eastAsia" w:ascii="仿宋_GB2312" w:hAnsi="宋体" w:cs="宋体"/>
          <w:color w:val="000000" w:themeColor="text1"/>
          <w:kern w:val="0"/>
          <w:szCs w:val="32"/>
          <w:highlight w:val="none"/>
          <w:shd w:val="clear" w:color="auto" w:fill="FFFFFF"/>
          <w:lang w:val="en-US" w:eastAsia="zh-CN"/>
        </w:rPr>
        <w:t>作经费3万元；积分超市工作经费10万元；建党100周年庆祝活动信访稳定工作经费4.65万元；2021年公共图书馆文化馆免费开放专项资金项目5万元;彝族年慰问经费3万元；2021年全县脱贫村驻村工作队和非贫困村第一书记驻村工作经费9.95万元；2021年乡镇巩固脱贫攻坚、接续乡村振兴暨疫情防控工作经费15万元;村干部养老保险补助、村意外保险经费项目11.73万元；2021年脱贫攻坚成果同乡村振兴有效衔接工作经费5万元；脱贫攻坚经费_2021年脱贫攻坚精准扶贫档案经费1万元；2021年新一轮县派第一书记及驻村工作队队员一次性生活补助及县派第一书记及驻村工作队员2021年6至9月相关待遇保障经费2.2万元；2020年自然灾害（地质灾害）资金的通知（机械清淤）3万元；2021年七大秩序整治和2020年遗留问题解决经费9.92万元；</w:t>
      </w:r>
    </w:p>
    <w:p>
      <w:pPr>
        <w:widowControl/>
        <w:numPr>
          <w:ilvl w:val="0"/>
          <w:numId w:val="2"/>
        </w:numPr>
        <w:adjustRightInd w:val="0"/>
        <w:snapToGrid w:val="0"/>
        <w:spacing w:line="580" w:lineRule="exact"/>
        <w:ind w:firstLine="640" w:firstLineChars="200"/>
        <w:contextualSpacing/>
        <w:jc w:val="left"/>
        <w:rPr>
          <w:rFonts w:hint="eastAsia" w:ascii="黑体" w:hAnsi="宋体" w:eastAsia="黑体" w:cs="宋体"/>
          <w:color w:val="000000"/>
          <w:kern w:val="0"/>
          <w:szCs w:val="32"/>
          <w:highlight w:val="none"/>
          <w:shd w:val="clear" w:color="auto" w:fill="FFFFFF"/>
        </w:rPr>
      </w:pPr>
      <w:r>
        <w:rPr>
          <w:rFonts w:hint="eastAsia" w:ascii="黑体" w:hAnsi="宋体" w:eastAsia="黑体" w:cs="宋体"/>
          <w:color w:val="000000"/>
          <w:kern w:val="0"/>
          <w:szCs w:val="32"/>
          <w:highlight w:val="none"/>
          <w:shd w:val="clear" w:color="auto" w:fill="FFFFFF"/>
        </w:rPr>
        <w:t>部门整体预算绩效管理情况</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（一）部门预算管理。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1.部门管理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(1)预算管理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预算编制严格按照上级部门要求编制并及时报送，项目分类也严格按照上级部门要求分类，未发现有不按照要求编制、报送等行为。</w:t>
      </w:r>
      <w:r>
        <w:rPr>
          <w:rFonts w:hint="default" w:ascii="仿宋_GB2312" w:hAnsi="宋体" w:cs="宋体"/>
          <w:color w:val="000000"/>
          <w:kern w:val="0"/>
          <w:szCs w:val="32"/>
          <w:shd w:val="clear" w:color="auto" w:fill="FFFFFF"/>
          <w:lang w:val="zh-CN"/>
        </w:rPr>
        <w:t>预算管理方面，编制内在职人员控制率小于100%，</w:t>
      </w:r>
      <w:r>
        <w:rPr>
          <w:rFonts w:hint="eastAsia" w:ascii="仿宋_GB2312" w:hAnsi="宋体" w:cs="宋体"/>
          <w:color w:val="000000"/>
          <w:kern w:val="0"/>
          <w:szCs w:val="32"/>
          <w:shd w:val="clear" w:color="auto" w:fill="FFFFFF"/>
          <w:lang w:val="zh-CN"/>
        </w:rPr>
        <w:t>部门经费</w:t>
      </w:r>
      <w:r>
        <w:rPr>
          <w:rFonts w:hint="default" w:ascii="仿宋_GB2312" w:hAnsi="宋体" w:cs="宋体"/>
          <w:color w:val="000000"/>
          <w:kern w:val="0"/>
          <w:szCs w:val="32"/>
          <w:shd w:val="clear" w:color="auto" w:fill="FFFFFF"/>
          <w:lang w:val="zh-CN"/>
        </w:rPr>
        <w:t>支出控制在预算内。制度执行总体较</w:t>
      </w:r>
      <w:r>
        <w:rPr>
          <w:rFonts w:hint="eastAsia" w:ascii="仿宋_GB2312" w:hAnsi="宋体" w:cs="宋体"/>
          <w:color w:val="000000"/>
          <w:kern w:val="0"/>
          <w:szCs w:val="32"/>
          <w:shd w:val="clear" w:color="auto" w:fill="FFFFFF"/>
          <w:lang w:val="zh-CN"/>
        </w:rPr>
        <w:t>好</w:t>
      </w:r>
      <w:r>
        <w:rPr>
          <w:rFonts w:hint="default" w:ascii="仿宋_GB2312" w:hAnsi="宋体" w:cs="宋体"/>
          <w:color w:val="000000"/>
          <w:kern w:val="0"/>
          <w:szCs w:val="32"/>
          <w:shd w:val="clear" w:color="auto" w:fill="FFFFFF"/>
          <w:lang w:val="zh-CN"/>
        </w:rPr>
        <w:t>，但仍需进一步强化，资金使用管理需进一步加强。</w:t>
      </w:r>
    </w:p>
    <w:p>
      <w:pPr>
        <w:widowControl/>
        <w:numPr>
          <w:ilvl w:val="0"/>
          <w:numId w:val="3"/>
        </w:numPr>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内部控制管理</w:t>
      </w:r>
    </w:p>
    <w:p>
      <w:pPr>
        <w:widowControl/>
        <w:numPr>
          <w:ilvl w:val="0"/>
          <w:numId w:val="0"/>
        </w:numPr>
        <w:adjustRightInd w:val="0"/>
        <w:snapToGrid w:val="0"/>
        <w:spacing w:line="580" w:lineRule="exact"/>
        <w:ind w:left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shd w:val="clear" w:color="auto" w:fill="FFFFFF"/>
          <w:lang w:val="en-US" w:eastAsia="zh-CN"/>
        </w:rPr>
        <w:t>单位内部控制制度不够健全，内控制度执行还需进一步规范。</w:t>
      </w:r>
    </w:p>
    <w:p>
      <w:pPr>
        <w:widowControl/>
        <w:numPr>
          <w:ilvl w:val="0"/>
          <w:numId w:val="3"/>
        </w:numPr>
        <w:adjustRightInd w:val="0"/>
        <w:snapToGrid w:val="0"/>
        <w:spacing w:line="580" w:lineRule="exact"/>
        <w:ind w:left="0" w:leftChars="0"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完成结果</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0" w:leftChars="0" w:right="0" w:rightChars="0" w:firstLine="640" w:firstLineChars="200"/>
        <w:contextualSpacing/>
        <w:jc w:val="left"/>
        <w:textAlignment w:val="auto"/>
        <w:outlineLvl w:val="9"/>
        <w:rPr>
          <w:rFonts w:hint="default" w:ascii="仿宋_GB2312" w:hAnsi="宋体" w:cs="宋体"/>
          <w:color w:val="000000"/>
          <w:kern w:val="0"/>
          <w:szCs w:val="32"/>
          <w:highlight w:val="red"/>
          <w:shd w:val="clear" w:color="auto" w:fill="FFFFFF"/>
          <w:lang w:val="en-US" w:eastAsia="zh-CN"/>
        </w:rPr>
      </w:pPr>
      <w:r>
        <w:rPr>
          <w:rFonts w:hint="eastAsia" w:ascii="仿宋_GB2312" w:hAnsi="宋体" w:cs="宋体"/>
          <w:color w:val="000000"/>
          <w:kern w:val="0"/>
          <w:szCs w:val="32"/>
          <w:shd w:val="clear" w:color="auto" w:fill="FFFFFF"/>
          <w:lang w:val="zh-CN"/>
        </w:rPr>
        <w:t>新场乡人民政府绩效目标按要求向社会公开，部门整体绩效自评情况和自行组织的评价情况向社会公开，及时整改绩效管理发现问题，向财政部门反馈结果应用情况。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2.绩效结果应用</w:t>
      </w:r>
    </w:p>
    <w:p>
      <w:pPr>
        <w:widowControl/>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zh-CN"/>
        </w:rPr>
      </w:pPr>
      <w:r>
        <w:rPr>
          <w:rFonts w:hint="default" w:ascii="仿宋_GB2312" w:hAnsi="宋体" w:cs="宋体"/>
          <w:color w:val="000000"/>
          <w:kern w:val="0"/>
          <w:szCs w:val="32"/>
          <w:shd w:val="clear" w:color="auto" w:fill="FFFFFF"/>
          <w:lang w:val="zh-CN"/>
        </w:rPr>
        <w:t>本单位按照财政局下达的预算指标，严格执行预算内开支，保障了单位正常运转。本部门的预决算编制均按照县财政局下达的相关文件指标进行了编制，按时完成经、编制工作，决算报表和说明均在</w:t>
      </w:r>
      <w:r>
        <w:rPr>
          <w:rFonts w:hint="eastAsia" w:ascii="仿宋_GB2312" w:hAnsi="宋体" w:cs="宋体"/>
          <w:color w:val="000000"/>
          <w:kern w:val="0"/>
          <w:szCs w:val="32"/>
          <w:shd w:val="clear" w:color="auto" w:fill="FFFFFF"/>
          <w:lang w:val="zh-CN"/>
        </w:rPr>
        <w:t>峨边彝族自治</w:t>
      </w:r>
      <w:r>
        <w:rPr>
          <w:rFonts w:hint="default" w:ascii="仿宋_GB2312" w:hAnsi="宋体" w:cs="宋体"/>
          <w:color w:val="000000"/>
          <w:kern w:val="0"/>
          <w:szCs w:val="32"/>
          <w:shd w:val="clear" w:color="auto" w:fill="FFFFFF"/>
          <w:lang w:val="zh-CN"/>
        </w:rPr>
        <w:t>县政府门户网站公开。绩效目标也按照有关文件如实进行了填报。 </w:t>
      </w:r>
    </w:p>
    <w:p>
      <w:pPr>
        <w:widowControl/>
        <w:adjustRightInd w:val="0"/>
        <w:snapToGrid w:val="0"/>
        <w:spacing w:line="580" w:lineRule="exact"/>
        <w:ind w:firstLine="640" w:firstLineChars="200"/>
        <w:contextualSpacing/>
        <w:jc w:val="left"/>
        <w:rPr>
          <w:rFonts w:hint="eastAsia" w:ascii="仿宋_GB2312" w:hAnsi="宋体" w:eastAsia="宋体" w:cs="宋体"/>
          <w:color w:val="000000"/>
          <w:kern w:val="0"/>
          <w:szCs w:val="32"/>
          <w:shd w:val="clear" w:color="auto" w:fill="FFFFFF"/>
          <w:lang w:val="zh-CN" w:eastAsia="zh-CN"/>
        </w:rPr>
      </w:pPr>
      <w:r>
        <w:rPr>
          <w:rFonts w:hint="eastAsia" w:ascii="楷体_GB2312" w:hAnsi="宋体" w:eastAsia="楷体_GB2312" w:cs="宋体"/>
          <w:color w:val="000000"/>
          <w:kern w:val="0"/>
          <w:szCs w:val="32"/>
          <w:shd w:val="clear" w:color="auto" w:fill="FFFFFF"/>
          <w:lang w:val="zh-CN"/>
        </w:rPr>
        <w:t>（二）项目预算管理。（有项目预算的部门需要阐述此部分）</w:t>
      </w:r>
      <w:r>
        <w:rPr>
          <w:rFonts w:hint="eastAsia" w:ascii="仿宋_GB2312" w:hAnsi="宋体" w:eastAsia="宋体" w:cs="宋体"/>
          <w:color w:val="000000"/>
          <w:kern w:val="0"/>
          <w:szCs w:val="32"/>
          <w:shd w:val="clear" w:color="auto" w:fill="FFFFFF"/>
          <w:lang w:val="en-US" w:eastAsia="zh-CN"/>
        </w:rPr>
        <w:t>2021年我部门预算项目14个</w:t>
      </w:r>
      <w:r>
        <w:rPr>
          <w:rFonts w:hint="eastAsia" w:ascii="仿宋_GB2312" w:hAnsi="宋体" w:eastAsia="宋体" w:cs="宋体"/>
          <w:color w:val="000000"/>
          <w:kern w:val="0"/>
          <w:szCs w:val="32"/>
          <w:shd w:val="clear" w:color="auto" w:fill="FFFFFF"/>
          <w:lang w:val="zh-CN"/>
        </w:rPr>
        <w:t>，具体为：</w:t>
      </w:r>
      <w:r>
        <w:rPr>
          <w:rFonts w:hint="eastAsia" w:ascii="仿宋_GB2312" w:hAnsi="宋体" w:eastAsia="宋体" w:cs="宋体"/>
          <w:color w:val="000000"/>
          <w:kern w:val="0"/>
          <w:szCs w:val="32"/>
          <w:shd w:val="clear" w:color="auto" w:fill="FFFFFF"/>
          <w:lang w:val="en-US" w:eastAsia="zh-CN"/>
        </w:rPr>
        <w:t>射箭坪综合服务区项目17.11万元，保障了服务区的环境卫生，为来峨游客提供了舒适的休息环境，也为农户摆摊设点解决了部分增收，提高了群众满意度，取得较好的社会效益，全面完成;农村公共运行维护项目48万元;保障村组办公正常运转，改善村民的基本生活，提高群众生活质量，完善农村基础设施功能，取得较好的社会效益，全面完成；乡镇森林防灭火工作经费3万元，加强了我乡森林防灭火工作开展，提高了群众防火意识，全面完成目标任务；积分超市工作经费10万元，提高村民环境卫生意识等积极性，全面完成；建党100周年庆祝活动信访稳定工作经费4.65万元，加强特殊人群信访维稳监管，全面完成目标任务；2021年公共图书馆文化馆免费开放专项资金项目5万元，提升了我乡文化活动，全面完成；彝族年慰问经费3万元，对全乡彝族困难群众等进行慰问，全部完成；2021年全县脱贫村驻村工作队和非贫困村第一书记驻村工作经费9.95万元，保障全乡驻村工作队日常办公、生活等条件，便于开展驻村工作，全面完成；2021年乡镇巩固脱贫攻坚、接续乡村振兴暨疫情防控工作经费15万元，保障2021年脱贫攻坚成果同乡村振兴有效衔接，全面完成；村干部养老保险补助、村意外保险经费项目11.73万元，保证全乡村组干部意外保险购买，提升群组干部服务积极性，全面完成；2021年脱贫攻坚成果同乡村振兴有效衔接工作经费5万元，保障2021年脱贫攻坚成果同乡村振兴有效衔接，全面完成；脱贫攻坚经费_2021年脱贫攻坚精准扶贫档案经费1万元，提升脱贫攻坚档案存放环境，达到标准化存档，全面完成；2021年新一轮县派第一书记及驻村工作队队员一次性生活补助及县派第一书记及驻村工作队员2021年6至9月相关待遇保障经费2.2万元，保障全乡驻村工作队工作、生活等条件，便于开展驻村工作，全面完成；2020年自然灾害（地质灾害）资金的通知（机械清淤）3万元，解决了自然灾害导致的道路堵塞等问题，全面完成；2021年七大秩序整治和2020年遗留问题解决经费9.92万元；强化环境治理宣传，保障整治工作经费需要，全面完成目标任务。</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_GB2312" w:hAnsi="宋体" w:eastAsia="宋体" w:cs="宋体"/>
          <w:color w:val="000000"/>
          <w:kern w:val="0"/>
          <w:szCs w:val="32"/>
          <w:shd w:val="clear" w:color="auto" w:fill="FFFFFF"/>
          <w:lang w:val="zh-CN" w:eastAsia="zh-CN"/>
        </w:rPr>
      </w:pPr>
      <w:r>
        <w:rPr>
          <w:rFonts w:hint="eastAsia" w:ascii="仿宋_GB2312" w:hAnsi="宋体" w:eastAsia="宋体" w:cs="宋体"/>
          <w:color w:val="000000"/>
          <w:kern w:val="0"/>
          <w:szCs w:val="32"/>
          <w:shd w:val="clear" w:color="auto" w:fill="FFFFFF"/>
          <w:lang w:val="en-US" w:eastAsia="zh-CN"/>
        </w:rPr>
        <w:t>2021</w:t>
      </w:r>
      <w:r>
        <w:rPr>
          <w:rFonts w:hint="eastAsia" w:ascii="仿宋_GB2312" w:hAnsi="宋体" w:eastAsia="宋体" w:cs="宋体"/>
          <w:color w:val="000000"/>
          <w:kern w:val="0"/>
          <w:szCs w:val="32"/>
          <w:shd w:val="clear" w:color="auto" w:fill="FFFFFF"/>
          <w:lang w:val="zh-CN" w:eastAsia="zh-CN"/>
        </w:rPr>
        <w:t>年</w:t>
      </w:r>
      <w:r>
        <w:rPr>
          <w:rFonts w:hint="eastAsia" w:ascii="仿宋_GB2312" w:hAnsi="宋体" w:eastAsia="宋体" w:cs="宋体"/>
          <w:color w:val="000000"/>
          <w:kern w:val="0"/>
          <w:szCs w:val="32"/>
          <w:shd w:val="clear" w:color="auto" w:fill="FFFFFF"/>
          <w:lang w:val="en-US" w:eastAsia="zh-CN"/>
        </w:rPr>
        <w:t>我乡</w:t>
      </w:r>
      <w:r>
        <w:rPr>
          <w:rFonts w:hint="eastAsia" w:ascii="仿宋_GB2312" w:hAnsi="宋体" w:eastAsia="宋体" w:cs="宋体"/>
          <w:color w:val="000000"/>
          <w:kern w:val="0"/>
          <w:szCs w:val="32"/>
          <w:shd w:val="clear" w:color="auto" w:fill="FFFFFF"/>
          <w:lang w:val="zh-CN" w:eastAsia="zh-CN"/>
        </w:rPr>
        <w:t>财政资金收入为</w:t>
      </w:r>
      <w:r>
        <w:rPr>
          <w:rFonts w:hint="eastAsia" w:ascii="仿宋_GB2312" w:hAnsi="宋体" w:eastAsia="宋体" w:cs="宋体"/>
          <w:color w:val="000000"/>
          <w:kern w:val="0"/>
          <w:szCs w:val="32"/>
          <w:shd w:val="clear" w:color="auto" w:fill="FFFFFF"/>
          <w:lang w:val="en-US" w:eastAsia="zh-CN"/>
        </w:rPr>
        <w:t>993.30</w:t>
      </w:r>
      <w:r>
        <w:rPr>
          <w:rFonts w:hint="eastAsia" w:ascii="仿宋_GB2312" w:hAnsi="宋体" w:eastAsia="宋体" w:cs="宋体"/>
          <w:color w:val="000000"/>
          <w:kern w:val="0"/>
          <w:szCs w:val="32"/>
          <w:shd w:val="clear" w:color="auto" w:fill="FFFFFF"/>
          <w:lang w:val="zh-CN" w:eastAsia="zh-CN"/>
        </w:rPr>
        <w:t>万元，支出为</w:t>
      </w:r>
      <w:r>
        <w:rPr>
          <w:rFonts w:hint="eastAsia" w:ascii="仿宋_GB2312" w:hAnsi="宋体" w:eastAsia="宋体" w:cs="宋体"/>
          <w:color w:val="000000"/>
          <w:kern w:val="0"/>
          <w:szCs w:val="32"/>
          <w:shd w:val="clear" w:color="auto" w:fill="FFFFFF"/>
          <w:lang w:val="en-US" w:eastAsia="zh-CN"/>
        </w:rPr>
        <w:t>993.30</w:t>
      </w:r>
      <w:r>
        <w:rPr>
          <w:rFonts w:hint="eastAsia" w:ascii="仿宋_GB2312" w:hAnsi="宋体" w:eastAsia="宋体" w:cs="宋体"/>
          <w:color w:val="000000"/>
          <w:kern w:val="0"/>
          <w:szCs w:val="32"/>
          <w:shd w:val="clear" w:color="auto" w:fill="FFFFFF"/>
          <w:lang w:val="zh-CN" w:eastAsia="zh-CN"/>
        </w:rPr>
        <w:t>万元，预算执行情况为</w:t>
      </w:r>
      <w:r>
        <w:rPr>
          <w:rFonts w:hint="eastAsia" w:ascii="仿宋_GB2312" w:hAnsi="宋体" w:eastAsia="宋体" w:cs="宋体"/>
          <w:color w:val="000000"/>
          <w:kern w:val="0"/>
          <w:szCs w:val="32"/>
          <w:shd w:val="clear" w:color="auto" w:fill="FFFFFF"/>
          <w:lang w:val="en-US" w:eastAsia="zh-CN"/>
        </w:rPr>
        <w:t>100%</w:t>
      </w:r>
      <w:r>
        <w:rPr>
          <w:rFonts w:hint="eastAsia" w:ascii="仿宋_GB2312" w:hAnsi="宋体" w:eastAsia="宋体" w:cs="宋体"/>
          <w:color w:val="000000"/>
          <w:kern w:val="0"/>
          <w:szCs w:val="32"/>
          <w:shd w:val="clear" w:color="auto" w:fill="FFFFFF"/>
          <w:lang w:val="zh-CN" w:eastAsia="zh-CN"/>
        </w:rPr>
        <w:t>，较好地完成了县委政府下达的目标任务，部门支出自评质量高，绩效目标及时公开，社会反映良好。</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（一）评价结论。根据《峨边彝族自治县财政局 关于开展20</w:t>
      </w:r>
      <w:r>
        <w:rPr>
          <w:rFonts w:hint="eastAsia" w:ascii="仿宋_GB2312" w:hAnsi="宋体" w:cs="宋体"/>
          <w:color w:val="000000"/>
          <w:kern w:val="0"/>
          <w:szCs w:val="32"/>
          <w:shd w:val="clear" w:color="auto" w:fill="FFFFFF"/>
          <w:lang w:val="en-US" w:eastAsia="zh-CN"/>
        </w:rPr>
        <w:t>21</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我乡认真组织开展了部门整体支出绩效评价工作，绩效评价</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94</w:t>
      </w:r>
      <w:r>
        <w:rPr>
          <w:rFonts w:hint="eastAsia" w:ascii="仿宋_GB2312" w:hAnsi="宋体" w:cs="宋体"/>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highlight w:val="none"/>
          <w:shd w:val="clear" w:color="auto" w:fill="FFFFFF"/>
          <w:lang w:val="zh-CN"/>
        </w:rPr>
        <w:t>预决算项目支出编制</w:t>
      </w:r>
      <w:r>
        <w:rPr>
          <w:rFonts w:hint="eastAsia" w:ascii="仿宋_GB2312" w:hAnsi="宋体" w:cs="宋体"/>
          <w:color w:val="000000"/>
          <w:kern w:val="0"/>
          <w:szCs w:val="32"/>
          <w:shd w:val="clear" w:color="auto" w:fill="FFFFFF"/>
          <w:lang w:val="en-US" w:eastAsia="zh-CN"/>
        </w:rPr>
        <w:t>准确性有待提高，项目分类需进一步细化，</w:t>
      </w:r>
      <w:r>
        <w:rPr>
          <w:rFonts w:hint="eastAsia" w:ascii="仿宋_GB2312" w:hAnsi="宋体" w:cs="宋体"/>
          <w:color w:val="000000"/>
          <w:kern w:val="0"/>
          <w:szCs w:val="32"/>
          <w:highlight w:val="none"/>
          <w:shd w:val="clear" w:color="auto" w:fill="FFFFFF"/>
          <w:lang w:val="zh-CN"/>
        </w:rPr>
        <w:t>项目执行情况还需进一步提高，</w:t>
      </w:r>
      <w:r>
        <w:rPr>
          <w:rFonts w:hint="eastAsia" w:ascii="仿宋_GB2312" w:hAnsi="宋体" w:cs="宋体"/>
          <w:color w:val="000000"/>
          <w:kern w:val="0"/>
          <w:szCs w:val="32"/>
          <w:shd w:val="clear" w:color="auto" w:fill="FFFFFF"/>
          <w:lang w:val="zh-CN"/>
        </w:rPr>
        <w:t>财务人员业务水平还需加强等问题</w:t>
      </w:r>
      <w:r>
        <w:rPr>
          <w:rFonts w:hint="eastAsia" w:ascii="仿宋_GB2312" w:hAnsi="宋体" w:cs="宋体"/>
          <w:color w:val="000000"/>
          <w:kern w:val="0"/>
          <w:szCs w:val="32"/>
          <w:highlight w:val="none"/>
          <w:shd w:val="clear" w:color="auto" w:fill="FFFFFF"/>
          <w:lang w:val="zh-CN"/>
        </w:rPr>
        <w:t>。</w:t>
      </w:r>
    </w:p>
    <w:p>
      <w:pPr>
        <w:widowControl/>
        <w:numPr>
          <w:ilvl w:val="0"/>
          <w:numId w:val="4"/>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改进建议。</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1.严格预算编制。预算编制工作做早、做细、做实，把预算审核贯穿于日常财政管理工作中，科学合理地制定定额标准，既要统筹兼顾各部门的主要职能、任务，同时也要准确合理的给予各部门财力保障。</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2.建立完善的项目支出、项目绩效评价制度，在项目资金使用过程中进行监督，全程管理项目支出进度，及时采取措施完善各项管理漏洞，确保财政资金发挥最大效益。</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3.加强财务知识学习，提高财务人员业务水平。</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eastAsia="zh-CN"/>
        </w:rPr>
      </w:pPr>
      <w:r>
        <w:rPr>
          <w:rFonts w:hint="eastAsia" w:ascii="仿宋_GB2312" w:hAnsi="宋体" w:cs="宋体"/>
          <w:color w:val="000000"/>
          <w:kern w:val="0"/>
          <w:szCs w:val="32"/>
          <w:shd w:val="clear" w:color="auto" w:fill="FFFFFF"/>
          <w:lang w:val="en-US" w:eastAsia="zh-CN"/>
        </w:rPr>
        <w:t>4.</w:t>
      </w:r>
      <w:r>
        <w:rPr>
          <w:rFonts w:hint="eastAsia" w:ascii="仿宋_GB2312" w:hAnsi="宋体" w:cs="宋体"/>
          <w:color w:val="000000"/>
          <w:kern w:val="0"/>
          <w:szCs w:val="32"/>
          <w:shd w:val="clear" w:color="auto" w:fill="FFFFFF"/>
          <w:lang w:val="zh-CN" w:eastAsia="zh-CN"/>
        </w:rPr>
        <w:t>加强财务管理，严格财务审核。加强单位财务管理，健全单位财务管理制度体系，规范单位财务行为。在费用报账支付时，按照预算规定的费用项目和用途进行资金使用审核、财务严格核算，杜绝超支现象的发生。</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新场乡人民政府</w:t>
      </w:r>
    </w:p>
    <w:p>
      <w:pPr>
        <w:widowControl/>
        <w:numPr>
          <w:ilvl w:val="0"/>
          <w:numId w:val="0"/>
        </w:numPr>
        <w:adjustRightInd w:val="0"/>
        <w:snapToGrid w:val="0"/>
        <w:spacing w:line="580" w:lineRule="exact"/>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2022年7月20日</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77CE77"/>
    <w:multiLevelType w:val="singleLevel"/>
    <w:tmpl w:val="FC77CE77"/>
    <w:lvl w:ilvl="0" w:tentative="0">
      <w:start w:val="3"/>
      <w:numFmt w:val="chineseCounting"/>
      <w:suff w:val="nothing"/>
      <w:lvlText w:val="（%1）"/>
      <w:lvlJc w:val="left"/>
      <w:rPr>
        <w:rFonts w:hint="eastAsia"/>
      </w:rPr>
    </w:lvl>
  </w:abstractNum>
  <w:abstractNum w:abstractNumId="1">
    <w:nsid w:val="04F510F9"/>
    <w:multiLevelType w:val="singleLevel"/>
    <w:tmpl w:val="04F510F9"/>
    <w:lvl w:ilvl="0" w:tentative="0">
      <w:start w:val="2"/>
      <w:numFmt w:val="decimal"/>
      <w:lvlText w:val="(%1)"/>
      <w:lvlJc w:val="left"/>
      <w:pPr>
        <w:tabs>
          <w:tab w:val="left" w:pos="312"/>
        </w:tabs>
      </w:pPr>
    </w:lvl>
  </w:abstractNum>
  <w:abstractNum w:abstractNumId="2">
    <w:nsid w:val="1326AB16"/>
    <w:multiLevelType w:val="singleLevel"/>
    <w:tmpl w:val="1326AB16"/>
    <w:lvl w:ilvl="0" w:tentative="0">
      <w:start w:val="2"/>
      <w:numFmt w:val="chineseCounting"/>
      <w:suff w:val="nothing"/>
      <w:lvlText w:val="（%1）"/>
      <w:lvlJc w:val="left"/>
      <w:rPr>
        <w:rFonts w:hint="eastAsia"/>
      </w:rPr>
    </w:lvl>
  </w:abstractNum>
  <w:abstractNum w:abstractNumId="3">
    <w:nsid w:val="2F22010E"/>
    <w:multiLevelType w:val="singleLevel"/>
    <w:tmpl w:val="2F22010E"/>
    <w:lvl w:ilvl="0" w:tentative="0">
      <w:start w:val="3"/>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EzNjc0Y2QzNGNjZWQ1MDBmNmRlMDEyNTZiNDA4NjgifQ=="/>
  </w:docVars>
  <w:rsids>
    <w:rsidRoot w:val="00EC0174"/>
    <w:rsid w:val="00006E4D"/>
    <w:rsid w:val="00021652"/>
    <w:rsid w:val="00030311"/>
    <w:rsid w:val="00030782"/>
    <w:rsid w:val="00030B66"/>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54C87"/>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2164"/>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D84680B"/>
    <w:rsid w:val="19927F78"/>
    <w:rsid w:val="21AE59D8"/>
    <w:rsid w:val="24F22983"/>
    <w:rsid w:val="286F56EA"/>
    <w:rsid w:val="2D527252"/>
    <w:rsid w:val="2DA16F47"/>
    <w:rsid w:val="329102D6"/>
    <w:rsid w:val="32C70654"/>
    <w:rsid w:val="34762C8E"/>
    <w:rsid w:val="35790707"/>
    <w:rsid w:val="37CD0C3A"/>
    <w:rsid w:val="3A7F49A9"/>
    <w:rsid w:val="3A9520B3"/>
    <w:rsid w:val="3DBD4858"/>
    <w:rsid w:val="3DE562B7"/>
    <w:rsid w:val="3E6507EA"/>
    <w:rsid w:val="47550EBA"/>
    <w:rsid w:val="4C5307AF"/>
    <w:rsid w:val="4E3B3433"/>
    <w:rsid w:val="4F0154B1"/>
    <w:rsid w:val="50BB3388"/>
    <w:rsid w:val="54F53345"/>
    <w:rsid w:val="550F4697"/>
    <w:rsid w:val="5FDB4955"/>
    <w:rsid w:val="618B4F15"/>
    <w:rsid w:val="6636451A"/>
    <w:rsid w:val="6BE94116"/>
    <w:rsid w:val="6FDA2517"/>
    <w:rsid w:val="783E6870"/>
    <w:rsid w:val="78916378"/>
    <w:rsid w:val="7BC20073"/>
    <w:rsid w:val="7C631402"/>
    <w:rsid w:val="7DCC0F6E"/>
    <w:rsid w:val="7E140770"/>
    <w:rsid w:val="9BFF6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2"/>
    <w:qFormat/>
    <w:uiPriority w:val="99"/>
    <w:rPr>
      <w:rFonts w:ascii="宋体"/>
      <w:sz w:val="18"/>
      <w:szCs w:val="18"/>
    </w:rPr>
  </w:style>
  <w:style w:type="paragraph" w:styleId="3">
    <w:name w:val="annotation text"/>
    <w:basedOn w:val="1"/>
    <w:semiHidden/>
    <w:unhideWhenUsed/>
    <w:qFormat/>
    <w:locked/>
    <w:uiPriority w:val="99"/>
    <w:pPr>
      <w:jc w:val="left"/>
    </w:pPr>
  </w:style>
  <w:style w:type="paragraph" w:styleId="4">
    <w:name w:val="Balloon Text"/>
    <w:basedOn w:val="1"/>
    <w:link w:val="13"/>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99"/>
    <w:rPr>
      <w:rFonts w:cs="Times New Roman"/>
    </w:rPr>
  </w:style>
  <w:style w:type="character" w:styleId="9">
    <w:name w:val="Emphasis"/>
    <w:basedOn w:val="7"/>
    <w:qFormat/>
    <w:locked/>
    <w:uiPriority w:val="20"/>
    <w:rPr>
      <w:i/>
    </w:rPr>
  </w:style>
  <w:style w:type="table" w:styleId="11">
    <w:name w:val="Table Grid"/>
    <w:basedOn w:val="1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文档结构图 Char"/>
    <w:link w:val="2"/>
    <w:qFormat/>
    <w:locked/>
    <w:uiPriority w:val="99"/>
    <w:rPr>
      <w:rFonts w:ascii="宋体" w:cs="Times New Roman"/>
      <w:kern w:val="2"/>
      <w:sz w:val="18"/>
      <w:szCs w:val="18"/>
    </w:rPr>
  </w:style>
  <w:style w:type="character" w:customStyle="1" w:styleId="13">
    <w:name w:val="批注框文本 Char"/>
    <w:link w:val="4"/>
    <w:semiHidden/>
    <w:qFormat/>
    <w:locked/>
    <w:uiPriority w:val="99"/>
    <w:rPr>
      <w:rFonts w:cs="Times New Roman"/>
      <w:sz w:val="2"/>
    </w:rPr>
  </w:style>
  <w:style w:type="character" w:customStyle="1" w:styleId="14">
    <w:name w:val="页脚 Char"/>
    <w:link w:val="5"/>
    <w:qFormat/>
    <w:locked/>
    <w:uiPriority w:val="99"/>
    <w:rPr>
      <w:rFonts w:cs="Times New Roman"/>
      <w:kern w:val="2"/>
      <w:sz w:val="18"/>
      <w:szCs w:val="18"/>
    </w:rPr>
  </w:style>
  <w:style w:type="character" w:customStyle="1" w:styleId="15">
    <w:name w:val="页眉 Char"/>
    <w:link w:val="6"/>
    <w:semiHidden/>
    <w:qFormat/>
    <w:locked/>
    <w:uiPriority w:val="99"/>
    <w:rPr>
      <w:rFonts w:cs="Times New Roman"/>
      <w:sz w:val="18"/>
      <w:szCs w:val="18"/>
    </w:rPr>
  </w:style>
  <w:style w:type="paragraph" w:customStyle="1" w:styleId="16">
    <w:name w:val="四号正文"/>
    <w:basedOn w:val="1"/>
    <w:link w:val="17"/>
    <w:qFormat/>
    <w:uiPriority w:val="99"/>
    <w:pPr>
      <w:spacing w:line="360" w:lineRule="auto"/>
    </w:pPr>
    <w:rPr>
      <w:rFonts w:ascii="??" w:hAnsi="??" w:cs="宋体"/>
      <w:color w:val="000000"/>
      <w:kern w:val="0"/>
      <w:sz w:val="28"/>
      <w:szCs w:val="21"/>
    </w:rPr>
  </w:style>
  <w:style w:type="character" w:customStyle="1" w:styleId="17">
    <w:name w:val="四号正文 Char"/>
    <w:link w:val="16"/>
    <w:qFormat/>
    <w:locked/>
    <w:uiPriority w:val="99"/>
    <w:rPr>
      <w:rFonts w:ascii="??" w:hAnsi="??" w:eastAsia="宋体" w:cs="宋体"/>
      <w:color w:val="000000"/>
      <w:sz w:val="21"/>
      <w:szCs w:val="21"/>
      <w:lang w:val="en-US" w:eastAsia="zh-CN" w:bidi="ar-SA"/>
    </w:rPr>
  </w:style>
  <w:style w:type="paragraph" w:customStyle="1" w:styleId="18">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6</Pages>
  <Words>2899</Words>
  <Characters>3014</Characters>
  <Lines>2</Lines>
  <Paragraphs>1</Paragraphs>
  <TotalTime>16</TotalTime>
  <ScaleCrop>false</ScaleCrop>
  <LinksUpToDate>false</LinksUpToDate>
  <CharactersWithSpaces>3104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NTKO</cp:lastModifiedBy>
  <cp:lastPrinted>2022-03-15T02:17:00Z</cp:lastPrinted>
  <dcterms:modified xsi:type="dcterms:W3CDTF">2022-08-18T07:40:52Z</dcterms:modified>
  <dc:title>区域性就业培训基地建设项目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ICV">
    <vt:lpwstr>06FF8271FB26431584C3185E177F5595</vt:lpwstr>
  </property>
</Properties>
</file>