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C7A82">
      <w:pPr>
        <w:spacing w:line="58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568DD9BD">
      <w:pPr>
        <w:widowControl/>
        <w:spacing w:line="580" w:lineRule="exact"/>
        <w:ind w:firstLine="883" w:firstLineChars="200"/>
        <w:contextualSpacing/>
        <w:jc w:val="center"/>
        <w:rPr>
          <w:rFonts w:ascii="宋体"/>
          <w:b/>
          <w:sz w:val="44"/>
          <w:szCs w:val="44"/>
          <w:shd w:val="clear" w:color="auto" w:fill="FFFFFF"/>
        </w:rPr>
      </w:pPr>
    </w:p>
    <w:p w14:paraId="3EE657ED">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峨边彝族自治县五渡镇人民政府</w:t>
      </w:r>
    </w:p>
    <w:p w14:paraId="7E05A6EA">
      <w:pPr>
        <w:widowControl/>
        <w:numPr>
          <w:ilvl w:val="0"/>
          <w:numId w:val="0"/>
        </w:numPr>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部门整体支出绩效自评报告</w:t>
      </w:r>
    </w:p>
    <w:p w14:paraId="1887A59F">
      <w:pPr>
        <w:widowControl/>
        <w:adjustRightInd w:val="0"/>
        <w:snapToGrid w:val="0"/>
        <w:spacing w:line="580" w:lineRule="exact"/>
        <w:ind w:firstLine="660" w:firstLineChars="200"/>
        <w:contextualSpacing/>
        <w:jc w:val="center"/>
        <w:rPr>
          <w:rFonts w:ascii="方正仿宋_GBK" w:hAnsi="宋体" w:eastAsia="方正仿宋_GBK" w:cs="宋体"/>
          <w:color w:val="000000"/>
          <w:kern w:val="0"/>
          <w:sz w:val="33"/>
          <w:szCs w:val="33"/>
          <w:shd w:val="clear" w:color="auto" w:fill="FFFFFF"/>
        </w:rPr>
      </w:pPr>
    </w:p>
    <w:p w14:paraId="34DFFE6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rPr>
        <w:t>一、</w:t>
      </w:r>
      <w:r>
        <w:rPr>
          <w:rFonts w:hint="eastAsia" w:ascii="黑体" w:hAnsi="黑体" w:eastAsia="黑体" w:cs="宋体"/>
          <w:color w:val="000000"/>
          <w:kern w:val="0"/>
          <w:szCs w:val="32"/>
          <w:shd w:val="clear" w:color="auto" w:fill="FFFFFF"/>
          <w:lang w:val="zh-CN"/>
        </w:rPr>
        <w:t>部门基本情况</w:t>
      </w:r>
    </w:p>
    <w:p w14:paraId="03FA5AC6">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（一）机构组成。</w:t>
      </w:r>
    </w:p>
    <w:p w14:paraId="0754DAF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五渡镇机关设下列内设机构：</w:t>
      </w:r>
    </w:p>
    <w:p w14:paraId="2F83293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1.</w:t>
      </w:r>
      <w:r>
        <w:rPr>
          <w:rFonts w:hint="eastAsia" w:ascii="楷体_GB2312" w:hAnsi="楷体_GB2312" w:eastAsia="楷体_GB2312" w:cs="楷体_GB2312"/>
          <w:color w:val="000000"/>
          <w:kern w:val="0"/>
          <w:szCs w:val="32"/>
          <w:shd w:val="clear" w:color="auto" w:fill="FFFFFF"/>
          <w:lang w:val="zh-CN"/>
        </w:rPr>
        <w:t>党政办公室。</w:t>
      </w:r>
      <w:r>
        <w:rPr>
          <w:rFonts w:hint="eastAsia" w:ascii="仿宋_GB2312" w:hAnsi="仿宋_GB2312" w:eastAsia="仿宋_GB2312" w:cs="仿宋_GB2312"/>
          <w:color w:val="000000"/>
          <w:kern w:val="0"/>
          <w:szCs w:val="32"/>
          <w:shd w:val="clear" w:color="auto" w:fill="FFFFFF"/>
          <w:lang w:val="zh-CN"/>
        </w:rPr>
        <w:t>负责镇党委、政府综合协调、政策调研、政务公开、督促检查、绩效管理等工作；负责文电会务、保密机要、印章管理、档案管理及后勤保障服务等工作；负责财政领域各项方针政策、法律法规规章的贯彻落实；负责编制和执行本级预算、决算草案和预算绩效管理工作；负责本级财政资金收支管理及行政事业单位会计核算工作；负责资金监管工作；负责政府采购工作；负责镇财务管理，代管村（社区）财务；指导农村集体“三资”管理等工作；负责国有资产管理工作；负责落实兑现各级财政惠农惠民补贴资金；负责财务管理的培训、指导、监督；负责做好财务档案管理工作；完成镇党委、政府交办的其他工作。</w:t>
      </w:r>
    </w:p>
    <w:p w14:paraId="5B2547F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2.</w:t>
      </w:r>
      <w:r>
        <w:rPr>
          <w:rFonts w:hint="eastAsia" w:ascii="楷体_GB2312" w:hAnsi="楷体_GB2312" w:eastAsia="楷体_GB2312" w:cs="楷体_GB2312"/>
          <w:color w:val="000000"/>
          <w:kern w:val="0"/>
          <w:szCs w:val="32"/>
          <w:shd w:val="clear" w:color="auto" w:fill="FFFFFF"/>
          <w:lang w:val="zh-CN"/>
        </w:rPr>
        <w:t>党建工作办公室。</w:t>
      </w:r>
      <w:r>
        <w:rPr>
          <w:rFonts w:hint="eastAsia" w:ascii="仿宋_GB2312" w:hAnsi="仿宋_GB2312" w:eastAsia="仿宋_GB2312" w:cs="仿宋_GB2312"/>
          <w:color w:val="000000"/>
          <w:kern w:val="0"/>
          <w:szCs w:val="32"/>
          <w:shd w:val="clear" w:color="auto" w:fill="FFFFFF"/>
          <w:lang w:val="zh-CN"/>
        </w:rPr>
        <w:t>负责基层党的建设，制定并实施基层党组织建设规划，指导基层党组织党建工作；负责组织开展党的思想建设、组织建设、作风建设、制度建设等各项活动，统筹村（社区）党建、单位党建、行业党建工作；负责区域内村级班子建设；负责机关及直属事业单位干部人事、机构编制、职称评聘、教育培训及退休人员管理服务等人事工作；负责人才开发引进、农民工回引等工作；配合做好驻村帮扶相关工作；承担镇人大主席团日常事务；承担纪检监察、政法、宣传、统战、民族宗教、老干部、精神文明等工作；承担工会、共青团、妇联、残联等群团工作；完成镇党委、政府交办的其他工作。</w:t>
      </w:r>
    </w:p>
    <w:p w14:paraId="3AF6DA0E">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3.</w:t>
      </w:r>
      <w:r>
        <w:rPr>
          <w:rFonts w:hint="eastAsia" w:ascii="楷体_GB2312" w:hAnsi="楷体_GB2312" w:eastAsia="楷体_GB2312" w:cs="楷体_GB2312"/>
          <w:color w:val="000000"/>
          <w:kern w:val="0"/>
          <w:szCs w:val="32"/>
          <w:shd w:val="clear" w:color="auto" w:fill="FFFFFF"/>
          <w:lang w:val="zh-CN"/>
        </w:rPr>
        <w:t>社会事务和社会治理办公室。</w:t>
      </w:r>
      <w:r>
        <w:rPr>
          <w:rFonts w:hint="eastAsia" w:ascii="仿宋_GB2312" w:hAnsi="仿宋_GB2312" w:eastAsia="仿宋_GB2312" w:cs="仿宋_GB2312"/>
          <w:color w:val="000000"/>
          <w:kern w:val="0"/>
          <w:szCs w:val="32"/>
          <w:shd w:val="clear" w:color="auto" w:fill="FFFFFF"/>
          <w:lang w:val="zh-CN"/>
        </w:rPr>
        <w:t>主要承担指导推进公共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居）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镇党委、政府交办的其他工作。</w:t>
      </w:r>
    </w:p>
    <w:p w14:paraId="2739FD08">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4.</w:t>
      </w:r>
      <w:r>
        <w:rPr>
          <w:rFonts w:hint="eastAsia" w:ascii="楷体_GB2312" w:hAnsi="楷体_GB2312" w:eastAsia="楷体_GB2312" w:cs="楷体_GB2312"/>
          <w:color w:val="000000"/>
          <w:kern w:val="0"/>
          <w:szCs w:val="32"/>
          <w:shd w:val="clear" w:color="auto" w:fill="FFFFFF"/>
          <w:lang w:val="zh-CN"/>
        </w:rPr>
        <w:t>经济发展和规划建设办公室。</w:t>
      </w:r>
      <w:r>
        <w:rPr>
          <w:rFonts w:hint="eastAsia" w:ascii="仿宋_GB2312" w:hAnsi="仿宋_GB2312" w:eastAsia="仿宋_GB2312" w:cs="仿宋_GB2312"/>
          <w:color w:val="000000"/>
          <w:kern w:val="0"/>
          <w:szCs w:val="32"/>
          <w:shd w:val="clear" w:color="auto" w:fill="FFFFFF"/>
          <w:lang w:val="zh-CN"/>
        </w:rPr>
        <w:t>负责项目推进、科技创新、数据开发共享、价格、节能、能源、粮食流通、工业、信息化、招商引资、商务经济合作、统计调查分析、国民经济核算等工作；负责拟定农业、工业、三产服务业等经济发展规划和政策措施，负责协调第一二三产业发展的重大问题；负责做好工业、农业、投资、商贸服务业、基本单位名录库记忆住户收支调查等统计工作；负责自然资源和生态环境保护领域各项方针政策、法律法规规章的贯彻落实；负责项目建设的规划和组织实施工作；负责辖区内水库移民后期扶持工作；负责城乡建设、空间规划等领域各项方针政策、法律法规规章的贯彻落实；负责协助重点项目的征地、拆迁、安置等工作；负责宅基地管理、农业设施用地管理等工作；协助做好国土空间、交通、旅游等规划的编制和实施，并负责监督、管理。协调交通运输、电力、通讯、水利等基础建设工作；完成镇党委、政府交办的其他工作。</w:t>
      </w:r>
    </w:p>
    <w:p w14:paraId="6EE0C46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5.</w:t>
      </w:r>
      <w:r>
        <w:rPr>
          <w:rFonts w:hint="eastAsia" w:ascii="楷体_GB2312" w:hAnsi="楷体_GB2312" w:eastAsia="楷体_GB2312" w:cs="楷体_GB2312"/>
          <w:color w:val="000000"/>
          <w:kern w:val="0"/>
          <w:szCs w:val="32"/>
          <w:shd w:val="clear" w:color="auto" w:fill="FFFFFF"/>
          <w:lang w:val="zh-CN"/>
        </w:rPr>
        <w:t>综合执法办公室。</w:t>
      </w:r>
      <w:r>
        <w:rPr>
          <w:rFonts w:hint="eastAsia" w:ascii="仿宋_GB2312" w:hAnsi="仿宋_GB2312" w:eastAsia="仿宋_GB2312" w:cs="仿宋_GB2312"/>
          <w:color w:val="000000"/>
          <w:kern w:val="0"/>
          <w:szCs w:val="32"/>
          <w:shd w:val="clear" w:color="auto" w:fill="FFFFFF"/>
          <w:lang w:val="zh-CN"/>
        </w:rPr>
        <w:t>根据有关法律法规和赋权等，承担本行政区域内的综合行政执法工作；负责开展日常巡查和有关执法检查；负责统一指挥协调县级部门派驻镇的行政执法力量；负责支持、配合县级相关部门的执法工作；负责生态环境保护和城乡环境综合治理等工作；完成镇党委、政府交办的其他工作。</w:t>
      </w:r>
    </w:p>
    <w:p w14:paraId="1B2A8E01">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6.</w:t>
      </w:r>
      <w:r>
        <w:rPr>
          <w:rFonts w:hint="eastAsia" w:ascii="楷体_GB2312" w:hAnsi="楷体_GB2312" w:eastAsia="楷体_GB2312" w:cs="楷体_GB2312"/>
          <w:color w:val="000000"/>
          <w:kern w:val="0"/>
          <w:szCs w:val="32"/>
          <w:shd w:val="clear" w:color="auto" w:fill="FFFFFF"/>
          <w:lang w:val="zh-CN"/>
        </w:rPr>
        <w:t>应急管理办公室。</w:t>
      </w:r>
      <w:r>
        <w:rPr>
          <w:rFonts w:hint="eastAsia" w:ascii="仿宋_GB2312" w:hAnsi="仿宋_GB2312" w:eastAsia="仿宋_GB2312" w:cs="仿宋_GB2312"/>
          <w:color w:val="000000"/>
          <w:kern w:val="0"/>
          <w:szCs w:val="32"/>
          <w:shd w:val="clear" w:color="auto" w:fill="FFFFFF"/>
          <w:lang w:val="zh-CN"/>
        </w:rPr>
        <w:t>负责应急管理、安全生产等领域各 项方针政策、法律法规规章的贯彻落实；负责辖区内安全生产、抗震救灾、防汛抗旱、地质灾害、消防安全、森林防灭火、道路交通安全、生态环境事件、公共卫生事件、食品药品安全事件、动（植）物疫情事件及各类突发事件应急处置工作。完成镇党委、政府交办的其他工作。</w:t>
      </w:r>
    </w:p>
    <w:p w14:paraId="471B3E4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en-US" w:eastAsia="zh-CN"/>
        </w:rPr>
      </w:pPr>
      <w:r>
        <w:rPr>
          <w:rFonts w:hint="eastAsia" w:ascii="楷体_GB2312" w:hAnsi="楷体_GB2312" w:eastAsia="楷体_GB2312" w:cs="楷体_GB2312"/>
          <w:color w:val="000000"/>
          <w:kern w:val="0"/>
          <w:szCs w:val="32"/>
          <w:shd w:val="clear" w:color="auto" w:fill="FFFFFF"/>
          <w:lang w:val="en-US" w:eastAsia="zh-CN"/>
        </w:rPr>
        <w:t>7.</w:t>
      </w:r>
      <w:r>
        <w:rPr>
          <w:rFonts w:hint="eastAsia" w:ascii="楷体_GB2312" w:hAnsi="楷体_GB2312" w:eastAsia="楷体_GB2312" w:cs="楷体_GB2312"/>
          <w:color w:val="000000"/>
          <w:kern w:val="0"/>
          <w:szCs w:val="32"/>
          <w:shd w:val="clear" w:color="auto" w:fill="FFFFFF"/>
          <w:lang w:val="zh-CN"/>
        </w:rPr>
        <w:t>五渡镇便民服务中心（挂新时代文明实践站、退役军 人服务站牌子）。</w:t>
      </w:r>
      <w:r>
        <w:rPr>
          <w:rFonts w:hint="eastAsia" w:ascii="仿宋_GB2312" w:hAnsi="仿宋_GB2312" w:eastAsia="仿宋_GB2312" w:cs="仿宋_GB2312"/>
          <w:color w:val="000000"/>
          <w:kern w:val="0"/>
          <w:szCs w:val="32"/>
          <w:shd w:val="clear" w:color="auto" w:fill="FFFFFF"/>
          <w:lang w:val="zh-CN"/>
        </w:rPr>
        <w:t>负责推进政府服务标准化建设工作；负责集中受理涉及经济发展、公共管理以及与群众密切相关的政务服务、公共服务、便民服务事项；负责指导本镇便民服务站、村（社区）便民服务代办点工作；接受县行政审批和数据局和相关职能部门的业务指导；负责政务服务相关事项的公开公示。负责农民工就业创业、社会保险、医疗保障、民政救助、劳动保障等服务性工作；做好农村劳动力实名制登记管理，加强对外劳务协作和劳务输出，促进农村劳动力转移就业、农民工回引和返乡农民工就业创业；贯彻执行各级退役军人服务保障的政策法规，负责退役军人服务保障工作，负责退役军人就业和社会保障政策咨询、就业和再就业服务、劳动关系协调、劳动者权益维护等工作；负责新时代文明实践所、退役军人服务站建设相关工作。完成镇党委、政府交办的其他工作。</w:t>
      </w:r>
    </w:p>
    <w:p w14:paraId="4F34AEDE">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ascii="楷体_GB2312" w:hAnsi="宋体" w:eastAsia="楷体_GB2312" w:cs="宋体"/>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en-US" w:eastAsia="zh-CN"/>
        </w:rPr>
        <w:t>8.</w:t>
      </w:r>
      <w:r>
        <w:rPr>
          <w:rFonts w:hint="eastAsia" w:ascii="楷体_GB2312" w:hAnsi="楷体_GB2312" w:eastAsia="楷体_GB2312" w:cs="楷体_GB2312"/>
          <w:color w:val="000000"/>
          <w:kern w:val="0"/>
          <w:szCs w:val="32"/>
          <w:shd w:val="clear" w:color="auto" w:fill="FFFFFF"/>
          <w:lang w:val="zh-CN"/>
        </w:rPr>
        <w:t>五渡镇农业综合服务中心。</w:t>
      </w:r>
      <w:r>
        <w:rPr>
          <w:rFonts w:hint="eastAsia" w:ascii="仿宋_GB2312" w:hAnsi="仿宋_GB2312" w:eastAsia="仿宋_GB2312" w:cs="仿宋_GB2312"/>
          <w:color w:val="000000"/>
          <w:kern w:val="0"/>
          <w:szCs w:val="32"/>
          <w:shd w:val="clear" w:color="auto" w:fill="FFFFFF"/>
          <w:lang w:val="zh-CN"/>
        </w:rPr>
        <w:t>负责制定乡村振兴发展规划并组织实施。负责农业产业发展和乡村振兴平台建设工作。负责农业、林业、水利、畜牧等方面的技术推广工作。负责辖区内农村集体经济组织管理和农村人才开发引进工作。负责村容村貌和人居环境整治。负责农作物病虫害监测与防治、野生动植物保护、护林防火、防汛抗旱、农田水利建设、农产品质量安全监测等服务性工作。负责小型水库和水利工程设施的安全监管和运行维护工作，承担春灌、水旱灾害防御、农村安全饮水和河长制等事务性工作。负责农业综合统计工作。负责动物防疫检疫和动物重大疫病监测与防控工作。受委托负责对动物产品质量安全以及兽药、饲料质量进行监督和管理。完成镇党委、政府交办的其他工作。</w:t>
      </w:r>
    </w:p>
    <w:p w14:paraId="6E4C3D3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（二）机构职能和人员概况。</w:t>
      </w:r>
      <w:r>
        <w:rPr>
          <w:rFonts w:hint="eastAsia" w:ascii="仿宋_GB2312" w:hAnsi="仿宋_GB2312" w:eastAsia="仿宋_GB2312" w:cs="仿宋_GB2312"/>
          <w:color w:val="000000"/>
          <w:kern w:val="0"/>
          <w:szCs w:val="32"/>
          <w:shd w:val="clear" w:color="auto" w:fill="FFFFFF"/>
          <w:lang w:val="zh-CN"/>
        </w:rPr>
        <w:t>中共峨边彝族自治县五渡镇委员会统筹协调各方，全面领导辖区各项工作，履行从严管党治党，深化基层社会治理，创新社会管理和服务职能；峨边彝族自治县五渡镇人民政府依法行使公共管理、公共服务、公共安全、民生保障等基本职能。负责指导辖区各类组织依法依规履行职责。</w:t>
      </w:r>
    </w:p>
    <w:p w14:paraId="5561DB8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五渡镇党委、五渡镇人民政府的主要职责是：</w:t>
      </w:r>
    </w:p>
    <w:p w14:paraId="3D6D8616">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w:t>
      </w:r>
      <w:r>
        <w:rPr>
          <w:rFonts w:hint="eastAsia" w:ascii="仿宋_GB2312" w:hAnsi="仿宋_GB2312" w:eastAsia="仿宋_GB2312" w:cs="仿宋_GB2312"/>
          <w:color w:val="000000"/>
          <w:kern w:val="0"/>
          <w:szCs w:val="32"/>
          <w:shd w:val="clear" w:color="auto" w:fill="FFFFFF"/>
          <w:lang w:val="zh-CN"/>
        </w:rPr>
        <w:t>负责贯彻执行党和国家的路线方针政策、法律法规规章，执行县委、县政府的决定，研究决定辖区政治、经济、文化、社会、生态文明等领域事业发展的重大事项并组织实施。</w:t>
      </w:r>
    </w:p>
    <w:p w14:paraId="2B89227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2.</w:t>
      </w:r>
      <w:r>
        <w:rPr>
          <w:rFonts w:hint="eastAsia" w:ascii="仿宋_GB2312" w:hAnsi="仿宋_GB2312" w:eastAsia="仿宋_GB2312" w:cs="仿宋_GB2312"/>
          <w:color w:val="000000"/>
          <w:kern w:val="0"/>
          <w:szCs w:val="32"/>
          <w:shd w:val="clear" w:color="auto" w:fill="FFFFFF"/>
          <w:lang w:val="zh-CN"/>
        </w:rPr>
        <w:t>统筹落实关于辖区发展的重大决策，参与辖区建设规划和公共服务设施布局，建立健全基层社会治理工作机制，引导、整合辖区内各种社会力量为区域发展服务，推动辖区健康、有序、可持续发展。</w:t>
      </w:r>
    </w:p>
    <w:p w14:paraId="6FF4EDF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3.</w:t>
      </w:r>
      <w:r>
        <w:rPr>
          <w:rFonts w:hint="eastAsia" w:ascii="仿宋_GB2312" w:hAnsi="仿宋_GB2312" w:eastAsia="仿宋_GB2312" w:cs="仿宋_GB2312"/>
          <w:color w:val="000000"/>
          <w:kern w:val="0"/>
          <w:szCs w:val="32"/>
          <w:shd w:val="clear" w:color="auto" w:fill="FFFFFF"/>
          <w:lang w:val="zh-CN"/>
        </w:rPr>
        <w:t>负责加强基层党组织建设和基层政权建设，巩固党的执政基础；统筹协调辖区内各领域党建工作，推进社区党建、单位党建、行业党建和区域化党建互联互动，统筹抓好新领域新业态新群体党建工作。负责人大、政协、统战、民族宗教、群团工作。</w:t>
      </w:r>
    </w:p>
    <w:p w14:paraId="35E1EFE2">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4.</w:t>
      </w:r>
      <w:r>
        <w:rPr>
          <w:rFonts w:hint="eastAsia" w:ascii="仿宋_GB2312" w:hAnsi="仿宋_GB2312" w:eastAsia="仿宋_GB2312" w:cs="仿宋_GB2312"/>
          <w:color w:val="000000"/>
          <w:kern w:val="0"/>
          <w:szCs w:val="32"/>
          <w:shd w:val="clear" w:color="auto" w:fill="FFFFFF"/>
          <w:lang w:val="zh-CN"/>
        </w:rPr>
        <w:t>加强基层意识形态工作，推进基层精神文明建设，培育和弘扬社会主义核心价值观，创造良好社会环境。</w:t>
      </w:r>
    </w:p>
    <w:p w14:paraId="7A442163">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5.</w:t>
      </w:r>
      <w:r>
        <w:rPr>
          <w:rFonts w:hint="eastAsia" w:ascii="仿宋_GB2312" w:hAnsi="仿宋_GB2312" w:eastAsia="仿宋_GB2312" w:cs="仿宋_GB2312"/>
          <w:color w:val="000000"/>
          <w:kern w:val="0"/>
          <w:szCs w:val="32"/>
          <w:shd w:val="clear" w:color="auto" w:fill="FFFFFF"/>
          <w:lang w:val="zh-CN"/>
        </w:rPr>
        <w:t>负责拟定经济发展规划并组织实施。促进经济发展，推进产业结构调整，促进经济增长方式转变，促进农民增收。</w:t>
      </w:r>
    </w:p>
    <w:p w14:paraId="754FF0A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6.</w:t>
      </w:r>
      <w:r>
        <w:rPr>
          <w:rFonts w:hint="eastAsia" w:ascii="仿宋_GB2312" w:hAnsi="仿宋_GB2312" w:eastAsia="仿宋_GB2312" w:cs="仿宋_GB2312"/>
          <w:color w:val="000000"/>
          <w:kern w:val="0"/>
          <w:szCs w:val="32"/>
          <w:shd w:val="clear" w:color="auto" w:fill="FFFFFF"/>
          <w:lang w:val="zh-CN"/>
        </w:rPr>
        <w:t>负责拟定社会事业发展规划并组织实施。负责教育、科技、文化旅游、体育、广播电视、民政、卫生健康、医疗保障、残疾人保障、社会保险、退役军人服务等工作，推进便民服务规范化建设管理，落实与群众密切相关的各项公共服务政策。</w:t>
      </w:r>
    </w:p>
    <w:p w14:paraId="35F26A54">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7.</w:t>
      </w:r>
      <w:r>
        <w:rPr>
          <w:rFonts w:hint="eastAsia" w:ascii="仿宋_GB2312" w:hAnsi="仿宋_GB2312" w:eastAsia="仿宋_GB2312" w:cs="仿宋_GB2312"/>
          <w:color w:val="000000"/>
          <w:kern w:val="0"/>
          <w:szCs w:val="32"/>
          <w:shd w:val="clear" w:color="auto" w:fill="FFFFFF"/>
          <w:lang w:val="zh-CN"/>
        </w:rPr>
        <w:t>负责拟定乡村振兴发展规划并组织实施。负责农业产业升级转型、美丽乡村建设、农村文化生活繁荣、农村基础设施和公共服务能力提升、脱贫攻坚等工作。</w:t>
      </w:r>
    </w:p>
    <w:p w14:paraId="689A52B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8.</w:t>
      </w:r>
      <w:r>
        <w:rPr>
          <w:rFonts w:hint="eastAsia" w:ascii="仿宋_GB2312" w:hAnsi="仿宋_GB2312" w:eastAsia="仿宋_GB2312" w:cs="仿宋_GB2312"/>
          <w:color w:val="000000"/>
          <w:kern w:val="0"/>
          <w:szCs w:val="32"/>
          <w:shd w:val="clear" w:color="auto" w:fill="FFFFFF"/>
          <w:lang w:val="zh-CN"/>
        </w:rPr>
        <w:t>负责城乡基层治理工作，深化党建引领城乡基层治理，构建共建共治共享的城乡基层治理工作格局，推进和谐宜居乡村建设；加强社会主义民主法治建设，承担社会治理、信访维稳、综治中心、社区戒毒、社区康复、法治建设、反邪教等工作。</w:t>
      </w:r>
    </w:p>
    <w:p w14:paraId="5C46807F">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9.</w:t>
      </w:r>
      <w:r>
        <w:rPr>
          <w:rFonts w:hint="eastAsia" w:ascii="仿宋_GB2312" w:hAnsi="仿宋_GB2312" w:eastAsia="仿宋_GB2312" w:cs="仿宋_GB2312"/>
          <w:color w:val="000000"/>
          <w:kern w:val="0"/>
          <w:szCs w:val="32"/>
          <w:shd w:val="clear" w:color="auto" w:fill="FFFFFF"/>
          <w:lang w:val="zh-CN"/>
        </w:rPr>
        <w:t>负责辖区公共事务综合管理，参与辖区规划建设，负责拟定村镇国土空间规划并组织实施，承担重点工程建设、乡村道路建设及公共设施、水利设施等管理工作，对辖区事关群众利益的重大决策和重大项目提出建议。负责统筹组织协调指挥辖区内派驻和基层执法等力量。</w:t>
      </w:r>
    </w:p>
    <w:p w14:paraId="2B65DB2A">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10.</w:t>
      </w:r>
      <w:r>
        <w:rPr>
          <w:rFonts w:hint="eastAsia" w:ascii="仿宋_GB2312" w:hAnsi="仿宋_GB2312" w:eastAsia="仿宋_GB2312" w:cs="仿宋_GB2312"/>
          <w:color w:val="000000"/>
          <w:kern w:val="0"/>
          <w:szCs w:val="32"/>
          <w:shd w:val="clear" w:color="auto" w:fill="FFFFFF"/>
          <w:lang w:val="zh-CN"/>
        </w:rPr>
        <w:t>负责应急管理和安全生产工作，落实安全生产责任制，建立健全应对突发紧急事件的处置管理机制，构建公共安全防控体系。</w:t>
      </w:r>
    </w:p>
    <w:p w14:paraId="38E5A84D">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11.</w:t>
      </w:r>
      <w:r>
        <w:rPr>
          <w:rFonts w:hint="eastAsia" w:ascii="仿宋_GB2312" w:hAnsi="仿宋_GB2312" w:eastAsia="仿宋_GB2312" w:cs="仿宋_GB2312"/>
          <w:color w:val="000000"/>
          <w:kern w:val="0"/>
          <w:szCs w:val="32"/>
          <w:shd w:val="clear" w:color="auto" w:fill="FFFFFF"/>
          <w:lang w:val="zh-CN"/>
        </w:rPr>
        <w:t>负责自然资源、生态环境保护工作，做好网格化环境监管，开展自然资源、环境保护隐患排查和治理，配合有关部门查处自然资源、环境违法行为，做好辖区内自然资源及生态环境保护工作。</w:t>
      </w:r>
    </w:p>
    <w:p w14:paraId="66E22B05">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12.</w:t>
      </w:r>
      <w:r>
        <w:rPr>
          <w:rFonts w:hint="eastAsia" w:ascii="仿宋_GB2312" w:hAnsi="仿宋_GB2312" w:eastAsia="仿宋_GB2312" w:cs="仿宋_GB2312"/>
          <w:color w:val="000000"/>
          <w:kern w:val="0"/>
          <w:szCs w:val="32"/>
          <w:shd w:val="clear" w:color="auto" w:fill="FFFFFF"/>
          <w:lang w:val="zh-CN"/>
        </w:rPr>
        <w:t>负责推进基层民主法治建设，加强普法依法治理，维护群众合法权益。负责协助武装部门做好辖区民兵训练和公民服兵役工作。</w:t>
      </w:r>
    </w:p>
    <w:p w14:paraId="48136729">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13.</w:t>
      </w:r>
      <w:r>
        <w:rPr>
          <w:rFonts w:hint="eastAsia" w:ascii="仿宋_GB2312" w:hAnsi="仿宋_GB2312" w:eastAsia="仿宋_GB2312" w:cs="仿宋_GB2312"/>
          <w:color w:val="000000"/>
          <w:kern w:val="0"/>
          <w:szCs w:val="32"/>
          <w:shd w:val="clear" w:color="auto" w:fill="FFFFFF"/>
          <w:lang w:val="zh-CN"/>
        </w:rPr>
        <w:t>按照干部管理权限，负责干部的教育、培训、选拔、考核和监督工作。加强对本级财政、所属行政事业单位以及村级财务的核算和监督。</w:t>
      </w:r>
    </w:p>
    <w:p w14:paraId="75D74417">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14.</w:t>
      </w:r>
      <w:r>
        <w:rPr>
          <w:rFonts w:hint="eastAsia" w:ascii="仿宋_GB2312" w:hAnsi="仿宋_GB2312" w:eastAsia="仿宋_GB2312" w:cs="仿宋_GB2312"/>
          <w:color w:val="000000"/>
          <w:kern w:val="0"/>
          <w:szCs w:val="32"/>
          <w:shd w:val="clear" w:color="auto" w:fill="FFFFFF"/>
          <w:lang w:val="zh-CN"/>
        </w:rPr>
        <w:t>根据法定职责或受委托承担辖区内审批服务、公共服务、各类社会事务服务等职责。负责制定完善权力清单、责任清单、公共服务清单，建立清单动态调整和公示机制，推进党务政务公开，接受群众监督，增加公信力。</w:t>
      </w:r>
    </w:p>
    <w:p w14:paraId="2313706C">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en-US" w:eastAsia="zh-CN"/>
        </w:rPr>
        <w:t>15.</w:t>
      </w:r>
      <w:r>
        <w:rPr>
          <w:rFonts w:hint="eastAsia" w:ascii="仿宋_GB2312" w:hAnsi="仿宋_GB2312" w:eastAsia="仿宋_GB2312" w:cs="仿宋_GB2312"/>
          <w:color w:val="000000"/>
          <w:kern w:val="0"/>
          <w:szCs w:val="32"/>
          <w:shd w:val="clear" w:color="auto" w:fill="FFFFFF"/>
          <w:lang w:val="zh-CN"/>
        </w:rPr>
        <w:t>履行法律法规、规章规定的其他职责，承办县委、县政府交办的其他工作。</w:t>
      </w:r>
    </w:p>
    <w:p w14:paraId="2FBD586B">
      <w:pPr>
        <w:keepNext w:val="0"/>
        <w:keepLines w:val="0"/>
        <w:pageBreakBefore w:val="0"/>
        <w:widowControl w:val="0"/>
        <w:numPr>
          <w:ilvl w:val="0"/>
          <w:numId w:val="0"/>
        </w:numPr>
        <w:kinsoku/>
        <w:wordWrap/>
        <w:overflowPunct/>
        <w:topLinePunct w:val="0"/>
        <w:autoSpaceDE/>
        <w:autoSpaceDN/>
        <w:bidi w:val="0"/>
        <w:adjustRightInd/>
        <w:snapToGrid/>
        <w:spacing w:afterAutospacing="0" w:line="560" w:lineRule="exact"/>
        <w:ind w:left="0" w:leftChars="0" w:firstLine="640" w:firstLineChars="200"/>
        <w:textAlignment w:val="auto"/>
        <w:rPr>
          <w:rFonts w:hint="eastAsia" w:ascii="仿宋_GB2312" w:hAnsi="仿宋_GB2312" w:eastAsia="仿宋_GB2312" w:cs="仿宋_GB2312"/>
          <w:color w:val="000000"/>
          <w:kern w:val="0"/>
          <w:szCs w:val="32"/>
          <w:shd w:val="clear" w:color="auto" w:fill="FFFFFF"/>
          <w:lang w:val="zh-CN"/>
        </w:rPr>
      </w:pPr>
      <w:r>
        <w:rPr>
          <w:rFonts w:hint="eastAsia" w:ascii="仿宋_GB2312" w:hAnsi="仿宋_GB2312" w:eastAsia="仿宋_GB2312" w:cs="仿宋_GB2312"/>
          <w:color w:val="000000"/>
          <w:kern w:val="0"/>
          <w:szCs w:val="32"/>
          <w:shd w:val="clear" w:color="auto" w:fill="FFFFFF"/>
          <w:lang w:val="zh-CN"/>
        </w:rPr>
        <w:t>五渡镇核定机关行政编制20名。核定领导职数11名，其中党委书记1名，镇长（副书记）1名，人大主席1名，专职副书记1名、副镇长3名、武装部部长1名（由党委委员兼任）、纪委书记1名、组织委员1名（兼任统战委员）、宣传委员1名（兼任人大副主席）、政法委员1名。设中层职数6名。核定五渡镇事业编制21名。</w:t>
      </w:r>
    </w:p>
    <w:p w14:paraId="243E663C">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40A379E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2024年是新中国成立75周年，是深入实施“十四五”规划的攻坚之年。</w:t>
      </w:r>
      <w:r>
        <w:rPr>
          <w:rFonts w:hint="eastAsia" w:ascii="仿宋_GB2312" w:hAnsi="仿宋_GB2312" w:eastAsia="仿宋_GB2312" w:cs="仿宋_GB2312"/>
          <w:sz w:val="32"/>
          <w:szCs w:val="32"/>
        </w:rPr>
        <w:t>一年来，我们在</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委、</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政府和镇党委的坚强领导下，在镇人大的监督指导下，坚持以习近平新时代中国特色社会主义思想为指导，</w:t>
      </w:r>
      <w:r>
        <w:rPr>
          <w:rFonts w:hint="eastAsia" w:ascii="仿宋_GB2312" w:hAnsi="仿宋_GB2312" w:eastAsia="仿宋_GB2312" w:cs="仿宋_GB2312"/>
          <w:sz w:val="32"/>
          <w:szCs w:val="32"/>
          <w:lang w:val="en-US" w:eastAsia="zh-CN"/>
        </w:rPr>
        <w:t>深入学习贯彻党的二十大和二十届二中、三中全会精神及习近平总书记对四川工作系列重要指示精神，全面落实省委十二届历次全会、市委八届历次全会和县委九届历次全会部署</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
        </w:rPr>
        <w:t>按照市委“节奏更快、效率更高、质量更优”工作要求</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val="en-US" w:eastAsia="zh-CN" w:bidi="ar"/>
        </w:rPr>
        <w:t>全力以赴拼经济搞建设抓发展</w:t>
      </w:r>
      <w:r>
        <w:rPr>
          <w:rFonts w:hint="eastAsia" w:ascii="仿宋_GB2312" w:hAnsi="仿宋_GB2312" w:eastAsia="仿宋_GB2312" w:cs="仿宋_GB2312"/>
          <w:sz w:val="32"/>
          <w:szCs w:val="32"/>
        </w:rPr>
        <w:t>，全镇经济社会呈现稳健发展的良好态势。</w:t>
      </w:r>
    </w:p>
    <w:p w14:paraId="1405160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Style w:val="15"/>
          <w:rFonts w:hint="eastAsia" w:ascii="仿宋_GB2312" w:hAnsi="仿宋_GB2312" w:eastAsia="仿宋_GB2312" w:cs="仿宋_GB2312"/>
          <w:sz w:val="32"/>
          <w:szCs w:val="32"/>
          <w:highlight w:val="none"/>
          <w:lang w:eastAsia="zh-CN"/>
        </w:rPr>
      </w:pPr>
      <w:r>
        <w:rPr>
          <w:rStyle w:val="15"/>
          <w:rFonts w:hint="eastAsia" w:ascii="黑体" w:hAnsi="黑体" w:eastAsia="黑体" w:cs="黑体"/>
          <w:b w:val="0"/>
          <w:bCs/>
          <w:sz w:val="32"/>
          <w:szCs w:val="32"/>
          <w:highlight w:val="none"/>
          <w:lang w:eastAsia="zh-CN"/>
        </w:rPr>
        <w:t>一年来，我们</w:t>
      </w:r>
      <w:r>
        <w:rPr>
          <w:rStyle w:val="15"/>
          <w:rFonts w:hint="eastAsia" w:ascii="黑体" w:hAnsi="黑体" w:eastAsia="黑体" w:cs="黑体"/>
          <w:b w:val="0"/>
          <w:bCs/>
          <w:sz w:val="32"/>
          <w:szCs w:val="32"/>
          <w:highlight w:val="none"/>
        </w:rPr>
        <w:t>全力抓重点、聚合力，“头号工程”落地见效</w:t>
      </w:r>
      <w:r>
        <w:rPr>
          <w:rStyle w:val="15"/>
          <w:rFonts w:hint="eastAsia" w:ascii="黑体" w:hAnsi="黑体" w:eastAsia="黑体" w:cs="黑体"/>
          <w:b w:val="0"/>
          <w:bCs/>
          <w:sz w:val="32"/>
          <w:szCs w:val="32"/>
          <w:highlight w:val="none"/>
          <w:lang w:eastAsia="zh-CN"/>
        </w:rPr>
        <w:t>。</w:t>
      </w:r>
    </w:p>
    <w:p w14:paraId="265D8F3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组织领导坚强有力。</w:t>
      </w:r>
      <w:r>
        <w:rPr>
          <w:rFonts w:hint="eastAsia" w:ascii="仿宋_GB2312" w:hAnsi="仿宋_GB2312" w:eastAsia="仿宋_GB2312" w:cs="仿宋_GB2312"/>
          <w:sz w:val="32"/>
          <w:szCs w:val="32"/>
          <w:highlight w:val="none"/>
        </w:rPr>
        <w:t>聚焦建机制、树典型，镇</w:t>
      </w:r>
      <w:r>
        <w:rPr>
          <w:rFonts w:hint="eastAsia" w:ascii="仿宋_GB2312" w:hAnsi="仿宋_GB2312" w:eastAsia="仿宋_GB2312" w:cs="仿宋_GB2312"/>
          <w:sz w:val="32"/>
          <w:szCs w:val="32"/>
          <w:highlight w:val="none"/>
          <w:lang w:eastAsia="zh-CN"/>
        </w:rPr>
        <w:t>政府</w:t>
      </w:r>
      <w:r>
        <w:rPr>
          <w:rFonts w:hint="eastAsia" w:ascii="仿宋_GB2312" w:hAnsi="仿宋_GB2312" w:eastAsia="仿宋_GB2312" w:cs="仿宋_GB2312"/>
          <w:sz w:val="32"/>
          <w:szCs w:val="32"/>
          <w:highlight w:val="none"/>
        </w:rPr>
        <w:t>实行实体化运作，发挥统筹抓总的职能，实现全镇“一盘棋”，各项重点清单任务逐项落实，工作机制不断完善。</w:t>
      </w:r>
    </w:p>
    <w:p w14:paraId="4554D0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重点工作扎实推进。</w:t>
      </w:r>
      <w:r>
        <w:rPr>
          <w:rFonts w:hint="eastAsia" w:ascii="仿宋_GB2312" w:hAnsi="仿宋_GB2312" w:eastAsia="仿宋_GB2312" w:cs="仿宋_GB2312"/>
          <w:sz w:val="32"/>
          <w:szCs w:val="32"/>
          <w:lang w:val="en-US" w:eastAsia="zh-CN"/>
        </w:rPr>
        <w:t>围绕“工农互补发展 建设田园乡村”发展目标</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聚焦“守牢安全底线、建强基层基础”要求，</w:t>
      </w:r>
      <w:r>
        <w:rPr>
          <w:rFonts w:hint="eastAsia" w:ascii="仿宋_GB2312" w:hAnsi="仿宋_GB2312" w:eastAsia="仿宋_GB2312" w:cs="仿宋_GB2312"/>
          <w:sz w:val="32"/>
          <w:szCs w:val="32"/>
          <w:highlight w:val="none"/>
        </w:rPr>
        <w:t>破解镇村发展难题。镇域经济</w:t>
      </w:r>
      <w:r>
        <w:rPr>
          <w:rFonts w:hint="eastAsia" w:ascii="仿宋_GB2312" w:hAnsi="仿宋_GB2312" w:eastAsia="仿宋_GB2312" w:cs="仿宋_GB2312"/>
          <w:sz w:val="32"/>
          <w:szCs w:val="32"/>
          <w:highlight w:val="none"/>
          <w:lang w:eastAsia="zh-CN"/>
        </w:rPr>
        <w:t>回稳</w:t>
      </w:r>
      <w:r>
        <w:rPr>
          <w:rFonts w:hint="eastAsia" w:ascii="仿宋_GB2312" w:hAnsi="仿宋_GB2312" w:eastAsia="仿宋_GB2312" w:cs="仿宋_GB2312"/>
          <w:sz w:val="32"/>
          <w:szCs w:val="32"/>
          <w:highlight w:val="none"/>
        </w:rPr>
        <w:t>向好，202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年所有行政村集体经济</w:t>
      </w:r>
      <w:r>
        <w:rPr>
          <w:rFonts w:hint="eastAsia" w:ascii="仿宋_GB2312" w:hAnsi="仿宋_GB2312" w:eastAsia="仿宋_GB2312" w:cs="仿宋_GB2312"/>
          <w:sz w:val="32"/>
          <w:szCs w:val="32"/>
          <w:highlight w:val="none"/>
          <w:lang w:eastAsia="zh-CN"/>
        </w:rPr>
        <w:t>收入</w:t>
      </w:r>
      <w:r>
        <w:rPr>
          <w:rFonts w:hint="eastAsia" w:ascii="仿宋_GB2312" w:hAnsi="仿宋_GB2312" w:eastAsia="仿宋_GB2312" w:cs="仿宋_GB2312"/>
          <w:sz w:val="32"/>
          <w:szCs w:val="32"/>
          <w:highlight w:val="none"/>
        </w:rPr>
        <w:t>均达</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万元以上。抓实抓细</w:t>
      </w:r>
      <w:r>
        <w:rPr>
          <w:rFonts w:hint="eastAsia" w:ascii="仿宋_GB2312" w:hAnsi="仿宋_GB2312" w:eastAsia="仿宋_GB2312" w:cs="仿宋_GB2312"/>
          <w:sz w:val="32"/>
          <w:szCs w:val="32"/>
          <w:highlight w:val="none"/>
          <w:lang w:eastAsia="zh-CN"/>
        </w:rPr>
        <w:t>项目建设</w:t>
      </w:r>
      <w:r>
        <w:rPr>
          <w:rFonts w:hint="eastAsia" w:ascii="仿宋_GB2312" w:hAnsi="仿宋_GB2312" w:eastAsia="仿宋_GB2312" w:cs="仿宋_GB2312"/>
          <w:sz w:val="32"/>
          <w:szCs w:val="32"/>
          <w:highlight w:val="none"/>
        </w:rPr>
        <w:t>工作，</w:t>
      </w:r>
      <w:r>
        <w:rPr>
          <w:rFonts w:hint="eastAsia" w:ascii="仿宋_GB2312" w:hAnsi="仿宋_GB2312" w:eastAsia="仿宋_GB2312" w:cs="仿宋_GB2312"/>
          <w:sz w:val="32"/>
          <w:szCs w:val="32"/>
          <w:highlight w:val="none"/>
          <w:lang w:val="en-US" w:eastAsia="zh-CN"/>
        </w:rPr>
        <w:t>全年完成五渡镇新茶村宜居宜业和美乡村建设补短项目、干部职工功能性用房改造提升项目、工农村移民服务中心提升项目等4个，开工新茶村产业提升项目1个</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lang w:val="en-US" w:eastAsia="zh-CN"/>
        </w:rPr>
        <w:t>突破行政村界限壁垒，不断推进南环线林竹产业园区、五渡毛坪粮经复合园区建设，编制完成2025年五渡镇粮油产业园区提升建设项目。</w:t>
      </w:r>
    </w:p>
    <w:p w14:paraId="62DC766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黑体" w:hAnsi="黑体" w:eastAsia="黑体" w:cs="黑体"/>
          <w:b w:val="0"/>
          <w:bCs w:val="0"/>
          <w:sz w:val="32"/>
          <w:szCs w:val="32"/>
          <w:highlight w:val="none"/>
          <w:lang w:eastAsia="zh-CN"/>
        </w:rPr>
        <w:t>一年来。我们</w:t>
      </w:r>
      <w:r>
        <w:rPr>
          <w:rStyle w:val="15"/>
          <w:rFonts w:hint="eastAsia" w:ascii="黑体" w:hAnsi="黑体" w:eastAsia="黑体" w:cs="黑体"/>
          <w:b w:val="0"/>
          <w:bCs w:val="0"/>
          <w:sz w:val="32"/>
          <w:szCs w:val="32"/>
          <w:highlight w:val="none"/>
        </w:rPr>
        <w:t>奋力兴产业、</w:t>
      </w:r>
      <w:r>
        <w:rPr>
          <w:rStyle w:val="15"/>
          <w:rFonts w:hint="eastAsia" w:ascii="黑体" w:hAnsi="黑体" w:eastAsia="黑体" w:cs="黑体"/>
          <w:b w:val="0"/>
          <w:bCs w:val="0"/>
          <w:sz w:val="32"/>
          <w:szCs w:val="32"/>
          <w:highlight w:val="none"/>
          <w:lang w:eastAsia="zh-CN"/>
        </w:rPr>
        <w:t>固根本</w:t>
      </w:r>
      <w:r>
        <w:rPr>
          <w:rStyle w:val="15"/>
          <w:rFonts w:hint="eastAsia" w:ascii="黑体" w:hAnsi="黑体" w:eastAsia="黑体" w:cs="黑体"/>
          <w:b w:val="0"/>
          <w:bCs w:val="0"/>
          <w:sz w:val="32"/>
          <w:szCs w:val="32"/>
          <w:highlight w:val="none"/>
        </w:rPr>
        <w:t>，产业发展态势持续向好</w:t>
      </w:r>
      <w:r>
        <w:rPr>
          <w:rStyle w:val="15"/>
          <w:rFonts w:hint="eastAsia" w:ascii="黑体" w:hAnsi="黑体" w:eastAsia="黑体" w:cs="黑体"/>
          <w:b w:val="0"/>
          <w:bCs w:val="0"/>
          <w:sz w:val="32"/>
          <w:szCs w:val="32"/>
          <w:highlight w:val="none"/>
          <w:lang w:eastAsia="zh-CN"/>
        </w:rPr>
        <w:t>。</w:t>
      </w:r>
    </w:p>
    <w:p w14:paraId="11D6BD0D">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highlight w:val="none"/>
        </w:rPr>
        <w:t>现代农业加快发展。</w:t>
      </w:r>
      <w:r>
        <w:rPr>
          <w:rFonts w:hint="eastAsia" w:ascii="仿宋_GB2312" w:hAnsi="仿宋_GB2312" w:eastAsia="仿宋_GB2312" w:cs="仿宋_GB2312"/>
          <w:sz w:val="32"/>
          <w:szCs w:val="32"/>
          <w:highlight w:val="none"/>
        </w:rPr>
        <w:t>因地制宜做好“土特产”文章，加快发展</w:t>
      </w:r>
      <w:r>
        <w:rPr>
          <w:rFonts w:hint="eastAsia" w:ascii="仿宋_GB2312" w:hAnsi="仿宋_GB2312" w:eastAsia="仿宋_GB2312" w:cs="仿宋_GB2312"/>
          <w:sz w:val="32"/>
          <w:szCs w:val="32"/>
          <w:highlight w:val="none"/>
          <w:lang w:eastAsia="zh-CN"/>
        </w:rPr>
        <w:t>五渡</w:t>
      </w:r>
      <w:r>
        <w:rPr>
          <w:rFonts w:hint="eastAsia" w:ascii="仿宋_GB2312" w:hAnsi="仿宋_GB2312" w:eastAsia="仿宋_GB2312" w:cs="仿宋_GB2312"/>
          <w:sz w:val="32"/>
          <w:szCs w:val="32"/>
          <w:highlight w:val="none"/>
        </w:rPr>
        <w:t>油茶、</w:t>
      </w:r>
      <w:r>
        <w:rPr>
          <w:rFonts w:hint="eastAsia" w:ascii="仿宋_GB2312" w:hAnsi="仿宋_GB2312" w:eastAsia="仿宋_GB2312" w:cs="仿宋_GB2312"/>
          <w:sz w:val="32"/>
          <w:szCs w:val="32"/>
          <w:highlight w:val="none"/>
          <w:lang w:eastAsia="zh-CN"/>
        </w:rPr>
        <w:t>竹笋</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当归</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生姜、养殖</w:t>
      </w:r>
      <w:r>
        <w:rPr>
          <w:rFonts w:hint="eastAsia" w:ascii="仿宋_GB2312" w:hAnsi="仿宋_GB2312" w:eastAsia="仿宋_GB2312" w:cs="仿宋_GB2312"/>
          <w:sz w:val="32"/>
          <w:szCs w:val="32"/>
          <w:highlight w:val="none"/>
        </w:rPr>
        <w:t>等优势特色农业产业，打造</w:t>
      </w:r>
      <w:r>
        <w:rPr>
          <w:rFonts w:hint="eastAsia" w:ascii="仿宋_GB2312" w:hAnsi="仿宋_GB2312" w:eastAsia="仿宋_GB2312" w:cs="仿宋_GB2312"/>
          <w:sz w:val="32"/>
          <w:szCs w:val="32"/>
          <w:highlight w:val="none"/>
          <w:lang w:eastAsia="zh-CN"/>
        </w:rPr>
        <w:t>铜河</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双凤</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胜利</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葛</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万</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eastAsia="zh-CN"/>
        </w:rPr>
        <w:t>现代竹产业</w:t>
      </w:r>
      <w:r>
        <w:rPr>
          <w:rFonts w:hint="eastAsia" w:ascii="仿宋_GB2312" w:hAnsi="仿宋_GB2312" w:eastAsia="仿宋_GB2312" w:cs="仿宋_GB2312"/>
          <w:sz w:val="32"/>
          <w:szCs w:val="32"/>
          <w:highlight w:val="none"/>
        </w:rPr>
        <w:t>基地和</w:t>
      </w:r>
      <w:r>
        <w:rPr>
          <w:rFonts w:hint="eastAsia" w:ascii="仿宋_GB2312" w:hAnsi="仿宋_GB2312" w:eastAsia="仿宋_GB2312" w:cs="仿宋_GB2312"/>
          <w:sz w:val="32"/>
          <w:szCs w:val="32"/>
          <w:highlight w:val="none"/>
          <w:lang w:eastAsia="zh-CN"/>
        </w:rPr>
        <w:t>五渡</w:t>
      </w:r>
      <w:r>
        <w:rPr>
          <w:rFonts w:hint="eastAsia" w:ascii="仿宋_GB2312" w:hAnsi="仿宋_GB2312" w:eastAsia="仿宋_GB2312" w:cs="仿宋_GB2312"/>
          <w:sz w:val="32"/>
          <w:szCs w:val="32"/>
          <w:highlight w:val="none"/>
        </w:rPr>
        <w:t>村</w:t>
      </w:r>
      <w:r>
        <w:rPr>
          <w:rFonts w:hint="eastAsia" w:ascii="仿宋_GB2312" w:hAnsi="仿宋_GB2312" w:eastAsia="仿宋_GB2312" w:cs="仿宋_GB2312"/>
          <w:sz w:val="32"/>
          <w:szCs w:val="32"/>
          <w:highlight w:val="none"/>
          <w:lang w:eastAsia="zh-CN"/>
        </w:rPr>
        <w:t>千</w:t>
      </w:r>
      <w:r>
        <w:rPr>
          <w:rFonts w:hint="eastAsia" w:ascii="仿宋_GB2312" w:hAnsi="仿宋_GB2312" w:eastAsia="仿宋_GB2312" w:cs="仿宋_GB2312"/>
          <w:sz w:val="32"/>
          <w:szCs w:val="32"/>
          <w:highlight w:val="none"/>
        </w:rPr>
        <w:t>亩</w:t>
      </w:r>
      <w:r>
        <w:rPr>
          <w:rFonts w:hint="eastAsia" w:ascii="仿宋_GB2312" w:hAnsi="仿宋_GB2312" w:eastAsia="仿宋_GB2312" w:cs="仿宋_GB2312"/>
          <w:sz w:val="32"/>
          <w:szCs w:val="32"/>
          <w:highlight w:val="none"/>
          <w:lang w:eastAsia="zh-CN"/>
        </w:rPr>
        <w:t>粮油</w:t>
      </w:r>
      <w:r>
        <w:rPr>
          <w:rFonts w:hint="eastAsia" w:ascii="仿宋_GB2312" w:hAnsi="仿宋_GB2312" w:eastAsia="仿宋_GB2312" w:cs="仿宋_GB2312"/>
          <w:sz w:val="32"/>
          <w:szCs w:val="32"/>
          <w:highlight w:val="none"/>
        </w:rPr>
        <w:t>种植基地。不断挖掘</w:t>
      </w:r>
      <w:r>
        <w:rPr>
          <w:rFonts w:hint="eastAsia" w:ascii="仿宋_GB2312" w:hAnsi="仿宋_GB2312" w:eastAsia="仿宋_GB2312" w:cs="仿宋_GB2312"/>
          <w:sz w:val="32"/>
          <w:szCs w:val="32"/>
          <w:highlight w:val="none"/>
          <w:lang w:eastAsia="zh-CN"/>
        </w:rPr>
        <w:t>林竹</w:t>
      </w:r>
      <w:r>
        <w:rPr>
          <w:rFonts w:hint="eastAsia" w:ascii="仿宋_GB2312" w:hAnsi="仿宋_GB2312" w:eastAsia="仿宋_GB2312" w:cs="仿宋_GB2312"/>
          <w:sz w:val="32"/>
          <w:szCs w:val="32"/>
          <w:highlight w:val="none"/>
        </w:rPr>
        <w:t>产业发展潜力，发展</w:t>
      </w:r>
      <w:r>
        <w:rPr>
          <w:rFonts w:hint="eastAsia" w:ascii="仿宋_GB2312" w:hAnsi="仿宋_GB2312" w:eastAsia="仿宋_GB2312" w:cs="仿宋_GB2312"/>
          <w:sz w:val="32"/>
          <w:szCs w:val="32"/>
          <w:highlight w:val="none"/>
          <w:lang w:val="en-US" w:eastAsia="zh-CN"/>
        </w:rPr>
        <w:t>全流程现代化生产体系，助力我镇林竹产业实现转型升级，</w:t>
      </w:r>
      <w:r>
        <w:rPr>
          <w:rFonts w:hint="eastAsia" w:ascii="仿宋_GB2312" w:hAnsi="仿宋_GB2312" w:eastAsia="仿宋_GB2312" w:cs="仿宋_GB2312"/>
          <w:sz w:val="32"/>
          <w:szCs w:val="32"/>
          <w:lang w:val="en-US" w:eastAsia="zh-CN"/>
        </w:rPr>
        <w:t>完成2023亩林竹基地规模化建设</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rPr>
        <w:t>成功创建四川省现代竹产业基地</w:t>
      </w:r>
      <w:r>
        <w:rPr>
          <w:rFonts w:hint="eastAsia" w:ascii="仿宋_GB2312" w:hAnsi="仿宋_GB2312" w:eastAsia="仿宋_GB2312" w:cs="仿宋_GB2312"/>
          <w:sz w:val="32"/>
          <w:szCs w:val="32"/>
          <w:lang w:eastAsia="zh-CN"/>
        </w:rPr>
        <w:t>。</w:t>
      </w:r>
    </w:p>
    <w:p w14:paraId="23332DC3">
      <w:pPr>
        <w:keepNext w:val="0"/>
        <w:keepLines w:val="0"/>
        <w:pageBreakBefore w:val="0"/>
        <w:widowControl/>
        <w:suppressLineNumbers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粮食生产稳中有进。</w:t>
      </w:r>
      <w:r>
        <w:rPr>
          <w:rFonts w:hint="eastAsia" w:ascii="仿宋_GB2312" w:hAnsi="仿宋_GB2312" w:eastAsia="仿宋_GB2312" w:cs="仿宋_GB2312"/>
          <w:sz w:val="32"/>
          <w:szCs w:val="32"/>
          <w:highlight w:val="none"/>
        </w:rPr>
        <w:t>全面落实粮食安全责任制，严禁耕地“非农化”、防止“非粮化”，不断提升粮食产能。统筹做好全域土地综合整治、高标准农田建设、耕地“进出平衡”和撂荒耕地复耕复种，2024年完成永农整改和新增</w:t>
      </w:r>
      <w:r>
        <w:rPr>
          <w:rFonts w:hint="eastAsia" w:ascii="仿宋_GB2312" w:hAnsi="仿宋_GB2312" w:eastAsia="仿宋_GB2312" w:cs="仿宋_GB2312"/>
          <w:sz w:val="32"/>
          <w:szCs w:val="32"/>
          <w:highlight w:val="none"/>
          <w:lang w:eastAsia="zh-CN"/>
        </w:rPr>
        <w:t>耕地</w:t>
      </w:r>
      <w:r>
        <w:rPr>
          <w:rFonts w:hint="eastAsia" w:ascii="仿宋_GB2312" w:hAnsi="仿宋_GB2312" w:eastAsia="仿宋_GB2312" w:cs="仿宋_GB2312"/>
          <w:sz w:val="32"/>
          <w:szCs w:val="32"/>
          <w:highlight w:val="none"/>
        </w:rPr>
        <w:t>333.76亩。</w:t>
      </w:r>
    </w:p>
    <w:p w14:paraId="4A27ABB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highlight w:val="none"/>
        </w:rPr>
      </w:pPr>
      <w:r>
        <w:rPr>
          <w:rStyle w:val="15"/>
          <w:rFonts w:hint="eastAsia" w:ascii="黑体" w:hAnsi="黑体" w:eastAsia="黑体" w:cs="黑体"/>
          <w:b w:val="0"/>
          <w:bCs w:val="0"/>
          <w:sz w:val="32"/>
          <w:szCs w:val="32"/>
          <w:highlight w:val="none"/>
          <w:lang w:eastAsia="zh-CN"/>
        </w:rPr>
        <w:t>一年来，我们</w:t>
      </w:r>
      <w:r>
        <w:rPr>
          <w:rStyle w:val="15"/>
          <w:rFonts w:hint="eastAsia" w:ascii="黑体" w:hAnsi="黑体" w:eastAsia="黑体" w:cs="黑体"/>
          <w:b w:val="0"/>
          <w:bCs w:val="0"/>
          <w:sz w:val="32"/>
          <w:szCs w:val="32"/>
          <w:highlight w:val="none"/>
        </w:rPr>
        <w:t>着力抓生态、优环境，宜居宜业水平持续提升</w:t>
      </w:r>
    </w:p>
    <w:p w14:paraId="558F928B">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生态底色鲜明靓丽。</w:t>
      </w:r>
      <w:r>
        <w:rPr>
          <w:rFonts w:hint="eastAsia" w:ascii="仿宋_GB2312" w:hAnsi="仿宋_GB2312" w:eastAsia="仿宋_GB2312" w:cs="仿宋_GB2312"/>
          <w:sz w:val="32"/>
          <w:szCs w:val="32"/>
          <w:highlight w:val="none"/>
        </w:rPr>
        <w:t>坚决贯彻“绿水青山就是金山银山”的发展理念，推深做实林长制，常态化开展巡林巡护工作和森林防火宣传，一年来，全镇未发生重大山火案件。全面落实河长制，</w:t>
      </w:r>
      <w:r>
        <w:rPr>
          <w:rFonts w:hint="eastAsia" w:ascii="仿宋_GB2312" w:hAnsi="仿宋_GB2312" w:eastAsia="仿宋_GB2312" w:cs="仿宋_GB2312"/>
          <w:sz w:val="32"/>
          <w:szCs w:val="32"/>
          <w:highlight w:val="none"/>
          <w:lang w:val="en-US" w:eastAsia="zh-CN"/>
        </w:rPr>
        <w:t>不断提升五渡镇河湖管护水平，强化水环境治理能力，持续打造“河畅、水清、岸绿、景美、人和”的河湖生态环境</w:t>
      </w:r>
      <w:r>
        <w:rPr>
          <w:rFonts w:hint="eastAsia" w:ascii="仿宋_GB2312" w:hAnsi="仿宋_GB2312" w:eastAsia="仿宋_GB2312" w:cs="仿宋_GB2312"/>
          <w:sz w:val="32"/>
          <w:szCs w:val="32"/>
          <w:highlight w:val="none"/>
        </w:rPr>
        <w:t>。严厉打击盗采</w:t>
      </w:r>
      <w:r>
        <w:rPr>
          <w:rFonts w:hint="eastAsia" w:ascii="仿宋_GB2312" w:hAnsi="仿宋_GB2312" w:eastAsia="仿宋_GB2312" w:cs="仿宋_GB2312"/>
          <w:sz w:val="32"/>
          <w:szCs w:val="32"/>
          <w:highlight w:val="none"/>
          <w:lang w:eastAsia="zh-CN"/>
        </w:rPr>
        <w:t>砂石、矿产资源</w:t>
      </w:r>
      <w:r>
        <w:rPr>
          <w:rFonts w:hint="eastAsia" w:ascii="仿宋_GB2312" w:hAnsi="仿宋_GB2312" w:eastAsia="仿宋_GB2312" w:cs="仿宋_GB2312"/>
          <w:sz w:val="32"/>
          <w:szCs w:val="32"/>
          <w:highlight w:val="none"/>
        </w:rPr>
        <w:t>等破坏生态环境行为，</w:t>
      </w:r>
      <w:r>
        <w:rPr>
          <w:rFonts w:hint="eastAsia" w:ascii="仿宋_GB2312" w:hAnsi="仿宋_GB2312" w:eastAsia="仿宋_GB2312" w:cs="仿宋_GB2312"/>
          <w:sz w:val="32"/>
          <w:szCs w:val="32"/>
          <w:highlight w:val="none"/>
          <w:lang w:eastAsia="zh-CN"/>
        </w:rPr>
        <w:t>在重要地段</w:t>
      </w:r>
      <w:r>
        <w:rPr>
          <w:rFonts w:hint="eastAsia" w:ascii="仿宋_GB2312" w:hAnsi="仿宋_GB2312" w:eastAsia="仿宋_GB2312" w:cs="仿宋_GB2312"/>
          <w:sz w:val="32"/>
          <w:szCs w:val="32"/>
          <w:highlight w:val="none"/>
        </w:rPr>
        <w:t>安装</w:t>
      </w:r>
      <w:r>
        <w:rPr>
          <w:rFonts w:hint="eastAsia" w:ascii="仿宋_GB2312" w:hAnsi="仿宋_GB2312" w:eastAsia="仿宋_GB2312" w:cs="仿宋_GB2312"/>
          <w:sz w:val="32"/>
          <w:szCs w:val="32"/>
          <w:highlight w:val="none"/>
          <w:lang w:eastAsia="zh-CN"/>
        </w:rPr>
        <w:t>全天候</w:t>
      </w:r>
      <w:r>
        <w:rPr>
          <w:rFonts w:hint="eastAsia" w:ascii="仿宋_GB2312" w:hAnsi="仿宋_GB2312" w:eastAsia="仿宋_GB2312" w:cs="仿宋_GB2312"/>
          <w:sz w:val="32"/>
          <w:szCs w:val="32"/>
          <w:highlight w:val="none"/>
        </w:rPr>
        <w:t>监控设备</w:t>
      </w:r>
      <w:r>
        <w:rPr>
          <w:rFonts w:hint="eastAsia" w:ascii="仿宋_GB2312" w:hAnsi="仿宋_GB2312" w:eastAsia="仿宋_GB2312" w:cs="仿宋_GB2312"/>
          <w:sz w:val="32"/>
          <w:szCs w:val="32"/>
          <w:highlight w:val="none"/>
          <w:lang w:val="en-US" w:eastAsia="zh-CN"/>
        </w:rPr>
        <w:t>3处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成立专项整治工作专班，开展专项检查58次，现场制止盗采行为16起，上报县自然资源局调查处理5起，公安依法调查2起并刑拘13人</w:t>
      </w:r>
      <w:r>
        <w:rPr>
          <w:rFonts w:hint="eastAsia" w:ascii="仿宋_GB2312" w:hAnsi="仿宋_GB2312" w:eastAsia="仿宋_GB2312" w:cs="仿宋_GB2312"/>
          <w:sz w:val="32"/>
          <w:szCs w:val="32"/>
          <w:highlight w:val="none"/>
        </w:rPr>
        <w:t>。</w:t>
      </w:r>
    </w:p>
    <w:p w14:paraId="3BBC18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人居环境持续改善。</w:t>
      </w:r>
      <w:r>
        <w:rPr>
          <w:rFonts w:hint="eastAsia" w:ascii="仿宋_GB2312" w:hAnsi="仿宋_GB2312" w:eastAsia="仿宋_GB2312" w:cs="仿宋_GB2312"/>
          <w:kern w:val="2"/>
          <w:sz w:val="32"/>
          <w:szCs w:val="32"/>
          <w:highlight w:val="none"/>
          <w:lang w:val="en-US" w:eastAsia="zh-CN" w:bidi="ar-SA"/>
        </w:rPr>
        <w:t>狠抓五渡镇“六乱”整治和农村人居环境整治提升，持续推进“五清行动”，印发《五渡镇常态化推进农村“五清”行动等3项重点工作实施方案》，做好公厕管理、生活垃圾处理和生活污水治理工作，营造干净整洁的镇村环境。</w:t>
      </w:r>
    </w:p>
    <w:p w14:paraId="2EC4B507">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eastAsia" w:ascii="仿宋_GB2312" w:hAnsi="仿宋_GB2312" w:eastAsia="仿宋_GB2312" w:cs="仿宋_GB2312"/>
          <w:b/>
          <w:bCs/>
          <w:kern w:val="2"/>
          <w:sz w:val="32"/>
          <w:szCs w:val="32"/>
          <w:highlight w:val="none"/>
          <w:lang w:val="en-US" w:eastAsia="zh-CN" w:bidi="ar-SA"/>
        </w:rPr>
        <w:t>基础设施提档升级。</w:t>
      </w:r>
      <w:r>
        <w:rPr>
          <w:rFonts w:hint="eastAsia" w:ascii="仿宋_GB2312" w:hAnsi="仿宋_GB2312" w:eastAsia="仿宋_GB2312" w:cs="仿宋_GB2312"/>
          <w:kern w:val="2"/>
          <w:sz w:val="32"/>
          <w:szCs w:val="32"/>
          <w:highlight w:val="none"/>
          <w:lang w:val="en-US" w:eastAsia="zh-CN" w:bidi="ar-SA"/>
        </w:rPr>
        <w:t>夯实农村公路管护，实施隐患点和因灾受损农村公路养护与提质改造，实现镇级交管站全覆盖，并全面落实机构、人员、经费等保障，不断深化公路养护、扬尘管理、应急抢险水平。</w:t>
      </w:r>
    </w:p>
    <w:p w14:paraId="09C64A1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highlight w:val="none"/>
        </w:rPr>
      </w:pPr>
      <w:r>
        <w:rPr>
          <w:rStyle w:val="15"/>
          <w:rFonts w:hint="eastAsia" w:ascii="黑体" w:hAnsi="黑体" w:eastAsia="黑体" w:cs="黑体"/>
          <w:b w:val="0"/>
          <w:bCs/>
          <w:sz w:val="32"/>
          <w:szCs w:val="32"/>
          <w:highlight w:val="none"/>
          <w:lang w:eastAsia="zh-CN"/>
        </w:rPr>
        <w:t>一年来，我们</w:t>
      </w:r>
      <w:r>
        <w:rPr>
          <w:rStyle w:val="15"/>
          <w:rFonts w:hint="eastAsia" w:ascii="黑体" w:hAnsi="黑体" w:eastAsia="黑体" w:cs="黑体"/>
          <w:b w:val="0"/>
          <w:bCs/>
          <w:sz w:val="32"/>
          <w:szCs w:val="32"/>
          <w:highlight w:val="none"/>
        </w:rPr>
        <w:t>倾力抓民生、暖民心，各项社会事业蓬勃发展</w:t>
      </w:r>
    </w:p>
    <w:p w14:paraId="78777CB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脱贫成果持续巩固。</w:t>
      </w:r>
      <w:r>
        <w:rPr>
          <w:rFonts w:hint="eastAsia" w:ascii="仿宋_GB2312" w:hAnsi="仿宋_GB2312" w:eastAsia="仿宋_GB2312" w:cs="仿宋_GB2312"/>
          <w:sz w:val="32"/>
          <w:szCs w:val="32"/>
          <w:highlight w:val="none"/>
        </w:rPr>
        <w:t>聚焦“两不愁三保障”，严格落实“四个不摘”要求，坚决</w:t>
      </w:r>
      <w:r>
        <w:rPr>
          <w:rFonts w:hint="eastAsia" w:ascii="仿宋_GB2312" w:hAnsi="仿宋_GB2312" w:eastAsia="仿宋_GB2312" w:cs="仿宋_GB2312"/>
          <w:sz w:val="32"/>
          <w:szCs w:val="32"/>
          <w:highlight w:val="none"/>
          <w:lang w:eastAsia="zh-CN"/>
        </w:rPr>
        <w:t>守住不发生规模性返贫底线</w:t>
      </w:r>
      <w:r>
        <w:rPr>
          <w:rFonts w:hint="eastAsia" w:ascii="仿宋_GB2312" w:hAnsi="仿宋_GB2312" w:eastAsia="仿宋_GB2312" w:cs="仿宋_GB2312"/>
          <w:sz w:val="32"/>
          <w:szCs w:val="32"/>
          <w:highlight w:val="none"/>
        </w:rPr>
        <w:t>。截至2024年底，全镇建档立卡脱贫户386户1194人，返贫致贫监测对象系统存量33户89人。</w:t>
      </w:r>
      <w:r>
        <w:rPr>
          <w:rFonts w:hint="eastAsia" w:ascii="仿宋_GB2312" w:hAnsi="仿宋_GB2312" w:eastAsia="仿宋_GB2312" w:cs="仿宋_GB2312"/>
          <w:sz w:val="32"/>
          <w:szCs w:val="32"/>
        </w:rPr>
        <w:t>实施“五小到户”387户，发放产业奖补资金190</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rPr>
        <w:t>万元，发放跨区域务工交通补贴317人15万</w:t>
      </w:r>
      <w:r>
        <w:rPr>
          <w:rFonts w:hint="eastAsia" w:ascii="仿宋_GB2312" w:hAnsi="仿宋_GB2312" w:eastAsia="仿宋_GB2312" w:cs="仿宋_GB2312"/>
          <w:sz w:val="32"/>
          <w:szCs w:val="32"/>
          <w:lang w:eastAsia="zh-CN"/>
        </w:rPr>
        <w:t>余</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highlight w:val="none"/>
        </w:rPr>
        <w:t>持续发挥帮扶资产效益，为全镇有</w:t>
      </w:r>
      <w:r>
        <w:rPr>
          <w:rFonts w:hint="eastAsia" w:ascii="仿宋_GB2312" w:hAnsi="仿宋_GB2312" w:eastAsia="仿宋_GB2312" w:cs="仿宋_GB2312"/>
          <w:sz w:val="32"/>
          <w:szCs w:val="32"/>
          <w:highlight w:val="none"/>
          <w:lang w:eastAsia="zh-CN"/>
        </w:rPr>
        <w:t>劳动</w:t>
      </w:r>
      <w:r>
        <w:rPr>
          <w:rFonts w:hint="eastAsia" w:ascii="仿宋_GB2312" w:hAnsi="仿宋_GB2312" w:eastAsia="仿宋_GB2312" w:cs="仿宋_GB2312"/>
          <w:sz w:val="32"/>
          <w:szCs w:val="32"/>
          <w:highlight w:val="none"/>
        </w:rPr>
        <w:t>力脱贫户386户1209人发放分红款10.13万元，人均分配83.77元</w:t>
      </w:r>
      <w:r>
        <w:rPr>
          <w:rFonts w:hint="eastAsia" w:ascii="仿宋_GB2312" w:hAnsi="仿宋_GB2312" w:eastAsia="仿宋_GB2312" w:cs="仿宋_GB2312"/>
          <w:sz w:val="32"/>
          <w:szCs w:val="32"/>
          <w:highlight w:val="none"/>
          <w:lang w:eastAsia="zh-CN"/>
        </w:rPr>
        <w:t>，全镇</w:t>
      </w:r>
      <w:r>
        <w:rPr>
          <w:rFonts w:hint="eastAsia" w:ascii="仿宋_GB2312" w:hAnsi="仿宋_GB2312" w:eastAsia="仿宋_GB2312" w:cs="仿宋_GB2312"/>
          <w:sz w:val="32"/>
          <w:szCs w:val="32"/>
          <w:highlight w:val="none"/>
        </w:rPr>
        <w:t>脱贫人口人均纯收入</w:t>
      </w:r>
      <w:r>
        <w:rPr>
          <w:rFonts w:hint="eastAsia" w:ascii="仿宋_GB2312" w:hAnsi="仿宋_GB2312" w:eastAsia="仿宋_GB2312" w:cs="仿宋_GB2312"/>
          <w:sz w:val="32"/>
          <w:szCs w:val="32"/>
          <w:highlight w:val="none"/>
          <w:lang w:eastAsia="zh-CN"/>
        </w:rPr>
        <w:t>达到</w:t>
      </w:r>
      <w:r>
        <w:rPr>
          <w:rFonts w:hint="eastAsia" w:ascii="仿宋_GB2312" w:hAnsi="仿宋_GB2312" w:eastAsia="仿宋_GB2312" w:cs="仿宋_GB2312"/>
          <w:sz w:val="32"/>
          <w:szCs w:val="32"/>
          <w:highlight w:val="none"/>
        </w:rPr>
        <w:t>21133元，收入较2023年增长9.72%。</w:t>
      </w:r>
    </w:p>
    <w:p w14:paraId="7DF0313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社会保障不断健全。</w:t>
      </w:r>
      <w:r>
        <w:rPr>
          <w:rFonts w:hint="eastAsia" w:ascii="仿宋_GB2312" w:hAnsi="仿宋_GB2312" w:eastAsia="仿宋_GB2312" w:cs="仿宋_GB2312"/>
          <w:sz w:val="32"/>
          <w:szCs w:val="32"/>
          <w:highlight w:val="none"/>
        </w:rPr>
        <w:t>坚持“以民为本、为民服务、为民解困”的工作理念，加强动态管理，2024全年调整取消低保对象18户25人，新增低保对象15户24人，发放农村低保金约143.97万元。特困供养对象集中供养水平不断提升，供养标准农村由693元/月提高到754元/月，城镇由962元/月提高到1025元/月，全年发放特困供养金约60.28万元，特困供养人员医保报销比例除自付费用外达到100%。全面落实高龄老人及百岁老人津贴和孤儿基本生活保障制度，为362人发放高龄津贴约18.03万元，无事实无人抚养儿童和孤儿。用心用情用力做好</w:t>
      </w:r>
      <w:r>
        <w:rPr>
          <w:rFonts w:hint="eastAsia" w:ascii="仿宋_GB2312" w:hAnsi="仿宋_GB2312" w:eastAsia="仿宋_GB2312" w:cs="仿宋_GB2312"/>
          <w:sz w:val="32"/>
          <w:szCs w:val="32"/>
          <w:highlight w:val="none"/>
          <w:lang w:eastAsia="zh-CN"/>
        </w:rPr>
        <w:t>征兵和</w:t>
      </w:r>
      <w:r>
        <w:rPr>
          <w:rFonts w:hint="eastAsia" w:ascii="仿宋_GB2312" w:hAnsi="仿宋_GB2312" w:eastAsia="仿宋_GB2312" w:cs="仿宋_GB2312"/>
          <w:sz w:val="32"/>
          <w:szCs w:val="32"/>
          <w:highlight w:val="none"/>
        </w:rPr>
        <w:t>退役军人服务保障工作，组织民兵县级集中点练1次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集中训练2批次，2名双合格青年光荣入伍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开展“八一”慰问活动，走访慰问退役军人及其他优抚对象148人，发放慰问金15600元。</w:t>
      </w:r>
    </w:p>
    <w:p w14:paraId="2755B68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民生福祉不断提升。</w:t>
      </w:r>
      <w:r>
        <w:rPr>
          <w:rFonts w:hint="eastAsia" w:ascii="仿宋_GB2312" w:hAnsi="仿宋_GB2312" w:eastAsia="仿宋_GB2312" w:cs="仿宋_GB2312"/>
          <w:sz w:val="32"/>
          <w:szCs w:val="32"/>
          <w:highlight w:val="none"/>
        </w:rPr>
        <w:t>深入实施提升就业服务质量工程，组织</w:t>
      </w:r>
      <w:r>
        <w:rPr>
          <w:rFonts w:hint="eastAsia" w:ascii="仿宋_GB2312" w:hAnsi="仿宋_GB2312" w:eastAsia="仿宋_GB2312" w:cs="仿宋_GB2312"/>
          <w:sz w:val="32"/>
          <w:szCs w:val="32"/>
          <w:highlight w:val="none"/>
          <w:lang w:val="en-US" w:eastAsia="zh-CN"/>
        </w:rPr>
        <w:t>100余</w:t>
      </w:r>
      <w:r>
        <w:rPr>
          <w:rFonts w:hint="eastAsia" w:ascii="仿宋_GB2312" w:hAnsi="仿宋_GB2312" w:eastAsia="仿宋_GB2312" w:cs="仿宋_GB2312"/>
          <w:sz w:val="32"/>
          <w:szCs w:val="32"/>
          <w:highlight w:val="none"/>
        </w:rPr>
        <w:t>人参加</w:t>
      </w:r>
      <w:r>
        <w:rPr>
          <w:rFonts w:hint="eastAsia" w:ascii="仿宋_GB2312" w:hAnsi="仿宋_GB2312" w:eastAsia="仿宋_GB2312" w:cs="仿宋_GB2312"/>
          <w:sz w:val="32"/>
          <w:szCs w:val="32"/>
          <w:highlight w:val="none"/>
          <w:lang w:eastAsia="zh-CN"/>
        </w:rPr>
        <w:t>县乡就业招聘会</w:t>
      </w:r>
      <w:r>
        <w:rPr>
          <w:rFonts w:hint="eastAsia" w:ascii="仿宋_GB2312" w:hAnsi="仿宋_GB2312" w:eastAsia="仿宋_GB2312" w:cs="仿宋_GB2312"/>
          <w:sz w:val="32"/>
          <w:szCs w:val="32"/>
          <w:highlight w:val="none"/>
          <w:lang w:val="en-US" w:eastAsia="zh-CN"/>
        </w:rPr>
        <w:t>2次</w:t>
      </w:r>
      <w:r>
        <w:rPr>
          <w:rFonts w:hint="eastAsia" w:ascii="仿宋_GB2312" w:hAnsi="仿宋_GB2312" w:eastAsia="仿宋_GB2312" w:cs="仿宋_GB2312"/>
          <w:sz w:val="32"/>
          <w:szCs w:val="32"/>
          <w:highlight w:val="none"/>
        </w:rPr>
        <w:t>，组织劳务输出</w:t>
      </w:r>
      <w:r>
        <w:rPr>
          <w:rFonts w:hint="eastAsia" w:ascii="仿宋_GB2312" w:hAnsi="仿宋_GB2312" w:eastAsia="仿宋_GB2312" w:cs="仿宋_GB2312"/>
          <w:sz w:val="32"/>
          <w:szCs w:val="32"/>
          <w:highlight w:val="none"/>
          <w:lang w:val="en-US" w:eastAsia="zh-CN"/>
        </w:rPr>
        <w:t>2026</w:t>
      </w:r>
      <w:r>
        <w:rPr>
          <w:rFonts w:hint="eastAsia" w:ascii="仿宋_GB2312" w:hAnsi="仿宋_GB2312" w:eastAsia="仿宋_GB2312" w:cs="仿宋_GB2312"/>
          <w:sz w:val="32"/>
          <w:szCs w:val="32"/>
          <w:highlight w:val="none"/>
        </w:rPr>
        <w:t>人次，</w:t>
      </w:r>
      <w:r>
        <w:rPr>
          <w:rFonts w:hint="eastAsia" w:ascii="仿宋_GB2312" w:hAnsi="仿宋_GB2312" w:eastAsia="仿宋_GB2312" w:cs="仿宋_GB2312"/>
          <w:sz w:val="32"/>
          <w:szCs w:val="32"/>
          <w:highlight w:val="none"/>
          <w:lang w:eastAsia="zh-CN"/>
        </w:rPr>
        <w:t>实现居家就业</w:t>
      </w:r>
      <w:r>
        <w:rPr>
          <w:rFonts w:hint="eastAsia" w:ascii="仿宋_GB2312" w:hAnsi="仿宋_GB2312" w:eastAsia="仿宋_GB2312" w:cs="仿宋_GB2312"/>
          <w:sz w:val="32"/>
          <w:szCs w:val="32"/>
          <w:highlight w:val="none"/>
          <w:lang w:val="en-US" w:eastAsia="zh-CN"/>
        </w:rPr>
        <w:t>44人次</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五渡</w:t>
      </w:r>
      <w:r>
        <w:rPr>
          <w:rFonts w:hint="eastAsia" w:ascii="仿宋_GB2312" w:hAnsi="仿宋_GB2312" w:eastAsia="仿宋_GB2312" w:cs="仿宋_GB2312"/>
          <w:sz w:val="32"/>
          <w:szCs w:val="32"/>
          <w:highlight w:val="none"/>
        </w:rPr>
        <w:t>镇医养结合建设稳步推进，</w:t>
      </w:r>
      <w:r>
        <w:rPr>
          <w:rFonts w:hint="eastAsia" w:ascii="仿宋_GB2312" w:hAnsi="仿宋_GB2312" w:eastAsia="仿宋_GB2312" w:cs="仿宋_GB2312"/>
          <w:sz w:val="32"/>
          <w:szCs w:val="32"/>
          <w:highlight w:val="none"/>
          <w:lang w:eastAsia="zh-CN"/>
        </w:rPr>
        <w:t>福利</w:t>
      </w:r>
      <w:r>
        <w:rPr>
          <w:rFonts w:hint="eastAsia" w:ascii="仿宋_GB2312" w:hAnsi="仿宋_GB2312" w:eastAsia="仿宋_GB2312" w:cs="仿宋_GB2312"/>
          <w:sz w:val="32"/>
          <w:szCs w:val="32"/>
          <w:highlight w:val="none"/>
        </w:rPr>
        <w:t>院软硬件建设水平不断提升。</w:t>
      </w:r>
      <w:r>
        <w:rPr>
          <w:rFonts w:hint="eastAsia" w:ascii="仿宋_GB2312" w:hAnsi="仿宋_GB2312" w:eastAsia="仿宋_GB2312" w:cs="仿宋_GB2312"/>
          <w:sz w:val="32"/>
          <w:szCs w:val="32"/>
        </w:rPr>
        <w:t>试点实施医疗互助项目“福村宝”，</w:t>
      </w:r>
      <w:r>
        <w:rPr>
          <w:rFonts w:hint="eastAsia" w:ascii="仿宋_GB2312" w:hAnsi="仿宋_GB2312" w:eastAsia="仿宋_GB2312" w:cs="仿宋_GB2312"/>
          <w:sz w:val="32"/>
          <w:szCs w:val="32"/>
          <w:lang w:eastAsia="zh-CN"/>
        </w:rPr>
        <w:t>群众参保率超过</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lang w:eastAsia="zh-CN"/>
        </w:rPr>
        <w:t>特殊群体</w:t>
      </w:r>
      <w:r>
        <w:rPr>
          <w:rFonts w:hint="eastAsia" w:ascii="仿宋_GB2312" w:hAnsi="仿宋_GB2312" w:eastAsia="仿宋_GB2312" w:cs="仿宋_GB2312"/>
          <w:sz w:val="32"/>
          <w:szCs w:val="32"/>
        </w:rPr>
        <w:t>的医疗、</w:t>
      </w:r>
      <w:r>
        <w:rPr>
          <w:rFonts w:hint="eastAsia" w:ascii="仿宋_GB2312" w:hAnsi="仿宋_GB2312" w:eastAsia="仿宋_GB2312" w:cs="仿宋_GB2312"/>
          <w:sz w:val="32"/>
          <w:szCs w:val="32"/>
          <w:lang w:eastAsia="zh-CN"/>
        </w:rPr>
        <w:t>养老保险参保</w:t>
      </w:r>
      <w:r>
        <w:rPr>
          <w:rFonts w:hint="eastAsia" w:ascii="仿宋_GB2312" w:hAnsi="仿宋_GB2312" w:eastAsia="仿宋_GB2312" w:cs="仿宋_GB2312"/>
          <w:sz w:val="32"/>
          <w:szCs w:val="32"/>
        </w:rPr>
        <w:t>率100%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家庭医生签约率100%。</w:t>
      </w:r>
    </w:p>
    <w:p w14:paraId="3F30D277">
      <w:pPr>
        <w:pStyle w:val="24"/>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kern w:val="0"/>
          <w:sz w:val="32"/>
          <w:szCs w:val="32"/>
          <w:highlight w:val="none"/>
          <w:shd w:val="clear"/>
          <w:lang w:val="en-US" w:eastAsia="zh-CN" w:bidi="ar"/>
        </w:rPr>
        <w:t>教育事业持续发展。</w:t>
      </w:r>
      <w:r>
        <w:rPr>
          <w:rFonts w:hint="eastAsia" w:ascii="仿宋_GB2312" w:hAnsi="仿宋_GB2312" w:eastAsia="仿宋_GB2312" w:cs="仿宋_GB2312"/>
          <w:kern w:val="0"/>
          <w:sz w:val="32"/>
          <w:szCs w:val="32"/>
          <w:highlight w:val="none"/>
          <w:shd w:val="clear"/>
          <w:lang w:val="en-US" w:eastAsia="zh-CN" w:bidi="ar"/>
        </w:rPr>
        <w:t>全面落实控辍保学乡镇主体责任，辖区适龄儿童少年全部接受义务教育，</w:t>
      </w:r>
      <w:r>
        <w:rPr>
          <w:rFonts w:hint="eastAsia" w:ascii="仿宋_GB2312" w:hAnsi="仿宋_GB2312" w:eastAsia="仿宋_GB2312" w:cs="仿宋_GB2312"/>
          <w:sz w:val="32"/>
          <w:szCs w:val="32"/>
          <w:lang w:val="en-US" w:eastAsia="zh-CN"/>
        </w:rPr>
        <w:t>申请雨露计划30人，申请发放教育救助金52人5.4万元，全年无辍学学生</w:t>
      </w:r>
      <w:r>
        <w:rPr>
          <w:rFonts w:hint="eastAsia" w:ascii="仿宋_GB2312" w:hAnsi="仿宋_GB2312" w:eastAsia="仿宋_GB2312" w:cs="仿宋_GB2312"/>
          <w:kern w:val="0"/>
          <w:sz w:val="32"/>
          <w:szCs w:val="32"/>
          <w:highlight w:val="none"/>
          <w:shd w:val="clear"/>
          <w:lang w:val="en-US" w:eastAsia="zh-CN" w:bidi="ar"/>
        </w:rPr>
        <w:t>。</w:t>
      </w:r>
    </w:p>
    <w:p w14:paraId="600C3C5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highlight w:val="none"/>
          <w:lang w:eastAsia="zh-CN"/>
        </w:rPr>
      </w:pPr>
      <w:r>
        <w:rPr>
          <w:rStyle w:val="15"/>
          <w:rFonts w:hint="eastAsia" w:ascii="黑体" w:hAnsi="黑体" w:eastAsia="黑体" w:cs="黑体"/>
          <w:b w:val="0"/>
          <w:bCs/>
          <w:sz w:val="32"/>
          <w:szCs w:val="32"/>
          <w:highlight w:val="none"/>
          <w:lang w:eastAsia="zh-CN"/>
        </w:rPr>
        <w:t>一年来，我们</w:t>
      </w:r>
      <w:r>
        <w:rPr>
          <w:rStyle w:val="15"/>
          <w:rFonts w:hint="eastAsia" w:ascii="黑体" w:hAnsi="黑体" w:eastAsia="黑体" w:cs="黑体"/>
          <w:b w:val="0"/>
          <w:bCs/>
          <w:sz w:val="32"/>
          <w:szCs w:val="32"/>
          <w:highlight w:val="none"/>
        </w:rPr>
        <w:t>竭力抓安全、保稳定，社会发展大局和谐稳定</w:t>
      </w:r>
      <w:r>
        <w:rPr>
          <w:rStyle w:val="15"/>
          <w:rFonts w:hint="eastAsia" w:ascii="黑体" w:hAnsi="黑体" w:eastAsia="黑体" w:cs="黑体"/>
          <w:b w:val="0"/>
          <w:bCs/>
          <w:sz w:val="32"/>
          <w:szCs w:val="32"/>
          <w:highlight w:val="none"/>
          <w:lang w:eastAsia="zh-CN"/>
        </w:rPr>
        <w:t>。</w:t>
      </w:r>
    </w:p>
    <w:p w14:paraId="54AED23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b/>
          <w:bCs/>
          <w:sz w:val="32"/>
          <w:szCs w:val="32"/>
          <w:highlight w:val="none"/>
        </w:rPr>
        <w:t>安全生产常抓不懈。</w:t>
      </w:r>
      <w:r>
        <w:rPr>
          <w:rFonts w:hint="eastAsia" w:ascii="仿宋_GB2312" w:hAnsi="仿宋_GB2312" w:eastAsia="仿宋_GB2312" w:cs="仿宋_GB2312"/>
          <w:sz w:val="32"/>
          <w:szCs w:val="32"/>
          <w:highlight w:val="none"/>
        </w:rPr>
        <w:t>牢固树立发展和安全统筹理念，持续做好节假日、汛期等重要节点及日常安全监管，全面开展安全生产大排查大整治行动。一年来，开展安全生产和消防安全检查行动</w:t>
      </w:r>
      <w:r>
        <w:rPr>
          <w:rFonts w:hint="eastAsia" w:ascii="仿宋_GB2312" w:hAnsi="仿宋_GB2312" w:eastAsia="仿宋_GB2312" w:cs="仿宋_GB2312"/>
          <w:sz w:val="32"/>
          <w:szCs w:val="32"/>
        </w:rPr>
        <w:t>300余次、森林防灭火巡查160余次</w:t>
      </w:r>
      <w:r>
        <w:rPr>
          <w:rFonts w:hint="eastAsia" w:ascii="仿宋_GB2312" w:hAnsi="仿宋_GB2312" w:eastAsia="仿宋_GB2312" w:cs="仿宋_GB2312"/>
          <w:sz w:val="32"/>
          <w:szCs w:val="32"/>
          <w:highlight w:val="none"/>
        </w:rPr>
        <w:t>，累计发放各类安全宣传资料</w:t>
      </w:r>
      <w:r>
        <w:rPr>
          <w:rFonts w:hint="eastAsia" w:ascii="仿宋_GB2312" w:hAnsi="仿宋_GB2312" w:eastAsia="仿宋_GB2312" w:cs="仿宋_GB2312"/>
          <w:sz w:val="32"/>
          <w:szCs w:val="32"/>
          <w:highlight w:val="none"/>
          <w:lang w:val="en-US" w:eastAsia="zh-CN"/>
        </w:rPr>
        <w:t>1万多</w:t>
      </w:r>
      <w:r>
        <w:rPr>
          <w:rFonts w:hint="eastAsia" w:ascii="仿宋_GB2312" w:hAnsi="仿宋_GB2312" w:eastAsia="仿宋_GB2312" w:cs="仿宋_GB2312"/>
          <w:sz w:val="32"/>
          <w:szCs w:val="32"/>
          <w:highlight w:val="none"/>
        </w:rPr>
        <w:t>份，检查企业单位</w:t>
      </w:r>
      <w:r>
        <w:rPr>
          <w:rFonts w:hint="eastAsia" w:ascii="仿宋_GB2312" w:hAnsi="仿宋_GB2312" w:eastAsia="仿宋_GB2312" w:cs="仿宋_GB2312"/>
          <w:sz w:val="32"/>
          <w:szCs w:val="32"/>
          <w:highlight w:val="none"/>
          <w:lang w:val="en-US" w:eastAsia="zh-CN"/>
        </w:rPr>
        <w:t>130</w:t>
      </w:r>
      <w:r>
        <w:rPr>
          <w:rFonts w:hint="eastAsia" w:ascii="仿宋_GB2312" w:hAnsi="仿宋_GB2312" w:eastAsia="仿宋_GB2312" w:cs="仿宋_GB2312"/>
          <w:sz w:val="32"/>
          <w:szCs w:val="32"/>
          <w:highlight w:val="none"/>
        </w:rPr>
        <w:t>家次，发现安全隐患</w:t>
      </w:r>
      <w:r>
        <w:rPr>
          <w:rFonts w:hint="eastAsia" w:ascii="仿宋_GB2312" w:hAnsi="仿宋_GB2312" w:eastAsia="仿宋_GB2312" w:cs="仿宋_GB2312"/>
          <w:sz w:val="32"/>
          <w:szCs w:val="32"/>
          <w:highlight w:val="none"/>
          <w:lang w:val="en-US" w:eastAsia="zh-CN"/>
        </w:rPr>
        <w:t>212</w:t>
      </w:r>
      <w:r>
        <w:rPr>
          <w:rFonts w:hint="eastAsia" w:ascii="仿宋_GB2312" w:hAnsi="仿宋_GB2312" w:eastAsia="仿宋_GB2312" w:cs="仿宋_GB2312"/>
          <w:sz w:val="32"/>
          <w:szCs w:val="32"/>
          <w:highlight w:val="none"/>
        </w:rPr>
        <w:t>处，并按时完成整改形成闭环，安全形势总体稳定。基层应急能力不断提升，</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个村（社区）完成防灾减灾“十个有”建设，进一步筑牢基层防灾减灾救灾防线。</w:t>
      </w:r>
    </w:p>
    <w:p w14:paraId="61DF1F1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社会治理井然有序。</w:t>
      </w:r>
      <w:r>
        <w:rPr>
          <w:rFonts w:hint="eastAsia" w:ascii="仿宋_GB2312" w:hAnsi="仿宋_GB2312" w:eastAsia="仿宋_GB2312" w:cs="仿宋_GB2312"/>
          <w:sz w:val="32"/>
          <w:szCs w:val="32"/>
          <w:highlight w:val="none"/>
        </w:rPr>
        <w:t>深入推进平安</w:t>
      </w:r>
      <w:r>
        <w:rPr>
          <w:rFonts w:hint="eastAsia" w:ascii="仿宋_GB2312" w:hAnsi="仿宋_GB2312" w:eastAsia="仿宋_GB2312" w:cs="仿宋_GB2312"/>
          <w:sz w:val="32"/>
          <w:szCs w:val="32"/>
          <w:highlight w:val="none"/>
          <w:lang w:eastAsia="zh-CN"/>
        </w:rPr>
        <w:t>五渡</w:t>
      </w:r>
      <w:r>
        <w:rPr>
          <w:rFonts w:hint="eastAsia" w:ascii="仿宋_GB2312" w:hAnsi="仿宋_GB2312" w:eastAsia="仿宋_GB2312" w:cs="仿宋_GB2312"/>
          <w:sz w:val="32"/>
          <w:szCs w:val="32"/>
          <w:highlight w:val="none"/>
        </w:rPr>
        <w:t>建设，扎实开展矛盾纠纷排查化解、扫黑除恶斗争和禁毒反诈等工作，</w:t>
      </w:r>
      <w:r>
        <w:rPr>
          <w:rFonts w:hint="eastAsia" w:ascii="仿宋_GB2312" w:hAnsi="仿宋_GB2312" w:eastAsia="仿宋_GB2312" w:cs="仿宋_GB2312"/>
          <w:sz w:val="32"/>
          <w:szCs w:val="32"/>
        </w:rPr>
        <w:t>全年成功化解信访问题7件，主办省委巡视组交办案件2件，无超期延期</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highlight w:val="none"/>
        </w:rPr>
        <w:t>。全面深化“</w:t>
      </w:r>
      <w:r>
        <w:rPr>
          <w:rFonts w:hint="eastAsia" w:ascii="仿宋_GB2312" w:hAnsi="仿宋_GB2312" w:eastAsia="仿宋_GB2312" w:cs="仿宋_GB2312"/>
          <w:sz w:val="32"/>
          <w:szCs w:val="32"/>
          <w:highlight w:val="none"/>
          <w:lang w:val="en-US" w:eastAsia="zh-CN"/>
        </w:rPr>
        <w:t>3+3+3</w:t>
      </w:r>
      <w:r>
        <w:rPr>
          <w:rFonts w:hint="eastAsia" w:ascii="仿宋_GB2312" w:hAnsi="仿宋_GB2312" w:eastAsia="仿宋_GB2312" w:cs="仿宋_GB2312"/>
          <w:sz w:val="32"/>
          <w:szCs w:val="32"/>
          <w:highlight w:val="none"/>
        </w:rPr>
        <w:t>”基层社会治理体系建设，</w:t>
      </w:r>
      <w:r>
        <w:rPr>
          <w:rFonts w:hint="eastAsia" w:ascii="仿宋_GB2312" w:hAnsi="仿宋_GB2312" w:eastAsia="仿宋_GB2312" w:cs="仿宋_GB2312"/>
          <w:sz w:val="32"/>
          <w:szCs w:val="32"/>
          <w:highlight w:val="none"/>
          <w:lang w:val="en-US" w:eastAsia="zh-CN"/>
        </w:rPr>
        <w:t>不断提升基层治理效能，确保小事不出村、大事不出镇、矛盾不上交。</w:t>
      </w:r>
      <w:r>
        <w:rPr>
          <w:rFonts w:hint="eastAsia" w:ascii="仿宋_GB2312" w:hAnsi="仿宋_GB2312" w:eastAsia="仿宋_GB2312" w:cs="仿宋_GB2312"/>
          <w:sz w:val="32"/>
          <w:szCs w:val="32"/>
        </w:rPr>
        <w:t>铜河村被评为全市基层群众自治优秀案例</w:t>
      </w:r>
      <w:r>
        <w:rPr>
          <w:rFonts w:hint="eastAsia" w:ascii="仿宋_GB2312" w:hAnsi="仿宋_GB2312" w:eastAsia="仿宋_GB2312" w:cs="仿宋_GB2312"/>
          <w:sz w:val="32"/>
          <w:szCs w:val="32"/>
          <w:highlight w:val="none"/>
        </w:rPr>
        <w:t>。</w:t>
      </w:r>
    </w:p>
    <w:p w14:paraId="1FFC0D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sz w:val="32"/>
          <w:szCs w:val="32"/>
          <w:highlight w:val="none"/>
        </w:rPr>
      </w:pPr>
      <w:r>
        <w:rPr>
          <w:rStyle w:val="15"/>
          <w:rFonts w:hint="eastAsia" w:ascii="黑体" w:hAnsi="黑体" w:eastAsia="黑体" w:cs="黑体"/>
          <w:b w:val="0"/>
          <w:bCs/>
          <w:sz w:val="32"/>
          <w:szCs w:val="32"/>
          <w:highlight w:val="none"/>
          <w:lang w:eastAsia="zh-CN"/>
        </w:rPr>
        <w:t>一年来，我们</w:t>
      </w:r>
      <w:r>
        <w:rPr>
          <w:rStyle w:val="15"/>
          <w:rFonts w:hint="eastAsia" w:ascii="黑体" w:hAnsi="黑体" w:eastAsia="黑体" w:cs="黑体"/>
          <w:b w:val="0"/>
          <w:bCs/>
          <w:sz w:val="32"/>
          <w:szCs w:val="32"/>
          <w:highlight w:val="none"/>
        </w:rPr>
        <w:t>大力强法治、提作风，政府自身建设不断提升</w:t>
      </w:r>
    </w:p>
    <w:p w14:paraId="0DA5F70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highlight w:val="none"/>
        </w:rPr>
        <w:t>法治政府深入推进。</w:t>
      </w:r>
      <w:r>
        <w:rPr>
          <w:rFonts w:hint="eastAsia" w:ascii="仿宋_GB2312" w:hAnsi="仿宋_GB2312" w:eastAsia="仿宋_GB2312" w:cs="仿宋_GB2312"/>
          <w:sz w:val="32"/>
          <w:szCs w:val="32"/>
          <w:highlight w:val="none"/>
        </w:rPr>
        <w:t>充分发挥“一村（社区）一法律顾问”作用，大力开展普法宣传教育活动，提升群众法治意识。一年来，开展普法宣传进乡村</w:t>
      </w:r>
      <w:r>
        <w:rPr>
          <w:rFonts w:hint="eastAsia" w:ascii="仿宋_GB2312" w:hAnsi="仿宋_GB2312" w:eastAsia="仿宋_GB2312" w:cs="仿宋_GB2312"/>
          <w:sz w:val="32"/>
          <w:szCs w:val="32"/>
          <w:highlight w:val="none"/>
          <w:lang w:val="en-US" w:eastAsia="zh-CN"/>
        </w:rPr>
        <w:t>20余</w:t>
      </w:r>
      <w:r>
        <w:rPr>
          <w:rFonts w:hint="eastAsia" w:ascii="仿宋_GB2312" w:hAnsi="仿宋_GB2312" w:eastAsia="仿宋_GB2312" w:cs="仿宋_GB2312"/>
          <w:sz w:val="32"/>
          <w:szCs w:val="32"/>
          <w:highlight w:val="none"/>
        </w:rPr>
        <w:t>场，覆盖</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000</w:t>
      </w:r>
      <w:r>
        <w:rPr>
          <w:rFonts w:hint="eastAsia" w:ascii="仿宋_GB2312" w:hAnsi="仿宋_GB2312" w:eastAsia="仿宋_GB2312" w:cs="仿宋_GB2312"/>
          <w:sz w:val="32"/>
          <w:szCs w:val="32"/>
          <w:highlight w:val="none"/>
          <w:lang w:eastAsia="zh-CN"/>
        </w:rPr>
        <w:t>余</w:t>
      </w:r>
      <w:r>
        <w:rPr>
          <w:rFonts w:hint="eastAsia" w:ascii="仿宋_GB2312" w:hAnsi="仿宋_GB2312" w:eastAsia="仿宋_GB2312" w:cs="仿宋_GB2312"/>
          <w:sz w:val="32"/>
          <w:szCs w:val="32"/>
          <w:highlight w:val="none"/>
        </w:rPr>
        <w:t>人次。持续深化政务公开，自觉接受人大和社会监督，办好人大代表建议。健全人民调解组织网络，实现村（居）委会人民调解组织全覆盖，现有镇、村（社区）人民调委会</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个，专兼职人民调解员</w:t>
      </w:r>
      <w:r>
        <w:rPr>
          <w:rFonts w:hint="eastAsia" w:ascii="仿宋_GB2312" w:hAnsi="仿宋_GB2312" w:eastAsia="仿宋_GB2312" w:cs="仿宋_GB2312"/>
          <w:sz w:val="32"/>
          <w:szCs w:val="32"/>
          <w:highlight w:val="none"/>
          <w:lang w:val="en-US" w:eastAsia="zh-CN"/>
        </w:rPr>
        <w:t>30多</w:t>
      </w:r>
      <w:r>
        <w:rPr>
          <w:rFonts w:hint="eastAsia" w:ascii="仿宋_GB2312" w:hAnsi="仿宋_GB2312" w:eastAsia="仿宋_GB2312" w:cs="仿宋_GB2312"/>
          <w:sz w:val="32"/>
          <w:szCs w:val="32"/>
          <w:highlight w:val="none"/>
        </w:rPr>
        <w:t>人。一年来，调</w:t>
      </w:r>
      <w:r>
        <w:rPr>
          <w:rFonts w:hint="eastAsia" w:ascii="仿宋_GB2312" w:hAnsi="仿宋_GB2312" w:eastAsia="仿宋_GB2312" w:cs="仿宋_GB2312"/>
          <w:sz w:val="32"/>
          <w:szCs w:val="32"/>
          <w:highlight w:val="none"/>
          <w:lang w:eastAsia="zh-CN"/>
        </w:rPr>
        <w:t>处化解</w:t>
      </w:r>
      <w:r>
        <w:rPr>
          <w:rFonts w:hint="eastAsia" w:ascii="仿宋_GB2312" w:hAnsi="仿宋_GB2312" w:eastAsia="仿宋_GB2312" w:cs="仿宋_GB2312"/>
          <w:sz w:val="32"/>
          <w:szCs w:val="32"/>
          <w:highlight w:val="none"/>
        </w:rPr>
        <w:t>矛盾纠纷74件</w:t>
      </w:r>
      <w:r>
        <w:rPr>
          <w:rFonts w:hint="eastAsia" w:ascii="仿宋_GB2312" w:hAnsi="仿宋_GB2312" w:eastAsia="仿宋_GB2312" w:cs="仿宋_GB2312"/>
          <w:sz w:val="32"/>
          <w:szCs w:val="32"/>
          <w:highlight w:val="none"/>
          <w:lang w:eastAsia="zh-CN"/>
        </w:rPr>
        <w:t>。</w:t>
      </w:r>
    </w:p>
    <w:p w14:paraId="7C2358C0">
      <w:pPr>
        <w:pStyle w:val="3"/>
        <w:keepNext w:val="0"/>
        <w:keepLines w:val="0"/>
        <w:pageBreakBefore w:val="0"/>
        <w:kinsoku/>
        <w:wordWrap/>
        <w:overflowPunct/>
        <w:topLinePunct w:val="0"/>
        <w:autoSpaceDE/>
        <w:autoSpaceDN/>
        <w:bidi w:val="0"/>
        <w:adjustRightInd/>
        <w:snapToGrid/>
        <w:spacing w:line="560" w:lineRule="exact"/>
        <w:ind w:firstLine="640"/>
        <w:jc w:val="both"/>
        <w:textAlignment w:val="auto"/>
        <w:rPr>
          <w:lang w:val="zh-CN"/>
        </w:rPr>
      </w:pPr>
      <w:r>
        <w:rPr>
          <w:rFonts w:hint="eastAsia" w:ascii="仿宋_GB2312" w:hAnsi="仿宋_GB2312" w:eastAsia="仿宋_GB2312" w:cs="仿宋_GB2312"/>
          <w:b/>
          <w:bCs/>
          <w:sz w:val="32"/>
          <w:szCs w:val="32"/>
          <w:highlight w:val="none"/>
        </w:rPr>
        <w:t>作风建设不断加强。</w:t>
      </w:r>
      <w:r>
        <w:rPr>
          <w:rFonts w:hint="eastAsia" w:ascii="仿宋_GB2312" w:hAnsi="仿宋_GB2312" w:eastAsia="仿宋_GB2312" w:cs="仿宋_GB2312"/>
          <w:sz w:val="32"/>
          <w:szCs w:val="32"/>
          <w:highlight w:val="none"/>
        </w:rPr>
        <w:t>严格执行中央八项规定及其实施细则精神，树牢政府过紧日子思想，全面加强作风建设，驰而不息纠“四风”、树新风，以干部作风“大转变”、机关效能“大提升”，推动发展环境“大优化”、工作任务“大落实”。全面推进政务公开，畅通民意诉求反馈渠道，政府行政效能和服务能力显著提升。坚持严管和厚爱相结合，加强对干部全方位管理和经常性监督。一年来，</w:t>
      </w:r>
      <w:r>
        <w:rPr>
          <w:rFonts w:hint="eastAsia" w:ascii="仿宋_GB2312" w:hAnsi="仿宋_GB2312" w:eastAsia="仿宋_GB2312" w:cs="仿宋_GB2312"/>
          <w:sz w:val="32"/>
          <w:szCs w:val="32"/>
        </w:rPr>
        <w:t>开展“小切口”专项治理等监督检查20余次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共约谈镇村干部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人次，批评教育</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人次</w:t>
      </w:r>
      <w:r>
        <w:rPr>
          <w:rFonts w:hint="eastAsia" w:ascii="仿宋_GB2312" w:hAnsi="仿宋_GB2312" w:eastAsia="仿宋_GB2312" w:cs="仿宋_GB2312"/>
          <w:sz w:val="32"/>
          <w:szCs w:val="32"/>
          <w:highlight w:val="none"/>
          <w:lang w:eastAsia="zh-CN"/>
        </w:rPr>
        <w:t>，6人被处分</w:t>
      </w:r>
      <w:r>
        <w:rPr>
          <w:rFonts w:hint="eastAsia" w:ascii="仿宋_GB2312" w:hAnsi="仿宋_GB2312" w:eastAsia="仿宋_GB2312" w:cs="仿宋_GB2312"/>
          <w:sz w:val="32"/>
          <w:szCs w:val="32"/>
          <w:highlight w:val="none"/>
        </w:rPr>
        <w:t>。</w:t>
      </w:r>
    </w:p>
    <w:p w14:paraId="0766393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（四）部门整体支出绩效目标。</w:t>
      </w:r>
    </w:p>
    <w:p w14:paraId="486980B5">
      <w:pPr>
        <w:pStyle w:val="11"/>
        <w:keepNext w:val="0"/>
        <w:keepLines w:val="0"/>
        <w:pageBreakBefore w:val="0"/>
        <w:kinsoku/>
        <w:wordWrap/>
        <w:overflowPunct/>
        <w:topLinePunct w:val="0"/>
        <w:autoSpaceDE/>
        <w:autoSpaceDN/>
        <w:bidi w:val="0"/>
        <w:spacing w:before="0" w:after="0" w:line="600" w:lineRule="exact"/>
        <w:ind w:firstLine="640" w:firstLineChars="200"/>
        <w:jc w:val="both"/>
        <w:textAlignment w:val="auto"/>
        <w:rPr>
          <w:rFonts w:hint="eastAsia" w:ascii="楷体_GB2312" w:hAnsi="宋体" w:eastAsia="楷体_GB2312" w:cs="宋体"/>
          <w:color w:val="000000"/>
          <w:kern w:val="0"/>
          <w:szCs w:val="32"/>
          <w:shd w:val="clear" w:color="auto" w:fill="FFFFFF"/>
          <w:lang w:val="zh-CN"/>
        </w:rPr>
      </w:pPr>
      <w:r>
        <w:rPr>
          <w:rFonts w:hint="eastAsia" w:ascii="仿宋_GB2312" w:hAnsi="仿宋" w:eastAsia="仿宋_GB2312" w:cs="仿宋"/>
          <w:lang w:val="en-US" w:eastAsia="zh-CN"/>
        </w:rPr>
        <w:t>保障村组干部意外伤害保险、养老保险缴纳，解决全镇8个行政村村民最关心、最直接、最现实问题，包括各项公益事项建设，改善农村人居环境，保障全乡辖区内群众办好事、做好事、解决事等支出。</w:t>
      </w:r>
    </w:p>
    <w:p w14:paraId="2A239B4A">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二、部门财政资金收支情况</w:t>
      </w:r>
    </w:p>
    <w:p w14:paraId="7D65EB8E">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78B297D8">
      <w:pPr>
        <w:widowControl/>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auto"/>
          <w:kern w:val="0"/>
          <w:szCs w:val="32"/>
          <w:shd w:val="clear" w:color="auto" w:fill="FFFFFF"/>
          <w:lang w:val="en-US" w:eastAsia="zh-CN"/>
        </w:rPr>
        <w:t>2024年财政拨款预算收入1147.71万元，</w:t>
      </w:r>
      <w:r>
        <w:rPr>
          <w:rFonts w:hint="eastAsia" w:ascii="仿宋_GB2312" w:hAnsi="宋体" w:eastAsia="仿宋_GB2312" w:cs="宋体"/>
          <w:color w:val="auto"/>
          <w:kern w:val="0"/>
          <w:szCs w:val="32"/>
          <w:shd w:val="clear" w:color="auto" w:fill="FFFFFF"/>
          <w:lang w:val="zh-CN"/>
        </w:rPr>
        <w:t>一般公共预算拨款收入</w:t>
      </w:r>
      <w:r>
        <w:rPr>
          <w:rFonts w:hint="eastAsia" w:ascii="仿宋_GB2312" w:hAnsi="宋体" w:eastAsia="仿宋_GB2312" w:cs="宋体"/>
          <w:color w:val="auto"/>
          <w:kern w:val="0"/>
          <w:szCs w:val="32"/>
          <w:shd w:val="clear" w:color="auto" w:fill="FFFFFF"/>
          <w:lang w:val="en-US" w:eastAsia="zh-CN"/>
        </w:rPr>
        <w:t>1098</w:t>
      </w:r>
      <w:r>
        <w:rPr>
          <w:rFonts w:hint="eastAsia" w:ascii="仿宋_GB2312" w:hAnsi="宋体" w:eastAsia="仿宋_GB2312" w:cs="宋体"/>
          <w:color w:val="auto"/>
          <w:kern w:val="0"/>
          <w:szCs w:val="32"/>
          <w:shd w:val="clear" w:color="auto" w:fill="FFFFFF"/>
          <w:lang w:val="zh-CN"/>
        </w:rPr>
        <w:t>万元</w:t>
      </w:r>
      <w:r>
        <w:rPr>
          <w:rFonts w:hint="eastAsia" w:ascii="仿宋_GB2312" w:hAnsi="宋体" w:eastAsia="仿宋_GB2312" w:cs="宋体"/>
          <w:color w:val="auto"/>
          <w:kern w:val="0"/>
          <w:szCs w:val="32"/>
          <w:shd w:val="clear" w:color="auto" w:fill="FFFFFF"/>
          <w:lang w:val="zh-CN" w:eastAsia="zh-CN"/>
        </w:rPr>
        <w:t>；政府性基金预算拨款收入</w:t>
      </w:r>
      <w:r>
        <w:rPr>
          <w:rFonts w:hint="eastAsia" w:ascii="仿宋_GB2312" w:hAnsi="宋体" w:eastAsia="仿宋_GB2312" w:cs="宋体"/>
          <w:color w:val="auto"/>
          <w:kern w:val="0"/>
          <w:szCs w:val="32"/>
          <w:shd w:val="clear" w:color="auto" w:fill="FFFFFF"/>
          <w:lang w:val="en-US" w:eastAsia="zh-CN"/>
        </w:rPr>
        <w:t>49.71万元。</w:t>
      </w:r>
    </w:p>
    <w:p w14:paraId="74461E7B">
      <w:pPr>
        <w:widowControl/>
        <w:numPr>
          <w:ilvl w:val="0"/>
          <w:numId w:val="1"/>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77442D40">
      <w:pPr>
        <w:widowControl/>
        <w:adjustRightInd w:val="0"/>
        <w:snapToGrid w:val="0"/>
        <w:spacing w:line="580" w:lineRule="exact"/>
        <w:ind w:firstLine="640" w:firstLineChars="200"/>
        <w:contextualSpacing/>
        <w:jc w:val="left"/>
        <w:rPr>
          <w:color w:val="auto"/>
          <w:lang w:val="zh-CN"/>
        </w:rPr>
      </w:pPr>
      <w:r>
        <w:rPr>
          <w:rFonts w:hint="eastAsia" w:ascii="仿宋_GB2312" w:hAnsi="宋体" w:eastAsia="仿宋_GB2312" w:cs="宋体"/>
          <w:color w:val="auto"/>
          <w:kern w:val="0"/>
          <w:szCs w:val="32"/>
          <w:shd w:val="clear" w:color="auto" w:fill="FFFFFF"/>
          <w:lang w:val="en-US" w:eastAsia="zh-CN"/>
        </w:rPr>
        <w:t>2024年财政拨款预算收入1147.71万元，</w:t>
      </w:r>
      <w:r>
        <w:rPr>
          <w:rFonts w:hint="eastAsia" w:ascii="仿宋_GB2312" w:hAnsi="宋体" w:eastAsia="仿宋_GB2312" w:cs="宋体"/>
          <w:color w:val="auto"/>
          <w:kern w:val="0"/>
          <w:szCs w:val="32"/>
          <w:shd w:val="clear" w:color="auto" w:fill="FFFFFF"/>
          <w:lang w:val="zh-CN"/>
        </w:rPr>
        <w:t>一般公共预算拨款收入</w:t>
      </w:r>
      <w:r>
        <w:rPr>
          <w:rFonts w:hint="eastAsia" w:ascii="仿宋_GB2312" w:hAnsi="宋体" w:eastAsia="仿宋_GB2312" w:cs="宋体"/>
          <w:color w:val="auto"/>
          <w:kern w:val="0"/>
          <w:szCs w:val="32"/>
          <w:shd w:val="clear" w:color="auto" w:fill="FFFFFF"/>
          <w:lang w:val="en-US" w:eastAsia="zh-CN"/>
        </w:rPr>
        <w:t>1098</w:t>
      </w:r>
      <w:r>
        <w:rPr>
          <w:rFonts w:hint="eastAsia" w:ascii="仿宋_GB2312" w:hAnsi="宋体" w:eastAsia="仿宋_GB2312" w:cs="宋体"/>
          <w:color w:val="auto"/>
          <w:kern w:val="0"/>
          <w:szCs w:val="32"/>
          <w:shd w:val="clear" w:color="auto" w:fill="FFFFFF"/>
          <w:lang w:val="zh-CN"/>
        </w:rPr>
        <w:t>万元</w:t>
      </w:r>
      <w:r>
        <w:rPr>
          <w:rFonts w:hint="eastAsia" w:ascii="仿宋_GB2312" w:hAnsi="宋体" w:eastAsia="仿宋_GB2312" w:cs="宋体"/>
          <w:color w:val="auto"/>
          <w:kern w:val="0"/>
          <w:szCs w:val="32"/>
          <w:shd w:val="clear" w:color="auto" w:fill="FFFFFF"/>
          <w:lang w:val="zh-CN" w:eastAsia="zh-CN"/>
        </w:rPr>
        <w:t>；政府性基金预算拨款收入</w:t>
      </w:r>
      <w:r>
        <w:rPr>
          <w:rFonts w:hint="eastAsia" w:ascii="仿宋_GB2312" w:hAnsi="宋体" w:eastAsia="仿宋_GB2312" w:cs="宋体"/>
          <w:color w:val="auto"/>
          <w:kern w:val="0"/>
          <w:szCs w:val="32"/>
          <w:shd w:val="clear" w:color="auto" w:fill="FFFFFF"/>
          <w:lang w:val="en-US" w:eastAsia="zh-CN"/>
        </w:rPr>
        <w:t>49.71万元。</w:t>
      </w:r>
    </w:p>
    <w:p w14:paraId="3E68C94F">
      <w:pPr>
        <w:widowControl/>
        <w:numPr>
          <w:ilvl w:val="0"/>
          <w:numId w:val="0"/>
        </w:numPr>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）部门财政资金结转结余情况。</w:t>
      </w:r>
      <w:bookmarkStart w:id="0" w:name="_GoBack"/>
      <w:bookmarkEnd w:id="0"/>
    </w:p>
    <w:p w14:paraId="08BDDDAB">
      <w:pPr>
        <w:widowControl/>
        <w:numPr>
          <w:ilvl w:val="0"/>
          <w:numId w:val="0"/>
        </w:numPr>
        <w:adjustRightInd w:val="0"/>
        <w:snapToGrid w:val="0"/>
        <w:spacing w:line="580" w:lineRule="exact"/>
        <w:ind w:firstLine="640" w:firstLineChars="200"/>
        <w:contextualSpacing/>
        <w:jc w:val="left"/>
        <w:rPr>
          <w:lang w:val="zh-CN"/>
        </w:rPr>
      </w:pPr>
      <w:r>
        <w:rPr>
          <w:rFonts w:hint="eastAsia" w:ascii="仿宋_GB2312" w:hAnsi="宋体" w:eastAsia="仿宋_GB2312" w:cs="宋体"/>
          <w:color w:val="auto"/>
          <w:kern w:val="0"/>
          <w:szCs w:val="32"/>
          <w:shd w:val="clear" w:color="auto" w:fill="FFFFFF"/>
          <w:lang w:val="en-US" w:eastAsia="zh-CN"/>
        </w:rPr>
        <w:t>2024年度</w:t>
      </w:r>
      <w:r>
        <w:rPr>
          <w:rFonts w:hint="eastAsia" w:ascii="仿宋_GB2312" w:hAnsi="宋体" w:eastAsia="仿宋_GB2312" w:cs="宋体"/>
          <w:color w:val="auto"/>
          <w:kern w:val="0"/>
          <w:szCs w:val="32"/>
          <w:shd w:val="clear" w:color="auto" w:fill="FFFFFF"/>
          <w:lang w:val="zh-CN" w:eastAsia="zh-CN"/>
        </w:rPr>
        <w:t>财政</w:t>
      </w:r>
      <w:r>
        <w:rPr>
          <w:rFonts w:hint="eastAsia" w:ascii="仿宋_GB2312" w:hAnsi="宋体" w:eastAsia="仿宋_GB2312" w:cs="宋体"/>
          <w:color w:val="auto"/>
          <w:kern w:val="0"/>
          <w:szCs w:val="32"/>
          <w:shd w:val="clear" w:color="auto" w:fill="FFFFFF"/>
          <w:lang w:val="en-US" w:eastAsia="zh-CN"/>
        </w:rPr>
        <w:t>资金结转结余0元。</w:t>
      </w:r>
    </w:p>
    <w:p w14:paraId="1A97C9BD">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三、部门整体绩效管理情况（根据部门整体支出绩效自评</w:t>
      </w:r>
      <w:r>
        <w:rPr>
          <w:rFonts w:hint="eastAsia" w:ascii="黑体" w:hAnsi="黑体" w:eastAsia="黑体" w:cs="宋体"/>
          <w:color w:val="000000"/>
          <w:kern w:val="0"/>
          <w:szCs w:val="32"/>
          <w:shd w:val="clear" w:color="auto" w:fill="FFFFFF"/>
          <w:lang w:eastAsia="zh-CN"/>
        </w:rPr>
        <w:t>和部门预算项目支出绩效自评情况</w:t>
      </w:r>
      <w:r>
        <w:rPr>
          <w:rFonts w:hint="eastAsia" w:ascii="黑体" w:hAnsi="黑体" w:eastAsia="黑体" w:cs="宋体"/>
          <w:color w:val="000000"/>
          <w:kern w:val="0"/>
          <w:szCs w:val="32"/>
          <w:shd w:val="clear" w:color="auto" w:fill="FFFFFF"/>
        </w:rPr>
        <w:t>进行描述）</w:t>
      </w:r>
    </w:p>
    <w:p w14:paraId="04FDC22F">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49361B0E">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本单位</w:t>
      </w:r>
      <w:r>
        <w:rPr>
          <w:rFonts w:hint="eastAsia" w:ascii="仿宋_GB2312" w:hAnsi="宋体" w:cs="宋体"/>
          <w:color w:val="000000"/>
          <w:kern w:val="0"/>
          <w:szCs w:val="32"/>
          <w:highlight w:val="none"/>
          <w:shd w:val="clear" w:color="auto" w:fill="FFFFFF"/>
          <w:lang w:val="en-US" w:eastAsia="zh-CN"/>
        </w:rPr>
        <w:t>预</w:t>
      </w:r>
      <w:r>
        <w:rPr>
          <w:rFonts w:hint="eastAsia" w:ascii="仿宋_GB2312" w:hAnsi="宋体" w:eastAsia="仿宋_GB2312" w:cs="宋体"/>
          <w:color w:val="000000"/>
          <w:kern w:val="0"/>
          <w:szCs w:val="32"/>
          <w:shd w:val="clear" w:color="auto" w:fill="FFFFFF"/>
          <w:lang w:val="en-US" w:eastAsia="zh-CN"/>
        </w:rPr>
        <w:t>算编制严格按照上级部门要求编制并及时报送，项目分类也严格按照上级部门要求分类，未发现有不按照要求编制、报送等行为。</w:t>
      </w:r>
      <w:r>
        <w:rPr>
          <w:rFonts w:hint="default" w:ascii="仿宋_GB2312" w:hAnsi="宋体" w:eastAsia="仿宋_GB2312" w:cs="宋体"/>
          <w:color w:val="000000"/>
          <w:kern w:val="0"/>
          <w:szCs w:val="32"/>
          <w:shd w:val="clear" w:color="auto" w:fill="FFFFFF"/>
          <w:lang w:val="zh-CN" w:eastAsia="zh-CN"/>
        </w:rPr>
        <w:t>预算管理方面，编制内在职人员控制率小于100%，</w:t>
      </w:r>
      <w:r>
        <w:rPr>
          <w:rFonts w:hint="eastAsia" w:ascii="仿宋_GB2312" w:hAnsi="宋体" w:eastAsia="仿宋_GB2312" w:cs="宋体"/>
          <w:color w:val="000000"/>
          <w:kern w:val="0"/>
          <w:szCs w:val="32"/>
          <w:shd w:val="clear" w:color="auto" w:fill="FFFFFF"/>
          <w:lang w:val="zh-CN" w:eastAsia="zh-CN"/>
        </w:rPr>
        <w:t>部门经费</w:t>
      </w:r>
      <w:r>
        <w:rPr>
          <w:rFonts w:hint="default" w:ascii="仿宋_GB2312" w:hAnsi="宋体" w:eastAsia="仿宋_GB2312" w:cs="宋体"/>
          <w:color w:val="000000"/>
          <w:kern w:val="0"/>
          <w:szCs w:val="32"/>
          <w:shd w:val="clear" w:color="auto" w:fill="FFFFFF"/>
          <w:lang w:val="zh-CN" w:eastAsia="zh-CN"/>
        </w:rPr>
        <w:t>支出控制在预算内。制度执行总体较</w:t>
      </w:r>
      <w:r>
        <w:rPr>
          <w:rFonts w:hint="eastAsia" w:ascii="仿宋_GB2312" w:hAnsi="宋体" w:eastAsia="仿宋_GB2312" w:cs="宋体"/>
          <w:color w:val="000000"/>
          <w:kern w:val="0"/>
          <w:szCs w:val="32"/>
          <w:shd w:val="clear" w:color="auto" w:fill="FFFFFF"/>
          <w:lang w:val="zh-CN" w:eastAsia="zh-CN"/>
        </w:rPr>
        <w:t>好</w:t>
      </w:r>
      <w:r>
        <w:rPr>
          <w:rFonts w:hint="default" w:ascii="仿宋_GB2312" w:hAnsi="宋体" w:eastAsia="仿宋_GB2312" w:cs="宋体"/>
          <w:color w:val="000000"/>
          <w:kern w:val="0"/>
          <w:szCs w:val="32"/>
          <w:shd w:val="clear" w:color="auto" w:fill="FFFFFF"/>
          <w:lang w:val="zh-CN" w:eastAsia="zh-CN"/>
        </w:rPr>
        <w:t>，但仍需进一步强化，资金使用管理需进一步加强。</w:t>
      </w:r>
      <w:r>
        <w:rPr>
          <w:rFonts w:hint="eastAsia" w:ascii="仿宋_GB2312" w:hAnsi="宋体" w:eastAsia="仿宋_GB2312" w:cs="宋体"/>
          <w:color w:val="000000"/>
          <w:kern w:val="0"/>
          <w:szCs w:val="32"/>
          <w:shd w:val="clear" w:color="auto" w:fill="FFFFFF"/>
          <w:lang w:val="zh-CN" w:eastAsia="zh-CN"/>
        </w:rPr>
        <w:t>绩效目标按要求向社会公开，部门整体绩效自评情况和自行组织的评价</w:t>
      </w:r>
      <w:r>
        <w:rPr>
          <w:rFonts w:hint="eastAsia" w:ascii="仿宋_GB2312" w:hAnsi="宋体" w:eastAsia="仿宋_GB2312" w:cs="宋体"/>
          <w:color w:val="000000"/>
          <w:kern w:val="0"/>
          <w:szCs w:val="32"/>
          <w:shd w:val="clear" w:color="auto" w:fill="FFFFFF"/>
          <w:lang w:val="zh-CN"/>
        </w:rPr>
        <w:t>情况向社会公开，及时整改了绩效管理发现问题，向财政部门反馈结果应用情况。资金主要投入在城乡环境整治、人居环境改善、乡村及镇区风貌、村民活动场所建设、文化设施建设、治安维稳、基础设施建设等方面，通过统计分析获取了人民群众对生态环境的健康度、居住生活的舒适度、工作出行的便捷度、居住生活的安全度各方面的良好评价。</w:t>
      </w:r>
    </w:p>
    <w:p w14:paraId="2505139A">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4406D075">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1.整体情况</w:t>
      </w:r>
    </w:p>
    <w:p w14:paraId="70997E26">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2024年本单位实施的预算内项目有：2024年基层组织和农村公共服务运行维护费102.7万元；乡镇安全管理相关经费3万元；乡镇交管办劝导员补贴6.32万元；拖欠企业账款清偿项目20.7万元；城乡融合重大项目前期工作经费（五渡镇）29万元。</w:t>
      </w:r>
    </w:p>
    <w:p w14:paraId="3210DD1C">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2.100万以上项目：无</w:t>
      </w:r>
    </w:p>
    <w:p w14:paraId="4B439130">
      <w:pPr>
        <w:widowControl/>
        <w:numPr>
          <w:ilvl w:val="0"/>
          <w:numId w:val="0"/>
        </w:numPr>
        <w:adjustRightInd w:val="0"/>
        <w:snapToGrid w:val="0"/>
        <w:spacing w:line="580" w:lineRule="exact"/>
        <w:ind w:leftChars="200"/>
        <w:contextualSpacing/>
        <w:jc w:val="left"/>
        <w:rPr>
          <w:rFonts w:hint="eastAsia" w:ascii="仿宋_GB2312" w:hAnsi="宋体" w:eastAsia="仿宋_GB2312" w:cs="宋体"/>
          <w:color w:val="000000"/>
          <w:kern w:val="0"/>
          <w:szCs w:val="32"/>
          <w:shd w:val="clear" w:color="auto" w:fill="FFFFFF"/>
          <w:lang w:val="en-US" w:eastAsia="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三</w:t>
      </w:r>
      <w:r>
        <w:rPr>
          <w:rFonts w:hint="eastAsia" w:ascii="楷体_GB2312" w:hAnsi="宋体" w:eastAsia="楷体_GB2312" w:cs="宋体"/>
          <w:color w:val="000000"/>
          <w:kern w:val="0"/>
          <w:szCs w:val="32"/>
          <w:shd w:val="clear" w:color="auto" w:fill="FFFFFF"/>
          <w:lang w:val="zh-CN"/>
        </w:rPr>
        <w:t>）部门预算项目支出情况分析。</w:t>
      </w:r>
    </w:p>
    <w:p w14:paraId="067A4A5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1.乡镇交管办劝导员补贴。交通劝导员上路开展交通劝导，全镇交通违法现象明显减少，交通事故率明显降低，基础设施持续完善，群众安全意识明显提升。</w:t>
      </w:r>
    </w:p>
    <w:p w14:paraId="6CC2D3EC">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 xml:space="preserve">2.交通安全工作经费。通过提升辖区内交通秩序，长期持续开展道路交通安全隐患排查整治，降低事故发生率，提升群众满意度。  </w:t>
      </w:r>
    </w:p>
    <w:p w14:paraId="7D97F82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仿宋_GB2312" w:hAnsi="宋体" w:eastAsia="仿宋_GB2312" w:cs="宋体"/>
          <w:color w:val="000000"/>
          <w:kern w:val="0"/>
          <w:szCs w:val="32"/>
          <w:shd w:val="clear" w:color="auto" w:fill="FFFFFF"/>
          <w:lang w:val="en-US" w:eastAsia="zh-CN"/>
        </w:rPr>
      </w:pPr>
      <w:r>
        <w:rPr>
          <w:rFonts w:hint="eastAsia" w:ascii="仿宋_GB2312" w:hAnsi="宋体" w:eastAsia="仿宋_GB2312" w:cs="宋体"/>
          <w:color w:val="000000"/>
          <w:kern w:val="0"/>
          <w:szCs w:val="32"/>
          <w:shd w:val="clear" w:color="auto" w:fill="FFFFFF"/>
          <w:lang w:val="en-US" w:eastAsia="zh-CN"/>
        </w:rPr>
        <w:t>3.拖欠企业账款清偿项目。成功结清拖欠2家企业的项目费用，树立了五渡镇人民政府的良好形象，增强群众和企业对政府的信任，有助于吸引更多企业参与乡镇建设，推动本地经济发展。</w:t>
      </w:r>
    </w:p>
    <w:p w14:paraId="4F2B120F">
      <w:pPr>
        <w:pStyle w:val="2"/>
        <w:keepNext w:val="0"/>
        <w:keepLines w:val="0"/>
        <w:pageBreakBefore w:val="0"/>
        <w:kinsoku/>
        <w:wordWrap/>
        <w:overflowPunct/>
        <w:topLinePunct w:val="0"/>
        <w:autoSpaceDE/>
        <w:autoSpaceDN/>
        <w:bidi w:val="0"/>
        <w:spacing w:line="600" w:lineRule="exact"/>
        <w:textAlignment w:val="auto"/>
        <w:rPr>
          <w:rFonts w:hint="default"/>
          <w:lang w:val="en-US" w:eastAsia="zh-CN"/>
        </w:rPr>
      </w:pPr>
      <w:r>
        <w:rPr>
          <w:rFonts w:hint="eastAsia" w:ascii="仿宋_GB2312" w:hAnsi="宋体" w:eastAsia="仿宋_GB2312" w:cs="宋体"/>
          <w:color w:val="000000"/>
          <w:kern w:val="0"/>
          <w:szCs w:val="32"/>
          <w:shd w:val="clear" w:color="auto" w:fill="FFFFFF"/>
          <w:lang w:val="en-US" w:eastAsia="zh-CN"/>
        </w:rPr>
        <w:t>4.2024年基层组织和农村公共服务运行经费。通过严格执行“村财乡管”制度，经费支出需经“四议两公开”程序报账后，公共服务运行经费使用更加规范，今年来辖区内8村1社区的基础设施更加完善，环境卫生得到了明显的改善，公共服务得到明显的提升。</w:t>
      </w:r>
    </w:p>
    <w:p w14:paraId="1B0FD5D8">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3C85B21D">
      <w:pPr>
        <w:widowControl/>
        <w:adjustRightInd w:val="0"/>
        <w:snapToGrid w:val="0"/>
        <w:spacing w:line="580" w:lineRule="exact"/>
        <w:ind w:firstLine="640" w:firstLineChars="200"/>
        <w:contextualSpacing/>
        <w:jc w:val="left"/>
        <w:rPr>
          <w:rFonts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本单位按照财政局下达的预算指标，严格执行预算内开支，保障了单位正常运转。本部门的预决算编制均按照县财政局下达的相关文件指标进行了编制，按时完成经、编制工作，决算报表和说明均在峨边彝族自治县政府门户网站公开。绩效目标也按照有关文件如实进行了填报。</w:t>
      </w:r>
    </w:p>
    <w:p w14:paraId="5DE7CAAE">
      <w:pPr>
        <w:widowControl/>
        <w:adjustRightInd w:val="0"/>
        <w:snapToGrid w:val="0"/>
        <w:spacing w:line="580" w:lineRule="exact"/>
        <w:ind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五</w:t>
      </w:r>
      <w:r>
        <w:rPr>
          <w:rFonts w:hint="eastAsia" w:ascii="黑体" w:hAnsi="黑体" w:eastAsia="黑体" w:cs="宋体"/>
          <w:color w:val="000000"/>
          <w:kern w:val="0"/>
          <w:szCs w:val="32"/>
          <w:shd w:val="clear" w:color="auto" w:fill="FFFFFF"/>
        </w:rPr>
        <w:t>、评价结论及建议</w:t>
      </w:r>
    </w:p>
    <w:p w14:paraId="64345B0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（一）评价结论。</w:t>
      </w:r>
    </w:p>
    <w:p w14:paraId="1759CC99">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_GB2312" w:hAnsi="宋体" w:eastAsia="仿宋_GB2312" w:cs="宋体"/>
          <w:color w:val="000000"/>
          <w:kern w:val="0"/>
          <w:szCs w:val="32"/>
          <w:shd w:val="clear" w:color="auto" w:fill="FFFFFF"/>
          <w:lang w:val="zh-CN"/>
        </w:rPr>
        <w:t>根据《峨边彝族自治县财政局 关于开展20</w:t>
      </w:r>
      <w:r>
        <w:rPr>
          <w:rFonts w:hint="eastAsia" w:ascii="仿宋_GB2312" w:hAnsi="宋体" w:eastAsia="仿宋_GB2312" w:cs="宋体"/>
          <w:color w:val="000000"/>
          <w:kern w:val="0"/>
          <w:szCs w:val="32"/>
          <w:shd w:val="clear" w:color="auto" w:fill="FFFFFF"/>
          <w:lang w:val="en-US" w:eastAsia="zh-CN"/>
        </w:rPr>
        <w:t>24</w:t>
      </w:r>
      <w:r>
        <w:rPr>
          <w:rFonts w:hint="eastAsia" w:ascii="仿宋_GB2312" w:hAnsi="宋体" w:eastAsia="仿宋_GB2312" w:cs="宋体"/>
          <w:color w:val="000000"/>
          <w:kern w:val="0"/>
          <w:szCs w:val="32"/>
          <w:shd w:val="clear" w:color="auto" w:fill="FFFFFF"/>
          <w:lang w:val="zh-CN"/>
        </w:rPr>
        <w:t>年财政绩效评价工作的通知》文件精神，</w:t>
      </w:r>
      <w:r>
        <w:rPr>
          <w:rFonts w:hint="eastAsia" w:ascii="仿宋_GB2312" w:hAnsi="宋体" w:eastAsia="仿宋_GB2312" w:cs="宋体"/>
          <w:color w:val="000000"/>
          <w:kern w:val="0"/>
          <w:szCs w:val="32"/>
          <w:shd w:val="clear" w:color="auto" w:fill="FFFFFF"/>
          <w:lang w:val="en-US" w:eastAsia="zh-CN"/>
        </w:rPr>
        <w:t>五渡镇人民政府认真组织开展了部门整体支出绩效评价工作，绩效评价</w:t>
      </w:r>
      <w:r>
        <w:rPr>
          <w:rFonts w:hint="eastAsia" w:ascii="仿宋_GB2312" w:hAnsi="宋体" w:eastAsia="仿宋_GB2312" w:cs="宋体"/>
          <w:color w:val="000000"/>
          <w:kern w:val="0"/>
          <w:szCs w:val="32"/>
          <w:shd w:val="clear" w:color="auto" w:fill="FFFFFF"/>
          <w:lang w:val="zh-CN"/>
        </w:rPr>
        <w:t>得分：</w:t>
      </w:r>
      <w:r>
        <w:rPr>
          <w:rFonts w:hint="eastAsia" w:ascii="仿宋_GB2312" w:hAnsi="宋体" w:eastAsia="仿宋_GB2312" w:cs="宋体"/>
          <w:color w:val="000000"/>
          <w:kern w:val="0"/>
          <w:szCs w:val="32"/>
          <w:shd w:val="clear" w:color="auto" w:fill="FFFFFF"/>
          <w:lang w:val="en-US" w:eastAsia="zh-CN"/>
        </w:rPr>
        <w:t>98</w:t>
      </w:r>
      <w:r>
        <w:rPr>
          <w:rFonts w:hint="eastAsia" w:ascii="仿宋_GB2312" w:hAnsi="宋体" w:eastAsia="仿宋_GB2312" w:cs="宋体"/>
          <w:color w:val="000000"/>
          <w:kern w:val="0"/>
          <w:szCs w:val="32"/>
          <w:shd w:val="clear" w:color="auto" w:fill="FFFFFF"/>
          <w:lang w:val="zh-CN"/>
        </w:rPr>
        <w:t>分。</w:t>
      </w:r>
    </w:p>
    <w:p w14:paraId="6269D7B0">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（二）存在问题。</w:t>
      </w:r>
    </w:p>
    <w:p w14:paraId="159C0BC1">
      <w:pPr>
        <w:widowControl/>
        <w:adjustRightInd w:val="0"/>
        <w:snapToGrid w:val="0"/>
        <w:spacing w:line="580" w:lineRule="exact"/>
        <w:ind w:firstLine="640" w:firstLineChars="200"/>
        <w:contextualSpacing/>
        <w:jc w:val="left"/>
        <w:rPr>
          <w:rFonts w:hint="eastAsia" w:ascii="仿宋_GB2312" w:hAnsi="宋体" w:cs="宋体"/>
          <w:color w:val="000000"/>
          <w:kern w:val="0"/>
          <w:szCs w:val="32"/>
          <w:shd w:val="clear" w:color="auto" w:fill="FFFFFF"/>
          <w:lang w:val="zh-CN"/>
        </w:rPr>
      </w:pPr>
      <w:r>
        <w:rPr>
          <w:rFonts w:hint="eastAsia" w:ascii="仿宋_GB2312" w:hAnsi="仿宋_GB2312" w:eastAsia="仿宋_GB2312" w:cs="仿宋_GB2312"/>
          <w:color w:val="auto"/>
          <w:sz w:val="32"/>
          <w:szCs w:val="32"/>
          <w:lang w:val="zh-CN" w:eastAsia="zh-CN"/>
        </w:rPr>
        <w:t>预决算项目支出编制需进一步明确、精细化。同时项目执行率需进一步提高。</w:t>
      </w:r>
    </w:p>
    <w:p w14:paraId="104DBD24">
      <w:pPr>
        <w:widowControl/>
        <w:adjustRightInd w:val="0"/>
        <w:snapToGrid w:val="0"/>
        <w:spacing w:line="580" w:lineRule="exact"/>
        <w:ind w:firstLine="640" w:firstLineChars="200"/>
        <w:contextualSpacing/>
        <w:jc w:val="left"/>
        <w:rPr>
          <w:rFonts w:hint="eastAsia" w:ascii="楷体_GB2312" w:hAnsi="楷体_GB2312" w:eastAsia="楷体_GB2312" w:cs="楷体_GB2312"/>
          <w:color w:val="000000"/>
          <w:kern w:val="0"/>
          <w:szCs w:val="32"/>
          <w:shd w:val="clear" w:color="auto" w:fill="FFFFFF"/>
          <w:lang w:val="zh-CN"/>
        </w:rPr>
      </w:pPr>
      <w:r>
        <w:rPr>
          <w:rFonts w:hint="eastAsia" w:ascii="楷体_GB2312" w:hAnsi="楷体_GB2312" w:eastAsia="楷体_GB2312" w:cs="楷体_GB2312"/>
          <w:color w:val="000000"/>
          <w:kern w:val="0"/>
          <w:szCs w:val="32"/>
          <w:shd w:val="clear" w:color="auto" w:fill="FFFFFF"/>
          <w:lang w:val="zh-CN"/>
        </w:rPr>
        <w:t>（</w:t>
      </w:r>
      <w:r>
        <w:rPr>
          <w:rFonts w:hint="eastAsia" w:ascii="楷体_GB2312" w:hAnsi="楷体_GB2312" w:eastAsia="楷体_GB2312" w:cs="楷体_GB2312"/>
          <w:color w:val="000000"/>
          <w:kern w:val="0"/>
          <w:szCs w:val="32"/>
          <w:shd w:val="clear" w:color="auto" w:fill="FFFFFF"/>
          <w:lang w:val="en-US" w:eastAsia="zh-CN"/>
        </w:rPr>
        <w:t>三</w:t>
      </w:r>
      <w:r>
        <w:rPr>
          <w:rFonts w:hint="eastAsia" w:ascii="楷体_GB2312" w:hAnsi="楷体_GB2312" w:eastAsia="楷体_GB2312" w:cs="楷体_GB2312"/>
          <w:color w:val="000000"/>
          <w:kern w:val="0"/>
          <w:szCs w:val="32"/>
          <w:shd w:val="clear" w:color="auto" w:fill="FFFFFF"/>
          <w:lang w:val="zh-CN"/>
        </w:rPr>
        <w:t>）改进建议。</w:t>
      </w:r>
    </w:p>
    <w:p w14:paraId="5604F5F9">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细化预算编制工作，进一步加强内设机构的预算管理意识，严格按照预算编制的相关制度和要求进行预算编制。</w:t>
      </w:r>
    </w:p>
    <w:p w14:paraId="4AF1FFE4">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eastAsia="zh-CN"/>
        </w:rPr>
        <w:t>加强财务管理，严格财务审核。加强单位财务管理，健全单位财务管理制度体系，规范单位财务行为。在费用报账支付时，按照预算规定的费用项目和用途进行资金使用审核、财务严格核算，杜绝超支现象的发生。</w:t>
      </w:r>
    </w:p>
    <w:p w14:paraId="3F5D02D4">
      <w:pPr>
        <w:widowControl/>
        <w:numPr>
          <w:ilvl w:val="0"/>
          <w:numId w:val="0"/>
        </w:numPr>
        <w:adjustRightInd w:val="0"/>
        <w:snapToGrid w:val="0"/>
        <w:spacing w:line="580" w:lineRule="exact"/>
        <w:ind w:firstLine="640" w:firstLineChars="200"/>
        <w:contextualSpacing/>
        <w:jc w:val="left"/>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3.完善资产管理，抓好“三公”经费控制。严格编制政府采购年初预算和计划，规范各类资产的购置审批制度、资产出租出借和收入管理制度、资产采购制度、使用管理制度、资产处置和报废审批制度、资产管理岗位职责制度等，加强单位内部的资产管理工作。严格控制“三公”经费的规模和比例，把关“三公”经费支出的审核、审批，杜绝挪用和挤占其他预算资金行为：进一步细化“三公”经费。</w:t>
      </w:r>
    </w:p>
    <w:p w14:paraId="4849AD47">
      <w:pPr>
        <w:widowControl/>
        <w:adjustRightInd w:val="0"/>
        <w:snapToGrid w:val="0"/>
        <w:spacing w:line="580" w:lineRule="exact"/>
        <w:ind w:firstLine="640" w:firstLineChars="200"/>
        <w:contextualSpacing/>
        <w:jc w:val="left"/>
        <w:rPr>
          <w:rFonts w:ascii="楷体_GB2312" w:hAnsi="宋体" w:eastAsia="楷体_GB2312" w:cs="宋体"/>
          <w:color w:val="000000"/>
          <w:kern w:val="0"/>
          <w:szCs w:val="32"/>
          <w:shd w:val="clear" w:color="auto" w:fill="FFFFFF"/>
          <w:lang w:val="zh-CN"/>
        </w:rPr>
      </w:pPr>
    </w:p>
    <w:p w14:paraId="712B671D">
      <w:pPr>
        <w:pStyle w:val="2"/>
        <w:rPr>
          <w:rFonts w:ascii="楷体_GB2312" w:hAnsi="宋体" w:eastAsia="楷体_GB2312" w:cs="宋体"/>
          <w:color w:val="000000"/>
          <w:kern w:val="0"/>
          <w:szCs w:val="32"/>
          <w:shd w:val="clear" w:color="auto" w:fill="FFFFFF"/>
          <w:lang w:val="zh-CN"/>
        </w:rPr>
      </w:pPr>
    </w:p>
    <w:p w14:paraId="73C2E86E">
      <w:pPr>
        <w:rPr>
          <w:rFonts w:ascii="楷体_GB2312" w:hAnsi="宋体" w:eastAsia="楷体_GB2312" w:cs="宋体"/>
          <w:color w:val="000000"/>
          <w:kern w:val="0"/>
          <w:szCs w:val="32"/>
          <w:shd w:val="clear" w:color="auto" w:fill="FFFFFF"/>
          <w:lang w:val="zh-CN"/>
        </w:rPr>
      </w:pPr>
    </w:p>
    <w:p w14:paraId="3CEC83B2">
      <w:pPr>
        <w:keepNext w:val="0"/>
        <w:keepLines w:val="0"/>
        <w:pageBreakBefore w:val="0"/>
        <w:widowControl w:val="0"/>
        <w:kinsoku/>
        <w:wordWrap/>
        <w:overflowPunct/>
        <w:topLinePunct w:val="0"/>
        <w:autoSpaceDE/>
        <w:autoSpaceDN/>
        <w:bidi w:val="0"/>
        <w:adjustRightInd/>
        <w:snapToGrid/>
        <w:spacing w:line="600" w:lineRule="exact"/>
        <w:ind w:firstLine="6080" w:firstLineChars="1900"/>
        <w:textAlignment w:val="auto"/>
        <w:rPr>
          <w:rFonts w:hint="default" w:ascii="仿宋_GB2312" w:hAnsi="仿宋_GB2312" w:eastAsia="仿宋_GB2312" w:cs="仿宋_GB2312"/>
          <w:color w:val="auto"/>
          <w:kern w:val="2"/>
          <w:sz w:val="32"/>
          <w:szCs w:val="32"/>
          <w:lang w:val="en-US" w:eastAsia="zh-CN" w:bidi="ar-SA"/>
        </w:rPr>
      </w:pPr>
    </w:p>
    <w:sectPr>
      <w:headerReference r:id="rId3" w:type="default"/>
      <w:footerReference r:id="rId4"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8B379">
    <w:pPr>
      <w:pStyle w:val="8"/>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12 -</w:t>
    </w:r>
    <w:r>
      <w:rPr>
        <w:rFonts w:ascii="宋体" w:hAnsi="宋体"/>
        <w:sz w:val="28"/>
        <w:szCs w:val="28"/>
      </w:rPr>
      <w:fldChar w:fldCharType="end"/>
    </w:r>
  </w:p>
  <w:p w14:paraId="773B33DC">
    <w:pPr>
      <w:pStyle w:val="8"/>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0773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F27DC5"/>
    <w:multiLevelType w:val="singleLevel"/>
    <w:tmpl w:val="B1F27DC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7F1C07"/>
    <w:rsid w:val="03946B2A"/>
    <w:rsid w:val="0F63562F"/>
    <w:rsid w:val="0F702DCC"/>
    <w:rsid w:val="1086759A"/>
    <w:rsid w:val="10B71B4A"/>
    <w:rsid w:val="1367796D"/>
    <w:rsid w:val="13E94EDC"/>
    <w:rsid w:val="19927F78"/>
    <w:rsid w:val="1D48496E"/>
    <w:rsid w:val="21AE59D8"/>
    <w:rsid w:val="286F56EA"/>
    <w:rsid w:val="29FB0312"/>
    <w:rsid w:val="2CA84CD4"/>
    <w:rsid w:val="2D527252"/>
    <w:rsid w:val="2D7A67E5"/>
    <w:rsid w:val="30D74EFB"/>
    <w:rsid w:val="329102D6"/>
    <w:rsid w:val="39921F91"/>
    <w:rsid w:val="3A9520B3"/>
    <w:rsid w:val="3DE562B7"/>
    <w:rsid w:val="3E6507EA"/>
    <w:rsid w:val="42DC31A4"/>
    <w:rsid w:val="47550EBA"/>
    <w:rsid w:val="4A0F35DD"/>
    <w:rsid w:val="50BB3388"/>
    <w:rsid w:val="5143686B"/>
    <w:rsid w:val="60633B6A"/>
    <w:rsid w:val="649A4F60"/>
    <w:rsid w:val="6636451A"/>
    <w:rsid w:val="697916AE"/>
    <w:rsid w:val="6BE94116"/>
    <w:rsid w:val="70CB29B3"/>
    <w:rsid w:val="78916378"/>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heading 1"/>
    <w:basedOn w:val="1"/>
    <w:next w:val="4"/>
    <w:qFormat/>
    <w:locked/>
    <w:uiPriority w:val="0"/>
    <w:pPr>
      <w:spacing w:line="700" w:lineRule="exact"/>
      <w:jc w:val="center"/>
      <w:outlineLvl w:val="0"/>
    </w:pPr>
    <w:rPr>
      <w:rFonts w:eastAsia="方正小标宋简体"/>
      <w:kern w:val="44"/>
      <w:sz w:val="44"/>
    </w:rPr>
  </w:style>
  <w:style w:type="paragraph" w:styleId="4">
    <w:name w:val="heading 2"/>
    <w:basedOn w:val="3"/>
    <w:next w:val="5"/>
    <w:unhideWhenUsed/>
    <w:qFormat/>
    <w:locked/>
    <w:uiPriority w:val="0"/>
    <w:pPr>
      <w:keepNext/>
      <w:spacing w:line="600" w:lineRule="exact"/>
      <w:outlineLvl w:val="1"/>
    </w:pPr>
    <w:rPr>
      <w:rFonts w:ascii="Arial" w:hAnsi="Arial" w:eastAsia="楷体_GB2312"/>
      <w:sz w:val="32"/>
    </w:rPr>
  </w:style>
  <w:style w:type="paragraph" w:styleId="5">
    <w:name w:val="heading 3"/>
    <w:basedOn w:val="4"/>
    <w:next w:val="1"/>
    <w:unhideWhenUsed/>
    <w:qFormat/>
    <w:locked/>
    <w:uiPriority w:val="0"/>
    <w:pPr>
      <w:keepNext w:val="0"/>
      <w:jc w:val="left"/>
      <w:outlineLvl w:val="2"/>
    </w:pPr>
    <w:rPr>
      <w:rFonts w:eastAsia="黑体" w:asciiTheme="minorHAnsi" w:hAnsiTheme="minorHAnsi"/>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locked/>
    <w:uiPriority w:val="0"/>
    <w:pPr>
      <w:ind w:firstLine="420" w:firstLineChars="200"/>
    </w:pPr>
  </w:style>
  <w:style w:type="paragraph" w:styleId="6">
    <w:name w:val="Document Map"/>
    <w:basedOn w:val="1"/>
    <w:link w:val="17"/>
    <w:qFormat/>
    <w:uiPriority w:val="99"/>
    <w:rPr>
      <w:rFonts w:ascii="宋体"/>
      <w:sz w:val="18"/>
      <w:szCs w:val="18"/>
    </w:rPr>
  </w:style>
  <w:style w:type="paragraph" w:styleId="7">
    <w:name w:val="Balloon Text"/>
    <w:basedOn w:val="1"/>
    <w:link w:val="18"/>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locked/>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locked/>
    <w:uiPriority w:val="0"/>
    <w:pPr>
      <w:spacing w:before="240" w:after="60"/>
      <w:jc w:val="center"/>
    </w:pPr>
    <w:rPr>
      <w:rFonts w:ascii="Cambria" w:hAnsi="Cambria" w:cs="Cambria"/>
      <w:sz w:val="32"/>
      <w:szCs w:val="32"/>
    </w:rPr>
  </w:style>
  <w:style w:type="table" w:styleId="13">
    <w:name w:val="Table Grid"/>
    <w:basedOn w:val="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locked/>
    <w:uiPriority w:val="0"/>
    <w:rPr>
      <w:b/>
    </w:rPr>
  </w:style>
  <w:style w:type="character" w:styleId="16">
    <w:name w:val="page number"/>
    <w:qFormat/>
    <w:uiPriority w:val="99"/>
    <w:rPr>
      <w:rFonts w:cs="Times New Roman"/>
    </w:rPr>
  </w:style>
  <w:style w:type="character" w:customStyle="1" w:styleId="17">
    <w:name w:val="文档结构图 Char"/>
    <w:link w:val="6"/>
    <w:qFormat/>
    <w:locked/>
    <w:uiPriority w:val="99"/>
    <w:rPr>
      <w:rFonts w:ascii="宋体" w:cs="Times New Roman"/>
      <w:kern w:val="2"/>
      <w:sz w:val="18"/>
      <w:szCs w:val="18"/>
    </w:rPr>
  </w:style>
  <w:style w:type="character" w:customStyle="1" w:styleId="18">
    <w:name w:val="批注框文本 Char"/>
    <w:link w:val="7"/>
    <w:semiHidden/>
    <w:qFormat/>
    <w:locked/>
    <w:uiPriority w:val="99"/>
    <w:rPr>
      <w:rFonts w:cs="Times New Roman"/>
      <w:sz w:val="2"/>
    </w:rPr>
  </w:style>
  <w:style w:type="character" w:customStyle="1" w:styleId="19">
    <w:name w:val="页脚 Char"/>
    <w:link w:val="8"/>
    <w:qFormat/>
    <w:locked/>
    <w:uiPriority w:val="99"/>
    <w:rPr>
      <w:rFonts w:cs="Times New Roman"/>
      <w:kern w:val="2"/>
      <w:sz w:val="18"/>
      <w:szCs w:val="18"/>
    </w:rPr>
  </w:style>
  <w:style w:type="character" w:customStyle="1" w:styleId="20">
    <w:name w:val="页眉 Char"/>
    <w:link w:val="9"/>
    <w:semiHidden/>
    <w:qFormat/>
    <w:locked/>
    <w:uiPriority w:val="99"/>
    <w:rPr>
      <w:rFonts w:cs="Times New Roman"/>
      <w:sz w:val="18"/>
      <w:szCs w:val="18"/>
    </w:rPr>
  </w:style>
  <w:style w:type="paragraph" w:customStyle="1" w:styleId="21">
    <w:name w:val="四号正文"/>
    <w:basedOn w:val="1"/>
    <w:link w:val="22"/>
    <w:qFormat/>
    <w:uiPriority w:val="99"/>
    <w:pPr>
      <w:spacing w:line="360" w:lineRule="auto"/>
    </w:pPr>
    <w:rPr>
      <w:rFonts w:ascii="??" w:hAnsi="??" w:cs="宋体"/>
      <w:color w:val="000000"/>
      <w:kern w:val="0"/>
      <w:sz w:val="28"/>
      <w:szCs w:val="21"/>
    </w:rPr>
  </w:style>
  <w:style w:type="character" w:customStyle="1" w:styleId="22">
    <w:name w:val="四号正文 Char"/>
    <w:link w:val="21"/>
    <w:qFormat/>
    <w:locked/>
    <w:uiPriority w:val="99"/>
    <w:rPr>
      <w:rFonts w:ascii="??" w:hAnsi="??" w:eastAsia="宋体" w:cs="宋体"/>
      <w:color w:val="000000"/>
      <w:sz w:val="21"/>
      <w:szCs w:val="21"/>
      <w:lang w:val="en-US" w:eastAsia="zh-CN" w:bidi="ar-SA"/>
    </w:rPr>
  </w:style>
  <w:style w:type="paragraph" w:customStyle="1" w:styleId="23">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4">
    <w:name w:val="★二级"/>
    <w:basedOn w:val="1"/>
    <w:qFormat/>
    <w:uiPriority w:val="0"/>
    <w:pPr>
      <w:spacing w:line="560" w:lineRule="exact"/>
      <w:ind w:firstLine="640"/>
    </w:pPr>
    <w:rPr>
      <w:rFonts w:hint="eastAsia" w:ascii="楷体_GB2312" w:hAnsi="楷体_GB2312" w:eastAsia="楷体_GB2312" w:cs="楷体_GB231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c9fbc278-e1a4-4a2d-95df-6a96f5d3eb2e</errorID>
      <errorWord>责</errorWord>
      <group>L1_Word</group>
      <groupName>字词问题</groupName>
      <ability>L2_Typo</ability>
      <abilityName>字词错误</abilityName>
      <candidateList>
        <item>责乡</item>
      </candidateList>
      <explain/>
      <paraID>2F832937</paraID>
      <start>172</start>
      <end>173</end>
      <status>ignored</status>
      <modifiedWord/>
      <trackRevisions>false</trackRevisions>
    </reviewItem>
    <reviewItem>
      <errorID>a1c6abf3-a8e9-4818-a7aa-a71286c7563a</errorID>
      <errorWord>、工</errorWord>
      <group>L1_Word</group>
      <groupName>字词问题</groupName>
      <ability>L2_Typo</ability>
      <abilityName>字词错误</abilityName>
      <candidateList>
        <item>、</item>
      </candidateList>
      <explain/>
      <paraID>4554D033</paraID>
      <start>144</start>
      <end>146</end>
      <status>ignored</status>
      <modifiedWord/>
      <trackRevisions>false</trackRevisions>
    </reviewItem>
    <reviewItem>
      <errorID>2dfd5547-4e33-42d0-a986-76e754445e9a</errorID>
      <errorWord>脱贫成果</errorWord>
      <group>L1_Political</group>
      <groupName>政治性问题</groupName>
      <ability>L2_Unpolitical</ability>
      <abilityName>政治敏感错误</abilityName>
      <candidateList>
        <item>脱贫攻坚成果</item>
      </candidateList>
      <explain/>
      <paraID>78777CB5</paraID>
      <start>0</start>
      <end>4</end>
      <status>ignored</status>
      <modifiedWord/>
      <trackRevisions>false</trackRevisions>
    </reviewItem>
    <reviewItem>
      <errorID>18483821-915e-4ea7-ba89-6887a9d168ad</errorID>
      <errorWord>点练</errorWord>
      <group>L1_Word</group>
      <groupName>字词问题</groupName>
      <ability>L2_Typo</ability>
      <abilityName>字词错误</abilityName>
      <candidateList>
        <item>训练</item>
      </candidateList>
      <explain>〈动〉有计划有步骤地使具有某种特长或技能：～班｜业务～｜～义务消防人员｜警犬都是受过～的。</explain>
      <paraID>7DF0313A</paraID>
      <start>284</start>
      <end>286</end>
      <status>ignored</status>
      <modifiedWord/>
      <trackRevisions>false</trackRevisions>
    </reviewItem>
    <reviewItem>
      <errorID>7376ab9d-2c98-4dd1-a24e-ac25d72cc6ef</errorID>
      <errorWord>现时</errorWord>
      <group>L1_Word</group>
      <groupName>字词问题</groupName>
      <ability>L2_Typo</ability>
      <abilityName>字词错误</abilityName>
      <candidateList>
        <item>现实</item>
      </candidateList>
      <explain>❶〈名〉客观存在的事物：考虑问题，不能脱离～。❷〈形〉合于客观情况：这个计划不～｜这是一个比较～的办法。</explain>
      <paraID>486980B5</paraID>
      <start>40</start>
      <end>42</end>
      <status>modified</status>
      <modifiedWord>现实</modifiedWord>
      <trackRevisions>false</trackRevisions>
    </reviewItem>
    <reviewItem>
      <errorID>61ea3e5c-de18-4b88-ae71-5e088947db25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78B297D8</paraID>
      <start>23</start>
      <end>31</end>
      <status>ignored</status>
      <modifiedWord/>
      <trackRevisions>false</trackRevisions>
    </reviewItem>
    <reviewItem>
      <errorID>a355c39b-949e-48bc-a870-d988a52b5e5e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77442D40</paraID>
      <start>23</start>
      <end>31</end>
      <status>ignored</status>
      <modifiedWord/>
      <trackRevisions>false</trackRevisions>
    </reviewItem>
  </reviewItems>
  <config/>
</contractReview>
</file>

<file path=customXml/itemProps1.xml><?xml version="1.0" encoding="utf-8"?>
<ds:datastoreItem xmlns:ds="http://schemas.openxmlformats.org/officeDocument/2006/customXml" ds:itemID="{62b61249-ea0b-443b-a275-82b1dab08456}">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14</Pages>
  <Words>8392</Words>
  <Characters>8642</Characters>
  <Lines>3</Lines>
  <Paragraphs>1</Paragraphs>
  <TotalTime>21</TotalTime>
  <ScaleCrop>false</ScaleCrop>
  <LinksUpToDate>false</LinksUpToDate>
  <CharactersWithSpaces>8648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2025-07-14T02:40:00Z</cp:lastPrinted>
  <dcterms:modified xsi:type="dcterms:W3CDTF">2026-01-06T00:46:10Z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10BE9C0BF7E3454D8567852C736ED506_12</vt:lpwstr>
  </property>
</Properties>
</file>