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B33187">
      <w:pPr>
        <w:spacing w:line="600" w:lineRule="exact"/>
        <w:jc w:val="center"/>
        <w:outlineLvl w:val="0"/>
        <w:rPr>
          <w:rFonts w:ascii="方正小标宋简体" w:hAnsi="宋体" w:eastAsia="方正小标宋简体"/>
          <w:sz w:val="72"/>
          <w:szCs w:val="72"/>
        </w:rPr>
      </w:pPr>
      <w:bookmarkStart w:id="0" w:name="_Toc15377193"/>
      <w:bookmarkStart w:id="1" w:name="_Toc15396475"/>
      <w:bookmarkStart w:id="2" w:name="_Toc15377425"/>
      <w:bookmarkStart w:id="3" w:name="_Toc15378441"/>
      <w:bookmarkStart w:id="4" w:name="_Toc15396597"/>
      <w:bookmarkStart w:id="5" w:name="_Toc15306267"/>
    </w:p>
    <w:p w14:paraId="14FFF68D">
      <w:pPr>
        <w:pStyle w:val="8"/>
        <w:spacing w:before="93"/>
      </w:pPr>
    </w:p>
    <w:p w14:paraId="085BF51C">
      <w:pPr>
        <w:spacing w:line="600" w:lineRule="exact"/>
        <w:jc w:val="center"/>
        <w:outlineLvl w:val="0"/>
        <w:rPr>
          <w:rFonts w:ascii="方正小标宋简体" w:hAnsi="宋体" w:eastAsia="方正小标宋简体"/>
          <w:sz w:val="72"/>
          <w:szCs w:val="72"/>
        </w:rPr>
      </w:pPr>
    </w:p>
    <w:p w14:paraId="25803EF7">
      <w:pPr>
        <w:spacing w:line="600" w:lineRule="exact"/>
        <w:jc w:val="center"/>
        <w:outlineLvl w:val="0"/>
        <w:rPr>
          <w:rFonts w:ascii="方正小标宋简体" w:hAnsi="宋体" w:eastAsia="方正小标宋简体"/>
          <w:sz w:val="72"/>
          <w:szCs w:val="72"/>
        </w:rPr>
      </w:pPr>
    </w:p>
    <w:p w14:paraId="1D451B58">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2023年度</w:t>
      </w:r>
      <w:bookmarkEnd w:id="0"/>
      <w:bookmarkEnd w:id="1"/>
      <w:bookmarkEnd w:id="2"/>
      <w:bookmarkEnd w:id="3"/>
      <w:bookmarkEnd w:id="4"/>
    </w:p>
    <w:bookmarkEnd w:id="5"/>
    <w:p w14:paraId="6EDB32BA">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5377194"/>
      <w:bookmarkStart w:id="7" w:name="_Toc15396476"/>
      <w:bookmarkStart w:id="8" w:name="_Toc15378442"/>
      <w:bookmarkStart w:id="9" w:name="_Toc15396598"/>
      <w:bookmarkStart w:id="10" w:name="_Toc15306268"/>
      <w:bookmarkStart w:id="11" w:name="_Toc15377426"/>
      <w:r>
        <w:rPr>
          <w:rFonts w:hint="eastAsia" w:ascii="方正小标宋简体" w:hAnsi="方正小标宋简体" w:eastAsia="方正小标宋简体"/>
          <w:kern w:val="2"/>
          <w:sz w:val="72"/>
          <w:lang w:val="zh-CN"/>
        </w:rPr>
        <w:t>峨边彝族自治县五渡镇人民政府</w:t>
      </w:r>
      <w:r>
        <w:rPr>
          <w:rFonts w:hint="eastAsia" w:ascii="方正小标宋简体" w:hAnsi="方正小标宋简体" w:eastAsia="方正小标宋简体" w:cs="方正小标宋简体"/>
          <w:sz w:val="72"/>
          <w:szCs w:val="72"/>
          <w:lang w:eastAsia="zh-CN"/>
        </w:rPr>
        <w:t>单位</w:t>
      </w:r>
      <w:r>
        <w:rPr>
          <w:rFonts w:hint="eastAsia" w:ascii="方正小标宋简体" w:hAnsi="方正小标宋简体" w:eastAsia="方正小标宋简体" w:cs="方正小标宋简体"/>
          <w:sz w:val="72"/>
          <w:szCs w:val="72"/>
        </w:rPr>
        <w:t>决算</w:t>
      </w:r>
      <w:bookmarkEnd w:id="6"/>
      <w:bookmarkEnd w:id="7"/>
      <w:bookmarkEnd w:id="8"/>
      <w:bookmarkEnd w:id="9"/>
      <w:bookmarkEnd w:id="10"/>
      <w:bookmarkEnd w:id="11"/>
    </w:p>
    <w:p w14:paraId="33AF873A">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687337AB">
      <w:pPr>
        <w:widowControl/>
        <w:jc w:val="center"/>
        <w:rPr>
          <w:rFonts w:ascii="黑体" w:hAnsi="黑体" w:eastAsia="黑体" w:cstheme="minorBidi"/>
          <w:sz w:val="28"/>
          <w:szCs w:val="28"/>
        </w:rPr>
      </w:pPr>
    </w:p>
    <w:p w14:paraId="7301A783">
      <w:pPr>
        <w:pStyle w:val="14"/>
      </w:pPr>
      <w:r>
        <w:rPr>
          <w:rFonts w:hint="eastAsia"/>
        </w:rPr>
        <w:t>公开时间：202</w:t>
      </w:r>
      <w:r>
        <w:rPr>
          <w:rFonts w:hint="eastAsia"/>
          <w:lang w:val="en-US" w:eastAsia="zh-CN"/>
        </w:rPr>
        <w:t>4</w:t>
      </w:r>
      <w:r>
        <w:rPr>
          <w:rFonts w:hint="eastAsia"/>
        </w:rPr>
        <w:t>年</w:t>
      </w:r>
      <w:r>
        <w:rPr>
          <w:rFonts w:hint="eastAsia"/>
          <w:lang w:val="en-US" w:eastAsia="zh-CN"/>
        </w:rPr>
        <w:t>10</w:t>
      </w:r>
      <w:r>
        <w:rPr>
          <w:rFonts w:hint="eastAsia"/>
        </w:rPr>
        <w:t xml:space="preserve">月 </w:t>
      </w:r>
      <w:r>
        <w:rPr>
          <w:rFonts w:hint="eastAsia"/>
          <w:lang w:val="en-US" w:eastAsia="zh-CN"/>
        </w:rPr>
        <w:t>28</w:t>
      </w:r>
      <w:r>
        <w:rPr>
          <w:rFonts w:hint="eastAsia"/>
        </w:rPr>
        <w:t xml:space="preserve"> 日</w:t>
      </w:r>
    </w:p>
    <w:p w14:paraId="5052D477"/>
    <w:p w14:paraId="728B0BB9">
      <w:pPr>
        <w:pStyle w:val="14"/>
        <w:adjustRightInd w:val="0"/>
        <w:snapToGrid w:val="0"/>
        <w:spacing w:before="0" w:line="440" w:lineRule="exact"/>
        <w:jc w:val="left"/>
        <w:rPr>
          <w:rFonts w:cstheme="minorBidi"/>
          <w:sz w:val="24"/>
          <w:szCs w:val="24"/>
        </w:rPr>
      </w:pPr>
      <w:r>
        <w:rPr>
          <w:rFonts w:hint="eastAsia"/>
          <w:sz w:val="24"/>
        </w:rPr>
        <w:t>第一部分</w:t>
      </w:r>
      <w:r>
        <w:rPr>
          <w:sz w:val="24"/>
        </w:rPr>
        <w:t xml:space="preserve"> </w:t>
      </w:r>
      <w:r>
        <w:rPr>
          <w:rFonts w:hint="eastAsia"/>
          <w:sz w:val="24"/>
          <w:lang w:eastAsia="zh-CN"/>
        </w:rPr>
        <w:t>单位</w:t>
      </w:r>
      <w:r>
        <w:rPr>
          <w:rFonts w:hint="eastAsia"/>
          <w:sz w:val="24"/>
        </w:rPr>
        <w:t>概况</w:t>
      </w:r>
    </w:p>
    <w:p w14:paraId="02C9572D">
      <w:pPr>
        <w:pStyle w:val="15"/>
        <w:adjustRightInd w:val="0"/>
        <w:snapToGrid w:val="0"/>
        <w:spacing w:line="440" w:lineRule="exact"/>
        <w:jc w:val="left"/>
        <w:rPr>
          <w:rFonts w:ascii="仿宋" w:hAnsi="仿宋" w:eastAsia="仿宋"/>
          <w:sz w:val="24"/>
        </w:rPr>
      </w:pPr>
      <w:r>
        <w:rPr>
          <w:rFonts w:hint="eastAsia"/>
          <w:sz w:val="24"/>
        </w:rPr>
        <w:t>一、</w:t>
      </w:r>
      <w:r>
        <w:rPr>
          <w:rFonts w:hint="eastAsia"/>
          <w:sz w:val="24"/>
          <w:lang w:eastAsia="zh-CN"/>
        </w:rPr>
        <w:t>单位</w:t>
      </w:r>
      <w:r>
        <w:rPr>
          <w:rFonts w:hint="eastAsia"/>
          <w:sz w:val="24"/>
        </w:rPr>
        <w:t>职责</w:t>
      </w:r>
    </w:p>
    <w:p w14:paraId="56326904">
      <w:pPr>
        <w:pStyle w:val="15"/>
        <w:adjustRightInd w:val="0"/>
        <w:snapToGrid w:val="0"/>
        <w:spacing w:line="440" w:lineRule="exact"/>
        <w:jc w:val="left"/>
        <w:rPr>
          <w:rFonts w:ascii="仿宋" w:hAnsi="仿宋" w:eastAsia="仿宋" w:cstheme="minorBidi"/>
          <w:sz w:val="24"/>
        </w:rPr>
      </w:pPr>
      <w:r>
        <w:rPr>
          <w:rFonts w:hint="eastAsia"/>
          <w:sz w:val="24"/>
        </w:rPr>
        <w:t>二、机构设置</w:t>
      </w:r>
    </w:p>
    <w:p w14:paraId="0E6244B1">
      <w:pPr>
        <w:pStyle w:val="14"/>
        <w:adjustRightInd w:val="0"/>
        <w:snapToGrid w:val="0"/>
        <w:spacing w:before="0" w:line="440" w:lineRule="exact"/>
        <w:jc w:val="left"/>
        <w:rPr>
          <w:sz w:val="24"/>
          <w:szCs w:val="24"/>
        </w:rPr>
      </w:pPr>
      <w:r>
        <w:rPr>
          <w:rFonts w:hint="eastAsia"/>
          <w:sz w:val="24"/>
        </w:rPr>
        <w:t>第二部分 2023年度</w:t>
      </w:r>
      <w:r>
        <w:rPr>
          <w:rFonts w:hint="eastAsia"/>
          <w:sz w:val="24"/>
          <w:lang w:eastAsia="zh-CN"/>
        </w:rPr>
        <w:t>单位</w:t>
      </w:r>
      <w:r>
        <w:rPr>
          <w:rFonts w:hint="eastAsia"/>
          <w:sz w:val="24"/>
        </w:rPr>
        <w:t>决算情况说明</w:t>
      </w:r>
    </w:p>
    <w:p w14:paraId="52AAB255">
      <w:pPr>
        <w:pStyle w:val="15"/>
        <w:adjustRightInd w:val="0"/>
        <w:snapToGrid w:val="0"/>
        <w:spacing w:line="440" w:lineRule="exact"/>
        <w:jc w:val="left"/>
        <w:rPr>
          <w:rFonts w:ascii="仿宋" w:hAnsi="仿宋" w:eastAsia="仿宋" w:cstheme="minorBidi"/>
          <w:sz w:val="24"/>
        </w:rPr>
      </w:pPr>
      <w:r>
        <w:rPr>
          <w:rFonts w:hint="eastAsia"/>
          <w:sz w:val="24"/>
        </w:rPr>
        <w:t>一、收入支出决算总体情况说明</w:t>
      </w:r>
    </w:p>
    <w:p w14:paraId="1E8244E6">
      <w:pPr>
        <w:pStyle w:val="15"/>
        <w:adjustRightInd w:val="0"/>
        <w:snapToGrid w:val="0"/>
        <w:spacing w:line="440" w:lineRule="exact"/>
        <w:jc w:val="left"/>
        <w:rPr>
          <w:rFonts w:ascii="仿宋" w:hAnsi="仿宋" w:eastAsia="仿宋" w:cstheme="minorBidi"/>
          <w:sz w:val="24"/>
        </w:rPr>
      </w:pPr>
      <w:r>
        <w:rPr>
          <w:rFonts w:hint="eastAsia"/>
          <w:sz w:val="24"/>
        </w:rPr>
        <w:t>二、收入决算情况说明</w:t>
      </w:r>
    </w:p>
    <w:p w14:paraId="535458A9">
      <w:pPr>
        <w:pStyle w:val="15"/>
        <w:adjustRightInd w:val="0"/>
        <w:snapToGrid w:val="0"/>
        <w:spacing w:line="440" w:lineRule="exact"/>
        <w:jc w:val="left"/>
        <w:rPr>
          <w:rFonts w:ascii="仿宋" w:hAnsi="仿宋" w:eastAsia="仿宋" w:cstheme="minorBidi"/>
          <w:sz w:val="24"/>
        </w:rPr>
      </w:pPr>
      <w:r>
        <w:rPr>
          <w:rFonts w:hint="eastAsia"/>
          <w:sz w:val="24"/>
        </w:rPr>
        <w:t>三、支出决算情况说明</w:t>
      </w:r>
    </w:p>
    <w:p w14:paraId="16787262">
      <w:pPr>
        <w:pStyle w:val="15"/>
        <w:adjustRightInd w:val="0"/>
        <w:snapToGrid w:val="0"/>
        <w:spacing w:line="440" w:lineRule="exact"/>
        <w:jc w:val="left"/>
        <w:rPr>
          <w:rFonts w:ascii="仿宋" w:hAnsi="仿宋" w:eastAsia="仿宋" w:cstheme="minorBidi"/>
          <w:sz w:val="24"/>
        </w:rPr>
      </w:pPr>
      <w:r>
        <w:rPr>
          <w:rFonts w:hint="eastAsia"/>
          <w:sz w:val="24"/>
        </w:rPr>
        <w:t>四、财政拨款收入支出决算总体情况说明</w:t>
      </w:r>
    </w:p>
    <w:p w14:paraId="5949CE24">
      <w:pPr>
        <w:pStyle w:val="15"/>
        <w:adjustRightInd w:val="0"/>
        <w:snapToGrid w:val="0"/>
        <w:spacing w:line="440" w:lineRule="exact"/>
        <w:jc w:val="left"/>
        <w:rPr>
          <w:rFonts w:ascii="仿宋" w:hAnsi="仿宋" w:eastAsia="仿宋" w:cstheme="minorBidi"/>
          <w:sz w:val="24"/>
        </w:rPr>
      </w:pPr>
      <w:r>
        <w:rPr>
          <w:rFonts w:hint="eastAsia"/>
          <w:sz w:val="24"/>
        </w:rPr>
        <w:t>五、一般公共预算财政拨款支出决算情况说明</w:t>
      </w:r>
    </w:p>
    <w:p w14:paraId="6A4856AC">
      <w:pPr>
        <w:pStyle w:val="15"/>
        <w:adjustRightInd w:val="0"/>
        <w:snapToGrid w:val="0"/>
        <w:spacing w:line="440" w:lineRule="exact"/>
        <w:jc w:val="left"/>
        <w:rPr>
          <w:rFonts w:ascii="仿宋" w:hAnsi="仿宋" w:eastAsia="仿宋" w:cstheme="minorBidi"/>
          <w:sz w:val="24"/>
        </w:rPr>
      </w:pPr>
      <w:r>
        <w:rPr>
          <w:rFonts w:hint="eastAsia"/>
          <w:sz w:val="24"/>
        </w:rPr>
        <w:t>六、一般公共预算财政拨款基本支出决算情况说明</w:t>
      </w:r>
    </w:p>
    <w:p w14:paraId="7AF3B9EB">
      <w:pPr>
        <w:pStyle w:val="15"/>
        <w:adjustRightInd w:val="0"/>
        <w:snapToGrid w:val="0"/>
        <w:spacing w:line="440" w:lineRule="exact"/>
        <w:jc w:val="left"/>
        <w:rPr>
          <w:rFonts w:ascii="仿宋" w:hAnsi="仿宋" w:eastAsia="仿宋" w:cstheme="minorBidi"/>
          <w:sz w:val="24"/>
        </w:rPr>
      </w:pPr>
      <w:r>
        <w:rPr>
          <w:rFonts w:hint="eastAsia"/>
          <w:sz w:val="24"/>
        </w:rPr>
        <w:t>七、财政拨款“三公”经费支出决算情况说明</w:t>
      </w:r>
    </w:p>
    <w:p w14:paraId="10EED4A3">
      <w:pPr>
        <w:pStyle w:val="15"/>
        <w:adjustRightInd w:val="0"/>
        <w:snapToGrid w:val="0"/>
        <w:spacing w:line="440" w:lineRule="exact"/>
        <w:jc w:val="left"/>
        <w:rPr>
          <w:rFonts w:ascii="仿宋" w:hAnsi="仿宋" w:eastAsia="仿宋" w:cstheme="minorBidi"/>
          <w:sz w:val="24"/>
        </w:rPr>
      </w:pPr>
      <w:r>
        <w:rPr>
          <w:rFonts w:hint="eastAsia"/>
          <w:sz w:val="24"/>
        </w:rPr>
        <w:t>八、政府性基金预算支出决算情况说明</w:t>
      </w:r>
    </w:p>
    <w:p w14:paraId="6AC60AD0">
      <w:pPr>
        <w:pStyle w:val="15"/>
        <w:adjustRightInd w:val="0"/>
        <w:snapToGrid w:val="0"/>
        <w:spacing w:line="440" w:lineRule="exact"/>
        <w:ind w:leftChars="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九、国有资本经营预算支出决算情况说明</w:t>
      </w:r>
    </w:p>
    <w:p w14:paraId="2F0766DC">
      <w:pPr>
        <w:adjustRightInd w:val="0"/>
        <w:snapToGrid w:val="0"/>
        <w:spacing w:line="440" w:lineRule="exact"/>
        <w:ind w:firstLine="420" w:firstLineChars="175"/>
        <w:jc w:val="left"/>
        <w:rPr>
          <w:rFonts w:asciiTheme="minorEastAsia" w:hAnsiTheme="minorEastAsia" w:eastAsiaTheme="minorEastAsia" w:cstheme="minorEastAsia"/>
          <w:sz w:val="24"/>
        </w:rPr>
      </w:pPr>
      <w:r>
        <w:rPr>
          <w:rStyle w:val="22"/>
          <w:rFonts w:hint="eastAsia" w:asciiTheme="minorEastAsia" w:hAnsiTheme="minorEastAsia" w:eastAsiaTheme="minorEastAsia" w:cstheme="minorEastAsia"/>
          <w:color w:val="auto"/>
          <w:sz w:val="24"/>
          <w:u w:val="none"/>
        </w:rPr>
        <w:t>十、</w:t>
      </w:r>
      <w:r>
        <w:rPr>
          <w:rFonts w:hint="eastAsia" w:asciiTheme="minorEastAsia" w:hAnsiTheme="minorEastAsia" w:eastAsiaTheme="minorEastAsia" w:cstheme="minorEastAsia"/>
          <w:sz w:val="24"/>
        </w:rPr>
        <w:t>其他重要事项的情况说明</w:t>
      </w:r>
      <w:r>
        <w:rPr>
          <w:rFonts w:hint="eastAsia" w:asciiTheme="minorEastAsia" w:hAnsiTheme="minorEastAsia" w:eastAsiaTheme="minorEastAsia" w:cstheme="minorEastAsia"/>
          <w:sz w:val="24"/>
        </w:rPr>
        <w:tab/>
      </w:r>
    </w:p>
    <w:p w14:paraId="5403269A">
      <w:pPr>
        <w:pStyle w:val="14"/>
        <w:adjustRightInd w:val="0"/>
        <w:snapToGrid w:val="0"/>
        <w:spacing w:before="0" w:line="440" w:lineRule="exact"/>
        <w:jc w:val="left"/>
        <w:rPr>
          <w:rFonts w:cstheme="minorBidi"/>
          <w:sz w:val="24"/>
          <w:szCs w:val="24"/>
        </w:rPr>
      </w:pPr>
      <w:r>
        <w:rPr>
          <w:rFonts w:hint="eastAsia"/>
          <w:sz w:val="24"/>
        </w:rPr>
        <w:t>第三部分</w:t>
      </w:r>
      <w:r>
        <w:rPr>
          <w:sz w:val="24"/>
        </w:rPr>
        <w:t xml:space="preserve"> </w:t>
      </w:r>
      <w:r>
        <w:rPr>
          <w:rFonts w:hint="eastAsia"/>
          <w:sz w:val="24"/>
        </w:rPr>
        <w:t>名词解释</w:t>
      </w:r>
    </w:p>
    <w:p w14:paraId="0D1FA043">
      <w:pPr>
        <w:pStyle w:val="14"/>
        <w:adjustRightInd w:val="0"/>
        <w:snapToGrid w:val="0"/>
        <w:spacing w:before="0" w:line="440" w:lineRule="exact"/>
        <w:jc w:val="left"/>
        <w:rPr>
          <w:rFonts w:cstheme="minorBidi"/>
          <w:sz w:val="24"/>
          <w:szCs w:val="24"/>
        </w:rPr>
      </w:pPr>
      <w:r>
        <w:rPr>
          <w:rFonts w:hint="eastAsia"/>
          <w:sz w:val="24"/>
        </w:rPr>
        <w:t>第四部分</w:t>
      </w:r>
      <w:r>
        <w:rPr>
          <w:sz w:val="24"/>
        </w:rPr>
        <w:t xml:space="preserve"> </w:t>
      </w:r>
      <w:r>
        <w:rPr>
          <w:rFonts w:hint="eastAsia"/>
          <w:sz w:val="24"/>
        </w:rPr>
        <w:t>附件</w:t>
      </w:r>
    </w:p>
    <w:p w14:paraId="4DE3C13B">
      <w:pPr>
        <w:pStyle w:val="14"/>
        <w:adjustRightInd w:val="0"/>
        <w:snapToGrid w:val="0"/>
        <w:spacing w:before="0" w:line="440" w:lineRule="exact"/>
        <w:jc w:val="left"/>
        <w:rPr>
          <w:rFonts w:cstheme="minorBidi"/>
          <w:sz w:val="24"/>
          <w:szCs w:val="24"/>
        </w:rPr>
      </w:pPr>
      <w:r>
        <w:rPr>
          <w:rFonts w:hint="eastAsia"/>
          <w:sz w:val="24"/>
        </w:rPr>
        <w:t>第五部分</w:t>
      </w:r>
      <w:r>
        <w:rPr>
          <w:sz w:val="24"/>
        </w:rPr>
        <w:t xml:space="preserve"> </w:t>
      </w:r>
      <w:r>
        <w:rPr>
          <w:rFonts w:hint="eastAsia"/>
          <w:sz w:val="24"/>
        </w:rPr>
        <w:t>附表</w:t>
      </w:r>
    </w:p>
    <w:p w14:paraId="2488A273">
      <w:pPr>
        <w:pStyle w:val="15"/>
        <w:adjustRightInd w:val="0"/>
        <w:snapToGrid w:val="0"/>
        <w:spacing w:line="440" w:lineRule="exact"/>
        <w:jc w:val="left"/>
        <w:rPr>
          <w:sz w:val="24"/>
        </w:rPr>
      </w:pPr>
      <w:r>
        <w:rPr>
          <w:rFonts w:hint="eastAsia"/>
          <w:sz w:val="24"/>
        </w:rPr>
        <w:t>一、收入支出决算总表</w:t>
      </w:r>
    </w:p>
    <w:p w14:paraId="583155D9">
      <w:pPr>
        <w:pStyle w:val="15"/>
        <w:adjustRightInd w:val="0"/>
        <w:snapToGrid w:val="0"/>
        <w:spacing w:line="440" w:lineRule="exact"/>
        <w:jc w:val="left"/>
        <w:rPr>
          <w:sz w:val="24"/>
        </w:rPr>
      </w:pPr>
      <w:r>
        <w:rPr>
          <w:rFonts w:hint="eastAsia"/>
          <w:sz w:val="24"/>
        </w:rPr>
        <w:t>二、收入决算表</w:t>
      </w:r>
    </w:p>
    <w:p w14:paraId="339A57F2">
      <w:pPr>
        <w:pStyle w:val="15"/>
        <w:adjustRightInd w:val="0"/>
        <w:snapToGrid w:val="0"/>
        <w:spacing w:line="440" w:lineRule="exact"/>
        <w:jc w:val="left"/>
        <w:rPr>
          <w:sz w:val="24"/>
        </w:rPr>
      </w:pPr>
      <w:r>
        <w:rPr>
          <w:rFonts w:hint="eastAsia"/>
          <w:sz w:val="24"/>
        </w:rPr>
        <w:t>三、支出决算表</w:t>
      </w:r>
    </w:p>
    <w:p w14:paraId="4652AF71">
      <w:pPr>
        <w:pStyle w:val="15"/>
        <w:adjustRightInd w:val="0"/>
        <w:snapToGrid w:val="0"/>
        <w:spacing w:line="440" w:lineRule="exact"/>
        <w:jc w:val="left"/>
        <w:rPr>
          <w:sz w:val="24"/>
        </w:rPr>
      </w:pPr>
      <w:r>
        <w:rPr>
          <w:rFonts w:hint="eastAsia"/>
          <w:sz w:val="24"/>
        </w:rPr>
        <w:t>四、财政拨款收入支出决算总表</w:t>
      </w:r>
    </w:p>
    <w:p w14:paraId="5EBEA3B3">
      <w:pPr>
        <w:pStyle w:val="15"/>
        <w:adjustRightInd w:val="0"/>
        <w:snapToGrid w:val="0"/>
        <w:spacing w:line="440" w:lineRule="exact"/>
        <w:jc w:val="left"/>
        <w:rPr>
          <w:sz w:val="24"/>
        </w:rPr>
      </w:pPr>
      <w:r>
        <w:rPr>
          <w:rFonts w:hint="eastAsia"/>
          <w:sz w:val="24"/>
        </w:rPr>
        <w:t>五、财政拨款支出决算明细表</w:t>
      </w:r>
    </w:p>
    <w:p w14:paraId="21F44F4D">
      <w:pPr>
        <w:pStyle w:val="15"/>
        <w:adjustRightInd w:val="0"/>
        <w:snapToGrid w:val="0"/>
        <w:spacing w:line="440" w:lineRule="exact"/>
        <w:jc w:val="left"/>
        <w:rPr>
          <w:sz w:val="24"/>
        </w:rPr>
      </w:pPr>
      <w:r>
        <w:rPr>
          <w:rFonts w:hint="eastAsia"/>
          <w:sz w:val="24"/>
        </w:rPr>
        <w:t>六、一般公共预算财政拨款支出决算表</w:t>
      </w:r>
    </w:p>
    <w:p w14:paraId="50FBBC26">
      <w:pPr>
        <w:pStyle w:val="15"/>
        <w:adjustRightInd w:val="0"/>
        <w:snapToGrid w:val="0"/>
        <w:spacing w:line="440" w:lineRule="exact"/>
        <w:jc w:val="left"/>
        <w:rPr>
          <w:sz w:val="24"/>
        </w:rPr>
      </w:pPr>
      <w:r>
        <w:rPr>
          <w:rFonts w:hint="eastAsia"/>
          <w:sz w:val="24"/>
        </w:rPr>
        <w:t>七、一般公共预算财政拨款支出决算明细表</w:t>
      </w:r>
    </w:p>
    <w:p w14:paraId="4AA140B2">
      <w:pPr>
        <w:pStyle w:val="15"/>
        <w:adjustRightInd w:val="0"/>
        <w:snapToGrid w:val="0"/>
        <w:spacing w:line="440" w:lineRule="exact"/>
        <w:jc w:val="left"/>
        <w:rPr>
          <w:sz w:val="24"/>
        </w:rPr>
      </w:pPr>
      <w:r>
        <w:rPr>
          <w:rFonts w:hint="eastAsia"/>
          <w:sz w:val="24"/>
        </w:rPr>
        <w:t>八、一般公共预算财政拨款基本支出决算明细表</w:t>
      </w:r>
    </w:p>
    <w:p w14:paraId="10EC7AD0">
      <w:pPr>
        <w:pStyle w:val="15"/>
        <w:adjustRightInd w:val="0"/>
        <w:snapToGrid w:val="0"/>
        <w:spacing w:line="440" w:lineRule="exact"/>
        <w:jc w:val="left"/>
        <w:rPr>
          <w:sz w:val="24"/>
        </w:rPr>
      </w:pPr>
      <w:r>
        <w:rPr>
          <w:rFonts w:hint="eastAsia"/>
          <w:sz w:val="24"/>
        </w:rPr>
        <w:t>九、一般公共预算财政拨款项目支出决算表</w:t>
      </w:r>
    </w:p>
    <w:p w14:paraId="6BD16E2C">
      <w:pPr>
        <w:pStyle w:val="15"/>
        <w:adjustRightInd w:val="0"/>
        <w:snapToGrid w:val="0"/>
        <w:spacing w:line="440" w:lineRule="exact"/>
        <w:jc w:val="left"/>
        <w:rPr>
          <w:sz w:val="24"/>
        </w:rPr>
      </w:pPr>
      <w:r>
        <w:rPr>
          <w:rFonts w:hint="eastAsia"/>
          <w:sz w:val="24"/>
        </w:rPr>
        <w:t>十、政府性基金预算财政拨款收入支出决算表</w:t>
      </w:r>
    </w:p>
    <w:p w14:paraId="2BF9CAF5">
      <w:pPr>
        <w:pStyle w:val="15"/>
        <w:adjustRightInd w:val="0"/>
        <w:snapToGrid w:val="0"/>
        <w:spacing w:line="440" w:lineRule="exact"/>
        <w:jc w:val="left"/>
        <w:rPr>
          <w:sz w:val="24"/>
        </w:rPr>
      </w:pPr>
      <w:r>
        <w:rPr>
          <w:rFonts w:hint="eastAsia"/>
          <w:sz w:val="24"/>
        </w:rPr>
        <w:t>十一、国有资本经营预算财政拨款收入支出决算表</w:t>
      </w:r>
    </w:p>
    <w:p w14:paraId="1F73F176">
      <w:pPr>
        <w:pStyle w:val="15"/>
        <w:adjustRightInd w:val="0"/>
        <w:snapToGrid w:val="0"/>
        <w:spacing w:line="440" w:lineRule="exact"/>
        <w:jc w:val="left"/>
        <w:rPr>
          <w:sz w:val="24"/>
        </w:rPr>
      </w:pPr>
      <w:r>
        <w:rPr>
          <w:rFonts w:hint="eastAsia"/>
          <w:sz w:val="24"/>
        </w:rPr>
        <w:t>十二、国有资本经营预算财政拨款支出决算表</w:t>
      </w:r>
    </w:p>
    <w:p w14:paraId="0A484FB5">
      <w:pPr>
        <w:pStyle w:val="15"/>
        <w:adjustRightInd w:val="0"/>
        <w:snapToGrid w:val="0"/>
        <w:spacing w:line="440" w:lineRule="exact"/>
        <w:jc w:val="left"/>
        <w:rPr>
          <w:rFonts w:asciiTheme="minorEastAsia" w:hAnsiTheme="minorEastAsia" w:eastAsiaTheme="minorEastAsia" w:cstheme="minorEastAsia"/>
          <w:sz w:val="24"/>
        </w:rPr>
      </w:pPr>
      <w:r>
        <w:rPr>
          <w:rFonts w:hint="eastAsia"/>
          <w:sz w:val="24"/>
        </w:rPr>
        <w:t>十三、财政拨款“三公”经费支出决算表</w:t>
      </w:r>
    </w:p>
    <w:p w14:paraId="5AEC3533">
      <w:pPr>
        <w:widowControl/>
        <w:spacing w:line="440" w:lineRule="exact"/>
        <w:jc w:val="left"/>
        <w:rPr>
          <w:rFonts w:ascii="仿宋" w:hAnsi="仿宋" w:eastAsia="仿宋"/>
          <w:bCs/>
          <w:kern w:val="44"/>
          <w:sz w:val="24"/>
        </w:rPr>
      </w:pPr>
      <w:bookmarkStart w:id="12" w:name="_Toc15377196"/>
      <w:bookmarkStart w:id="13" w:name="_Toc15396599"/>
      <w:r>
        <w:rPr>
          <w:rFonts w:ascii="仿宋" w:hAnsi="仿宋" w:eastAsia="仿宋"/>
          <w:b/>
          <w:sz w:val="24"/>
        </w:rPr>
        <w:br w:type="page"/>
      </w:r>
    </w:p>
    <w:p w14:paraId="59CAF389">
      <w:pPr>
        <w:pStyle w:val="3"/>
        <w:jc w:val="center"/>
        <w:rPr>
          <w:rFonts w:ascii="黑体" w:eastAsia="黑体"/>
          <w:sz w:val="32"/>
          <w:szCs w:val="32"/>
        </w:rPr>
      </w:pPr>
      <w:r>
        <w:rPr>
          <w:rFonts w:hint="eastAsia" w:ascii="黑体" w:hAnsi="黑体" w:eastAsia="黑体"/>
          <w:b w:val="0"/>
        </w:rPr>
        <w:t xml:space="preserve">第一部分 </w:t>
      </w:r>
      <w:r>
        <w:rPr>
          <w:rStyle w:val="31"/>
          <w:rFonts w:hint="eastAsia" w:ascii="黑体" w:hAnsi="黑体" w:eastAsia="黑体"/>
          <w:b w:val="0"/>
          <w:bCs w:val="0"/>
          <w:lang w:eastAsia="zh-CN"/>
        </w:rPr>
        <w:t>单位</w:t>
      </w:r>
      <w:r>
        <w:rPr>
          <w:rStyle w:val="31"/>
          <w:rFonts w:hint="eastAsia" w:ascii="黑体" w:hAnsi="黑体" w:eastAsia="黑体"/>
          <w:b w:val="0"/>
          <w:bCs w:val="0"/>
        </w:rPr>
        <w:t>概况</w:t>
      </w:r>
      <w:bookmarkEnd w:id="12"/>
      <w:bookmarkEnd w:id="13"/>
    </w:p>
    <w:p w14:paraId="4FAAF496">
      <w:pPr>
        <w:pStyle w:val="4"/>
        <w:numPr>
          <w:ilvl w:val="0"/>
          <w:numId w:val="1"/>
        </w:numPr>
        <w:rPr>
          <w:rFonts w:hint="eastAsia" w:ascii="黑体" w:hAnsi="黑体" w:eastAsia="黑体"/>
          <w:b w:val="0"/>
        </w:rPr>
      </w:pPr>
      <w:r>
        <w:rPr>
          <w:rFonts w:hint="eastAsia" w:ascii="黑体" w:hAnsi="黑体" w:eastAsia="黑体"/>
          <w:b w:val="0"/>
          <w:lang w:eastAsia="zh-CN"/>
        </w:rPr>
        <w:t>单位</w:t>
      </w:r>
      <w:r>
        <w:rPr>
          <w:rFonts w:hint="eastAsia" w:ascii="黑体" w:hAnsi="黑体" w:eastAsia="黑体"/>
          <w:b w:val="0"/>
        </w:rPr>
        <w:t>职责</w:t>
      </w:r>
    </w:p>
    <w:p w14:paraId="580F30AF">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（一）负责贯彻执行党和国家的路线方针政策、法律法规规章，执行县委、县政府的决定，研究决定辖区政治、经济、文化、社会、生态文明等领域事业发展的重大事项并组织实施。</w:t>
      </w:r>
    </w:p>
    <w:p w14:paraId="5A65368D">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（二）统筹落实关于辖区发展的重大决策，参与辖区建设规划和公共服务设施布局，建立健全基层社会治理工作机制，引导、整合辖区内各种社会力量为区域发展服务，推动辖区健康、有序、可持续发展。</w:t>
      </w:r>
    </w:p>
    <w:p w14:paraId="5B2281C4">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三）负责加强基层党组织建设和基层政权建设，巩固党的执政基础；统筹协调辖区内各领域党建工作，推进社区党建、单位党建、行业党建和区域化党建互联互动，统筹抓好新领域新业态新群体党建工作。负责人大、政协、统战、民族宗教、群团工作。</w:t>
      </w:r>
    </w:p>
    <w:p w14:paraId="45532458">
      <w:pPr>
        <w:keepNext/>
        <w:keepLines/>
        <w:pageBreakBefore w:val="0"/>
        <w:widowControl w:val="0"/>
        <w:kinsoku/>
        <w:wordWrap/>
        <w:overflowPunct/>
        <w:topLinePunct w:val="0"/>
        <w:autoSpaceDE/>
        <w:autoSpaceDN/>
        <w:bidi w:val="0"/>
        <w:adjustRightInd/>
        <w:snapToGrid/>
        <w:spacing w:beforeLines="0" w:afterLines="0" w:line="560" w:lineRule="exact"/>
        <w:ind w:firstLine="72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（四）加强基层意识形态工作，推进基层精神文明建设，培养和弘扬社会主义核心价值观，创造良好社会环境。</w:t>
      </w:r>
    </w:p>
    <w:p w14:paraId="3E2EE300">
      <w:pPr>
        <w:keepNext/>
        <w:keepLines/>
        <w:pageBreakBefore w:val="0"/>
        <w:widowControl w:val="0"/>
        <w:kinsoku/>
        <w:wordWrap/>
        <w:overflowPunct/>
        <w:topLinePunct w:val="0"/>
        <w:autoSpaceDE/>
        <w:autoSpaceDN/>
        <w:bidi w:val="0"/>
        <w:adjustRightInd/>
        <w:snapToGrid/>
        <w:spacing w:beforeLines="0" w:afterLines="0" w:line="560" w:lineRule="exact"/>
        <w:ind w:firstLine="72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（五）负责拟定经济发展规划并组织实施。促进经济发展，推进产业结构调整，促进经济增长方式转变，促进农民增收。</w:t>
      </w:r>
    </w:p>
    <w:p w14:paraId="2BEAD45E">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六）负责拟定社会事业发展规划并组织实施。负责教育、科技、文化旅游、体育、广播电视、民政、卫生健康、医疗保障、残疾人保障、社会保险、退役军人服务等工作，推进便民服务规范化建设管理，落实与群众密切相关的各项公共服务政策。</w:t>
      </w:r>
    </w:p>
    <w:p w14:paraId="7154CC0F">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（七）负责拟定乡村振兴发展规划并组织实施。负责农业产业升级转型、美丽乡村建设、农村文化生活繁荣、农村基础设施和公共服务能力提升、脱贫攻坚等工作。</w:t>
      </w:r>
    </w:p>
    <w:p w14:paraId="5DAC01A5">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八）负责城乡基层治理工作，深化党建引领城乡基层治理，构建共建共治共享的城乡基层治理工作格局，推进和谐宜居乡村建设；加强社会主义民主法治建设，承担社会治理、信访维稳、综治中心、社区戒毒、社区康复、法治建设、反邪教等工作。</w:t>
      </w:r>
    </w:p>
    <w:p w14:paraId="6E25810D">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九）负责辖区公共事务综合管理，参与辖区规划建设，负责拟定村镇国土空间规划并组织实施，承担重点工程建设、乡村道路建设及公共设施、水利设施等管理工作，对辖区事关群众利益的重大决策和重大项目提出建议。负责统筹组织协调指挥辖区内派驻和基层执法等力量。</w:t>
      </w:r>
    </w:p>
    <w:p w14:paraId="1AAEFCD8">
      <w:pPr>
        <w:keepNext/>
        <w:keepLines/>
        <w:pageBreakBefore w:val="0"/>
        <w:widowControl w:val="0"/>
        <w:kinsoku/>
        <w:wordWrap/>
        <w:overflowPunct/>
        <w:topLinePunct w:val="0"/>
        <w:autoSpaceDE/>
        <w:autoSpaceDN/>
        <w:bidi w:val="0"/>
        <w:adjustRightInd/>
        <w:snapToGrid/>
        <w:spacing w:beforeLines="0" w:afterLines="0" w:line="56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（十）负责应急管理和安全生产工作，落实安全生产责任制，建立健全应对突发紧急事件的处置管理机制，构建公共安全防控体系。</w:t>
      </w:r>
    </w:p>
    <w:p w14:paraId="1840BB7B">
      <w:pPr>
        <w:keepNext/>
        <w:keepLines/>
        <w:pageBreakBefore w:val="0"/>
        <w:widowControl w:val="0"/>
        <w:kinsoku/>
        <w:wordWrap/>
        <w:overflowPunct/>
        <w:topLinePunct w:val="0"/>
        <w:autoSpaceDE/>
        <w:autoSpaceDN/>
        <w:bidi w:val="0"/>
        <w:adjustRightInd/>
        <w:snapToGrid/>
        <w:spacing w:beforeLines="0" w:afterLines="0" w:line="60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（十一）负责自然资源、生态环境保护工作，做好网格化环境监管，开展自然资源、环境保护隐患排查和治理，配合有关单位查处自然资源、环境违法行为，做好辖区内自然资源及生态环境保护工作。</w:t>
      </w:r>
    </w:p>
    <w:p w14:paraId="69E81879">
      <w:pPr>
        <w:keepNext/>
        <w:keepLines/>
        <w:pageBreakBefore w:val="0"/>
        <w:widowControl w:val="0"/>
        <w:kinsoku/>
        <w:wordWrap/>
        <w:overflowPunct/>
        <w:topLinePunct w:val="0"/>
        <w:autoSpaceDE/>
        <w:autoSpaceDN/>
        <w:bidi w:val="0"/>
        <w:adjustRightInd/>
        <w:snapToGrid/>
        <w:spacing w:beforeLines="0" w:afterLines="0" w:line="60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（十二）负责推进基层民主法治建设，加强普法依法治理，维护群众合法权益。负责协助武装单位做好辖区民兵训练和公民服兵役工作。</w:t>
      </w:r>
    </w:p>
    <w:p w14:paraId="3246E0F6">
      <w:pPr>
        <w:keepNext/>
        <w:keepLines/>
        <w:pageBreakBefore w:val="0"/>
        <w:widowControl w:val="0"/>
        <w:kinsoku/>
        <w:wordWrap/>
        <w:overflowPunct/>
        <w:topLinePunct w:val="0"/>
        <w:autoSpaceDE/>
        <w:autoSpaceDN/>
        <w:bidi w:val="0"/>
        <w:adjustRightInd/>
        <w:snapToGrid/>
        <w:spacing w:beforeLines="0" w:afterLines="0" w:line="60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（十三）按照干部管理权限，负责干部的教育、培训、选拔、考核和监督工作。加强本级财政、所属行政事业单位以及村级财务的核算和监督。</w:t>
      </w:r>
    </w:p>
    <w:p w14:paraId="34C5EFDB">
      <w:pPr>
        <w:keepNext/>
        <w:keepLines/>
        <w:pageBreakBefore w:val="0"/>
        <w:widowControl w:val="0"/>
        <w:kinsoku/>
        <w:wordWrap/>
        <w:overflowPunct/>
        <w:topLinePunct w:val="0"/>
        <w:autoSpaceDE/>
        <w:autoSpaceDN/>
        <w:bidi w:val="0"/>
        <w:adjustRightInd/>
        <w:snapToGrid/>
        <w:spacing w:beforeLines="0" w:afterLines="0" w:line="60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四）根据法定职责或受委托承担辖区内审批服务、公共服务、各类社会事务服务等职责。负责制定完善权力清单、责任清单、公共服务清单，建立清单动态调整和公示机制，推进党务政务公开，接受群众监督，增加公信力。</w:t>
      </w:r>
    </w:p>
    <w:p w14:paraId="35569272">
      <w:pPr>
        <w:keepNext/>
        <w:keepLines/>
        <w:pageBreakBefore w:val="0"/>
        <w:widowControl w:val="0"/>
        <w:kinsoku/>
        <w:wordWrap/>
        <w:overflowPunct/>
        <w:topLinePunct w:val="0"/>
        <w:autoSpaceDE/>
        <w:autoSpaceDN/>
        <w:bidi w:val="0"/>
        <w:adjustRightInd/>
        <w:snapToGrid/>
        <w:spacing w:beforeLines="0" w:afterLines="0" w:line="600" w:lineRule="exact"/>
        <w:ind w:firstLine="640"/>
        <w:jc w:val="both"/>
        <w:textAlignment w:val="auto"/>
        <w:rPr>
          <w:rFonts w:hint="eastAsia" w:ascii="仿宋_GB2312" w:hAnsi="仿宋_GB2312" w:eastAsia="仿宋_GB2312"/>
          <w:color w:val="000000"/>
          <w:kern w:val="2"/>
          <w:sz w:val="32"/>
          <w:lang w:val="zh-CN"/>
        </w:rPr>
      </w:pPr>
      <w:r>
        <w:rPr>
          <w:rFonts w:hint="eastAsia" w:ascii="仿宋_GB2312" w:hAnsi="仿宋_GB2312" w:eastAsia="仿宋_GB2312"/>
          <w:color w:val="000000"/>
          <w:kern w:val="2"/>
          <w:sz w:val="32"/>
          <w:lang w:val="zh-CN"/>
        </w:rPr>
        <w:t>（十五）履行法律法规、规章规定的其他职责，承办县委、县政府交办的其他工作。</w:t>
      </w:r>
    </w:p>
    <w:p w14:paraId="24C6EB10">
      <w:pPr>
        <w:numPr>
          <w:ilvl w:val="0"/>
          <w:numId w:val="0"/>
        </w:numPr>
      </w:pPr>
    </w:p>
    <w:p w14:paraId="1E8B5BF4">
      <w:pPr>
        <w:pStyle w:val="4"/>
        <w:rPr>
          <w:rStyle w:val="32"/>
          <w:b w:val="0"/>
          <w:bCs w:val="0"/>
        </w:rPr>
      </w:pPr>
      <w:bookmarkStart w:id="14" w:name="_Toc15396601"/>
      <w:bookmarkStart w:id="15" w:name="_Toc15377200"/>
      <w:r>
        <w:rPr>
          <w:rFonts w:hint="eastAsia" w:ascii="黑体" w:eastAsia="黑体"/>
          <w:b w:val="0"/>
        </w:rPr>
        <w:t>二、</w:t>
      </w:r>
      <w:r>
        <w:rPr>
          <w:rFonts w:hint="eastAsia" w:ascii="黑体" w:hAnsi="黑体" w:eastAsia="黑体"/>
          <w:b w:val="0"/>
        </w:rPr>
        <w:t>机</w:t>
      </w:r>
      <w:r>
        <w:rPr>
          <w:rStyle w:val="32"/>
          <w:rFonts w:hint="eastAsia" w:ascii="黑体" w:hAnsi="黑体" w:eastAsia="黑体"/>
          <w:b w:val="0"/>
          <w:bCs w:val="0"/>
        </w:rPr>
        <w:t>构设置</w:t>
      </w:r>
      <w:bookmarkEnd w:id="14"/>
      <w:bookmarkEnd w:id="15"/>
    </w:p>
    <w:p w14:paraId="0983E37D">
      <w:pPr>
        <w:keepNext/>
        <w:keepLines/>
        <w:pageBreakBefore w:val="0"/>
        <w:widowControl w:val="0"/>
        <w:kinsoku/>
        <w:wordWrap/>
        <w:overflowPunct/>
        <w:topLinePunct w:val="0"/>
        <w:autoSpaceDE/>
        <w:autoSpaceDN/>
        <w:bidi w:val="0"/>
        <w:adjustRightInd/>
        <w:snapToGrid/>
        <w:spacing w:beforeLines="0" w:afterLines="0" w:line="560" w:lineRule="exact"/>
        <w:ind w:firstLine="641"/>
        <w:jc w:val="both"/>
        <w:textAlignment w:val="auto"/>
        <w:rPr>
          <w:rFonts w:hint="eastAsia" w:ascii="仿宋_GB2312" w:hAnsi="仿宋_GB2312" w:eastAsia="仿宋_GB2312" w:cs="Times New Roman"/>
          <w:color w:val="000000"/>
          <w:kern w:val="2"/>
          <w:sz w:val="32"/>
          <w:lang w:val="zh-CN"/>
        </w:rPr>
      </w:pPr>
      <w:r>
        <w:rPr>
          <w:rFonts w:hint="eastAsia" w:ascii="仿宋_GB2312" w:hAnsi="仿宋_GB2312" w:eastAsia="仿宋_GB2312" w:cs="Times New Roman"/>
          <w:color w:val="000000"/>
          <w:kern w:val="2"/>
          <w:sz w:val="32"/>
          <w:lang w:val="zh-CN"/>
        </w:rPr>
        <w:t>峨边彝族自治县五渡镇人民政府下属二级预算单位5个，其中</w:t>
      </w:r>
      <w:r>
        <w:rPr>
          <w:rFonts w:hint="eastAsia" w:ascii="仿宋_GB2312" w:hAnsi="仿宋_GB2312" w:eastAsia="仿宋_GB2312" w:cs="Times New Roman"/>
          <w:color w:val="000000"/>
          <w:kern w:val="2"/>
          <w:sz w:val="32"/>
          <w:lang w:val="zh-CN" w:eastAsia="zh-CN"/>
        </w:rPr>
        <w:t>：</w:t>
      </w:r>
      <w:r>
        <w:rPr>
          <w:rFonts w:hint="eastAsia" w:ascii="仿宋_GB2312" w:hAnsi="仿宋_GB2312" w:eastAsia="仿宋_GB2312" w:cs="Times New Roman"/>
          <w:color w:val="000000"/>
          <w:kern w:val="2"/>
          <w:sz w:val="32"/>
          <w:lang w:val="zh-CN"/>
        </w:rPr>
        <w:t>行政单位</w:t>
      </w:r>
      <w:r>
        <w:rPr>
          <w:rFonts w:hint="eastAsia" w:ascii="仿宋_GB2312" w:hAnsi="仿宋_GB2312" w:eastAsia="仿宋_GB2312" w:cs="Times New Roman"/>
          <w:color w:val="000000"/>
          <w:kern w:val="2"/>
          <w:sz w:val="32"/>
          <w:lang w:val="en-US" w:eastAsia="zh-CN"/>
        </w:rPr>
        <w:t>1</w:t>
      </w:r>
      <w:r>
        <w:rPr>
          <w:rFonts w:hint="eastAsia" w:ascii="仿宋_GB2312" w:hAnsi="仿宋_GB2312" w:eastAsia="仿宋_GB2312" w:cs="Times New Roman"/>
          <w:color w:val="000000"/>
          <w:kern w:val="2"/>
          <w:sz w:val="32"/>
          <w:lang w:val="zh-CN"/>
        </w:rPr>
        <w:t>个，参照公务员法管理的事业单位</w:t>
      </w:r>
      <w:r>
        <w:rPr>
          <w:rFonts w:hint="eastAsia" w:ascii="仿宋_GB2312" w:hAnsi="仿宋_GB2312" w:eastAsia="仿宋_GB2312" w:cs="Times New Roman"/>
          <w:color w:val="000000"/>
          <w:kern w:val="2"/>
          <w:sz w:val="32"/>
          <w:lang w:val="en-US" w:eastAsia="zh-CN"/>
        </w:rPr>
        <w:t>0</w:t>
      </w:r>
      <w:r>
        <w:rPr>
          <w:rFonts w:hint="eastAsia" w:ascii="仿宋_GB2312" w:hAnsi="仿宋_GB2312" w:eastAsia="仿宋_GB2312" w:cs="Times New Roman"/>
          <w:color w:val="000000"/>
          <w:kern w:val="2"/>
          <w:sz w:val="32"/>
          <w:lang w:val="zh-CN"/>
        </w:rPr>
        <w:t>个，其他事业单位</w:t>
      </w:r>
      <w:r>
        <w:rPr>
          <w:rFonts w:hint="eastAsia" w:ascii="仿宋_GB2312" w:hAnsi="仿宋_GB2312" w:eastAsia="仿宋_GB2312" w:cs="Times New Roman"/>
          <w:color w:val="000000"/>
          <w:kern w:val="2"/>
          <w:sz w:val="32"/>
          <w:lang w:val="en-US" w:eastAsia="zh-CN"/>
        </w:rPr>
        <w:t>4</w:t>
      </w:r>
      <w:r>
        <w:rPr>
          <w:rFonts w:hint="eastAsia" w:ascii="仿宋_GB2312" w:hAnsi="仿宋_GB2312" w:eastAsia="仿宋_GB2312" w:cs="Times New Roman"/>
          <w:color w:val="000000"/>
          <w:kern w:val="2"/>
          <w:sz w:val="32"/>
          <w:lang w:val="zh-CN"/>
        </w:rPr>
        <w:t>个。</w:t>
      </w:r>
    </w:p>
    <w:p w14:paraId="482C3908">
      <w:pPr>
        <w:keepNext/>
        <w:keepLines/>
        <w:pageBreakBefore w:val="0"/>
        <w:widowControl w:val="0"/>
        <w:kinsoku/>
        <w:wordWrap/>
        <w:overflowPunct/>
        <w:topLinePunct w:val="0"/>
        <w:autoSpaceDE/>
        <w:autoSpaceDN/>
        <w:bidi w:val="0"/>
        <w:adjustRightInd/>
        <w:snapToGrid/>
        <w:spacing w:beforeLines="0" w:afterLines="0" w:line="560" w:lineRule="exact"/>
        <w:ind w:firstLine="641"/>
        <w:jc w:val="both"/>
        <w:textAlignment w:val="auto"/>
        <w:rPr>
          <w:rFonts w:hint="eastAsia" w:ascii="仿宋_GB2312" w:hAnsi="仿宋_GB2312" w:eastAsia="仿宋_GB2312" w:cs="Times New Roman"/>
          <w:color w:val="000000"/>
          <w:kern w:val="2"/>
          <w:sz w:val="32"/>
          <w:lang w:val="zh-CN" w:eastAsia="zh-CN"/>
        </w:rPr>
      </w:pPr>
      <w:r>
        <w:rPr>
          <w:rFonts w:hint="eastAsia" w:ascii="仿宋_GB2312" w:hAnsi="仿宋_GB2312" w:eastAsia="仿宋_GB2312" w:cs="Times New Roman"/>
          <w:color w:val="000000"/>
          <w:kern w:val="2"/>
          <w:sz w:val="32"/>
          <w:lang w:val="zh-CN"/>
        </w:rPr>
        <w:t>纳入峨边彝族自治县五渡镇人民政府2023年度单位决算编制范围的二级预算单位</w:t>
      </w:r>
      <w:r>
        <w:rPr>
          <w:rFonts w:hint="eastAsia" w:ascii="仿宋_GB2312" w:hAnsi="仿宋_GB2312" w:eastAsia="仿宋_GB2312" w:cs="Times New Roman"/>
          <w:color w:val="000000"/>
          <w:kern w:val="2"/>
          <w:sz w:val="32"/>
          <w:lang w:val="en-US" w:eastAsia="zh-CN"/>
        </w:rPr>
        <w:t>1个。</w:t>
      </w:r>
    </w:p>
    <w:p w14:paraId="50A00CAB">
      <w:pPr>
        <w:pStyle w:val="3"/>
        <w:ind w:right="440"/>
        <w:jc w:val="center"/>
        <w:rPr>
          <w:rStyle w:val="31"/>
          <w:rFonts w:ascii="黑体" w:hAnsi="黑体" w:eastAsia="黑体"/>
          <w:b w:val="0"/>
          <w:bCs/>
        </w:rPr>
      </w:pPr>
      <w:bookmarkStart w:id="16" w:name="_Toc15396602"/>
      <w:bookmarkStart w:id="17" w:name="_Toc15377204"/>
      <w:r>
        <w:rPr>
          <w:rFonts w:hint="eastAsia" w:ascii="黑体" w:hAnsi="黑体" w:eastAsia="黑体"/>
          <w:b w:val="0"/>
        </w:rPr>
        <w:t>第二部分 2023年度</w:t>
      </w:r>
      <w:r>
        <w:rPr>
          <w:rStyle w:val="31"/>
          <w:rFonts w:hint="eastAsia" w:ascii="黑体" w:hAnsi="黑体" w:eastAsia="黑体"/>
          <w:b w:val="0"/>
          <w:bCs/>
          <w:lang w:eastAsia="zh-CN"/>
        </w:rPr>
        <w:t>单位</w:t>
      </w:r>
      <w:r>
        <w:rPr>
          <w:rStyle w:val="31"/>
          <w:rFonts w:hint="eastAsia" w:ascii="黑体" w:hAnsi="黑体" w:eastAsia="黑体"/>
          <w:b w:val="0"/>
          <w:bCs/>
        </w:rPr>
        <w:t>决算情况说明</w:t>
      </w:r>
      <w:bookmarkEnd w:id="16"/>
      <w:bookmarkEnd w:id="17"/>
    </w:p>
    <w:p w14:paraId="6D1DA8F6"/>
    <w:p w14:paraId="0F524337">
      <w:pPr>
        <w:pStyle w:val="30"/>
        <w:numPr>
          <w:ilvl w:val="0"/>
          <w:numId w:val="2"/>
        </w:numPr>
        <w:spacing w:line="600" w:lineRule="exact"/>
        <w:ind w:firstLineChars="0"/>
        <w:outlineLvl w:val="1"/>
        <w:rPr>
          <w:rStyle w:val="32"/>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32"/>
          <w:rFonts w:hint="eastAsia" w:ascii="黑体" w:hAnsi="黑体" w:eastAsia="黑体"/>
          <w:b w:val="0"/>
        </w:rPr>
        <w:t>入支出决算总体情况说明</w:t>
      </w:r>
      <w:bookmarkEnd w:id="18"/>
      <w:bookmarkEnd w:id="19"/>
    </w:p>
    <w:p w14:paraId="4919F40F">
      <w:pPr>
        <w:spacing w:line="600" w:lineRule="exact"/>
        <w:ind w:firstLine="640" w:firstLineChars="200"/>
        <w:jc w:val="left"/>
        <w:rPr>
          <w:rFonts w:ascii="仿宋" w:hAnsi="仿宋" w:eastAsia="仿宋"/>
          <w:sz w:val="32"/>
          <w:szCs w:val="32"/>
        </w:rPr>
      </w:pPr>
      <w:r>
        <w:rPr>
          <w:rFonts w:hint="eastAsia" w:ascii="仿宋" w:hAnsi="仿宋" w:eastAsia="仿宋"/>
          <w:sz w:val="32"/>
          <w:szCs w:val="32"/>
        </w:rPr>
        <w:t>2023年度收、支总计均为</w:t>
      </w:r>
      <w:r>
        <w:rPr>
          <w:rFonts w:hint="eastAsia"/>
          <w:sz w:val="32"/>
          <w:szCs w:val="32"/>
        </w:rPr>
        <w:t>1282.33</w:t>
      </w:r>
      <w:r>
        <w:rPr>
          <w:rFonts w:hint="eastAsia" w:ascii="仿宋" w:hAnsi="仿宋" w:eastAsia="仿宋"/>
          <w:sz w:val="32"/>
          <w:szCs w:val="32"/>
        </w:rPr>
        <w:t>万元</w:t>
      </w:r>
      <w:r>
        <w:rPr>
          <w:rFonts w:hint="eastAsia"/>
          <w:sz w:val="32"/>
          <w:szCs w:val="32"/>
        </w:rPr>
        <w:t>。</w:t>
      </w:r>
      <w:r>
        <w:rPr>
          <w:rFonts w:hint="eastAsia" w:ascii="仿宋" w:hAnsi="仿宋" w:eastAsia="仿宋"/>
          <w:sz w:val="32"/>
          <w:szCs w:val="32"/>
        </w:rPr>
        <w:t>与2022年度相比，收、支总计各增加</w:t>
      </w:r>
      <w:r>
        <w:rPr>
          <w:rFonts w:hint="eastAsia" w:ascii="仿宋" w:hAnsi="仿宋" w:eastAsia="仿宋"/>
          <w:sz w:val="32"/>
          <w:szCs w:val="32"/>
          <w:lang w:val="en-US" w:eastAsia="zh-CN"/>
        </w:rPr>
        <w:t>24.74</w:t>
      </w:r>
      <w:r>
        <w:rPr>
          <w:rFonts w:hint="eastAsia" w:ascii="仿宋" w:hAnsi="仿宋" w:eastAsia="仿宋"/>
          <w:sz w:val="32"/>
          <w:szCs w:val="32"/>
        </w:rPr>
        <w:t>万元，增长</w:t>
      </w:r>
      <w:r>
        <w:rPr>
          <w:rFonts w:hint="eastAsia" w:ascii="仿宋" w:hAnsi="仿宋" w:eastAsia="仿宋"/>
          <w:sz w:val="32"/>
          <w:szCs w:val="32"/>
          <w:lang w:val="en-US" w:eastAsia="zh-CN"/>
        </w:rPr>
        <w:t>1.9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单位项目增加，支出增加</w:t>
      </w:r>
      <w:r>
        <w:rPr>
          <w:rFonts w:hint="eastAsia" w:ascii="仿宋" w:hAnsi="仿宋" w:eastAsia="仿宋"/>
          <w:sz w:val="32"/>
          <w:szCs w:val="32"/>
        </w:rPr>
        <w:t>。</w:t>
      </w:r>
    </w:p>
    <w:p w14:paraId="2639384D">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169BF6DC">
      <w:pPr>
        <w:spacing w:line="600" w:lineRule="exact"/>
        <w:ind w:firstLine="420" w:firstLineChars="200"/>
        <w:jc w:val="left"/>
        <w:rPr>
          <w:rFonts w:ascii="仿宋_GB2312" w:eastAsia="仿宋_GB2312"/>
          <w:sz w:val="32"/>
          <w:szCs w:val="32"/>
        </w:rPr>
      </w:pPr>
      <w:r>
        <w:drawing>
          <wp:anchor distT="0" distB="0" distL="114300" distR="114300" simplePos="0" relativeHeight="251659264" behindDoc="1" locked="0" layoutInCell="1" allowOverlap="1">
            <wp:simplePos x="0" y="0"/>
            <wp:positionH relativeFrom="column">
              <wp:posOffset>426085</wp:posOffset>
            </wp:positionH>
            <wp:positionV relativeFrom="paragraph">
              <wp:posOffset>83820</wp:posOffset>
            </wp:positionV>
            <wp:extent cx="4572000" cy="2743200"/>
            <wp:effectExtent l="4445" t="4445" r="14605" b="14605"/>
            <wp:wrapTight wrapText="bothSides">
              <wp:wrapPolygon>
                <wp:start x="-21" y="-35"/>
                <wp:lineTo x="-21" y="21565"/>
                <wp:lineTo x="21579" y="21565"/>
                <wp:lineTo x="21579" y="-35"/>
                <wp:lineTo x="-21" y="-35"/>
              </wp:wrapPolygon>
            </wp:wrapTight>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6F74C5DA">
      <w:pPr>
        <w:pStyle w:val="30"/>
        <w:numPr>
          <w:ilvl w:val="0"/>
          <w:numId w:val="2"/>
        </w:numPr>
        <w:spacing w:line="600" w:lineRule="exact"/>
        <w:ind w:firstLineChars="0"/>
        <w:outlineLvl w:val="1"/>
        <w:rPr>
          <w:rStyle w:val="32"/>
          <w:rFonts w:ascii="黑体" w:hAnsi="黑体" w:eastAsia="黑体"/>
          <w:b w:val="0"/>
        </w:rPr>
      </w:pPr>
      <w:bookmarkStart w:id="20" w:name="_Toc15396604"/>
      <w:bookmarkStart w:id="21" w:name="_Toc15377206"/>
      <w:r>
        <w:rPr>
          <w:rFonts w:hint="eastAsia" w:ascii="黑体" w:hAnsi="黑体" w:eastAsia="黑体"/>
          <w:sz w:val="32"/>
          <w:szCs w:val="32"/>
        </w:rPr>
        <w:t>收</w:t>
      </w:r>
      <w:r>
        <w:rPr>
          <w:rStyle w:val="32"/>
          <w:rFonts w:hint="eastAsia" w:ascii="黑体" w:hAnsi="黑体" w:eastAsia="黑体"/>
          <w:b w:val="0"/>
        </w:rPr>
        <w:t>入决算情况说明</w:t>
      </w:r>
      <w:bookmarkEnd w:id="20"/>
      <w:bookmarkEnd w:id="21"/>
    </w:p>
    <w:p w14:paraId="69C12EB5">
      <w:pPr>
        <w:spacing w:line="600" w:lineRule="exact"/>
        <w:ind w:firstLine="640" w:firstLineChars="200"/>
        <w:jc w:val="left"/>
        <w:outlineLvl w:val="1"/>
        <w:rPr>
          <w:rFonts w:ascii="仿宋" w:hAnsi="仿宋" w:eastAsia="仿宋"/>
          <w:sz w:val="32"/>
          <w:szCs w:val="32"/>
        </w:rPr>
      </w:pPr>
      <w:r>
        <w:rPr>
          <w:rFonts w:hint="eastAsia" w:ascii="仿宋" w:hAnsi="仿宋" w:eastAsia="仿宋"/>
          <w:sz w:val="32"/>
          <w:szCs w:val="32"/>
        </w:rPr>
        <w:t>2023年度本年收入合计</w:t>
      </w:r>
      <w:r>
        <w:rPr>
          <w:sz w:val="32"/>
          <w:szCs w:val="32"/>
        </w:rPr>
        <w:t>1282.33</w:t>
      </w:r>
      <w:r>
        <w:rPr>
          <w:rFonts w:hint="eastAsia" w:ascii="仿宋" w:hAnsi="仿宋" w:eastAsia="仿宋"/>
          <w:sz w:val="32"/>
          <w:szCs w:val="32"/>
        </w:rPr>
        <w:t>万元，其中：一般公共预算财政拨款收入</w:t>
      </w:r>
      <w:r>
        <w:rPr>
          <w:sz w:val="32"/>
          <w:szCs w:val="32"/>
        </w:rPr>
        <w:t>1232.84</w:t>
      </w:r>
      <w:r>
        <w:rPr>
          <w:rFonts w:hint="eastAsia" w:ascii="仿宋" w:hAnsi="仿宋" w:eastAsia="仿宋"/>
          <w:sz w:val="32"/>
          <w:szCs w:val="32"/>
        </w:rPr>
        <w:t>万元，占</w:t>
      </w:r>
      <w:r>
        <w:rPr>
          <w:sz w:val="32"/>
          <w:szCs w:val="32"/>
        </w:rPr>
        <w:t>96.14</w:t>
      </w:r>
      <w:r>
        <w:rPr>
          <w:rFonts w:ascii="仿宋" w:hAnsi="仿宋" w:eastAsia="仿宋"/>
          <w:sz w:val="32"/>
          <w:szCs w:val="32"/>
        </w:rPr>
        <w:t>%</w:t>
      </w:r>
      <w:r>
        <w:rPr>
          <w:rFonts w:hint="eastAsia" w:ascii="仿宋" w:hAnsi="仿宋" w:eastAsia="仿宋"/>
          <w:sz w:val="32"/>
          <w:szCs w:val="32"/>
        </w:rPr>
        <w:t>；政府性基金预算财政拨款收入</w:t>
      </w:r>
      <w:r>
        <w:rPr>
          <w:sz w:val="32"/>
          <w:szCs w:val="32"/>
        </w:rPr>
        <w:t>49.48</w:t>
      </w:r>
      <w:r>
        <w:rPr>
          <w:rFonts w:hint="eastAsia" w:ascii="仿宋" w:hAnsi="仿宋" w:eastAsia="仿宋"/>
          <w:sz w:val="32"/>
          <w:szCs w:val="32"/>
        </w:rPr>
        <w:t>万元，占</w:t>
      </w:r>
      <w:r>
        <w:rPr>
          <w:sz w:val="32"/>
          <w:szCs w:val="32"/>
        </w:rPr>
        <w:t>3.85</w:t>
      </w:r>
      <w:r>
        <w:rPr>
          <w:rFonts w:ascii="仿宋" w:hAnsi="仿宋" w:eastAsia="仿宋"/>
          <w:sz w:val="32"/>
          <w:szCs w:val="32"/>
        </w:rPr>
        <w:t>%</w:t>
      </w:r>
      <w:r>
        <w:rPr>
          <w:rFonts w:hint="eastAsia" w:ascii="仿宋" w:hAnsi="仿宋" w:eastAsia="仿宋"/>
          <w:sz w:val="32"/>
          <w:szCs w:val="32"/>
        </w:rPr>
        <w:t>；国有资本经营预算财政拨款收入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；上级补助收入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；事业收入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；附属单位上缴收入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；其他收入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p>
    <w:p w14:paraId="4C173A9C">
      <w:pPr>
        <w:spacing w:line="600" w:lineRule="exact"/>
        <w:ind w:firstLine="643" w:firstLineChars="200"/>
        <w:outlineLvl w:val="1"/>
        <w:rPr>
          <w:rFonts w:ascii="仿宋" w:hAnsi="仿宋" w:eastAsia="仿宋"/>
          <w:sz w:val="32"/>
          <w:szCs w:val="32"/>
        </w:rPr>
      </w:pPr>
      <w:r>
        <w:rPr>
          <w:rFonts w:hint="eastAsia" w:ascii="仿宋" w:hAnsi="仿宋" w:eastAsia="仿宋"/>
          <w:b/>
          <w:sz w:val="32"/>
          <w:szCs w:val="32"/>
        </w:rPr>
        <w:t>（注：数据来源于财决</w:t>
      </w:r>
      <w:r>
        <w:rPr>
          <w:rFonts w:ascii="仿宋" w:hAnsi="仿宋" w:eastAsia="仿宋"/>
          <w:b/>
          <w:sz w:val="32"/>
          <w:szCs w:val="32"/>
        </w:rPr>
        <w:t>01表</w:t>
      </w:r>
      <w:r>
        <w:rPr>
          <w:rFonts w:hint="eastAsia" w:ascii="仿宋" w:hAnsi="仿宋" w:eastAsia="仿宋"/>
          <w:b/>
          <w:sz w:val="32"/>
          <w:szCs w:val="32"/>
        </w:rPr>
        <w:t>，仅罗列本</w:t>
      </w:r>
      <w:r>
        <w:rPr>
          <w:rFonts w:hint="eastAsia" w:ascii="仿宋" w:hAnsi="仿宋" w:eastAsia="仿宋"/>
          <w:b/>
          <w:sz w:val="32"/>
          <w:szCs w:val="32"/>
          <w:lang w:eastAsia="zh-CN"/>
        </w:rPr>
        <w:t>单位</w:t>
      </w:r>
      <w:r>
        <w:rPr>
          <w:rFonts w:hint="eastAsia" w:ascii="仿宋" w:hAnsi="仿宋" w:eastAsia="仿宋"/>
          <w:b/>
          <w:sz w:val="32"/>
          <w:szCs w:val="32"/>
        </w:rPr>
        <w:t>涉及的收入</w:t>
      </w:r>
      <w:r>
        <w:rPr>
          <w:rFonts w:ascii="仿宋" w:hAnsi="仿宋" w:eastAsia="仿宋"/>
          <w:b/>
          <w:sz w:val="32"/>
          <w:szCs w:val="32"/>
        </w:rPr>
        <w:t>）</w:t>
      </w:r>
    </w:p>
    <w:p w14:paraId="099A013D">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（图2：收入决算结构图）（饼状图）</w:t>
      </w:r>
    </w:p>
    <w:p w14:paraId="4E8272F8">
      <w:pPr>
        <w:pStyle w:val="17"/>
      </w:pPr>
      <w:r>
        <w:drawing>
          <wp:inline distT="0" distB="0" distL="114300" distR="114300">
            <wp:extent cx="4572000" cy="2743200"/>
            <wp:effectExtent l="4445" t="4445" r="14605" b="14605"/>
            <wp:docPr id="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60D9FD">
      <w:pPr>
        <w:pStyle w:val="30"/>
        <w:numPr>
          <w:ilvl w:val="0"/>
          <w:numId w:val="2"/>
        </w:numPr>
        <w:spacing w:line="600" w:lineRule="exact"/>
        <w:ind w:firstLineChars="0"/>
        <w:outlineLvl w:val="1"/>
        <w:rPr>
          <w:rStyle w:val="32"/>
          <w:rFonts w:ascii="黑体" w:hAnsi="黑体" w:eastAsia="黑体"/>
          <w:b w:val="0"/>
        </w:rPr>
      </w:pPr>
      <w:bookmarkStart w:id="22" w:name="_Toc15377207"/>
      <w:bookmarkStart w:id="23" w:name="_Toc15396605"/>
      <w:r>
        <w:rPr>
          <w:rFonts w:hint="eastAsia" w:ascii="黑体" w:hAnsi="黑体" w:eastAsia="黑体"/>
          <w:sz w:val="32"/>
          <w:szCs w:val="32"/>
        </w:rPr>
        <w:t>支</w:t>
      </w:r>
      <w:r>
        <w:rPr>
          <w:rStyle w:val="32"/>
          <w:rFonts w:hint="eastAsia" w:ascii="黑体" w:hAnsi="黑体" w:eastAsia="黑体"/>
          <w:b w:val="0"/>
        </w:rPr>
        <w:t>出决算情况说明</w:t>
      </w:r>
      <w:bookmarkEnd w:id="22"/>
      <w:bookmarkEnd w:id="23"/>
    </w:p>
    <w:p w14:paraId="55B6AA86">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2023年度本年支出合计</w:t>
      </w:r>
      <w:r>
        <w:rPr>
          <w:sz w:val="32"/>
          <w:szCs w:val="32"/>
        </w:rPr>
        <w:t>1282.33</w:t>
      </w:r>
      <w:r>
        <w:rPr>
          <w:rFonts w:hint="eastAsia" w:ascii="仿宋" w:hAnsi="仿宋" w:eastAsia="仿宋"/>
          <w:sz w:val="32"/>
          <w:szCs w:val="32"/>
        </w:rPr>
        <w:t>万元，其中：基本支出</w:t>
      </w:r>
      <w:r>
        <w:rPr>
          <w:sz w:val="32"/>
          <w:szCs w:val="32"/>
        </w:rPr>
        <w:t>1008.65</w:t>
      </w:r>
      <w:r>
        <w:rPr>
          <w:rFonts w:hint="eastAsia" w:ascii="仿宋" w:hAnsi="仿宋" w:eastAsia="仿宋"/>
          <w:sz w:val="32"/>
          <w:szCs w:val="32"/>
        </w:rPr>
        <w:t>万元，占</w:t>
      </w:r>
      <w:r>
        <w:rPr>
          <w:sz w:val="32"/>
          <w:szCs w:val="32"/>
        </w:rPr>
        <w:t>78.65</w:t>
      </w:r>
      <w:r>
        <w:rPr>
          <w:rFonts w:ascii="仿宋" w:hAnsi="仿宋" w:eastAsia="仿宋"/>
          <w:sz w:val="32"/>
          <w:szCs w:val="32"/>
        </w:rPr>
        <w:t>%</w:t>
      </w:r>
      <w:r>
        <w:rPr>
          <w:rFonts w:hint="eastAsia" w:ascii="仿宋" w:hAnsi="仿宋" w:eastAsia="仿宋"/>
          <w:sz w:val="32"/>
          <w:szCs w:val="32"/>
        </w:rPr>
        <w:t>；项目支出</w:t>
      </w:r>
      <w:r>
        <w:rPr>
          <w:sz w:val="32"/>
          <w:szCs w:val="32"/>
        </w:rPr>
        <w:t>273.68</w:t>
      </w:r>
      <w:r>
        <w:rPr>
          <w:rFonts w:hint="eastAsia" w:ascii="仿宋" w:hAnsi="仿宋" w:eastAsia="仿宋"/>
          <w:sz w:val="32"/>
          <w:szCs w:val="32"/>
        </w:rPr>
        <w:t>万元，占</w:t>
      </w:r>
      <w:r>
        <w:rPr>
          <w:sz w:val="32"/>
          <w:szCs w:val="32"/>
        </w:rPr>
        <w:t>21.34</w:t>
      </w:r>
      <w:r>
        <w:rPr>
          <w:rFonts w:ascii="仿宋" w:hAnsi="仿宋" w:eastAsia="仿宋"/>
          <w:sz w:val="32"/>
          <w:szCs w:val="32"/>
        </w:rPr>
        <w:t>%</w:t>
      </w:r>
      <w:r>
        <w:rPr>
          <w:rFonts w:hint="eastAsia" w:ascii="仿宋" w:hAnsi="仿宋" w:eastAsia="仿宋"/>
          <w:sz w:val="32"/>
          <w:szCs w:val="32"/>
        </w:rPr>
        <w:t>；上缴上级支出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；对附属单位补助支出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p>
    <w:p w14:paraId="5688D27A">
      <w:pPr>
        <w:spacing w:line="600" w:lineRule="exact"/>
        <w:ind w:firstLine="643" w:firstLineChars="200"/>
        <w:outlineLvl w:val="1"/>
        <w:rPr>
          <w:rFonts w:ascii="仿宋" w:hAnsi="仿宋" w:eastAsia="仿宋"/>
          <w:sz w:val="32"/>
          <w:szCs w:val="32"/>
          <w:shd w:val="pct10" w:color="auto" w:fill="FFFFFF"/>
        </w:rPr>
      </w:pPr>
      <w:r>
        <w:rPr>
          <w:rFonts w:hint="eastAsia" w:ascii="仿宋" w:hAnsi="仿宋" w:eastAsia="仿宋"/>
          <w:b/>
          <w:sz w:val="32"/>
          <w:szCs w:val="32"/>
        </w:rPr>
        <w:t>（注：数据来源于财决</w:t>
      </w:r>
      <w:r>
        <w:rPr>
          <w:rFonts w:ascii="仿宋" w:hAnsi="仿宋" w:eastAsia="仿宋"/>
          <w:b/>
          <w:sz w:val="32"/>
          <w:szCs w:val="32"/>
        </w:rPr>
        <w:t>04</w:t>
      </w:r>
      <w:r>
        <w:rPr>
          <w:rFonts w:hint="eastAsia" w:ascii="仿宋" w:hAnsi="仿宋" w:eastAsia="仿宋"/>
          <w:b/>
          <w:sz w:val="32"/>
          <w:szCs w:val="32"/>
        </w:rPr>
        <w:t>表，仅罗列本</w:t>
      </w:r>
      <w:r>
        <w:rPr>
          <w:rFonts w:hint="eastAsia" w:ascii="仿宋" w:hAnsi="仿宋" w:eastAsia="仿宋"/>
          <w:b/>
          <w:sz w:val="32"/>
          <w:szCs w:val="32"/>
          <w:lang w:eastAsia="zh-CN"/>
        </w:rPr>
        <w:t>单位</w:t>
      </w:r>
      <w:r>
        <w:rPr>
          <w:rFonts w:hint="eastAsia" w:ascii="仿宋" w:hAnsi="仿宋" w:eastAsia="仿宋"/>
          <w:b/>
          <w:sz w:val="32"/>
          <w:szCs w:val="32"/>
        </w:rPr>
        <w:t>涉及的支出）</w:t>
      </w:r>
    </w:p>
    <w:p w14:paraId="7DA64BB8">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（图3：支出决算结构图）（饼状图）</w:t>
      </w:r>
    </w:p>
    <w:p w14:paraId="00440E7C">
      <w:pPr>
        <w:pStyle w:val="17"/>
        <w:rPr>
          <w:rFonts w:ascii="仿宋_GB2312" w:eastAsia="仿宋_GB2312"/>
          <w:sz w:val="32"/>
          <w:szCs w:val="32"/>
        </w:rPr>
      </w:pPr>
      <w:r>
        <w:drawing>
          <wp:inline distT="0" distB="0" distL="114300" distR="114300">
            <wp:extent cx="4572000" cy="2743200"/>
            <wp:effectExtent l="4445" t="4445" r="1460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226F0F">
      <w:pPr>
        <w:spacing w:line="600" w:lineRule="exact"/>
        <w:ind w:firstLine="640" w:firstLineChars="200"/>
        <w:outlineLvl w:val="1"/>
        <w:rPr>
          <w:rStyle w:val="32"/>
          <w:rFonts w:ascii="黑体" w:hAnsi="黑体" w:eastAsia="黑体"/>
          <w:b w:val="0"/>
        </w:rPr>
      </w:pPr>
      <w:bookmarkStart w:id="24" w:name="_Toc15377208"/>
      <w:bookmarkStart w:id="25" w:name="_Toc15396606"/>
      <w:r>
        <w:rPr>
          <w:rFonts w:hint="eastAsia" w:ascii="黑体" w:hAnsi="黑体" w:eastAsia="黑体"/>
          <w:sz w:val="32"/>
          <w:szCs w:val="32"/>
        </w:rPr>
        <w:t>四、财</w:t>
      </w:r>
      <w:r>
        <w:rPr>
          <w:rStyle w:val="32"/>
          <w:rFonts w:hint="eastAsia" w:ascii="黑体" w:hAnsi="黑体" w:eastAsia="黑体"/>
          <w:b w:val="0"/>
        </w:rPr>
        <w:t>政拨款收入支出决算总体情况说明</w:t>
      </w:r>
      <w:bookmarkEnd w:id="24"/>
      <w:bookmarkEnd w:id="25"/>
    </w:p>
    <w:p w14:paraId="692EE6DD">
      <w:pPr>
        <w:spacing w:line="600" w:lineRule="exact"/>
        <w:ind w:firstLine="640"/>
        <w:rPr>
          <w:rFonts w:ascii="仿宋" w:hAnsi="仿宋" w:eastAsia="仿宋"/>
          <w:sz w:val="32"/>
          <w:szCs w:val="32"/>
        </w:rPr>
      </w:pPr>
      <w:r>
        <w:rPr>
          <w:rFonts w:hint="eastAsia" w:ascii="仿宋" w:hAnsi="仿宋" w:eastAsia="仿宋"/>
          <w:sz w:val="32"/>
          <w:szCs w:val="32"/>
        </w:rPr>
        <w:t>2023年度财政拨款收、支总计均为</w:t>
      </w:r>
      <w:r>
        <w:rPr>
          <w:sz w:val="32"/>
          <w:szCs w:val="32"/>
        </w:rPr>
        <w:t>1282.33</w:t>
      </w:r>
      <w:r>
        <w:rPr>
          <w:rFonts w:hint="eastAsia" w:ascii="仿宋" w:hAnsi="仿宋" w:eastAsia="仿宋"/>
          <w:sz w:val="32"/>
          <w:szCs w:val="32"/>
        </w:rPr>
        <w:t>万元。与2022年度相比，财政拨款收、支总计各增加</w:t>
      </w:r>
      <w:r>
        <w:rPr>
          <w:rFonts w:hint="eastAsia" w:ascii="仿宋" w:hAnsi="仿宋" w:eastAsia="仿宋"/>
          <w:sz w:val="32"/>
          <w:szCs w:val="32"/>
          <w:lang w:val="en-US" w:eastAsia="zh-CN"/>
        </w:rPr>
        <w:t>24.74</w:t>
      </w:r>
      <w:r>
        <w:rPr>
          <w:rFonts w:hint="eastAsia" w:ascii="仿宋" w:hAnsi="仿宋" w:eastAsia="仿宋"/>
          <w:sz w:val="32"/>
          <w:szCs w:val="32"/>
        </w:rPr>
        <w:t>万元，增长</w:t>
      </w:r>
      <w:r>
        <w:rPr>
          <w:rFonts w:hint="eastAsia" w:ascii="仿宋" w:hAnsi="仿宋" w:eastAsia="仿宋"/>
          <w:sz w:val="32"/>
          <w:szCs w:val="32"/>
          <w:lang w:val="en-US" w:eastAsia="zh-CN"/>
        </w:rPr>
        <w:t>1.9</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单位项目增加，支出增加。</w:t>
      </w:r>
    </w:p>
    <w:p w14:paraId="2968211D">
      <w:pPr>
        <w:spacing w:line="600" w:lineRule="exact"/>
        <w:ind w:firstLine="640"/>
        <w:rPr>
          <w:rFonts w:ascii="仿宋" w:hAnsi="仿宋" w:eastAsia="仿宋"/>
          <w:sz w:val="32"/>
          <w:szCs w:val="32"/>
        </w:rPr>
      </w:pPr>
      <w:r>
        <w:rPr>
          <w:rFonts w:hint="eastAsia" w:ascii="仿宋" w:hAnsi="仿宋" w:eastAsia="仿宋"/>
          <w:b/>
          <w:sz w:val="32"/>
          <w:szCs w:val="32"/>
        </w:rPr>
        <w:t>（注：数据来源于财决</w:t>
      </w:r>
      <w:r>
        <w:rPr>
          <w:rFonts w:ascii="仿宋" w:hAnsi="仿宋" w:eastAsia="仿宋"/>
          <w:b/>
          <w:sz w:val="32"/>
          <w:szCs w:val="32"/>
        </w:rPr>
        <w:t>01-1</w:t>
      </w:r>
      <w:r>
        <w:rPr>
          <w:rFonts w:hint="eastAsia" w:ascii="仿宋" w:hAnsi="仿宋" w:eastAsia="仿宋"/>
          <w:b/>
          <w:sz w:val="32"/>
          <w:szCs w:val="32"/>
        </w:rPr>
        <w:t>表</w:t>
      </w:r>
      <w:r>
        <w:rPr>
          <w:rFonts w:ascii="仿宋" w:hAnsi="仿宋" w:eastAsia="仿宋"/>
          <w:b/>
          <w:sz w:val="32"/>
          <w:szCs w:val="32"/>
        </w:rPr>
        <w:t>）</w:t>
      </w:r>
    </w:p>
    <w:p w14:paraId="40D15F47">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（图4：财政拨款收、支决算总计变动情况）（柱状图）</w:t>
      </w:r>
    </w:p>
    <w:p w14:paraId="7ADB58E6">
      <w:pPr>
        <w:spacing w:line="600" w:lineRule="exact"/>
        <w:ind w:firstLine="640"/>
        <w:rPr>
          <w:rFonts w:ascii="仿宋" w:hAnsi="仿宋" w:eastAsia="仿宋"/>
          <w:b/>
          <w:sz w:val="32"/>
          <w:szCs w:val="32"/>
        </w:rPr>
      </w:pPr>
      <w:r>
        <w:drawing>
          <wp:anchor distT="0" distB="0" distL="114300" distR="114300" simplePos="0" relativeHeight="251660288" behindDoc="1" locked="0" layoutInCell="1" allowOverlap="1">
            <wp:simplePos x="0" y="0"/>
            <wp:positionH relativeFrom="column">
              <wp:posOffset>389255</wp:posOffset>
            </wp:positionH>
            <wp:positionV relativeFrom="paragraph">
              <wp:posOffset>237490</wp:posOffset>
            </wp:positionV>
            <wp:extent cx="4572000" cy="2234565"/>
            <wp:effectExtent l="4445" t="4445" r="14605" b="8890"/>
            <wp:wrapTight wrapText="bothSides">
              <wp:wrapPolygon>
                <wp:start x="-21" y="-43"/>
                <wp:lineTo x="-21" y="21502"/>
                <wp:lineTo x="21579" y="21502"/>
                <wp:lineTo x="21579" y="-43"/>
                <wp:lineTo x="-21" y="-43"/>
              </wp:wrapPolygon>
            </wp:wrapTight>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29ED445">
      <w:pPr>
        <w:spacing w:line="600" w:lineRule="exact"/>
        <w:ind w:firstLine="640" w:firstLineChars="200"/>
        <w:outlineLvl w:val="1"/>
        <w:rPr>
          <w:rStyle w:val="32"/>
          <w:rFonts w:ascii="黑体" w:hAnsi="黑体" w:eastAsia="黑体"/>
          <w:b w:val="0"/>
        </w:rPr>
      </w:pPr>
      <w:bookmarkStart w:id="26" w:name="_Toc15377209"/>
      <w:bookmarkStart w:id="27" w:name="_Toc15396607"/>
      <w:r>
        <w:rPr>
          <w:rFonts w:hint="eastAsia" w:ascii="黑体" w:hAnsi="黑体" w:eastAsia="黑体"/>
          <w:sz w:val="32"/>
          <w:szCs w:val="32"/>
        </w:rPr>
        <w:t>五、</w:t>
      </w:r>
      <w:r>
        <w:rPr>
          <w:rFonts w:hint="eastAsia" w:ascii="黑体" w:hAnsi="黑体" w:eastAsia="黑体"/>
          <w:b/>
          <w:sz w:val="32"/>
          <w:szCs w:val="32"/>
        </w:rPr>
        <w:t>一</w:t>
      </w:r>
      <w:r>
        <w:rPr>
          <w:rStyle w:val="32"/>
          <w:rFonts w:hint="eastAsia" w:ascii="黑体" w:hAnsi="黑体" w:eastAsia="黑体"/>
          <w:b w:val="0"/>
        </w:rPr>
        <w:t>般公共预算财政拨款支出决算情况说明</w:t>
      </w:r>
      <w:bookmarkEnd w:id="26"/>
      <w:bookmarkEnd w:id="27"/>
    </w:p>
    <w:p w14:paraId="19542285">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331B8810">
      <w:pPr>
        <w:keepNext/>
        <w:keepLines/>
        <w:spacing w:beforeLines="0" w:afterLines="0" w:line="576" w:lineRule="exact"/>
        <w:ind w:firstLine="640"/>
        <w:jc w:val="both"/>
        <w:rPr>
          <w:rFonts w:ascii="仿宋" w:hAnsi="仿宋" w:eastAsia="仿宋"/>
          <w:sz w:val="32"/>
          <w:szCs w:val="32"/>
        </w:rPr>
      </w:pPr>
      <w:r>
        <w:rPr>
          <w:rFonts w:hint="eastAsia" w:ascii="仿宋" w:hAnsi="仿宋" w:eastAsia="仿宋"/>
          <w:sz w:val="32"/>
          <w:szCs w:val="32"/>
        </w:rPr>
        <w:t>2023年度一般公共预算财政拨款支出</w:t>
      </w:r>
      <w:r>
        <w:rPr>
          <w:sz w:val="32"/>
          <w:szCs w:val="32"/>
        </w:rPr>
        <w:t>1232.84</w:t>
      </w:r>
      <w:r>
        <w:rPr>
          <w:rFonts w:hint="eastAsia" w:ascii="仿宋" w:hAnsi="仿宋" w:eastAsia="仿宋"/>
          <w:sz w:val="32"/>
          <w:szCs w:val="32"/>
        </w:rPr>
        <w:t>万元，占本年支出合计的</w:t>
      </w:r>
      <w:r>
        <w:rPr>
          <w:sz w:val="32"/>
          <w:szCs w:val="32"/>
        </w:rPr>
        <w:t>96.14</w:t>
      </w:r>
      <w:r>
        <w:rPr>
          <w:rFonts w:ascii="仿宋" w:hAnsi="仿宋" w:eastAsia="仿宋"/>
          <w:sz w:val="32"/>
          <w:szCs w:val="32"/>
        </w:rPr>
        <w:t>%</w:t>
      </w:r>
      <w:r>
        <w:rPr>
          <w:rFonts w:hint="eastAsia" w:ascii="仿宋" w:hAnsi="仿宋" w:eastAsia="仿宋"/>
          <w:sz w:val="32"/>
          <w:szCs w:val="32"/>
        </w:rPr>
        <w:t>。与2022年度相比，一般公共预算财政拨款支出增加</w:t>
      </w:r>
      <w:r>
        <w:rPr>
          <w:rFonts w:hint="eastAsia" w:ascii="仿宋" w:hAnsi="仿宋" w:eastAsia="仿宋"/>
          <w:sz w:val="32"/>
          <w:szCs w:val="32"/>
          <w:lang w:val="en-US" w:eastAsia="zh-CN"/>
        </w:rPr>
        <w:t>63.14</w:t>
      </w:r>
      <w:r>
        <w:rPr>
          <w:rFonts w:hint="eastAsia" w:ascii="仿宋" w:hAnsi="仿宋" w:eastAsia="仿宋"/>
          <w:sz w:val="32"/>
          <w:szCs w:val="32"/>
        </w:rPr>
        <w:t>万元，增长</w:t>
      </w:r>
      <w:r>
        <w:rPr>
          <w:rFonts w:hint="eastAsia" w:ascii="仿宋" w:hAnsi="仿宋" w:eastAsia="仿宋"/>
          <w:sz w:val="32"/>
          <w:szCs w:val="32"/>
          <w:lang w:val="en-US" w:eastAsia="zh-CN"/>
        </w:rPr>
        <w:t>5.3</w:t>
      </w:r>
      <w:r>
        <w:rPr>
          <w:rFonts w:ascii="仿宋" w:hAnsi="仿宋" w:eastAsia="仿宋"/>
          <w:sz w:val="32"/>
          <w:szCs w:val="32"/>
        </w:rPr>
        <w:t>%</w:t>
      </w:r>
      <w:r>
        <w:rPr>
          <w:rFonts w:hint="eastAsia" w:ascii="仿宋" w:hAnsi="仿宋" w:eastAsia="仿宋"/>
          <w:sz w:val="32"/>
          <w:szCs w:val="32"/>
        </w:rPr>
        <w:t>。主要变动原因是</w:t>
      </w:r>
      <w:r>
        <w:rPr>
          <w:rFonts w:hint="eastAsia" w:ascii="仿宋_GB2312" w:hAnsi="仿宋_GB2312" w:eastAsia="仿宋_GB2312"/>
          <w:color w:val="000000"/>
          <w:kern w:val="2"/>
          <w:sz w:val="32"/>
          <w:lang w:val="zh-CN"/>
        </w:rPr>
        <w:t>一般公共预算财政拨款</w:t>
      </w:r>
      <w:r>
        <w:rPr>
          <w:rFonts w:hint="eastAsia" w:ascii="仿宋_GB2312" w:hAnsi="仿宋_GB2312" w:eastAsia="仿宋_GB2312"/>
          <w:color w:val="auto"/>
          <w:kern w:val="2"/>
          <w:sz w:val="32"/>
          <w:lang w:val="zh-CN"/>
        </w:rPr>
        <w:t>增加，经费增加</w:t>
      </w:r>
      <w:r>
        <w:rPr>
          <w:rFonts w:hint="eastAsia" w:ascii="仿宋_GB2312" w:hAnsi="仿宋_GB2312" w:eastAsia="仿宋_GB2312"/>
          <w:color w:val="000000"/>
          <w:kern w:val="2"/>
          <w:sz w:val="32"/>
          <w:lang w:val="zh-CN"/>
        </w:rPr>
        <w:t>。</w:t>
      </w:r>
    </w:p>
    <w:p w14:paraId="6C96B82B">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（图5：一般公共预算财政拨款支出决算变动情况）（柱状图）</w:t>
      </w:r>
    </w:p>
    <w:p w14:paraId="74D91740">
      <w:pPr>
        <w:spacing w:line="600" w:lineRule="exact"/>
        <w:ind w:firstLine="420" w:firstLineChars="200"/>
        <w:rPr>
          <w:rFonts w:ascii="仿宋" w:hAnsi="仿宋" w:eastAsia="仿宋"/>
          <w:sz w:val="32"/>
          <w:szCs w:val="32"/>
        </w:rPr>
      </w:pPr>
      <w:r>
        <w:drawing>
          <wp:anchor distT="0" distB="0" distL="114300" distR="114300" simplePos="0" relativeHeight="251660288" behindDoc="1" locked="0" layoutInCell="1" allowOverlap="1">
            <wp:simplePos x="0" y="0"/>
            <wp:positionH relativeFrom="column">
              <wp:posOffset>448310</wp:posOffset>
            </wp:positionH>
            <wp:positionV relativeFrom="paragraph">
              <wp:posOffset>127635</wp:posOffset>
            </wp:positionV>
            <wp:extent cx="4572000" cy="2743200"/>
            <wp:effectExtent l="4445" t="4445" r="14605" b="14605"/>
            <wp:wrapTight wrapText="bothSides">
              <wp:wrapPolygon>
                <wp:start x="-21" y="-35"/>
                <wp:lineTo x="-21" y="21565"/>
                <wp:lineTo x="21579" y="21565"/>
                <wp:lineTo x="21579" y="-35"/>
                <wp:lineTo x="-21" y="-35"/>
              </wp:wrapPolygon>
            </wp:wrapTight>
            <wp:docPr id="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3E2CAE9F">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14:paraId="51A5FA15">
      <w:pPr>
        <w:spacing w:line="600" w:lineRule="exact"/>
        <w:ind w:firstLine="640"/>
        <w:rPr>
          <w:rFonts w:ascii="仿宋" w:hAnsi="仿宋" w:eastAsia="仿宋"/>
          <w:sz w:val="32"/>
          <w:szCs w:val="32"/>
        </w:rPr>
      </w:pPr>
      <w:r>
        <w:rPr>
          <w:rFonts w:hint="eastAsia" w:ascii="仿宋" w:hAnsi="仿宋" w:eastAsia="仿宋"/>
          <w:sz w:val="32"/>
          <w:szCs w:val="32"/>
        </w:rPr>
        <w:t>2023年度一般公共预算财政拨款支出</w:t>
      </w:r>
      <w:r>
        <w:rPr>
          <w:sz w:val="32"/>
          <w:szCs w:val="32"/>
        </w:rPr>
        <w:t>1232.84</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lang w:val="en-US" w:eastAsia="zh-CN"/>
        </w:rPr>
        <w:t>641.05</w:t>
      </w:r>
      <w:r>
        <w:rPr>
          <w:rFonts w:hint="eastAsia" w:ascii="仿宋" w:hAnsi="仿宋" w:eastAsia="仿宋"/>
          <w:sz w:val="32"/>
          <w:szCs w:val="32"/>
        </w:rPr>
        <w:t>万元，占</w:t>
      </w:r>
      <w:r>
        <w:rPr>
          <w:rFonts w:hint="eastAsia" w:ascii="仿宋" w:hAnsi="仿宋" w:eastAsia="仿宋"/>
          <w:sz w:val="32"/>
          <w:szCs w:val="32"/>
          <w:lang w:val="en-US" w:eastAsia="zh-CN"/>
        </w:rPr>
        <w:t>51.9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lang w:val="en-US" w:eastAsia="zh-CN"/>
        </w:rPr>
        <w:t>135</w:t>
      </w:r>
      <w:r>
        <w:rPr>
          <w:rFonts w:hint="eastAsia" w:ascii="仿宋" w:hAnsi="仿宋" w:eastAsia="仿宋"/>
          <w:sz w:val="32"/>
          <w:szCs w:val="32"/>
        </w:rPr>
        <w:t>万元，占</w:t>
      </w:r>
      <w:r>
        <w:rPr>
          <w:rFonts w:hint="eastAsia" w:ascii="仿宋" w:hAnsi="仿宋" w:eastAsia="仿宋"/>
          <w:sz w:val="32"/>
          <w:szCs w:val="32"/>
          <w:lang w:val="en-US" w:eastAsia="zh-CN"/>
        </w:rPr>
        <w:t>10.9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21.37</w:t>
      </w:r>
      <w:r>
        <w:rPr>
          <w:rFonts w:hint="eastAsia" w:ascii="仿宋" w:hAnsi="仿宋" w:eastAsia="仿宋"/>
          <w:sz w:val="32"/>
          <w:szCs w:val="32"/>
        </w:rPr>
        <w:t>万元，占</w:t>
      </w:r>
      <w:r>
        <w:rPr>
          <w:rFonts w:hint="eastAsia" w:ascii="仿宋" w:hAnsi="仿宋" w:eastAsia="仿宋"/>
          <w:sz w:val="32"/>
          <w:szCs w:val="32"/>
          <w:lang w:val="en-US" w:eastAsia="zh-CN"/>
        </w:rPr>
        <w:t>1.7</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cs="Times New Roman"/>
          <w:b/>
          <w:bCs/>
          <w:sz w:val="32"/>
          <w:szCs w:val="32"/>
          <w:lang w:eastAsia="zh-CN"/>
        </w:rPr>
        <w:t>农林水支出</w:t>
      </w:r>
      <w:r>
        <w:rPr>
          <w:rFonts w:hint="eastAsia" w:ascii="仿宋" w:hAnsi="仿宋" w:eastAsia="仿宋" w:cs="Times New Roman"/>
          <w:sz w:val="32"/>
          <w:szCs w:val="32"/>
          <w:lang w:val="en-US" w:eastAsia="zh-CN"/>
        </w:rPr>
        <w:t>375.32万元，占30.4%；</w:t>
      </w:r>
      <w:r>
        <w:rPr>
          <w:rFonts w:hint="eastAsia" w:ascii="仿宋" w:hAnsi="仿宋" w:eastAsia="仿宋" w:cs="Times New Roman"/>
          <w:b/>
          <w:bCs/>
          <w:sz w:val="32"/>
          <w:szCs w:val="32"/>
          <w:lang w:val="en-US" w:eastAsia="zh-CN"/>
        </w:rPr>
        <w:t>自然资源海洋气象等支出</w:t>
      </w:r>
      <w:r>
        <w:rPr>
          <w:rFonts w:hint="eastAsia" w:ascii="仿宋" w:hAnsi="仿宋" w:eastAsia="仿宋" w:cs="Times New Roman"/>
          <w:sz w:val="32"/>
          <w:szCs w:val="32"/>
          <w:lang w:val="en-US" w:eastAsia="zh-CN"/>
        </w:rPr>
        <w:t>4.5万元，占0.3%；</w:t>
      </w:r>
      <w:r>
        <w:rPr>
          <w:rFonts w:hint="eastAsia" w:ascii="仿宋" w:hAnsi="仿宋" w:eastAsia="仿宋"/>
          <w:b/>
          <w:bCs/>
          <w:sz w:val="32"/>
          <w:szCs w:val="32"/>
        </w:rPr>
        <w:t>住房保障支出</w:t>
      </w:r>
      <w:r>
        <w:rPr>
          <w:rFonts w:hint="eastAsia" w:ascii="仿宋" w:hAnsi="仿宋" w:eastAsia="仿宋"/>
          <w:sz w:val="32"/>
          <w:szCs w:val="32"/>
          <w:lang w:val="en-US" w:eastAsia="zh-CN"/>
        </w:rPr>
        <w:t>55.6</w:t>
      </w:r>
      <w:r>
        <w:rPr>
          <w:rFonts w:hint="eastAsia" w:ascii="仿宋" w:hAnsi="仿宋" w:eastAsia="仿宋"/>
          <w:sz w:val="32"/>
          <w:szCs w:val="32"/>
        </w:rPr>
        <w:t>万元，占</w:t>
      </w:r>
      <w:r>
        <w:rPr>
          <w:rFonts w:hint="eastAsia" w:ascii="仿宋" w:hAnsi="仿宋" w:eastAsia="仿宋"/>
          <w:sz w:val="32"/>
          <w:szCs w:val="32"/>
          <w:lang w:val="en-US" w:eastAsia="zh-CN"/>
        </w:rPr>
        <w:t>4.5</w:t>
      </w:r>
      <w:r>
        <w:rPr>
          <w:rFonts w:ascii="仿宋" w:hAnsi="仿宋" w:eastAsia="仿宋"/>
          <w:sz w:val="32"/>
          <w:szCs w:val="32"/>
        </w:rPr>
        <w:t>%</w:t>
      </w:r>
      <w:r>
        <w:rPr>
          <w:rFonts w:hint="eastAsia" w:ascii="仿宋" w:hAnsi="仿宋" w:eastAsia="仿宋"/>
          <w:sz w:val="32"/>
          <w:szCs w:val="32"/>
        </w:rPr>
        <w:t>；</w:t>
      </w:r>
    </w:p>
    <w:p w14:paraId="5900E249">
      <w:pPr>
        <w:spacing w:line="600" w:lineRule="exact"/>
        <w:ind w:firstLine="640"/>
        <w:rPr>
          <w:rFonts w:ascii="仿宋" w:hAnsi="仿宋" w:eastAsia="仿宋"/>
          <w:sz w:val="32"/>
          <w:szCs w:val="32"/>
        </w:rPr>
      </w:pPr>
      <w:r>
        <w:rPr>
          <w:rFonts w:hint="eastAsia" w:ascii="仿宋" w:hAnsi="仿宋" w:eastAsia="仿宋"/>
          <w:b/>
          <w:sz w:val="32"/>
          <w:szCs w:val="32"/>
        </w:rPr>
        <w:t>（注：数据来源于财决01-1表，仅罗列本</w:t>
      </w:r>
      <w:r>
        <w:rPr>
          <w:rFonts w:hint="eastAsia" w:ascii="仿宋" w:hAnsi="仿宋" w:eastAsia="仿宋"/>
          <w:b/>
          <w:sz w:val="32"/>
          <w:szCs w:val="32"/>
          <w:lang w:eastAsia="zh-CN"/>
        </w:rPr>
        <w:t>单位</w:t>
      </w:r>
      <w:r>
        <w:rPr>
          <w:rFonts w:hint="eastAsia" w:ascii="仿宋" w:hAnsi="仿宋" w:eastAsia="仿宋"/>
          <w:b/>
          <w:sz w:val="32"/>
          <w:szCs w:val="32"/>
        </w:rPr>
        <w:t>涉及的全部功能分类科目，至类级）</w:t>
      </w:r>
    </w:p>
    <w:p w14:paraId="252DC60A">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14:paraId="55D7707B">
      <w:pPr>
        <w:spacing w:line="600" w:lineRule="exact"/>
        <w:rPr>
          <w:rFonts w:ascii="仿宋" w:hAnsi="仿宋" w:eastAsia="仿宋"/>
          <w:sz w:val="32"/>
          <w:szCs w:val="32"/>
        </w:rPr>
      </w:pPr>
      <w:r>
        <w:drawing>
          <wp:anchor distT="0" distB="0" distL="114300" distR="114300" simplePos="0" relativeHeight="251661312" behindDoc="1" locked="0" layoutInCell="1" allowOverlap="1">
            <wp:simplePos x="0" y="0"/>
            <wp:positionH relativeFrom="column">
              <wp:posOffset>354965</wp:posOffset>
            </wp:positionH>
            <wp:positionV relativeFrom="paragraph">
              <wp:posOffset>121285</wp:posOffset>
            </wp:positionV>
            <wp:extent cx="4572000" cy="2743200"/>
            <wp:effectExtent l="4445" t="4445" r="14605" b="14605"/>
            <wp:wrapTight wrapText="bothSides">
              <wp:wrapPolygon>
                <wp:start x="-21" y="-35"/>
                <wp:lineTo x="-21" y="21565"/>
                <wp:lineTo x="21579" y="21565"/>
                <wp:lineTo x="21579" y="-35"/>
                <wp:lineTo x="-21" y="-35"/>
              </wp:wrapPolygon>
            </wp:wrapTight>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0F34FCC">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14:paraId="718A2BCF">
      <w:pPr>
        <w:spacing w:line="600" w:lineRule="exact"/>
        <w:ind w:firstLine="643" w:firstLineChars="200"/>
        <w:outlineLvl w:val="2"/>
        <w:rPr>
          <w:rFonts w:ascii="仿宋" w:hAnsi="仿宋" w:eastAsia="仿宋"/>
          <w:sz w:val="32"/>
          <w:szCs w:val="32"/>
        </w:rPr>
      </w:pPr>
      <w:bookmarkStart w:id="31" w:name="_Toc15377444"/>
      <w:bookmarkStart w:id="32" w:name="_Toc15377213"/>
      <w:bookmarkStart w:id="33" w:name="_Toc15378460"/>
      <w:r>
        <w:rPr>
          <w:rFonts w:hint="eastAsia" w:ascii="仿宋" w:hAnsi="仿宋" w:eastAsia="仿宋"/>
          <w:b/>
          <w:sz w:val="32"/>
          <w:szCs w:val="32"/>
        </w:rPr>
        <w:t>2023年度一般公共预算支出决算数为</w:t>
      </w:r>
      <w:r>
        <w:rPr>
          <w:sz w:val="32"/>
          <w:szCs w:val="32"/>
        </w:rPr>
        <w:t>1232.84</w:t>
      </w:r>
      <w:r>
        <w:rPr>
          <w:rFonts w:hint="eastAsia" w:ascii="仿宋" w:hAnsi="仿宋" w:eastAsia="仿宋"/>
          <w:sz w:val="32"/>
          <w:szCs w:val="32"/>
        </w:rPr>
        <w:t>，</w:t>
      </w:r>
      <w:r>
        <w:rPr>
          <w:rStyle w:val="21"/>
          <w:rFonts w:hint="eastAsia" w:ascii="仿宋" w:hAnsi="仿宋" w:eastAsia="仿宋"/>
          <w:bCs/>
          <w:sz w:val="32"/>
          <w:szCs w:val="32"/>
        </w:rPr>
        <w:t>完成预算</w:t>
      </w:r>
      <w:r>
        <w:rPr>
          <w:rStyle w:val="21"/>
          <w:rFonts w:hint="eastAsia" w:ascii="仿宋" w:hAnsi="仿宋" w:eastAsia="仿宋"/>
          <w:bCs/>
          <w:sz w:val="32"/>
          <w:szCs w:val="32"/>
          <w:lang w:val="en-US" w:eastAsia="zh-CN"/>
        </w:rPr>
        <w:t>100</w:t>
      </w:r>
      <w:r>
        <w:rPr>
          <w:rStyle w:val="21"/>
          <w:rFonts w:ascii="仿宋" w:hAnsi="仿宋" w:eastAsia="仿宋"/>
          <w:bCs/>
          <w:sz w:val="32"/>
          <w:szCs w:val="32"/>
        </w:rPr>
        <w:t>%</w:t>
      </w:r>
      <w:r>
        <w:rPr>
          <w:rStyle w:val="21"/>
          <w:rFonts w:hint="eastAsia" w:ascii="仿宋" w:hAnsi="仿宋" w:eastAsia="仿宋"/>
          <w:bCs/>
          <w:sz w:val="32"/>
          <w:szCs w:val="32"/>
        </w:rPr>
        <w:t>。其中：</w:t>
      </w:r>
      <w:bookmarkEnd w:id="31"/>
      <w:bookmarkEnd w:id="32"/>
      <w:bookmarkEnd w:id="33"/>
    </w:p>
    <w:p w14:paraId="3C1E6157">
      <w:pPr>
        <w:spacing w:line="600" w:lineRule="exact"/>
        <w:ind w:firstLine="643" w:firstLineChars="200"/>
        <w:rPr>
          <w:rFonts w:hint="eastAsia" w:ascii="仿宋" w:hAnsi="仿宋" w:eastAsia="仿宋"/>
          <w:b/>
          <w:sz w:val="32"/>
          <w:szCs w:val="32"/>
          <w:lang w:eastAsia="zh-CN"/>
        </w:rPr>
      </w:pPr>
      <w:r>
        <w:rPr>
          <w:rStyle w:val="21"/>
          <w:rFonts w:ascii="仿宋" w:hAnsi="仿宋" w:eastAsia="仿宋"/>
          <w:bCs/>
          <w:sz w:val="32"/>
          <w:szCs w:val="32"/>
        </w:rPr>
        <w:t>1.</w:t>
      </w:r>
      <w:r>
        <w:rPr>
          <w:rFonts w:hint="eastAsia" w:ascii="仿宋_GB2312" w:hAnsi="仿宋_GB2312" w:eastAsia="仿宋_GB2312"/>
          <w:b/>
          <w:color w:val="000000"/>
          <w:kern w:val="2"/>
          <w:sz w:val="32"/>
          <w:lang w:val="en-US"/>
        </w:rPr>
        <w:t>一般公共服务支出（类）</w:t>
      </w:r>
      <w:r>
        <w:rPr>
          <w:rStyle w:val="21"/>
          <w:rFonts w:hint="eastAsia" w:ascii="仿宋" w:hAnsi="仿宋" w:eastAsia="仿宋"/>
          <w:bCs/>
          <w:sz w:val="32"/>
          <w:szCs w:val="32"/>
        </w:rPr>
        <w:t>政府办公厅（室）及相关机构事务（款）行政运行（项）</w:t>
      </w:r>
      <w:r>
        <w:rPr>
          <w:rStyle w:val="21"/>
          <w:rFonts w:hint="eastAsia" w:ascii="仿宋" w:hAnsi="仿宋" w:eastAsia="仿宋"/>
          <w:bCs/>
          <w:sz w:val="32"/>
          <w:szCs w:val="32"/>
          <w:lang w:eastAsia="zh-CN"/>
        </w:rPr>
        <w:t>：</w:t>
      </w:r>
      <w:r>
        <w:rPr>
          <w:rStyle w:val="21"/>
          <w:rFonts w:ascii="仿宋" w:hAnsi="仿宋" w:eastAsia="仿宋"/>
          <w:b w:val="0"/>
          <w:bCs/>
          <w:sz w:val="32"/>
          <w:szCs w:val="32"/>
        </w:rPr>
        <w:t xml:space="preserve"> </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414.89</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1AA5E75C">
      <w:pPr>
        <w:spacing w:line="600" w:lineRule="exact"/>
        <w:ind w:firstLine="643" w:firstLineChars="200"/>
        <w:rPr>
          <w:rFonts w:ascii="仿宋" w:hAnsi="仿宋" w:eastAsia="仿宋"/>
          <w:b/>
          <w:sz w:val="32"/>
          <w:szCs w:val="32"/>
        </w:rPr>
      </w:pPr>
      <w:r>
        <w:rPr>
          <w:rStyle w:val="21"/>
          <w:rFonts w:ascii="仿宋" w:hAnsi="仿宋" w:eastAsia="仿宋"/>
          <w:bCs/>
          <w:sz w:val="32"/>
          <w:szCs w:val="32"/>
        </w:rPr>
        <w:t>2.</w:t>
      </w:r>
      <w:r>
        <w:rPr>
          <w:rFonts w:hint="eastAsia" w:ascii="仿宋_GB2312" w:hAnsi="仿宋_GB2312" w:eastAsia="仿宋_GB2312"/>
          <w:b/>
          <w:color w:val="000000"/>
          <w:kern w:val="2"/>
          <w:sz w:val="32"/>
          <w:lang w:val="en-US"/>
        </w:rPr>
        <w:t>一般公共服务支出（类）</w:t>
      </w:r>
      <w:r>
        <w:rPr>
          <w:rStyle w:val="21"/>
          <w:rFonts w:hint="eastAsia" w:ascii="仿宋" w:hAnsi="仿宋" w:eastAsia="仿宋"/>
          <w:bCs/>
          <w:sz w:val="32"/>
          <w:szCs w:val="32"/>
        </w:rPr>
        <w:t>政府办公厅（室）及相关机构事务（款）</w:t>
      </w:r>
      <w:r>
        <w:rPr>
          <w:rStyle w:val="21"/>
          <w:rFonts w:hint="eastAsia" w:ascii="仿宋" w:hAnsi="仿宋" w:eastAsia="仿宋"/>
          <w:bCs/>
          <w:sz w:val="32"/>
          <w:szCs w:val="32"/>
          <w:lang w:eastAsia="zh-CN"/>
        </w:rPr>
        <w:t>事业</w:t>
      </w:r>
      <w:r>
        <w:rPr>
          <w:rStyle w:val="21"/>
          <w:rFonts w:hint="eastAsia" w:ascii="仿宋" w:hAnsi="仿宋" w:eastAsia="仿宋"/>
          <w:bCs/>
          <w:sz w:val="32"/>
          <w:szCs w:val="32"/>
        </w:rPr>
        <w:t>运行（项）</w:t>
      </w:r>
      <w:r>
        <w:rPr>
          <w:rStyle w:val="21"/>
          <w:rFonts w:hint="eastAsia" w:ascii="仿宋" w:hAnsi="仿宋" w:eastAsia="仿宋"/>
          <w:bCs/>
          <w:sz w:val="32"/>
          <w:szCs w:val="32"/>
          <w:lang w:eastAsia="zh-CN"/>
        </w:rPr>
        <w:t>：</w:t>
      </w:r>
      <w:r>
        <w:rPr>
          <w:rStyle w:val="21"/>
          <w:rFonts w:ascii="仿宋" w:hAnsi="仿宋" w:eastAsia="仿宋"/>
          <w:b w:val="0"/>
          <w:bCs/>
          <w:sz w:val="32"/>
          <w:szCs w:val="32"/>
        </w:rPr>
        <w:t xml:space="preserve"> </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226.15</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158141A0">
      <w:pPr>
        <w:spacing w:line="600" w:lineRule="exact"/>
        <w:ind w:firstLine="643" w:firstLineChars="200"/>
        <w:rPr>
          <w:rStyle w:val="21"/>
          <w:rFonts w:hint="eastAsia" w:ascii="仿宋" w:hAnsi="仿宋" w:eastAsia="仿宋"/>
          <w:b w:val="0"/>
          <w:bCs/>
          <w:sz w:val="32"/>
          <w:szCs w:val="32"/>
          <w:lang w:eastAsia="zh-CN"/>
        </w:rPr>
      </w:pPr>
      <w:r>
        <w:rPr>
          <w:rStyle w:val="21"/>
          <w:rFonts w:ascii="仿宋" w:hAnsi="仿宋" w:eastAsia="仿宋"/>
          <w:bCs/>
          <w:sz w:val="32"/>
          <w:szCs w:val="32"/>
        </w:rPr>
        <w:t>3.</w:t>
      </w:r>
      <w:r>
        <w:rPr>
          <w:rStyle w:val="21"/>
          <w:rFonts w:hint="eastAsia" w:ascii="仿宋" w:hAnsi="仿宋" w:eastAsia="仿宋"/>
          <w:bCs/>
          <w:sz w:val="32"/>
          <w:szCs w:val="32"/>
        </w:rPr>
        <w:t>社会保障和就业支出（类）行政事业单位养老支出（款）机关事业单位基本养老保险缴费支出（项）</w:t>
      </w:r>
      <w:r>
        <w:rPr>
          <w:rStyle w:val="21"/>
          <w:rFonts w:hint="eastAsia" w:ascii="仿宋" w:hAnsi="仿宋" w:eastAsia="仿宋"/>
          <w:bCs/>
          <w:sz w:val="32"/>
          <w:szCs w:val="32"/>
          <w:lang w:eastAsia="zh-CN"/>
        </w:rPr>
        <w:t>：</w:t>
      </w:r>
      <w:r>
        <w:rPr>
          <w:rStyle w:val="21"/>
          <w:rFonts w:ascii="仿宋" w:hAnsi="仿宋" w:eastAsia="仿宋"/>
          <w:b w:val="0"/>
          <w:bCs/>
          <w:sz w:val="32"/>
          <w:szCs w:val="32"/>
        </w:rPr>
        <w:t xml:space="preserve"> </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70.34</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37A4F402">
      <w:pPr>
        <w:spacing w:line="600" w:lineRule="exact"/>
        <w:ind w:firstLine="643" w:firstLineChars="200"/>
        <w:rPr>
          <w:rStyle w:val="21"/>
          <w:rFonts w:hint="eastAsia" w:ascii="仿宋" w:hAnsi="仿宋" w:eastAsia="仿宋"/>
          <w:b w:val="0"/>
          <w:bCs/>
          <w:sz w:val="32"/>
          <w:szCs w:val="32"/>
          <w:lang w:eastAsia="zh-CN"/>
        </w:rPr>
      </w:pPr>
      <w:r>
        <w:rPr>
          <w:rStyle w:val="21"/>
          <w:rFonts w:ascii="仿宋" w:hAnsi="仿宋" w:eastAsia="仿宋"/>
          <w:bCs/>
          <w:sz w:val="32"/>
          <w:szCs w:val="32"/>
        </w:rPr>
        <w:t>4.</w:t>
      </w:r>
      <w:r>
        <w:rPr>
          <w:rStyle w:val="21"/>
          <w:rFonts w:hint="eastAsia" w:ascii="仿宋" w:hAnsi="仿宋" w:eastAsia="仿宋"/>
          <w:bCs/>
          <w:sz w:val="32"/>
          <w:szCs w:val="32"/>
        </w:rPr>
        <w:t>社会保障和就业支出（类）行政事业单位养老支出（款）机关事业单位职业年金缴费支出（项）</w:t>
      </w:r>
      <w:r>
        <w:rPr>
          <w:rStyle w:val="21"/>
          <w:rFonts w:hint="eastAsia" w:ascii="仿宋" w:hAnsi="仿宋" w:eastAsia="仿宋"/>
          <w:bCs/>
          <w:sz w:val="32"/>
          <w:szCs w:val="32"/>
          <w:lang w:eastAsia="zh-CN"/>
        </w:rPr>
        <w:t>：</w:t>
      </w:r>
      <w:r>
        <w:rPr>
          <w:rStyle w:val="21"/>
          <w:rFonts w:ascii="仿宋" w:hAnsi="仿宋" w:eastAsia="仿宋"/>
          <w:b w:val="0"/>
          <w:bCs/>
          <w:sz w:val="32"/>
          <w:szCs w:val="32"/>
        </w:rPr>
        <w:t xml:space="preserve"> </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34.17</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646C28C0">
      <w:pPr>
        <w:spacing w:line="600" w:lineRule="exact"/>
        <w:ind w:firstLine="643" w:firstLineChars="200"/>
        <w:rPr>
          <w:rStyle w:val="21"/>
          <w:rFonts w:hint="eastAsia" w:ascii="仿宋" w:hAnsi="仿宋" w:eastAsia="仿宋"/>
          <w:b w:val="0"/>
          <w:bCs/>
          <w:sz w:val="32"/>
          <w:szCs w:val="32"/>
          <w:lang w:eastAsia="zh-CN"/>
        </w:rPr>
      </w:pPr>
      <w:r>
        <w:rPr>
          <w:rStyle w:val="21"/>
          <w:rFonts w:ascii="仿宋" w:hAnsi="仿宋" w:eastAsia="仿宋"/>
          <w:bCs/>
          <w:sz w:val="32"/>
          <w:szCs w:val="32"/>
        </w:rPr>
        <w:t>5.</w:t>
      </w:r>
      <w:r>
        <w:rPr>
          <w:rStyle w:val="21"/>
          <w:rFonts w:hint="eastAsia" w:ascii="仿宋" w:hAnsi="仿宋" w:eastAsia="仿宋"/>
          <w:bCs/>
          <w:sz w:val="32"/>
          <w:szCs w:val="32"/>
        </w:rPr>
        <w:t>社会保障和就业支出（类）抚恤（款）死亡抚恤（项）</w:t>
      </w:r>
      <w:r>
        <w:rPr>
          <w:rStyle w:val="21"/>
          <w:rFonts w:hint="eastAsia" w:ascii="仿宋" w:hAnsi="仿宋" w:eastAsia="仿宋"/>
          <w:bCs/>
          <w:sz w:val="32"/>
          <w:szCs w:val="32"/>
          <w:lang w:eastAsia="zh-CN"/>
        </w:rPr>
        <w:t>：</w:t>
      </w:r>
      <w:r>
        <w:rPr>
          <w:rStyle w:val="21"/>
          <w:rFonts w:ascii="仿宋" w:hAnsi="仿宋" w:eastAsia="仿宋"/>
          <w:b w:val="0"/>
          <w:bCs/>
          <w:sz w:val="32"/>
          <w:szCs w:val="32"/>
        </w:rPr>
        <w:t xml:space="preserve"> </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19.5</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0661DAF2">
      <w:pPr>
        <w:spacing w:line="600" w:lineRule="exact"/>
        <w:ind w:firstLine="643" w:firstLineChars="200"/>
        <w:rPr>
          <w:rStyle w:val="21"/>
          <w:rFonts w:hint="eastAsia" w:ascii="仿宋" w:hAnsi="仿宋" w:eastAsia="仿宋"/>
          <w:b w:val="0"/>
          <w:bCs/>
          <w:sz w:val="32"/>
          <w:szCs w:val="32"/>
          <w:lang w:eastAsia="zh-CN"/>
        </w:rPr>
      </w:pPr>
      <w:r>
        <w:rPr>
          <w:rStyle w:val="21"/>
          <w:rFonts w:ascii="仿宋" w:hAnsi="仿宋" w:eastAsia="仿宋"/>
          <w:bCs/>
          <w:sz w:val="32"/>
          <w:szCs w:val="32"/>
        </w:rPr>
        <w:t>6.</w:t>
      </w:r>
      <w:r>
        <w:rPr>
          <w:rStyle w:val="21"/>
          <w:rFonts w:hint="eastAsia" w:ascii="仿宋" w:hAnsi="仿宋" w:eastAsia="仿宋"/>
          <w:bCs/>
          <w:sz w:val="32"/>
          <w:szCs w:val="32"/>
        </w:rPr>
        <w:t>社会保障和就业支出（类）其他社会保障和就业支出（款）其他社会保障和就业支出（项）</w:t>
      </w:r>
      <w:r>
        <w:rPr>
          <w:rStyle w:val="21"/>
          <w:rFonts w:hint="eastAsia" w:ascii="仿宋" w:hAnsi="仿宋" w:eastAsia="仿宋"/>
          <w:bCs/>
          <w:sz w:val="32"/>
          <w:szCs w:val="32"/>
          <w:lang w:eastAsia="zh-CN"/>
        </w:rPr>
        <w:t>：</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10.99</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15E7BA88">
      <w:pPr>
        <w:pStyle w:val="17"/>
        <w:ind w:firstLine="643" w:firstLineChars="200"/>
        <w:jc w:val="both"/>
        <w:rPr>
          <w:rStyle w:val="21"/>
          <w:rFonts w:hint="eastAsia" w:ascii="仿宋" w:hAnsi="仿宋" w:eastAsia="仿宋" w:cs="Times New Roman"/>
          <w:b w:val="0"/>
          <w:bCs/>
          <w:kern w:val="2"/>
          <w:sz w:val="32"/>
          <w:szCs w:val="32"/>
          <w:lang w:val="en-US" w:eastAsia="zh-CN" w:bidi="ar-SA"/>
        </w:rPr>
      </w:pPr>
      <w:r>
        <w:rPr>
          <w:rStyle w:val="21"/>
          <w:rFonts w:hint="eastAsia" w:ascii="仿宋" w:hAnsi="仿宋" w:eastAsia="仿宋" w:cs="Times New Roman"/>
          <w:b/>
          <w:bCs/>
          <w:kern w:val="2"/>
          <w:sz w:val="32"/>
          <w:szCs w:val="32"/>
          <w:lang w:val="en-US" w:eastAsia="zh-CN" w:bidi="ar-SA"/>
        </w:rPr>
        <w:t>7.卫生健康支出（类）行政事业单位医疗（款）行政单位医疗（项）：</w:t>
      </w:r>
      <w:r>
        <w:rPr>
          <w:rStyle w:val="21"/>
          <w:rFonts w:hint="eastAsia" w:ascii="仿宋" w:hAnsi="仿宋" w:eastAsia="仿宋" w:cs="Times New Roman"/>
          <w:b w:val="0"/>
          <w:bCs/>
          <w:kern w:val="2"/>
          <w:sz w:val="32"/>
          <w:szCs w:val="32"/>
          <w:lang w:val="en-US" w:eastAsia="zh-CN" w:bidi="ar-SA"/>
        </w:rPr>
        <w:t>支出决算为18.25万元，完成预算100%，决算数与预算数持平。</w:t>
      </w:r>
    </w:p>
    <w:p w14:paraId="7280A40B">
      <w:pPr>
        <w:pStyle w:val="17"/>
        <w:ind w:firstLine="640" w:firstLineChars="200"/>
        <w:jc w:val="both"/>
        <w:rPr>
          <w:rFonts w:hint="default"/>
          <w:lang w:val="en-US" w:eastAsia="zh-CN"/>
        </w:rPr>
      </w:pPr>
      <w:r>
        <w:rPr>
          <w:rStyle w:val="21"/>
          <w:rFonts w:hint="eastAsia" w:ascii="仿宋" w:hAnsi="仿宋" w:eastAsia="仿宋" w:cs="Times New Roman"/>
          <w:b w:val="0"/>
          <w:bCs/>
          <w:kern w:val="2"/>
          <w:sz w:val="32"/>
          <w:szCs w:val="32"/>
          <w:lang w:val="en-US" w:eastAsia="zh-CN" w:bidi="ar-SA"/>
        </w:rPr>
        <w:t>8.</w:t>
      </w:r>
      <w:r>
        <w:rPr>
          <w:rStyle w:val="21"/>
          <w:rFonts w:hint="eastAsia" w:ascii="仿宋" w:hAnsi="仿宋" w:eastAsia="仿宋" w:cs="Times New Roman"/>
          <w:b/>
          <w:bCs/>
          <w:kern w:val="2"/>
          <w:sz w:val="32"/>
          <w:szCs w:val="32"/>
          <w:lang w:val="en-US" w:eastAsia="zh-CN" w:bidi="ar-SA"/>
        </w:rPr>
        <w:t>卫生健康支出（类）行政事业单位医疗（款）公务员医疗补助（项）：</w:t>
      </w:r>
      <w:r>
        <w:rPr>
          <w:rStyle w:val="21"/>
          <w:rFonts w:hint="eastAsia" w:ascii="仿宋" w:hAnsi="仿宋" w:eastAsia="仿宋" w:cs="Times New Roman"/>
          <w:b w:val="0"/>
          <w:bCs/>
          <w:kern w:val="2"/>
          <w:sz w:val="32"/>
          <w:szCs w:val="32"/>
          <w:lang w:val="en-US" w:eastAsia="zh-CN" w:bidi="ar-SA"/>
        </w:rPr>
        <w:t>支出决算为3.12万元，完成预算100%，决算数与预算数持平。</w:t>
      </w:r>
    </w:p>
    <w:p w14:paraId="47091B27">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9.农林水支出（类）农业农村（款）行政运行（项）：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2.8</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03ACC2D6">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10.农林水支出（类）巩固脱贫攻坚成果衔接乡村振兴（款）一般行政管理事务（项）：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60.16</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2FF8E223">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11.农林水支出（类）巩固脱贫攻坚成果衔接乡村振兴（款）社会发展（项）：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4</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0D1D24D2">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12.农林水支出（类）农村综合改革（款）对村级公益事业建设的补助（项）：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19.06</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1490D8E3">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13.农林水支出（类）农村综合改革（款）对村民委员会和村党支部的补助（项）：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171.3</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2C7ED2B3">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14.农林水支出（类）农村综合改革（款）农村综合改革示范试点补助（项）：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118</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2923724E">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15.自然资源海洋气象等支出（类）自然资源事务（款）其他自然资源事务支出（项）：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4.5</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2C9C12A5">
      <w:pPr>
        <w:pStyle w:val="17"/>
        <w:ind w:firstLine="643" w:firstLineChars="200"/>
        <w:jc w:val="both"/>
        <w:rPr>
          <w:rStyle w:val="21"/>
          <w:rFonts w:hint="eastAsia" w:ascii="仿宋" w:hAnsi="仿宋" w:eastAsia="仿宋"/>
          <w:b w:val="0"/>
          <w:bCs/>
          <w:sz w:val="32"/>
          <w:szCs w:val="32"/>
          <w:lang w:eastAsia="zh-CN"/>
        </w:rPr>
      </w:pPr>
      <w:r>
        <w:rPr>
          <w:rStyle w:val="21"/>
          <w:rFonts w:hint="eastAsia" w:ascii="仿宋" w:hAnsi="仿宋" w:eastAsia="仿宋" w:cs="Times New Roman"/>
          <w:b/>
          <w:bCs/>
          <w:kern w:val="2"/>
          <w:sz w:val="32"/>
          <w:szCs w:val="32"/>
          <w:lang w:val="en-US" w:eastAsia="zh-CN" w:bidi="ar-SA"/>
        </w:rPr>
        <w:t>16.住房保障支出（类）住房改革支出（款）住房公积金（项）：</w:t>
      </w:r>
      <w:r>
        <w:rPr>
          <w:rStyle w:val="21"/>
          <w:rFonts w:hint="eastAsia" w:ascii="仿宋" w:hAnsi="仿宋" w:eastAsia="仿宋"/>
          <w:b w:val="0"/>
          <w:bCs/>
          <w:sz w:val="32"/>
          <w:szCs w:val="32"/>
        </w:rPr>
        <w:t>支出决算为</w:t>
      </w:r>
      <w:r>
        <w:rPr>
          <w:rStyle w:val="21"/>
          <w:rFonts w:hint="eastAsia" w:ascii="仿宋" w:hAnsi="仿宋" w:eastAsia="仿宋"/>
          <w:b w:val="0"/>
          <w:bCs/>
          <w:sz w:val="32"/>
          <w:szCs w:val="32"/>
          <w:lang w:val="en-US" w:eastAsia="zh-CN"/>
        </w:rPr>
        <w:t>55.6</w:t>
      </w:r>
      <w:r>
        <w:rPr>
          <w:rStyle w:val="21"/>
          <w:rFonts w:hint="eastAsia" w:ascii="仿宋" w:hAnsi="仿宋" w:eastAsia="仿宋"/>
          <w:b w:val="0"/>
          <w:bCs/>
          <w:sz w:val="32"/>
          <w:szCs w:val="32"/>
        </w:rPr>
        <w:t>万元，完成预算</w:t>
      </w:r>
      <w:r>
        <w:rPr>
          <w:rStyle w:val="21"/>
          <w:rFonts w:hint="eastAsia" w:ascii="仿宋" w:hAnsi="仿宋" w:eastAsia="仿宋"/>
          <w:b w:val="0"/>
          <w:bCs/>
          <w:sz w:val="32"/>
          <w:szCs w:val="32"/>
          <w:lang w:val="en-US" w:eastAsia="zh-CN"/>
        </w:rPr>
        <w:t>100</w:t>
      </w:r>
      <w:r>
        <w:rPr>
          <w:rStyle w:val="21"/>
          <w:rFonts w:ascii="仿宋" w:hAnsi="仿宋" w:eastAsia="仿宋"/>
          <w:b w:val="0"/>
          <w:bCs/>
          <w:sz w:val="32"/>
          <w:szCs w:val="32"/>
        </w:rPr>
        <w:t>%</w:t>
      </w:r>
      <w:r>
        <w:rPr>
          <w:rStyle w:val="21"/>
          <w:rFonts w:hint="eastAsia" w:ascii="仿宋" w:hAnsi="仿宋" w:eastAsia="仿宋"/>
          <w:b w:val="0"/>
          <w:bCs/>
          <w:sz w:val="32"/>
          <w:szCs w:val="32"/>
        </w:rPr>
        <w:t>，决算数</w:t>
      </w:r>
      <w:r>
        <w:rPr>
          <w:rStyle w:val="21"/>
          <w:rFonts w:hint="eastAsia" w:ascii="仿宋" w:hAnsi="仿宋" w:eastAsia="仿宋"/>
          <w:b w:val="0"/>
          <w:bCs/>
          <w:sz w:val="32"/>
          <w:szCs w:val="32"/>
          <w:lang w:eastAsia="zh-CN"/>
        </w:rPr>
        <w:t>与</w:t>
      </w:r>
      <w:r>
        <w:rPr>
          <w:rStyle w:val="21"/>
          <w:rFonts w:hint="eastAsia" w:ascii="仿宋" w:hAnsi="仿宋" w:eastAsia="仿宋"/>
          <w:b w:val="0"/>
          <w:bCs/>
          <w:sz w:val="32"/>
          <w:szCs w:val="32"/>
        </w:rPr>
        <w:t>预算数</w:t>
      </w:r>
      <w:r>
        <w:rPr>
          <w:rStyle w:val="21"/>
          <w:rFonts w:hint="eastAsia" w:ascii="仿宋" w:hAnsi="仿宋" w:eastAsia="仿宋"/>
          <w:b w:val="0"/>
          <w:bCs/>
          <w:sz w:val="32"/>
          <w:szCs w:val="32"/>
          <w:lang w:eastAsia="zh-CN"/>
        </w:rPr>
        <w:t>持平。</w:t>
      </w:r>
    </w:p>
    <w:p w14:paraId="6CD37444">
      <w:pPr>
        <w:rPr>
          <w:rFonts w:hint="eastAsia"/>
          <w:lang w:eastAsia="zh-CN"/>
        </w:rPr>
      </w:pPr>
    </w:p>
    <w:p w14:paraId="605E7F5B">
      <w:pPr>
        <w:rPr>
          <w:rFonts w:hint="eastAsia"/>
          <w:lang w:eastAsia="zh-CN"/>
        </w:rPr>
      </w:pPr>
    </w:p>
    <w:p w14:paraId="63EA0C90">
      <w:pPr>
        <w:rPr>
          <w:rFonts w:hint="eastAsia"/>
          <w:lang w:eastAsia="zh-CN"/>
        </w:rPr>
      </w:pPr>
    </w:p>
    <w:p w14:paraId="357B3DC5">
      <w:pPr>
        <w:rPr>
          <w:rFonts w:hint="eastAsia"/>
          <w:lang w:eastAsia="zh-CN"/>
        </w:rPr>
      </w:pPr>
    </w:p>
    <w:p w14:paraId="24AE3998">
      <w:pPr>
        <w:rPr>
          <w:rFonts w:hint="eastAsia"/>
          <w:lang w:eastAsia="zh-CN"/>
        </w:rPr>
      </w:pPr>
    </w:p>
    <w:p w14:paraId="00CC663D">
      <w:pPr>
        <w:rPr>
          <w:rFonts w:hint="eastAsia"/>
          <w:lang w:eastAsia="zh-CN"/>
        </w:rPr>
      </w:pPr>
    </w:p>
    <w:p w14:paraId="07CE30E9">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1-1表和财决08表，仅罗列本</w:t>
      </w:r>
      <w:r>
        <w:rPr>
          <w:rFonts w:hint="eastAsia" w:ascii="仿宋" w:hAnsi="仿宋" w:eastAsia="仿宋"/>
          <w:b/>
          <w:sz w:val="32"/>
          <w:szCs w:val="32"/>
          <w:lang w:eastAsia="zh-CN"/>
        </w:rPr>
        <w:t>单位</w:t>
      </w:r>
      <w:r>
        <w:rPr>
          <w:rFonts w:hint="eastAsia" w:ascii="仿宋" w:hAnsi="仿宋" w:eastAsia="仿宋"/>
          <w:b/>
          <w:sz w:val="32"/>
          <w:szCs w:val="32"/>
        </w:rPr>
        <w:t>涉及的全部功能分类科目，至项级。上述“预算”口径为全年预算数。增减变动原因为决算数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和全年预算数</w:t>
      </w:r>
      <w:r>
        <w:rPr>
          <w:rFonts w:hint="eastAsia" w:ascii="仿宋" w:hAnsi="仿宋" w:eastAsia="仿宋"/>
          <w:b/>
          <w:sz w:val="32"/>
          <w:szCs w:val="32"/>
          <w:lang w:eastAsia="zh-CN"/>
        </w:rPr>
        <w:t>〈</w:t>
      </w:r>
      <w:r>
        <w:rPr>
          <w:rFonts w:hint="eastAsia" w:ascii="仿宋" w:hAnsi="仿宋" w:eastAsia="仿宋"/>
          <w:b/>
          <w:sz w:val="32"/>
          <w:szCs w:val="32"/>
        </w:rPr>
        <w:t>项级</w:t>
      </w:r>
      <w:r>
        <w:rPr>
          <w:rFonts w:hint="eastAsia" w:ascii="仿宋" w:hAnsi="仿宋" w:eastAsia="仿宋"/>
          <w:b/>
          <w:sz w:val="32"/>
          <w:szCs w:val="32"/>
          <w:lang w:eastAsia="zh-CN"/>
        </w:rPr>
        <w:t>〉</w:t>
      </w:r>
      <w:r>
        <w:rPr>
          <w:rFonts w:hint="eastAsia" w:ascii="仿宋" w:hAnsi="仿宋" w:eastAsia="仿宋"/>
          <w:b/>
          <w:sz w:val="32"/>
          <w:szCs w:val="32"/>
        </w:rPr>
        <w:t>比较，与预算数持平可以不写原）</w:t>
      </w:r>
    </w:p>
    <w:p w14:paraId="14500128">
      <w:pPr>
        <w:spacing w:line="600" w:lineRule="exact"/>
        <w:ind w:firstLine="640"/>
        <w:rPr>
          <w:rFonts w:ascii="仿宋" w:hAnsi="仿宋" w:eastAsia="仿宋"/>
          <w:b/>
          <w:sz w:val="32"/>
          <w:szCs w:val="32"/>
        </w:rPr>
      </w:pPr>
    </w:p>
    <w:p w14:paraId="0D4293C1">
      <w:pPr>
        <w:tabs>
          <w:tab w:val="right" w:pos="8306"/>
        </w:tabs>
        <w:spacing w:line="600" w:lineRule="exact"/>
        <w:ind w:firstLine="640"/>
        <w:outlineLvl w:val="1"/>
        <w:rPr>
          <w:rStyle w:val="32"/>
        </w:rPr>
      </w:pPr>
      <w:bookmarkStart w:id="34" w:name="_Toc15396608"/>
      <w:bookmarkStart w:id="35"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2"/>
          <w:rFonts w:hint="eastAsia" w:ascii="黑体" w:hAnsi="黑体" w:eastAsia="黑体"/>
          <w:b w:val="0"/>
        </w:rPr>
        <w:t>般公共预算财政拨款基本支出决算情况说明</w:t>
      </w:r>
      <w:bookmarkEnd w:id="34"/>
      <w:bookmarkEnd w:id="35"/>
      <w:r>
        <w:rPr>
          <w:rStyle w:val="32"/>
          <w:rFonts w:ascii="黑体" w:hAnsi="黑体" w:eastAsia="黑体"/>
          <w:b w:val="0"/>
        </w:rPr>
        <w:tab/>
      </w:r>
    </w:p>
    <w:p w14:paraId="723AED51">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sz w:val="32"/>
          <w:szCs w:val="32"/>
        </w:rPr>
        <w:t>1008.65</w:t>
      </w:r>
      <w:r>
        <w:rPr>
          <w:rFonts w:hint="eastAsia" w:ascii="仿宋" w:hAnsi="仿宋" w:eastAsia="仿宋"/>
          <w:sz w:val="32"/>
          <w:szCs w:val="32"/>
        </w:rPr>
        <w:t>万元，其中：</w:t>
      </w:r>
    </w:p>
    <w:p w14:paraId="25AEF6E9">
      <w:pPr>
        <w:spacing w:beforeLines="0" w:afterLines="0" w:line="576" w:lineRule="exact"/>
        <w:ind w:firstLine="643"/>
        <w:jc w:val="both"/>
        <w:rPr>
          <w:rFonts w:ascii="仿宋" w:hAnsi="仿宋" w:eastAsia="仿宋"/>
          <w:sz w:val="32"/>
          <w:szCs w:val="32"/>
        </w:rPr>
      </w:pPr>
      <w:r>
        <w:rPr>
          <w:rFonts w:hint="eastAsia" w:ascii="仿宋" w:hAnsi="仿宋" w:eastAsia="仿宋"/>
          <w:sz w:val="32"/>
          <w:szCs w:val="32"/>
        </w:rPr>
        <w:t>人员经费</w:t>
      </w:r>
      <w:r>
        <w:rPr>
          <w:sz w:val="32"/>
          <w:szCs w:val="32"/>
        </w:rPr>
        <w:t>875.31</w:t>
      </w:r>
      <w:r>
        <w:rPr>
          <w:rFonts w:hint="eastAsia" w:ascii="仿宋" w:hAnsi="仿宋" w:eastAsia="仿宋"/>
          <w:sz w:val="32"/>
          <w:szCs w:val="32"/>
        </w:rPr>
        <w:t>万元，主要包括：</w:t>
      </w:r>
      <w:r>
        <w:rPr>
          <w:rFonts w:hint="eastAsia" w:ascii="仿宋" w:hAnsi="仿宋" w:eastAsia="仿宋"/>
          <w:color w:val="auto"/>
          <w:kern w:val="2"/>
          <w:sz w:val="32"/>
          <w:lang w:val="en-US"/>
        </w:rPr>
        <w:t>基本工资、津贴补贴、奖金、伙食补助费、绩效工资、机关事业单位基本养老保险缴费、职业年金缴费、职工基本医疗保险缴费</w:t>
      </w:r>
      <w:r>
        <w:rPr>
          <w:rFonts w:hint="eastAsia" w:ascii="仿宋" w:hAnsi="仿宋" w:eastAsia="仿宋"/>
          <w:color w:val="auto"/>
          <w:kern w:val="2"/>
          <w:sz w:val="32"/>
          <w:lang w:val="en-US" w:eastAsia="zh-CN"/>
        </w:rPr>
        <w:t>、公务员医疗补助缴费、</w:t>
      </w:r>
      <w:r>
        <w:rPr>
          <w:rFonts w:hint="eastAsia" w:ascii="仿宋" w:hAnsi="仿宋" w:eastAsia="仿宋"/>
          <w:color w:val="auto"/>
          <w:kern w:val="2"/>
          <w:sz w:val="32"/>
          <w:lang w:val="en-US"/>
        </w:rPr>
        <w:t>其他社会保障缴费、住房公积金</w:t>
      </w:r>
      <w:r>
        <w:rPr>
          <w:rFonts w:hint="eastAsia" w:ascii="仿宋" w:hAnsi="仿宋" w:eastAsia="仿宋"/>
          <w:color w:val="auto"/>
          <w:kern w:val="2"/>
          <w:sz w:val="32"/>
          <w:lang w:val="en-US" w:eastAsia="zh-CN"/>
        </w:rPr>
        <w:t>、其他工资福利支出、抚恤金、生活补助、其他对个人和家庭的补助</w:t>
      </w:r>
      <w:r>
        <w:rPr>
          <w:rFonts w:hint="eastAsia" w:ascii="仿宋" w:hAnsi="仿宋" w:eastAsia="仿宋"/>
          <w:color w:val="auto"/>
          <w:kern w:val="2"/>
          <w:sz w:val="32"/>
          <w:lang w:val="en-US"/>
        </w:rPr>
        <w:t>等</w:t>
      </w:r>
      <w:r>
        <w:rPr>
          <w:rFonts w:hint="eastAsia" w:ascii="仿宋_GB2312" w:hAnsi="仿宋_GB2312" w:eastAsia="仿宋_GB2312"/>
          <w:color w:val="000000"/>
          <w:kern w:val="2"/>
          <w:sz w:val="32"/>
          <w:lang w:val="zh-CN"/>
        </w:rPr>
        <w:t>。</w:t>
      </w:r>
      <w:r>
        <w:rPr>
          <w:rFonts w:ascii="仿宋" w:hAnsi="仿宋" w:eastAsia="仿宋"/>
          <w:sz w:val="32"/>
          <w:szCs w:val="32"/>
        </w:rPr>
        <w:br w:type="textWrapping"/>
      </w:r>
      <w:r>
        <w:rPr>
          <w:rFonts w:hint="eastAsia" w:ascii="仿宋" w:hAnsi="仿宋" w:eastAsia="仿宋"/>
          <w:sz w:val="32"/>
          <w:szCs w:val="32"/>
        </w:rPr>
        <w:t>　　公用经费</w:t>
      </w:r>
      <w:r>
        <w:rPr>
          <w:sz w:val="32"/>
          <w:szCs w:val="32"/>
        </w:rPr>
        <w:t>133.34</w:t>
      </w:r>
      <w:r>
        <w:rPr>
          <w:rFonts w:hint="eastAsia" w:ascii="仿宋" w:hAnsi="仿宋" w:eastAsia="仿宋"/>
          <w:sz w:val="32"/>
          <w:szCs w:val="32"/>
        </w:rPr>
        <w:t>万元，主要包括：</w:t>
      </w:r>
      <w:r>
        <w:rPr>
          <w:rFonts w:hint="eastAsia" w:ascii="仿宋" w:hAnsi="仿宋" w:eastAsia="仿宋"/>
          <w:color w:val="auto"/>
          <w:kern w:val="2"/>
          <w:sz w:val="32"/>
          <w:lang w:val="en-US"/>
        </w:rPr>
        <w:t>办公费、印刷费、电费、邮电费</w:t>
      </w:r>
      <w:r>
        <w:rPr>
          <w:rFonts w:hint="eastAsia" w:ascii="仿宋" w:hAnsi="仿宋" w:eastAsia="仿宋"/>
          <w:color w:val="auto"/>
          <w:kern w:val="2"/>
          <w:sz w:val="32"/>
          <w:lang w:val="en-US" w:eastAsia="zh-CN"/>
        </w:rPr>
        <w:t>、</w:t>
      </w:r>
      <w:r>
        <w:rPr>
          <w:rFonts w:hint="eastAsia" w:ascii="仿宋" w:hAnsi="仿宋" w:eastAsia="仿宋"/>
          <w:color w:val="auto"/>
          <w:kern w:val="2"/>
          <w:sz w:val="32"/>
          <w:lang w:val="en-US"/>
        </w:rPr>
        <w:t>差旅费、公务接待费、劳务费</w:t>
      </w:r>
      <w:r>
        <w:rPr>
          <w:rFonts w:hint="eastAsia" w:ascii="仿宋" w:hAnsi="仿宋" w:eastAsia="仿宋"/>
          <w:color w:val="auto"/>
          <w:kern w:val="2"/>
          <w:sz w:val="32"/>
          <w:lang w:val="en-US" w:eastAsia="zh-CN"/>
        </w:rPr>
        <w:t>、</w:t>
      </w:r>
      <w:r>
        <w:rPr>
          <w:rFonts w:hint="eastAsia" w:ascii="仿宋" w:hAnsi="仿宋" w:eastAsia="仿宋"/>
          <w:color w:val="auto"/>
          <w:kern w:val="2"/>
          <w:sz w:val="32"/>
          <w:lang w:val="en-US"/>
        </w:rPr>
        <w:t>工会经费、福利费、公务用车运行维护费、其他交通费等</w:t>
      </w:r>
      <w:r>
        <w:rPr>
          <w:rFonts w:hint="eastAsia" w:ascii="仿宋_GB2312" w:hAnsi="仿宋_GB2312" w:eastAsia="仿宋_GB2312"/>
          <w:color w:val="000000"/>
          <w:kern w:val="2"/>
          <w:sz w:val="32"/>
          <w:lang w:val="zh-CN"/>
        </w:rPr>
        <w:t>。</w:t>
      </w:r>
    </w:p>
    <w:p w14:paraId="30309AFA">
      <w:pPr>
        <w:spacing w:line="600" w:lineRule="exact"/>
        <w:ind w:firstLine="645"/>
        <w:rPr>
          <w:rFonts w:ascii="仿宋" w:hAnsi="仿宋" w:eastAsia="仿宋"/>
          <w:b/>
          <w:sz w:val="32"/>
          <w:szCs w:val="32"/>
        </w:rPr>
      </w:pPr>
      <w:r>
        <w:rPr>
          <w:rFonts w:hint="eastAsia" w:ascii="仿宋" w:hAnsi="仿宋" w:eastAsia="仿宋"/>
          <w:b/>
          <w:sz w:val="32"/>
          <w:szCs w:val="32"/>
        </w:rPr>
        <w:t>（注：数据来源于财决</w:t>
      </w:r>
      <w:r>
        <w:rPr>
          <w:rFonts w:ascii="仿宋" w:hAnsi="仿宋" w:eastAsia="仿宋"/>
          <w:b/>
          <w:sz w:val="32"/>
          <w:szCs w:val="32"/>
        </w:rPr>
        <w:t>0</w:t>
      </w:r>
      <w:r>
        <w:rPr>
          <w:rFonts w:hint="eastAsia" w:ascii="仿宋" w:hAnsi="仿宋" w:eastAsia="仿宋"/>
          <w:b/>
          <w:sz w:val="32"/>
          <w:szCs w:val="32"/>
        </w:rPr>
        <w:t>7表和财决08-1表，仅罗列本</w:t>
      </w:r>
      <w:r>
        <w:rPr>
          <w:rFonts w:hint="eastAsia" w:ascii="仿宋" w:hAnsi="仿宋" w:eastAsia="仿宋"/>
          <w:b/>
          <w:sz w:val="32"/>
          <w:szCs w:val="32"/>
          <w:lang w:eastAsia="zh-CN"/>
        </w:rPr>
        <w:t>单位</w:t>
      </w:r>
      <w:r>
        <w:rPr>
          <w:rFonts w:hint="eastAsia" w:ascii="仿宋" w:hAnsi="仿宋" w:eastAsia="仿宋"/>
          <w:b/>
          <w:sz w:val="32"/>
          <w:szCs w:val="32"/>
        </w:rPr>
        <w:t>实际支出涉及的经济分类科目）</w:t>
      </w:r>
    </w:p>
    <w:p w14:paraId="4965007C">
      <w:pPr>
        <w:spacing w:line="600" w:lineRule="exact"/>
        <w:ind w:firstLine="640"/>
        <w:rPr>
          <w:rFonts w:ascii="仿宋" w:hAnsi="仿宋" w:eastAsia="仿宋"/>
          <w:b/>
          <w:sz w:val="32"/>
          <w:szCs w:val="32"/>
        </w:rPr>
      </w:pPr>
    </w:p>
    <w:p w14:paraId="650AA11B">
      <w:pPr>
        <w:spacing w:line="600" w:lineRule="exact"/>
        <w:ind w:firstLine="640"/>
        <w:outlineLvl w:val="1"/>
        <w:rPr>
          <w:rStyle w:val="32"/>
          <w:rFonts w:ascii="黑体" w:hAnsi="黑体" w:eastAsia="黑体"/>
          <w:b w:val="0"/>
        </w:rPr>
      </w:pPr>
      <w:bookmarkStart w:id="36" w:name="_Toc15377215"/>
      <w:bookmarkStart w:id="37" w:name="_Toc15396609"/>
      <w:r>
        <w:rPr>
          <w:rFonts w:hint="eastAsia" w:ascii="黑体" w:eastAsia="黑体"/>
          <w:sz w:val="32"/>
          <w:szCs w:val="32"/>
        </w:rPr>
        <w:t>七、</w:t>
      </w:r>
      <w:r>
        <w:rPr>
          <w:rStyle w:val="32"/>
          <w:rFonts w:hint="eastAsia" w:ascii="黑体" w:hAnsi="黑体" w:eastAsia="黑体"/>
          <w:b w:val="0"/>
        </w:rPr>
        <w:t>财政拨款</w:t>
      </w:r>
      <w:r>
        <w:rPr>
          <w:rStyle w:val="32"/>
          <w:rFonts w:hint="eastAsia" w:ascii="黑体" w:hAnsi="黑体" w:eastAsia="黑体"/>
        </w:rPr>
        <w:t>“</w:t>
      </w:r>
      <w:r>
        <w:rPr>
          <w:rStyle w:val="32"/>
          <w:rFonts w:hint="eastAsia" w:ascii="黑体" w:hAnsi="黑体" w:eastAsia="黑体"/>
          <w:b w:val="0"/>
        </w:rPr>
        <w:t>三公”经费支出决算情况说明</w:t>
      </w:r>
      <w:bookmarkEnd w:id="36"/>
      <w:bookmarkEnd w:id="37"/>
    </w:p>
    <w:p w14:paraId="622BEAB5">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14:paraId="7ECD1240">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2023年度“三公”经费财政拨款支出决算为</w:t>
      </w:r>
      <w:r>
        <w:rPr>
          <w:sz w:val="32"/>
          <w:szCs w:val="32"/>
        </w:rPr>
        <w:t>58.28</w:t>
      </w:r>
      <w:r>
        <w:rPr>
          <w:rFonts w:hint="eastAsia" w:ascii="仿宋" w:hAnsi="仿宋" w:eastAsia="仿宋"/>
          <w:sz w:val="32"/>
          <w:szCs w:val="32"/>
        </w:rPr>
        <w:t>万元，完成预算</w:t>
      </w:r>
      <w:r>
        <w:rPr>
          <w:sz w:val="32"/>
          <w:szCs w:val="32"/>
        </w:rPr>
        <w:t>90.41</w:t>
      </w:r>
      <w:r>
        <w:rPr>
          <w:rFonts w:ascii="仿宋" w:hAnsi="仿宋" w:eastAsia="仿宋"/>
          <w:sz w:val="32"/>
          <w:szCs w:val="32"/>
        </w:rPr>
        <w:t>%</w:t>
      </w:r>
      <w:r>
        <w:rPr>
          <w:rFonts w:hint="eastAsia" w:ascii="仿宋" w:hAnsi="仿宋" w:eastAsia="仿宋"/>
          <w:sz w:val="32"/>
          <w:szCs w:val="32"/>
        </w:rPr>
        <w:t>，较上年度增加</w:t>
      </w:r>
      <w:r>
        <w:rPr>
          <w:rFonts w:hint="eastAsia" w:ascii="仿宋" w:hAnsi="仿宋" w:eastAsia="仿宋"/>
          <w:sz w:val="32"/>
          <w:szCs w:val="32"/>
          <w:lang w:val="en-US" w:eastAsia="zh-CN"/>
        </w:rPr>
        <w:t>52.26</w:t>
      </w:r>
      <w:r>
        <w:rPr>
          <w:rFonts w:hint="eastAsia" w:ascii="仿宋" w:hAnsi="仿宋" w:eastAsia="仿宋"/>
          <w:sz w:val="32"/>
          <w:szCs w:val="32"/>
        </w:rPr>
        <w:t>万元，增长</w:t>
      </w:r>
      <w:r>
        <w:rPr>
          <w:rFonts w:hint="eastAsia" w:ascii="仿宋" w:hAnsi="仿宋" w:eastAsia="仿宋"/>
          <w:sz w:val="32"/>
          <w:szCs w:val="32"/>
          <w:lang w:val="en-US" w:eastAsia="zh-CN"/>
        </w:rPr>
        <w:t>868.1</w:t>
      </w:r>
      <w:r>
        <w:rPr>
          <w:rFonts w:hint="eastAsia" w:ascii="仿宋" w:hAnsi="仿宋" w:eastAsia="仿宋"/>
          <w:sz w:val="32"/>
          <w:szCs w:val="32"/>
        </w:rPr>
        <w:t>%。决算数小于预算数的主要原因是</w:t>
      </w:r>
      <w:r>
        <w:rPr>
          <w:rFonts w:hint="eastAsia" w:ascii="仿宋_GB2312" w:hAnsi="仿宋_GB2312" w:eastAsia="仿宋_GB2312"/>
          <w:color w:val="000000"/>
          <w:kern w:val="2"/>
          <w:sz w:val="32"/>
          <w:lang w:val="zh-CN"/>
        </w:rPr>
        <w:t>厉行节约</w:t>
      </w:r>
      <w:r>
        <w:rPr>
          <w:rFonts w:hint="eastAsia" w:ascii="仿宋" w:hAnsi="仿宋" w:eastAsia="仿宋"/>
          <w:sz w:val="32"/>
          <w:szCs w:val="32"/>
        </w:rPr>
        <w:t>。</w:t>
      </w:r>
    </w:p>
    <w:p w14:paraId="1AC65743">
      <w:pPr>
        <w:spacing w:line="600" w:lineRule="exact"/>
        <w:ind w:firstLine="640"/>
        <w:rPr>
          <w:rFonts w:ascii="仿宋" w:hAnsi="仿宋" w:eastAsia="仿宋"/>
          <w:b/>
          <w:sz w:val="32"/>
          <w:szCs w:val="32"/>
        </w:rPr>
      </w:pPr>
      <w:r>
        <w:rPr>
          <w:rFonts w:hint="eastAsia" w:ascii="仿宋" w:hAnsi="仿宋" w:eastAsia="仿宋"/>
          <w:b/>
          <w:sz w:val="32"/>
          <w:szCs w:val="32"/>
        </w:rPr>
        <w:t>（注：上述“预算”口径为全年预算数，包括一般公共预算和政府性基金预算财政拨款支出决算情况）</w:t>
      </w:r>
    </w:p>
    <w:p w14:paraId="6AB43710">
      <w:pPr>
        <w:spacing w:line="600" w:lineRule="exact"/>
        <w:ind w:firstLine="640"/>
        <w:outlineLvl w:val="2"/>
        <w:rPr>
          <w:rFonts w:ascii="仿宋" w:hAnsi="仿宋" w:eastAsia="仿宋"/>
          <w:b/>
          <w:sz w:val="32"/>
          <w:szCs w:val="32"/>
        </w:rPr>
      </w:pPr>
      <w:bookmarkStart w:id="39" w:name="_Toc15377217"/>
      <w:r>
        <w:rPr>
          <w:rFonts w:hint="eastAsia" w:ascii="仿宋" w:hAnsi="仿宋" w:eastAsia="仿宋"/>
          <w:b/>
          <w:sz w:val="32"/>
          <w:szCs w:val="32"/>
        </w:rPr>
        <w:t>（二）“三公”经费财政拨款支出决算具体情况说明</w:t>
      </w:r>
      <w:bookmarkEnd w:id="39"/>
    </w:p>
    <w:p w14:paraId="41B051EA">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2023年度“三公”经费财政拨款支出决算中，因公出国（境）费支出决算</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sz w:val="32"/>
          <w:szCs w:val="32"/>
        </w:rPr>
        <w:t>54.96</w:t>
      </w:r>
      <w:r>
        <w:rPr>
          <w:rFonts w:hint="eastAsia" w:ascii="仿宋" w:hAnsi="仿宋" w:eastAsia="仿宋"/>
          <w:sz w:val="32"/>
          <w:szCs w:val="32"/>
        </w:rPr>
        <w:t>万元，占</w:t>
      </w:r>
      <w:r>
        <w:rPr>
          <w:sz w:val="32"/>
          <w:szCs w:val="32"/>
        </w:rPr>
        <w:t>94.3</w:t>
      </w:r>
      <w:r>
        <w:rPr>
          <w:rFonts w:ascii="仿宋" w:hAnsi="仿宋" w:eastAsia="仿宋"/>
          <w:sz w:val="32"/>
          <w:szCs w:val="32"/>
        </w:rPr>
        <w:t>%</w:t>
      </w:r>
      <w:r>
        <w:rPr>
          <w:rFonts w:hint="eastAsia" w:ascii="仿宋" w:hAnsi="仿宋" w:eastAsia="仿宋"/>
          <w:sz w:val="32"/>
          <w:szCs w:val="32"/>
        </w:rPr>
        <w:t>；公务接待费支出决算</w:t>
      </w:r>
      <w:r>
        <w:rPr>
          <w:sz w:val="32"/>
          <w:szCs w:val="32"/>
        </w:rPr>
        <w:t>3.32</w:t>
      </w:r>
      <w:r>
        <w:rPr>
          <w:rFonts w:hint="eastAsia" w:ascii="仿宋" w:hAnsi="仿宋" w:eastAsia="仿宋"/>
          <w:sz w:val="32"/>
          <w:szCs w:val="32"/>
        </w:rPr>
        <w:t>万元，占</w:t>
      </w:r>
      <w:r>
        <w:rPr>
          <w:sz w:val="32"/>
          <w:szCs w:val="32"/>
        </w:rPr>
        <w:t>5.69</w:t>
      </w:r>
      <w:r>
        <w:rPr>
          <w:rFonts w:ascii="仿宋" w:hAnsi="仿宋" w:eastAsia="仿宋"/>
          <w:sz w:val="32"/>
          <w:szCs w:val="32"/>
        </w:rPr>
        <w:t>%</w:t>
      </w:r>
      <w:r>
        <w:rPr>
          <w:rFonts w:hint="eastAsia" w:ascii="仿宋" w:hAnsi="仿宋" w:eastAsia="仿宋"/>
          <w:sz w:val="32"/>
          <w:szCs w:val="32"/>
        </w:rPr>
        <w:t>。具体情况如下：</w:t>
      </w:r>
    </w:p>
    <w:p w14:paraId="78CCDD90">
      <w:pPr>
        <w:spacing w:line="600" w:lineRule="exact"/>
        <w:ind w:firstLine="640"/>
        <w:rPr>
          <w:rFonts w:hint="eastAsia" w:ascii="仿宋" w:hAnsi="仿宋" w:eastAsia="仿宋"/>
          <w:sz w:val="32"/>
          <w:szCs w:val="32"/>
        </w:rPr>
      </w:pPr>
      <w:r>
        <w:rPr>
          <w:rFonts w:hint="eastAsia" w:ascii="仿宋" w:hAnsi="仿宋" w:eastAsia="仿宋"/>
          <w:sz w:val="32"/>
          <w:szCs w:val="32"/>
        </w:rPr>
        <w:t>（图7：“三公”经费财政拨款支出结构）（饼状图）</w:t>
      </w:r>
    </w:p>
    <w:p w14:paraId="12C78C05">
      <w:pPr>
        <w:pStyle w:val="17"/>
      </w:pPr>
      <w:r>
        <w:drawing>
          <wp:inline distT="0" distB="0" distL="114300" distR="114300">
            <wp:extent cx="4572000" cy="2743200"/>
            <wp:effectExtent l="4445" t="4445" r="14605" b="14605"/>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1B69FD">
      <w:pPr>
        <w:numPr>
          <w:ilvl w:val="0"/>
          <w:numId w:val="3"/>
        </w:numPr>
        <w:spacing w:line="600" w:lineRule="exact"/>
        <w:ind w:firstLine="640"/>
        <w:rPr>
          <w:rFonts w:hint="eastAsia" w:ascii="仿宋_GB2312" w:eastAsia="仿宋_GB2312"/>
          <w:sz w:val="32"/>
          <w:szCs w:val="32"/>
          <w:lang w:eastAsia="zh-CN"/>
        </w:rPr>
      </w:pPr>
      <w:r>
        <w:rPr>
          <w:rFonts w:hint="eastAsia" w:ascii="仿宋_GB2312" w:eastAsia="仿宋_GB2312"/>
          <w:b/>
          <w:sz w:val="32"/>
          <w:szCs w:val="32"/>
        </w:rPr>
        <w:t>因公出国（境）经费支出</w:t>
      </w:r>
      <w:r>
        <w:rPr>
          <w:sz w:val="32"/>
          <w:szCs w:val="32"/>
        </w:rPr>
        <w:t>0</w:t>
      </w:r>
      <w:r>
        <w:rPr>
          <w:rFonts w:hint="eastAsia" w:ascii="仿宋_GB2312" w:eastAsia="仿宋_GB2312"/>
          <w:sz w:val="32"/>
          <w:szCs w:val="32"/>
        </w:rPr>
        <w:t>万元，</w:t>
      </w:r>
      <w:r>
        <w:rPr>
          <w:rStyle w:val="21"/>
          <w:rFonts w:hint="eastAsia" w:ascii="仿宋" w:hAnsi="仿宋" w:eastAsia="仿宋"/>
          <w:b w:val="0"/>
          <w:bCs/>
          <w:sz w:val="32"/>
          <w:szCs w:val="32"/>
        </w:rPr>
        <w:t>完成预算</w:t>
      </w:r>
      <w:r>
        <w:rPr>
          <w:sz w:val="32"/>
          <w:szCs w:val="32"/>
        </w:rPr>
        <w:t>0</w:t>
      </w:r>
      <w:r>
        <w:rPr>
          <w:rStyle w:val="21"/>
          <w:rFonts w:ascii="仿宋" w:hAnsi="仿宋" w:eastAsia="仿宋"/>
          <w:b w:val="0"/>
          <w:bCs/>
          <w:sz w:val="32"/>
          <w:szCs w:val="32"/>
        </w:rPr>
        <w:t>%</w:t>
      </w:r>
      <w:r>
        <w:rPr>
          <w:rStyle w:val="21"/>
          <w:rFonts w:hint="eastAsia" w:ascii="仿宋" w:hAnsi="仿宋" w:eastAsia="仿宋"/>
          <w:b w:val="0"/>
          <w:bCs/>
          <w:sz w:val="32"/>
          <w:szCs w:val="32"/>
        </w:rPr>
        <w:t>。</w:t>
      </w:r>
      <w:r>
        <w:rPr>
          <w:rFonts w:hint="eastAsia" w:ascii="仿宋_GB2312" w:eastAsia="仿宋_GB2312"/>
          <w:sz w:val="32"/>
          <w:szCs w:val="32"/>
        </w:rPr>
        <w:t>全年安排因公出国（境）团组</w:t>
      </w:r>
      <w:r>
        <w:rPr>
          <w:sz w:val="32"/>
          <w:szCs w:val="32"/>
        </w:rPr>
        <w:t>0</w:t>
      </w:r>
      <w:r>
        <w:rPr>
          <w:rFonts w:hint="eastAsia" w:ascii="仿宋_GB2312" w:eastAsia="仿宋_GB2312"/>
          <w:sz w:val="32"/>
          <w:szCs w:val="32"/>
        </w:rPr>
        <w:t>次，出国（境）</w:t>
      </w:r>
      <w:r>
        <w:rPr>
          <w:sz w:val="32"/>
          <w:szCs w:val="32"/>
        </w:rPr>
        <w:t>0</w:t>
      </w:r>
      <w:r>
        <w:rPr>
          <w:rFonts w:hint="eastAsia" w:ascii="仿宋_GB2312" w:eastAsia="仿宋_GB2312"/>
          <w:sz w:val="32"/>
          <w:szCs w:val="32"/>
        </w:rPr>
        <w:t>人。因公出国（境）支出决算比2022年</w:t>
      </w:r>
      <w:r>
        <w:rPr>
          <w:rFonts w:hint="eastAsia" w:ascii="仿宋_GB2312" w:eastAsia="仿宋_GB2312"/>
          <w:sz w:val="32"/>
          <w:szCs w:val="32"/>
          <w:lang w:eastAsia="zh-CN"/>
        </w:rPr>
        <w:t>持平。</w:t>
      </w:r>
    </w:p>
    <w:p w14:paraId="42761700">
      <w:pPr>
        <w:numPr>
          <w:ilvl w:val="0"/>
          <w:numId w:val="0"/>
        </w:numPr>
        <w:spacing w:line="600" w:lineRule="exact"/>
        <w:ind w:firstLine="643" w:firstLineChars="20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sz w:val="32"/>
          <w:szCs w:val="32"/>
        </w:rPr>
        <w:t>54.96</w:t>
      </w:r>
      <w:r>
        <w:rPr>
          <w:rFonts w:hint="eastAsia" w:ascii="仿宋_GB2312" w:eastAsia="仿宋_GB2312"/>
          <w:sz w:val="32"/>
          <w:szCs w:val="32"/>
        </w:rPr>
        <w:t>万元</w:t>
      </w:r>
      <w:r>
        <w:rPr>
          <w:rFonts w:hint="eastAsia" w:ascii="仿宋_GB2312" w:eastAsia="仿宋_GB2312"/>
          <w:sz w:val="32"/>
          <w:szCs w:val="32"/>
          <w:lang w:eastAsia="zh-CN"/>
        </w:rPr>
        <w:t>，</w:t>
      </w:r>
      <w:r>
        <w:rPr>
          <w:rStyle w:val="21"/>
          <w:rFonts w:hint="eastAsia" w:ascii="仿宋" w:hAnsi="仿宋" w:eastAsia="仿宋"/>
          <w:b w:val="0"/>
          <w:bCs/>
          <w:sz w:val="32"/>
          <w:szCs w:val="32"/>
        </w:rPr>
        <w:t>完成预算</w:t>
      </w:r>
      <w:r>
        <w:rPr>
          <w:sz w:val="32"/>
          <w:szCs w:val="32"/>
        </w:rPr>
        <w:t>100</w:t>
      </w:r>
      <w:r>
        <w:rPr>
          <w:rStyle w:val="21"/>
          <w:rFonts w:ascii="仿宋" w:hAnsi="仿宋" w:eastAsia="仿宋"/>
          <w:b w:val="0"/>
          <w:bCs/>
          <w:sz w:val="32"/>
          <w:szCs w:val="32"/>
        </w:rPr>
        <w:t>%</w:t>
      </w:r>
      <w:r>
        <w:rPr>
          <w:rStyle w:val="21"/>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公务用车购置及运行维护费支出决算比2022年度增加</w:t>
      </w:r>
      <w:r>
        <w:rPr>
          <w:rFonts w:hint="eastAsia" w:ascii="仿宋_GB2312" w:eastAsia="仿宋_GB2312"/>
          <w:sz w:val="32"/>
          <w:szCs w:val="32"/>
          <w:lang w:val="en-US" w:eastAsia="zh-CN"/>
        </w:rPr>
        <w:t>50.8</w:t>
      </w:r>
      <w:r>
        <w:rPr>
          <w:rFonts w:hint="eastAsia" w:ascii="仿宋_GB2312" w:eastAsia="仿宋_GB2312"/>
          <w:sz w:val="32"/>
          <w:szCs w:val="32"/>
        </w:rPr>
        <w:t>万元，增长</w:t>
      </w:r>
      <w:r>
        <w:rPr>
          <w:rFonts w:hint="eastAsia" w:ascii="仿宋_GB2312" w:eastAsia="仿宋_GB2312"/>
          <w:sz w:val="32"/>
          <w:szCs w:val="32"/>
          <w:lang w:val="en-US" w:eastAsia="zh-CN"/>
        </w:rPr>
        <w:t>1221.1</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购买新的公务用车</w:t>
      </w:r>
      <w:r>
        <w:rPr>
          <w:rFonts w:hint="eastAsia" w:ascii="仿宋_GB2312" w:eastAsia="仿宋_GB2312"/>
          <w:sz w:val="32"/>
          <w:szCs w:val="32"/>
          <w:lang w:val="en-US" w:eastAsia="zh-CN"/>
        </w:rPr>
        <w:t>2辆</w:t>
      </w:r>
      <w:r>
        <w:rPr>
          <w:rFonts w:hint="eastAsia" w:ascii="仿宋_GB2312" w:eastAsia="仿宋_GB2312"/>
          <w:sz w:val="32"/>
          <w:szCs w:val="32"/>
        </w:rPr>
        <w:t>。</w:t>
      </w:r>
    </w:p>
    <w:p w14:paraId="4101B516">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sz w:val="32"/>
          <w:szCs w:val="32"/>
        </w:rPr>
        <w:t>49.96</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2</w:t>
      </w:r>
      <w:r>
        <w:rPr>
          <w:rFonts w:hint="eastAsia" w:ascii="仿宋_GB2312" w:eastAsia="仿宋_GB2312"/>
          <w:sz w:val="32"/>
          <w:szCs w:val="32"/>
        </w:rPr>
        <w:t>辆，其中：</w:t>
      </w:r>
      <w:r>
        <w:rPr>
          <w:rFonts w:hint="eastAsia" w:ascii="仿宋_GB2312" w:eastAsia="仿宋_GB2312"/>
          <w:sz w:val="32"/>
          <w:szCs w:val="32"/>
          <w:lang w:eastAsia="zh-CN"/>
        </w:rPr>
        <w:t>轿车</w:t>
      </w:r>
      <w:r>
        <w:rPr>
          <w:rFonts w:hint="eastAsia" w:ascii="仿宋_GB2312" w:eastAsia="仿宋_GB2312"/>
          <w:sz w:val="32"/>
          <w:szCs w:val="32"/>
          <w:lang w:val="en-US" w:eastAsia="zh-CN"/>
        </w:rPr>
        <w:t>0辆、金额0万元，</w:t>
      </w:r>
      <w:r>
        <w:rPr>
          <w:rFonts w:hint="eastAsia" w:ascii="仿宋_GB2312" w:eastAsia="仿宋_GB2312"/>
          <w:sz w:val="32"/>
          <w:szCs w:val="32"/>
        </w:rPr>
        <w:t>越野车</w:t>
      </w:r>
      <w:r>
        <w:rPr>
          <w:rFonts w:hint="eastAsia" w:ascii="仿宋_GB2312" w:eastAsia="仿宋_GB2312"/>
          <w:sz w:val="32"/>
          <w:szCs w:val="32"/>
          <w:lang w:val="en-US" w:eastAsia="zh-CN"/>
        </w:rPr>
        <w:t>2</w:t>
      </w:r>
      <w:r>
        <w:rPr>
          <w:rFonts w:hint="eastAsia" w:ascii="仿宋_GB2312" w:eastAsia="仿宋_GB2312"/>
          <w:sz w:val="32"/>
          <w:szCs w:val="32"/>
        </w:rPr>
        <w:t>辆、金额</w:t>
      </w:r>
      <w:r>
        <w:rPr>
          <w:rFonts w:hint="eastAsia" w:ascii="仿宋_GB2312" w:eastAsia="仿宋_GB2312"/>
          <w:sz w:val="32"/>
          <w:szCs w:val="32"/>
          <w:lang w:val="en-US" w:eastAsia="zh-CN"/>
        </w:rPr>
        <w:t>49.96</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eastAsia" w:ascii="仿宋_GB2312" w:eastAsia="仿宋_GB2312"/>
          <w:sz w:val="32"/>
          <w:szCs w:val="32"/>
          <w:lang w:eastAsia="zh-CN"/>
        </w:rPr>
        <w:t>，</w:t>
      </w:r>
      <w:r>
        <w:rPr>
          <w:rFonts w:hint="eastAsia" w:ascii="仿宋_GB2312" w:eastAsia="仿宋_GB2312"/>
          <w:sz w:val="32"/>
          <w:szCs w:val="32"/>
        </w:rPr>
        <w:t>主要用于</w:t>
      </w:r>
      <w:r>
        <w:rPr>
          <w:rFonts w:hint="eastAsia" w:ascii="仿宋_GB2312" w:eastAsia="仿宋_GB2312"/>
          <w:sz w:val="32"/>
          <w:szCs w:val="32"/>
          <w:lang w:eastAsia="zh-CN"/>
        </w:rPr>
        <w:t>日常公务活动</w:t>
      </w: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2</w:t>
      </w:r>
      <w:r>
        <w:rPr>
          <w:rFonts w:hint="eastAsia" w:ascii="仿宋_GB2312" w:eastAsia="仿宋_GB2312"/>
          <w:sz w:val="32"/>
          <w:szCs w:val="32"/>
        </w:rPr>
        <w:t>辆，其中：其中：轿车</w:t>
      </w:r>
      <w:r>
        <w:rPr>
          <w:rFonts w:hint="eastAsia" w:ascii="仿宋_GB2312" w:eastAsia="仿宋_GB2312"/>
          <w:sz w:val="32"/>
          <w:szCs w:val="32"/>
          <w:lang w:val="en-US" w:eastAsia="zh-CN"/>
        </w:rPr>
        <w:t>0</w:t>
      </w:r>
      <w:r>
        <w:rPr>
          <w:rFonts w:hint="eastAsia" w:ascii="仿宋_GB2312" w:eastAsia="仿宋_GB2312"/>
          <w:sz w:val="32"/>
          <w:szCs w:val="32"/>
        </w:rPr>
        <w:t>辆、越野车</w:t>
      </w:r>
      <w:r>
        <w:rPr>
          <w:rFonts w:hint="eastAsia" w:ascii="仿宋_GB2312" w:eastAsia="仿宋_GB2312"/>
          <w:sz w:val="32"/>
          <w:szCs w:val="32"/>
          <w:lang w:val="en-US" w:eastAsia="zh-CN"/>
        </w:rPr>
        <w:t>2</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14:paraId="5DC4794A">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sz w:val="32"/>
          <w:szCs w:val="32"/>
        </w:rPr>
        <w:t>5</w:t>
      </w:r>
      <w:r>
        <w:rPr>
          <w:rFonts w:hint="eastAsia" w:ascii="仿宋_GB2312" w:eastAsia="仿宋_GB2312"/>
          <w:sz w:val="32"/>
          <w:szCs w:val="32"/>
        </w:rPr>
        <w:t>万元。主要用于</w:t>
      </w:r>
      <w:r>
        <w:rPr>
          <w:rFonts w:hint="eastAsia" w:ascii="仿宋_GB2312" w:eastAsia="仿宋_GB2312"/>
          <w:sz w:val="32"/>
          <w:szCs w:val="32"/>
          <w:lang w:eastAsia="zh-CN"/>
        </w:rPr>
        <w:t>乡村振兴、耕地保护、环保</w:t>
      </w:r>
      <w:r>
        <w:rPr>
          <w:rFonts w:hint="eastAsia" w:ascii="仿宋_GB2312" w:eastAsia="仿宋_GB2312"/>
          <w:sz w:val="32"/>
          <w:szCs w:val="32"/>
        </w:rPr>
        <w:t>等所需的公务用车燃料费、维修费、过路过桥费、保险费等支出。</w:t>
      </w:r>
    </w:p>
    <w:p w14:paraId="4A40BA81">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sz w:val="32"/>
          <w:szCs w:val="32"/>
        </w:rPr>
        <w:t>3.32</w:t>
      </w:r>
      <w:r>
        <w:rPr>
          <w:rFonts w:hint="eastAsia" w:ascii="仿宋_GB2312" w:eastAsia="仿宋_GB2312"/>
          <w:sz w:val="32"/>
          <w:szCs w:val="32"/>
        </w:rPr>
        <w:t>万元，</w:t>
      </w:r>
      <w:r>
        <w:rPr>
          <w:rStyle w:val="21"/>
          <w:rFonts w:hint="eastAsia" w:ascii="仿宋" w:hAnsi="仿宋" w:eastAsia="仿宋"/>
          <w:b w:val="0"/>
          <w:bCs/>
          <w:sz w:val="32"/>
          <w:szCs w:val="32"/>
        </w:rPr>
        <w:t>完成预算</w:t>
      </w:r>
      <w:r>
        <w:rPr>
          <w:sz w:val="32"/>
          <w:szCs w:val="32"/>
        </w:rPr>
        <w:t>34.95%</w:t>
      </w:r>
      <w:r>
        <w:rPr>
          <w:rStyle w:val="21"/>
          <w:rFonts w:hint="eastAsia" w:ascii="仿宋" w:hAnsi="仿宋" w:eastAsia="仿宋"/>
          <w:b w:val="0"/>
          <w:bCs/>
          <w:sz w:val="32"/>
          <w:szCs w:val="32"/>
        </w:rPr>
        <w:t>。</w:t>
      </w:r>
      <w:r>
        <w:rPr>
          <w:rFonts w:hint="eastAsia" w:ascii="仿宋_GB2312" w:eastAsia="仿宋_GB2312"/>
          <w:sz w:val="32"/>
          <w:szCs w:val="32"/>
        </w:rPr>
        <w:t>公务接待费支出决算比2022年度增加</w:t>
      </w:r>
      <w:r>
        <w:rPr>
          <w:rFonts w:hint="eastAsia" w:ascii="仿宋_GB2312" w:eastAsia="仿宋_GB2312"/>
          <w:sz w:val="32"/>
          <w:szCs w:val="32"/>
          <w:lang w:val="en-US" w:eastAsia="zh-CN"/>
        </w:rPr>
        <w:t>1.46</w:t>
      </w:r>
      <w:r>
        <w:rPr>
          <w:rFonts w:hint="eastAsia" w:ascii="仿宋_GB2312" w:eastAsia="仿宋_GB2312"/>
          <w:sz w:val="32"/>
          <w:szCs w:val="32"/>
        </w:rPr>
        <w:t>万元，增长</w:t>
      </w:r>
      <w:r>
        <w:rPr>
          <w:rFonts w:hint="eastAsia" w:ascii="仿宋_GB2312" w:eastAsia="仿宋_GB2312"/>
          <w:sz w:val="32"/>
          <w:szCs w:val="32"/>
          <w:lang w:val="en-US" w:eastAsia="zh-CN"/>
        </w:rPr>
        <w:t>78.4</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公务接待增加</w:t>
      </w:r>
      <w:r>
        <w:rPr>
          <w:rFonts w:hint="eastAsia" w:ascii="仿宋_GB2312" w:eastAsia="仿宋_GB2312"/>
          <w:sz w:val="32"/>
          <w:szCs w:val="32"/>
        </w:rPr>
        <w:t>。其中：</w:t>
      </w:r>
    </w:p>
    <w:p w14:paraId="3E750A31">
      <w:pPr>
        <w:spacing w:line="600" w:lineRule="exact"/>
        <w:ind w:firstLine="640"/>
        <w:rPr>
          <w:rFonts w:hint="eastAsia" w:ascii="仿宋_GB2312" w:eastAsia="仿宋_GB2312"/>
          <w:sz w:val="32"/>
          <w:szCs w:val="32"/>
          <w:lang w:eastAsia="zh-CN"/>
        </w:rPr>
      </w:pPr>
      <w:r>
        <w:rPr>
          <w:rFonts w:hint="eastAsia" w:ascii="仿宋" w:hAnsi="仿宋" w:eastAsia="仿宋"/>
          <w:b/>
          <w:sz w:val="32"/>
          <w:szCs w:val="32"/>
        </w:rPr>
        <w:t>国内公务接待支出</w:t>
      </w:r>
      <w:r>
        <w:rPr>
          <w:rFonts w:hint="eastAsia" w:ascii="仿宋" w:hAnsi="仿宋" w:eastAsia="仿宋"/>
          <w:b/>
          <w:sz w:val="32"/>
          <w:szCs w:val="32"/>
          <w:lang w:val="en-US" w:eastAsia="zh-CN"/>
        </w:rPr>
        <w:t>3.32</w:t>
      </w:r>
      <w:r>
        <w:rPr>
          <w:rFonts w:hint="eastAsia" w:ascii="仿宋_GB2312" w:eastAsia="仿宋_GB2312"/>
          <w:sz w:val="32"/>
          <w:szCs w:val="32"/>
        </w:rPr>
        <w:t>万元，主要用于</w:t>
      </w:r>
      <w:r>
        <w:rPr>
          <w:rFonts w:hint="eastAsia" w:ascii="仿宋_GB2312" w:hAnsi="Times New Roman" w:eastAsia="仿宋_GB2312"/>
          <w:color w:val="auto"/>
          <w:sz w:val="32"/>
          <w:lang w:eastAsia="zh-CN"/>
        </w:rPr>
        <w:t>乡村振兴、</w:t>
      </w:r>
      <w:r>
        <w:rPr>
          <w:rFonts w:hint="eastAsia" w:ascii="仿宋_GB2312" w:eastAsia="仿宋_GB2312"/>
          <w:sz w:val="32"/>
          <w:szCs w:val="32"/>
        </w:rPr>
        <w:t>执行公务开展业务活动开支的交通费、住宿费、用餐费等。国内公务接待</w:t>
      </w:r>
      <w:r>
        <w:rPr>
          <w:rFonts w:hint="eastAsia" w:ascii="仿宋_GB2312" w:eastAsia="仿宋_GB2312"/>
          <w:sz w:val="32"/>
          <w:szCs w:val="32"/>
          <w:lang w:val="en-US" w:eastAsia="zh-CN"/>
        </w:rPr>
        <w:t>162</w:t>
      </w:r>
      <w:r>
        <w:rPr>
          <w:rFonts w:hint="eastAsia" w:ascii="仿宋_GB2312" w:eastAsia="仿宋_GB2312"/>
          <w:sz w:val="32"/>
          <w:szCs w:val="32"/>
        </w:rPr>
        <w:t>批次，</w:t>
      </w:r>
      <w:r>
        <w:rPr>
          <w:rFonts w:hint="eastAsia" w:ascii="仿宋_GB2312" w:eastAsia="仿宋_GB2312"/>
          <w:sz w:val="32"/>
          <w:szCs w:val="32"/>
          <w:lang w:val="en-US" w:eastAsia="zh-CN"/>
        </w:rPr>
        <w:t>665</w:t>
      </w:r>
      <w:r>
        <w:rPr>
          <w:rFonts w:hint="eastAsia" w:ascii="仿宋_GB2312" w:eastAsia="仿宋_GB2312"/>
          <w:sz w:val="32"/>
          <w:szCs w:val="32"/>
        </w:rPr>
        <w:t>人次（不包括陪同人员），共计支出</w:t>
      </w:r>
      <w:r>
        <w:rPr>
          <w:rFonts w:hint="eastAsia" w:ascii="仿宋" w:hAnsi="仿宋" w:eastAsia="仿宋"/>
          <w:b/>
          <w:sz w:val="32"/>
          <w:szCs w:val="32"/>
          <w:lang w:val="en-US" w:eastAsia="zh-CN"/>
        </w:rPr>
        <w:t>3.32</w:t>
      </w:r>
      <w:r>
        <w:rPr>
          <w:rFonts w:hint="eastAsia" w:ascii="仿宋_GB2312" w:eastAsia="仿宋_GB2312"/>
          <w:sz w:val="32"/>
          <w:szCs w:val="32"/>
        </w:rPr>
        <w:t>万元，具体内容包括：</w:t>
      </w:r>
      <w:r>
        <w:rPr>
          <w:rFonts w:hint="eastAsia" w:ascii="仿宋_GB2312" w:hAnsi="Times New Roman" w:eastAsia="仿宋_GB2312"/>
          <w:color w:val="000000"/>
          <w:sz w:val="32"/>
          <w:lang w:eastAsia="zh-CN"/>
        </w:rPr>
        <w:t>接待上级</w:t>
      </w:r>
      <w:r>
        <w:rPr>
          <w:rFonts w:hint="eastAsia" w:ascii="仿宋_GB2312" w:eastAsia="仿宋_GB2312"/>
          <w:color w:val="000000"/>
          <w:sz w:val="32"/>
          <w:lang w:eastAsia="zh-CN"/>
        </w:rPr>
        <w:t>单位</w:t>
      </w:r>
      <w:r>
        <w:rPr>
          <w:rFonts w:hint="eastAsia" w:ascii="仿宋_GB2312" w:hAnsi="Times New Roman" w:eastAsia="仿宋_GB2312"/>
          <w:color w:val="000000"/>
          <w:sz w:val="32"/>
          <w:lang w:val="en-US" w:eastAsia="zh-CN"/>
        </w:rPr>
        <w:t>开展旅游规划工作、接待县级主要领导带队各</w:t>
      </w:r>
      <w:r>
        <w:rPr>
          <w:rFonts w:hint="eastAsia" w:ascii="仿宋_GB2312" w:eastAsia="仿宋_GB2312"/>
          <w:color w:val="000000"/>
          <w:sz w:val="32"/>
          <w:lang w:val="en-US" w:eastAsia="zh-CN"/>
        </w:rPr>
        <w:t>单位</w:t>
      </w:r>
      <w:r>
        <w:rPr>
          <w:rFonts w:hint="eastAsia" w:ascii="仿宋_GB2312" w:hAnsi="Times New Roman" w:eastAsia="仿宋_GB2312"/>
          <w:color w:val="000000"/>
          <w:sz w:val="32"/>
          <w:lang w:val="en-US" w:eastAsia="zh-CN"/>
        </w:rPr>
        <w:t>负责人开展调研和检查工作推进情况等产生公务接待</w:t>
      </w:r>
      <w:r>
        <w:rPr>
          <w:rFonts w:hint="eastAsia" w:ascii="仿宋" w:hAnsi="仿宋" w:eastAsia="仿宋"/>
          <w:b/>
          <w:sz w:val="32"/>
          <w:szCs w:val="32"/>
          <w:lang w:val="en-US" w:eastAsia="zh-CN"/>
        </w:rPr>
        <w:t>3.32</w:t>
      </w:r>
      <w:r>
        <w:rPr>
          <w:rFonts w:hint="eastAsia" w:ascii="仿宋_GB2312" w:eastAsia="仿宋_GB2312"/>
          <w:sz w:val="32"/>
          <w:szCs w:val="32"/>
        </w:rPr>
        <w:t>万元</w:t>
      </w:r>
      <w:r>
        <w:rPr>
          <w:rFonts w:hint="eastAsia" w:ascii="仿宋_GB2312" w:eastAsia="仿宋_GB2312"/>
          <w:sz w:val="32"/>
          <w:szCs w:val="32"/>
          <w:lang w:eastAsia="zh-CN"/>
        </w:rPr>
        <w:t>。</w:t>
      </w:r>
    </w:p>
    <w:p w14:paraId="733B40A8">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hint="eastAsia" w:ascii="仿宋" w:hAnsi="仿宋" w:eastAsia="仿宋"/>
          <w:b/>
          <w:sz w:val="32"/>
          <w:szCs w:val="32"/>
          <w:lang w:val="en-US" w:eastAsia="zh-CN"/>
        </w:rPr>
        <w:t>0</w:t>
      </w:r>
      <w:r>
        <w:rPr>
          <w:rFonts w:hint="eastAsia" w:ascii="仿宋_GB2312" w:eastAsia="仿宋_GB2312"/>
          <w:sz w:val="32"/>
          <w:szCs w:val="32"/>
        </w:rPr>
        <w:t>万元。</w:t>
      </w:r>
      <w:bookmarkStart w:id="40" w:name="_Toc15377218"/>
      <w:bookmarkStart w:id="41" w:name="_Toc15396610"/>
      <w:r>
        <w:rPr>
          <w:rFonts w:hint="eastAsia" w:ascii="仿宋_GB2312" w:eastAsia="仿宋_GB2312"/>
          <w:sz w:val="32"/>
          <w:szCs w:val="32"/>
        </w:rPr>
        <w:t>主要用于接待</w:t>
      </w:r>
      <w:r>
        <w:rPr>
          <w:rFonts w:hint="eastAsia" w:ascii="仿宋_GB2312" w:eastAsia="仿宋_GB2312"/>
          <w:sz w:val="32"/>
          <w:szCs w:val="32"/>
          <w:lang w:eastAsia="zh-CN"/>
        </w:rPr>
        <w:t>无</w:t>
      </w:r>
      <w:r>
        <w:rPr>
          <w:rFonts w:hint="eastAsia" w:ascii="仿宋_GB2312" w:eastAsia="仿宋_GB2312"/>
          <w:sz w:val="32"/>
          <w:szCs w:val="32"/>
        </w:rPr>
        <w:t>。外事接待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p>
    <w:p w14:paraId="5EAB8EE3">
      <w:pPr>
        <w:spacing w:line="600" w:lineRule="exact"/>
        <w:ind w:firstLine="640" w:firstLineChars="200"/>
        <w:rPr>
          <w:rFonts w:ascii="黑体" w:eastAsia="黑体"/>
          <w:sz w:val="32"/>
          <w:szCs w:val="32"/>
        </w:rPr>
      </w:pPr>
    </w:p>
    <w:p w14:paraId="66C6DF40">
      <w:pPr>
        <w:spacing w:line="600" w:lineRule="exact"/>
        <w:ind w:firstLine="640"/>
        <w:outlineLvl w:val="1"/>
        <w:rPr>
          <w:rStyle w:val="32"/>
          <w:rFonts w:ascii="黑体" w:hAnsi="黑体" w:eastAsia="黑体"/>
        </w:rPr>
      </w:pPr>
      <w:r>
        <w:rPr>
          <w:rFonts w:hint="eastAsia" w:ascii="黑体" w:eastAsia="黑体"/>
          <w:sz w:val="32"/>
          <w:szCs w:val="32"/>
        </w:rPr>
        <w:t>八、</w:t>
      </w:r>
      <w:r>
        <w:rPr>
          <w:rStyle w:val="32"/>
          <w:rFonts w:hint="eastAsia" w:ascii="黑体" w:hAnsi="黑体" w:eastAsia="黑体"/>
          <w:b w:val="0"/>
        </w:rPr>
        <w:t>政府性基金预算支出决算情况说明</w:t>
      </w:r>
      <w:bookmarkEnd w:id="40"/>
      <w:bookmarkEnd w:id="41"/>
    </w:p>
    <w:p w14:paraId="2FD8FAF9">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sz w:val="32"/>
          <w:szCs w:val="32"/>
        </w:rPr>
        <w:t>49.48</w:t>
      </w:r>
      <w:r>
        <w:rPr>
          <w:rFonts w:hint="eastAsia" w:ascii="仿宋_GB2312" w:eastAsia="仿宋_GB2312"/>
          <w:sz w:val="32"/>
          <w:szCs w:val="32"/>
        </w:rPr>
        <w:t>万元。</w:t>
      </w:r>
    </w:p>
    <w:p w14:paraId="548CFBE3">
      <w:pPr>
        <w:numPr>
          <w:ilvl w:val="0"/>
          <w:numId w:val="4"/>
        </w:numPr>
        <w:spacing w:line="600" w:lineRule="exact"/>
        <w:ind w:firstLine="640"/>
        <w:outlineLvl w:val="1"/>
        <w:rPr>
          <w:rStyle w:val="32"/>
          <w:rFonts w:ascii="黑体" w:hAnsi="黑体" w:eastAsia="黑体"/>
          <w:b w:val="0"/>
        </w:rPr>
      </w:pPr>
      <w:bookmarkStart w:id="42" w:name="_Toc15377219"/>
      <w:bookmarkStart w:id="43" w:name="_Toc15396611"/>
      <w:r>
        <w:rPr>
          <w:rStyle w:val="32"/>
          <w:rFonts w:hint="eastAsia" w:ascii="黑体" w:hAnsi="黑体" w:eastAsia="黑体"/>
          <w:b w:val="0"/>
        </w:rPr>
        <w:t>国有资本经营预算支出决算情况说明</w:t>
      </w:r>
      <w:bookmarkEnd w:id="42"/>
      <w:bookmarkEnd w:id="43"/>
    </w:p>
    <w:p w14:paraId="1D175BFF">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w:t>
      </w:r>
      <w:r>
        <w:rPr>
          <w:sz w:val="32"/>
          <w:szCs w:val="32"/>
        </w:rPr>
        <w:t>0</w:t>
      </w:r>
      <w:r>
        <w:rPr>
          <w:rFonts w:hint="eastAsia" w:ascii="仿宋_GB2312" w:eastAsia="仿宋_GB2312"/>
          <w:sz w:val="32"/>
          <w:szCs w:val="32"/>
        </w:rPr>
        <w:t>万元。</w:t>
      </w:r>
    </w:p>
    <w:p w14:paraId="3967756A">
      <w:pPr>
        <w:spacing w:line="580" w:lineRule="exact"/>
        <w:jc w:val="center"/>
        <w:rPr>
          <w:rFonts w:ascii="方正小标宋简体" w:hAnsi="方正小标宋简体" w:eastAsia="方正小标宋简体" w:cs="方正小标宋简体"/>
          <w:sz w:val="44"/>
          <w:szCs w:val="44"/>
        </w:rPr>
      </w:pPr>
    </w:p>
    <w:p w14:paraId="13BC2BF3">
      <w:pPr>
        <w:numPr>
          <w:ilvl w:val="0"/>
          <w:numId w:val="4"/>
        </w:numPr>
        <w:spacing w:line="600" w:lineRule="exact"/>
        <w:ind w:firstLine="640"/>
        <w:outlineLvl w:val="1"/>
        <w:rPr>
          <w:rStyle w:val="32"/>
          <w:rFonts w:ascii="黑体" w:hAnsi="黑体" w:eastAsia="黑体"/>
          <w:b w:val="0"/>
        </w:rPr>
      </w:pPr>
      <w:bookmarkStart w:id="44" w:name="_Toc15396612"/>
      <w:bookmarkStart w:id="45" w:name="_Toc15377221"/>
      <w:r>
        <w:rPr>
          <w:rStyle w:val="32"/>
          <w:rFonts w:hint="eastAsia" w:ascii="黑体" w:hAnsi="黑体" w:eastAsia="黑体"/>
          <w:b w:val="0"/>
        </w:rPr>
        <w:t>其他重要事项的情况说明</w:t>
      </w:r>
      <w:bookmarkEnd w:id="44"/>
      <w:bookmarkEnd w:id="45"/>
    </w:p>
    <w:p w14:paraId="43320F07">
      <w:pPr>
        <w:spacing w:line="600" w:lineRule="exact"/>
        <w:ind w:firstLine="643" w:firstLineChars="200"/>
        <w:outlineLvl w:val="2"/>
        <w:rPr>
          <w:rFonts w:ascii="仿宋" w:hAnsi="仿宋" w:eastAsia="仿宋"/>
          <w:sz w:val="32"/>
          <w:szCs w:val="32"/>
        </w:rPr>
      </w:pPr>
      <w:bookmarkStart w:id="46" w:name="_Toc15377222"/>
      <w:r>
        <w:rPr>
          <w:rFonts w:hint="eastAsia" w:ascii="仿宋" w:hAnsi="仿宋" w:eastAsia="仿宋"/>
          <w:b/>
          <w:sz w:val="32"/>
          <w:szCs w:val="32"/>
        </w:rPr>
        <w:t>（一）机关运行经费支出情况</w:t>
      </w:r>
      <w:bookmarkEnd w:id="46"/>
    </w:p>
    <w:p w14:paraId="0F5A618E">
      <w:pPr>
        <w:spacing w:beforeLines="0" w:afterLines="0" w:line="576" w:lineRule="exact"/>
        <w:ind w:firstLine="640"/>
        <w:jc w:val="both"/>
        <w:rPr>
          <w:rFonts w:ascii="仿宋_GB2312" w:eastAsia="仿宋_GB2312"/>
          <w:sz w:val="32"/>
          <w:szCs w:val="32"/>
        </w:rPr>
      </w:pPr>
      <w:r>
        <w:rPr>
          <w:rFonts w:hint="eastAsia" w:ascii="仿宋_GB2312" w:eastAsia="仿宋_GB2312"/>
          <w:sz w:val="32"/>
          <w:szCs w:val="32"/>
        </w:rPr>
        <w:t>2023年度，</w:t>
      </w:r>
      <w:r>
        <w:rPr>
          <w:rFonts w:hint="eastAsia"/>
          <w:sz w:val="32"/>
          <w:szCs w:val="32"/>
        </w:rPr>
        <w:t>峨边彝族自治县五渡镇人民政府</w:t>
      </w:r>
      <w:r>
        <w:rPr>
          <w:rFonts w:hint="eastAsia" w:ascii="仿宋_GB2312" w:eastAsia="仿宋_GB2312"/>
          <w:sz w:val="32"/>
          <w:szCs w:val="32"/>
        </w:rPr>
        <w:t>机关运行经费支出</w:t>
      </w:r>
      <w:r>
        <w:rPr>
          <w:sz w:val="32"/>
          <w:szCs w:val="32"/>
        </w:rPr>
        <w:t>133.34</w:t>
      </w:r>
      <w:r>
        <w:rPr>
          <w:rFonts w:hint="eastAsia" w:ascii="仿宋_GB2312" w:eastAsia="仿宋_GB2312"/>
          <w:sz w:val="32"/>
          <w:szCs w:val="32"/>
        </w:rPr>
        <w:t>万元，比2022年度减少</w:t>
      </w:r>
      <w:r>
        <w:rPr>
          <w:rFonts w:hint="eastAsia" w:ascii="仿宋_GB2312" w:eastAsia="仿宋_GB2312"/>
          <w:sz w:val="32"/>
          <w:szCs w:val="32"/>
          <w:lang w:val="en-US" w:eastAsia="zh-CN"/>
        </w:rPr>
        <w:t>17.75</w:t>
      </w:r>
      <w:r>
        <w:rPr>
          <w:rFonts w:hint="eastAsia" w:ascii="仿宋_GB2312" w:eastAsia="仿宋_GB2312"/>
          <w:sz w:val="32"/>
          <w:szCs w:val="32"/>
        </w:rPr>
        <w:t>万元，下降</w:t>
      </w:r>
      <w:r>
        <w:rPr>
          <w:rFonts w:hint="eastAsia" w:ascii="仿宋_GB2312" w:eastAsia="仿宋_GB2312"/>
          <w:sz w:val="32"/>
          <w:szCs w:val="32"/>
          <w:lang w:val="en-US" w:eastAsia="zh-CN"/>
        </w:rPr>
        <w:t>11</w:t>
      </w:r>
      <w:r>
        <w:rPr>
          <w:rFonts w:ascii="仿宋_GB2312" w:eastAsia="仿宋_GB2312"/>
          <w:sz w:val="32"/>
          <w:szCs w:val="32"/>
        </w:rPr>
        <w:t>%</w:t>
      </w:r>
      <w:r>
        <w:rPr>
          <w:rFonts w:hint="eastAsia" w:ascii="仿宋_GB2312" w:eastAsia="仿宋_GB2312"/>
          <w:sz w:val="32"/>
          <w:szCs w:val="32"/>
        </w:rPr>
        <w:t>。主要原因</w:t>
      </w:r>
      <w:r>
        <w:rPr>
          <w:rFonts w:hint="eastAsia" w:ascii="仿宋_GB2312" w:hAnsi="仿宋_GB2312" w:eastAsia="仿宋_GB2312"/>
          <w:color w:val="000000"/>
          <w:kern w:val="2"/>
          <w:sz w:val="32"/>
          <w:lang w:val="zh-CN"/>
        </w:rPr>
        <w:t>是人员减少，相关经费减少</w:t>
      </w:r>
      <w:r>
        <w:rPr>
          <w:rFonts w:hint="eastAsia" w:ascii="仿宋_GB2312" w:eastAsia="仿宋_GB2312"/>
          <w:sz w:val="32"/>
          <w:szCs w:val="32"/>
        </w:rPr>
        <w:t>。</w:t>
      </w:r>
    </w:p>
    <w:p w14:paraId="1E32F202">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576A8C4E">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3"/>
      <w:r>
        <w:rPr>
          <w:rFonts w:hint="eastAsia" w:ascii="仿宋" w:hAnsi="仿宋" w:eastAsia="仿宋"/>
          <w:b/>
          <w:sz w:val="32"/>
          <w:szCs w:val="32"/>
        </w:rPr>
        <w:t>（二）政府采购支出情况</w:t>
      </w:r>
      <w:bookmarkEnd w:id="47"/>
    </w:p>
    <w:p w14:paraId="6A17627B">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hint="eastAsia"/>
          <w:sz w:val="32"/>
          <w:szCs w:val="32"/>
        </w:rPr>
        <w:t>峨边彝族自治县五渡镇人民政府</w:t>
      </w:r>
      <w:r>
        <w:rPr>
          <w:rFonts w:hint="eastAsia" w:ascii="仿宋_GB2312" w:eastAsia="仿宋_GB2312"/>
          <w:sz w:val="32"/>
          <w:szCs w:val="32"/>
        </w:rPr>
        <w:t>政府采购支出总额</w:t>
      </w:r>
      <w:r>
        <w:rPr>
          <w:sz w:val="32"/>
          <w:szCs w:val="32"/>
        </w:rPr>
        <w:t>0</w:t>
      </w:r>
      <w:r>
        <w:rPr>
          <w:rFonts w:hint="eastAsia" w:ascii="仿宋_GB2312" w:eastAsia="仿宋_GB2312"/>
          <w:sz w:val="32"/>
          <w:szCs w:val="32"/>
        </w:rPr>
        <w:t>万元，其中：政府采购货物支出</w:t>
      </w:r>
      <w:r>
        <w:rPr>
          <w:sz w:val="32"/>
          <w:szCs w:val="32"/>
        </w:rPr>
        <w:t>0</w:t>
      </w:r>
      <w:r>
        <w:rPr>
          <w:rFonts w:hint="eastAsia" w:ascii="仿宋_GB2312" w:eastAsia="仿宋_GB2312"/>
          <w:sz w:val="32"/>
          <w:szCs w:val="32"/>
        </w:rPr>
        <w:t>万元、政府采购工程支出</w:t>
      </w:r>
      <w:r>
        <w:rPr>
          <w:sz w:val="32"/>
          <w:szCs w:val="32"/>
        </w:rPr>
        <w:t>0</w:t>
      </w:r>
      <w:r>
        <w:rPr>
          <w:rFonts w:hint="eastAsia" w:ascii="仿宋_GB2312" w:eastAsia="仿宋_GB2312"/>
          <w:sz w:val="32"/>
          <w:szCs w:val="32"/>
        </w:rPr>
        <w:t>万元、政府采购服务支出</w:t>
      </w:r>
      <w:r>
        <w:rPr>
          <w:sz w:val="32"/>
          <w:szCs w:val="32"/>
        </w:rPr>
        <w:t>0</w:t>
      </w:r>
      <w:r>
        <w:rPr>
          <w:rFonts w:hint="eastAsia" w:ascii="仿宋_GB2312" w:eastAsia="仿宋_GB2312"/>
          <w:sz w:val="32"/>
          <w:szCs w:val="32"/>
        </w:rPr>
        <w:t>万元。主要用于</w:t>
      </w:r>
      <w:r>
        <w:rPr>
          <w:rFonts w:ascii="仿宋_GB2312" w:eastAsia="仿宋_GB2312"/>
          <w:sz w:val="32"/>
          <w:szCs w:val="32"/>
        </w:rPr>
        <w:t>…</w:t>
      </w:r>
      <w:r>
        <w:rPr>
          <w:rFonts w:hint="eastAsia" w:ascii="仿宋_GB2312" w:eastAsia="仿宋_GB2312"/>
          <w:sz w:val="32"/>
          <w:szCs w:val="32"/>
        </w:rPr>
        <w:t>（具体工作）。授予中小企业合同金额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，其中：授予小微企业合同金额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w:t>
      </w:r>
    </w:p>
    <w:p w14:paraId="6A426BA0">
      <w:pPr>
        <w:spacing w:line="600" w:lineRule="exact"/>
        <w:ind w:firstLine="643" w:firstLineChars="200"/>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w:t>
      </w:r>
    </w:p>
    <w:p w14:paraId="37398737">
      <w:pPr>
        <w:autoSpaceDE w:val="0"/>
        <w:autoSpaceDN w:val="0"/>
        <w:adjustRightInd w:val="0"/>
        <w:spacing w:line="600" w:lineRule="exact"/>
        <w:ind w:firstLine="643" w:firstLineChars="200"/>
        <w:jc w:val="left"/>
        <w:outlineLvl w:val="2"/>
        <w:rPr>
          <w:rFonts w:ascii="仿宋" w:hAnsi="仿宋" w:eastAsia="仿宋"/>
          <w:b/>
          <w:sz w:val="32"/>
          <w:szCs w:val="32"/>
        </w:rPr>
      </w:pPr>
      <w:bookmarkStart w:id="48" w:name="_Toc15377224"/>
      <w:r>
        <w:rPr>
          <w:rFonts w:hint="eastAsia" w:ascii="仿宋" w:hAnsi="仿宋" w:eastAsia="仿宋"/>
          <w:b/>
          <w:sz w:val="32"/>
          <w:szCs w:val="32"/>
        </w:rPr>
        <w:t>（三）国有资产占有使用情况</w:t>
      </w:r>
      <w:bookmarkEnd w:id="48"/>
    </w:p>
    <w:p w14:paraId="468AAECA">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hint="eastAsia"/>
          <w:sz w:val="32"/>
          <w:szCs w:val="32"/>
        </w:rPr>
        <w:t>峨边彝族自治县五渡镇人民政府</w:t>
      </w:r>
      <w:r>
        <w:rPr>
          <w:rFonts w:hint="eastAsia" w:ascii="仿宋_GB2312" w:eastAsia="仿宋_GB2312"/>
          <w:sz w:val="32"/>
          <w:szCs w:val="32"/>
        </w:rPr>
        <w:t>共有车辆</w:t>
      </w:r>
      <w:r>
        <w:rPr>
          <w:rFonts w:ascii="仿宋_GB2312" w:eastAsia="仿宋_GB2312"/>
          <w:sz w:val="32"/>
          <w:szCs w:val="32"/>
        </w:rPr>
        <w:t>2</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2</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辆。单价</w:t>
      </w:r>
      <w:r>
        <w:rPr>
          <w:rFonts w:ascii="仿宋_GB2312" w:eastAsia="仿宋_GB2312"/>
          <w:sz w:val="32"/>
          <w:szCs w:val="32"/>
        </w:rPr>
        <w:t>100</w:t>
      </w:r>
      <w:r>
        <w:rPr>
          <w:rFonts w:hint="eastAsia" w:ascii="仿宋_GB2312" w:eastAsia="仿宋_GB2312"/>
          <w:sz w:val="32"/>
          <w:szCs w:val="32"/>
        </w:rPr>
        <w:t>万元以上设备（不含车辆）</w:t>
      </w:r>
      <w:r>
        <w:rPr>
          <w:sz w:val="32"/>
          <w:szCs w:val="32"/>
        </w:rPr>
        <w:t>0</w:t>
      </w:r>
      <w:r>
        <w:rPr>
          <w:rFonts w:hint="eastAsia" w:ascii="仿宋_GB2312" w:eastAsia="仿宋_GB2312"/>
          <w:sz w:val="32"/>
          <w:szCs w:val="32"/>
        </w:rPr>
        <w:t>台（套）。</w:t>
      </w:r>
    </w:p>
    <w:p w14:paraId="22CC1578">
      <w:pPr>
        <w:autoSpaceDE w:val="0"/>
        <w:autoSpaceDN w:val="0"/>
        <w:adjustRightInd w:val="0"/>
        <w:spacing w:line="600" w:lineRule="exact"/>
        <w:ind w:firstLine="643" w:firstLineChars="200"/>
        <w:jc w:val="left"/>
        <w:rPr>
          <w:rFonts w:ascii="仿宋" w:hAnsi="仿宋" w:eastAsia="仿宋"/>
          <w:b/>
          <w:sz w:val="32"/>
          <w:szCs w:val="32"/>
        </w:rPr>
      </w:pPr>
      <w:r>
        <w:rPr>
          <w:rFonts w:hint="eastAsia" w:ascii="仿宋" w:hAnsi="仿宋" w:eastAsia="仿宋"/>
          <w:b/>
          <w:sz w:val="32"/>
          <w:szCs w:val="32"/>
        </w:rPr>
        <w:t>（注：数据来源于财决附</w:t>
      </w:r>
      <w:r>
        <w:rPr>
          <w:rFonts w:ascii="仿宋" w:hAnsi="仿宋" w:eastAsia="仿宋"/>
          <w:b/>
          <w:sz w:val="32"/>
          <w:szCs w:val="32"/>
        </w:rPr>
        <w:t>03</w:t>
      </w:r>
      <w:r>
        <w:rPr>
          <w:rFonts w:hint="eastAsia" w:ascii="仿宋" w:hAnsi="仿宋" w:eastAsia="仿宋"/>
          <w:b/>
          <w:sz w:val="32"/>
          <w:szCs w:val="32"/>
        </w:rPr>
        <w:t>表，按</w:t>
      </w:r>
      <w:r>
        <w:rPr>
          <w:rFonts w:hint="eastAsia" w:ascii="仿宋" w:hAnsi="仿宋" w:eastAsia="仿宋"/>
          <w:b/>
          <w:sz w:val="32"/>
          <w:szCs w:val="32"/>
          <w:lang w:eastAsia="zh-CN"/>
        </w:rPr>
        <w:t>单位</w:t>
      </w:r>
      <w:r>
        <w:rPr>
          <w:rFonts w:hint="eastAsia" w:ascii="仿宋" w:hAnsi="仿宋" w:eastAsia="仿宋"/>
          <w:b/>
          <w:sz w:val="32"/>
          <w:szCs w:val="32"/>
        </w:rPr>
        <w:t>决算报表填报数据罗列车辆情况）</w:t>
      </w:r>
    </w:p>
    <w:p w14:paraId="74C9BA5C">
      <w:pPr>
        <w:autoSpaceDE w:val="0"/>
        <w:autoSpaceDN w:val="0"/>
        <w:adjustRightInd w:val="0"/>
        <w:spacing w:line="600" w:lineRule="exact"/>
        <w:ind w:firstLine="643" w:firstLineChars="200"/>
        <w:jc w:val="left"/>
        <w:outlineLvl w:val="2"/>
        <w:rPr>
          <w:rFonts w:ascii="仿宋" w:hAnsi="仿宋" w:eastAsia="仿宋"/>
          <w:b/>
          <w:color w:val="auto"/>
          <w:sz w:val="32"/>
          <w:szCs w:val="32"/>
        </w:rPr>
      </w:pPr>
      <w:r>
        <w:rPr>
          <w:rFonts w:hint="eastAsia" w:ascii="仿宋" w:hAnsi="仿宋" w:eastAsia="仿宋"/>
          <w:b/>
          <w:color w:val="auto"/>
          <w:sz w:val="32"/>
          <w:szCs w:val="32"/>
        </w:rPr>
        <w:t>（四）预算绩效管理情况</w:t>
      </w:r>
    </w:p>
    <w:p w14:paraId="79D64143">
      <w:pPr>
        <w:spacing w:line="58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根据预算绩效管理要求，本</w:t>
      </w:r>
      <w:r>
        <w:rPr>
          <w:rFonts w:hint="eastAsia" w:ascii="仿宋_GB2312" w:hAnsi="仿宋_GB2312" w:eastAsia="仿宋_GB2312" w:cs="仿宋_GB2312"/>
          <w:color w:val="auto"/>
          <w:sz w:val="32"/>
          <w:szCs w:val="32"/>
          <w:lang w:eastAsia="zh-CN"/>
        </w:rPr>
        <w:t>单位</w:t>
      </w:r>
      <w:r>
        <w:rPr>
          <w:rFonts w:hint="eastAsia" w:ascii="仿宋_GB2312" w:hAnsi="仿宋_GB2312" w:eastAsia="仿宋_GB2312" w:cs="仿宋_GB2312"/>
          <w:color w:val="auto"/>
          <w:sz w:val="32"/>
          <w:szCs w:val="32"/>
        </w:rPr>
        <w:t>在2023年度预算编制阶段，组织对2023年基层组织和农村公共服务运行维护费（上级）等</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个项目开展了预算事前绩效评估，对</w:t>
      </w:r>
      <w:r>
        <w:rPr>
          <w:rFonts w:hint="eastAsia" w:ascii="仿宋_GB2312" w:hAnsi="仿宋_GB2312" w:eastAsia="仿宋_GB2312" w:cs="仿宋_GB2312"/>
          <w:color w:val="auto"/>
          <w:sz w:val="32"/>
          <w:szCs w:val="32"/>
          <w:lang w:val="en-US" w:eastAsia="zh-CN"/>
        </w:rPr>
        <w:t>7</w:t>
      </w:r>
      <w:r>
        <w:rPr>
          <w:rFonts w:hint="eastAsia" w:ascii="仿宋_GB2312" w:hAnsi="仿宋_GB2312" w:eastAsia="仿宋_GB2312" w:cs="仿宋_GB2312"/>
          <w:color w:val="auto"/>
          <w:sz w:val="32"/>
          <w:szCs w:val="32"/>
        </w:rPr>
        <w:t>个项目编制了绩效目标，预算执行过程中，选取</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个项目开展绩效监控。</w:t>
      </w:r>
    </w:p>
    <w:p w14:paraId="47665646">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rPr>
        <w:t>组织对2023年度一般公共预算、政府性基金预算、国有资本经营预算、社会保险基金预算以及资本资产、债券资金等全面开展绩效自评，形成</w:t>
      </w:r>
      <w:r>
        <w:rPr>
          <w:rFonts w:hint="eastAsia" w:ascii="仿宋_GB2312" w:hAnsi="仿宋_GB2312" w:eastAsia="仿宋_GB2312" w:cs="仿宋_GB2312"/>
          <w:color w:val="auto"/>
          <w:sz w:val="32"/>
          <w:szCs w:val="32"/>
          <w:lang w:eastAsia="zh-CN"/>
        </w:rPr>
        <w:t>五渡镇人民政府</w:t>
      </w:r>
      <w:r>
        <w:rPr>
          <w:rFonts w:hint="eastAsia" w:ascii="仿宋_GB2312" w:hAnsi="仿宋_GB2312" w:eastAsia="仿宋_GB2312" w:cs="仿宋_GB2312"/>
          <w:color w:val="auto"/>
          <w:sz w:val="32"/>
          <w:szCs w:val="32"/>
        </w:rPr>
        <w:t>整体（含</w:t>
      </w:r>
      <w:r>
        <w:rPr>
          <w:rFonts w:hint="eastAsia" w:ascii="仿宋_GB2312" w:hAnsi="仿宋_GB2312" w:eastAsia="仿宋_GB2312" w:cs="仿宋_GB2312"/>
          <w:color w:val="auto"/>
          <w:sz w:val="32"/>
          <w:szCs w:val="32"/>
          <w:lang w:eastAsia="zh-CN"/>
        </w:rPr>
        <w:t>单位</w:t>
      </w:r>
      <w:r>
        <w:rPr>
          <w:rFonts w:hint="eastAsia" w:ascii="仿宋_GB2312" w:hAnsi="仿宋_GB2312" w:eastAsia="仿宋_GB2312" w:cs="仿宋_GB2312"/>
          <w:color w:val="auto"/>
          <w:sz w:val="32"/>
          <w:szCs w:val="32"/>
        </w:rPr>
        <w:t>预算项目）绩效自评报告、</w:t>
      </w:r>
      <w:r>
        <w:rPr>
          <w:rFonts w:hint="eastAsia" w:ascii="仿宋_GB2312" w:hAnsi="仿宋_GB2312" w:eastAsia="仿宋_GB2312" w:cs="仿宋_GB2312"/>
          <w:color w:val="auto"/>
          <w:sz w:val="32"/>
          <w:szCs w:val="32"/>
          <w:lang w:val="en-US" w:eastAsia="zh-CN"/>
        </w:rPr>
        <w:t>2023年公务运行维护费</w:t>
      </w:r>
      <w:r>
        <w:rPr>
          <w:rFonts w:hint="eastAsia" w:ascii="仿宋_GB2312" w:hAnsi="仿宋_GB2312" w:eastAsia="仿宋_GB2312" w:cs="仿宋_GB2312"/>
          <w:color w:val="auto"/>
          <w:sz w:val="32"/>
          <w:szCs w:val="32"/>
        </w:rPr>
        <w:t>等专项预算项目绩效自评报告，其中，</w:t>
      </w:r>
      <w:r>
        <w:rPr>
          <w:rFonts w:hint="eastAsia" w:ascii="仿宋_GB2312" w:hAnsi="仿宋_GB2312" w:eastAsia="仿宋_GB2312" w:cs="仿宋_GB2312"/>
          <w:color w:val="auto"/>
          <w:sz w:val="32"/>
          <w:szCs w:val="32"/>
          <w:lang w:eastAsia="zh-CN"/>
        </w:rPr>
        <w:t>五渡镇人民政府</w:t>
      </w:r>
      <w:r>
        <w:rPr>
          <w:rFonts w:hint="eastAsia" w:ascii="仿宋_GB2312" w:hAnsi="仿宋_GB2312" w:eastAsia="仿宋_GB2312" w:cs="仿宋_GB2312"/>
          <w:color w:val="auto"/>
          <w:sz w:val="32"/>
          <w:szCs w:val="32"/>
        </w:rPr>
        <w:t>整体（含</w:t>
      </w:r>
      <w:r>
        <w:rPr>
          <w:rFonts w:hint="eastAsia" w:ascii="仿宋_GB2312" w:hAnsi="仿宋_GB2312" w:eastAsia="仿宋_GB2312" w:cs="仿宋_GB2312"/>
          <w:color w:val="auto"/>
          <w:sz w:val="32"/>
          <w:szCs w:val="32"/>
          <w:lang w:eastAsia="zh-CN"/>
        </w:rPr>
        <w:t>单位</w:t>
      </w:r>
      <w:r>
        <w:rPr>
          <w:rFonts w:hint="eastAsia" w:ascii="仿宋_GB2312" w:hAnsi="仿宋_GB2312" w:eastAsia="仿宋_GB2312" w:cs="仿宋_GB2312"/>
          <w:color w:val="auto"/>
          <w:sz w:val="32"/>
          <w:szCs w:val="32"/>
        </w:rPr>
        <w:t>预算项目）绩效自评得分为</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rPr>
        <w:t>分，绩效自评综述：</w:t>
      </w:r>
      <w:r>
        <w:rPr>
          <w:rFonts w:hint="eastAsia" w:ascii="仿宋_GB2312" w:hAnsi="仿宋_GB2312" w:eastAsia="仿宋_GB2312" w:cs="仿宋_GB2312"/>
          <w:color w:val="auto"/>
          <w:sz w:val="32"/>
          <w:szCs w:val="32"/>
          <w:lang w:val="zh-CN"/>
        </w:rPr>
        <w:t>（一）单位整体履职绩效分析。</w:t>
      </w:r>
    </w:p>
    <w:p w14:paraId="08C03F4B">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en-US" w:eastAsia="zh-CN"/>
        </w:rPr>
        <w:t>本单位预算编制严格按照上级单位要求编制并及时报送，项目分类也严格按照上级单位要求分类，未发现有不按照要求编制、报送等行为。</w:t>
      </w:r>
      <w:r>
        <w:rPr>
          <w:rFonts w:hint="eastAsia" w:ascii="仿宋_GB2312" w:hAnsi="仿宋_GB2312" w:eastAsia="仿宋_GB2312" w:cs="仿宋_GB2312"/>
          <w:color w:val="auto"/>
          <w:sz w:val="32"/>
          <w:szCs w:val="32"/>
          <w:lang w:val="zh-CN" w:eastAsia="zh-CN"/>
        </w:rPr>
        <w:t>预算管理方面，编制内在职人员控制率小于100%，单位经费支出控制在预算内。制度执行总体较好，但仍需进一步强化，资金使用管理需进一步加强。绩效目标按要求向社会公开，单位整体绩效自评情况和自行组织的评价</w:t>
      </w:r>
      <w:r>
        <w:rPr>
          <w:rFonts w:hint="eastAsia" w:ascii="仿宋_GB2312" w:hAnsi="仿宋_GB2312" w:eastAsia="仿宋_GB2312" w:cs="仿宋_GB2312"/>
          <w:color w:val="auto"/>
          <w:sz w:val="32"/>
          <w:szCs w:val="32"/>
          <w:lang w:val="zh-CN"/>
        </w:rPr>
        <w:t>情况向社会公开，及时整改了绩效管理发现问题，向财政单位反馈结果应用情况。资金主要投入在城乡环境整治、人居环境改善、乡村及镇区风貌、村民活动场所建设、文化设施建设、治安维稳、基础设施建设等方面，通过统计分析获取了人民群众对生态环境的健康度、居住生活的舒适度、工作出行的便捷度、居住生活的安全度各方面的良好评价。</w:t>
      </w:r>
    </w:p>
    <w:p w14:paraId="397625F7">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（二）特定目标类项目绩效分析。</w:t>
      </w:r>
    </w:p>
    <w:p w14:paraId="1D1E95B3">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1.整体情况</w:t>
      </w:r>
    </w:p>
    <w:p w14:paraId="52B01A90">
      <w:pPr>
        <w:spacing w:line="580" w:lineRule="exact"/>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本单位实施的预算内项目有：2023年基层组织和农村公共服务运行维护费（上级）－中央，35万；社区服务群众专项经费－省级，2万；2023年基层组织和农村公共服务运行维护费（上级）－省级，40万；农村公共服务运行维护费－县级，40万；垃圾车运营维护费，3.9992万元；乡镇安全管理相关经费，10.2万元；公务用车购置，49.96万元；峨边彝族自治县五渡镇双凤村川山堰支渠建设项目岩土工程勘察，4.5万元。乡镇农村人居环境整治考核奖补资金：49.482728万元。</w:t>
      </w:r>
    </w:p>
    <w:p w14:paraId="40D99825">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2.100万以上项目：无</w:t>
      </w:r>
    </w:p>
    <w:p w14:paraId="2330B863">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（三）结果应用情况。</w:t>
      </w:r>
    </w:p>
    <w:p w14:paraId="6F0F85E7">
      <w:pPr>
        <w:spacing w:line="580" w:lineRule="exact"/>
        <w:ind w:firstLine="640" w:firstLineChars="200"/>
        <w:rPr>
          <w:rFonts w:hint="eastAsia" w:ascii="仿宋_GB2312" w:hAnsi="仿宋_GB2312" w:eastAsia="仿宋_GB2312" w:cs="仿宋_GB2312"/>
          <w:color w:val="auto"/>
          <w:sz w:val="32"/>
          <w:szCs w:val="32"/>
          <w:lang w:val="zh-CN"/>
        </w:rPr>
      </w:pPr>
      <w:r>
        <w:rPr>
          <w:rFonts w:hint="eastAsia" w:ascii="仿宋_GB2312" w:hAnsi="仿宋_GB2312" w:eastAsia="仿宋_GB2312" w:cs="仿宋_GB2312"/>
          <w:color w:val="auto"/>
          <w:sz w:val="32"/>
          <w:szCs w:val="32"/>
          <w:lang w:val="zh-CN"/>
        </w:rPr>
        <w:t>本单位按照财政局下达的预算指标，严格执行预算内开支，保障了单位正常运转。本单位的预决算编制均按照县财政局下达的相关文件指标进行了编制，按时完成编制工作，决算报表和说明均在峨边彝族自治县</w:t>
      </w:r>
      <w:r>
        <w:rPr>
          <w:rFonts w:hint="eastAsia" w:ascii="仿宋_GB2312" w:hAnsi="仿宋_GB2312" w:eastAsia="仿宋_GB2312" w:cs="仿宋_GB2312"/>
          <w:color w:val="auto"/>
          <w:sz w:val="32"/>
          <w:szCs w:val="32"/>
          <w:lang w:val="zh-CN" w:eastAsia="zh-CN"/>
        </w:rPr>
        <w:t>人民</w:t>
      </w:r>
      <w:r>
        <w:rPr>
          <w:rFonts w:hint="eastAsia" w:ascii="仿宋_GB2312" w:hAnsi="仿宋_GB2312" w:eastAsia="仿宋_GB2312" w:cs="仿宋_GB2312"/>
          <w:color w:val="auto"/>
          <w:sz w:val="32"/>
          <w:szCs w:val="32"/>
          <w:lang w:val="zh-CN"/>
        </w:rPr>
        <w:t>政府门户网站公开。绩效目标也按照有关文件如实进行了填报。</w:t>
      </w:r>
    </w:p>
    <w:p w14:paraId="28C82DE4">
      <w:pPr>
        <w:spacing w:line="58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绩效自评报告详见附件。（如不涉及，可根据实际修改表述）</w:t>
      </w:r>
    </w:p>
    <w:p w14:paraId="247CFBAB">
      <w:pPr>
        <w:pStyle w:val="3"/>
        <w:jc w:val="center"/>
      </w:pPr>
      <w:r>
        <w:rPr>
          <w:rFonts w:hint="eastAsia"/>
        </w:rPr>
        <w:t>第三部分 名词解释</w:t>
      </w:r>
    </w:p>
    <w:p w14:paraId="1890841E"/>
    <w:p w14:paraId="592CFFE9">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rPr>
        <w:t>1.财政拨款收入：指单位从同级财政</w:t>
      </w:r>
      <w:r>
        <w:rPr>
          <w:rFonts w:hint="eastAsia" w:ascii="仿宋_GB2312" w:hAnsi="仿宋_GB2312" w:eastAsia="仿宋_GB2312"/>
          <w:color w:val="000000"/>
          <w:sz w:val="32"/>
          <w:lang w:val="en-US" w:eastAsia="zh-CN"/>
        </w:rPr>
        <w:t>单位</w:t>
      </w:r>
      <w:r>
        <w:rPr>
          <w:rFonts w:hint="eastAsia" w:ascii="仿宋_GB2312" w:hAnsi="仿宋_GB2312" w:eastAsia="仿宋_GB2312"/>
          <w:color w:val="000000"/>
          <w:sz w:val="32"/>
          <w:lang w:val="en-US"/>
        </w:rPr>
        <w:t>取得的财政预算资金。</w:t>
      </w:r>
    </w:p>
    <w:p w14:paraId="25245E96">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rPr>
        <w:t>2.</w:t>
      </w:r>
      <w:r>
        <w:rPr>
          <w:rFonts w:hint="eastAsia" w:ascii="仿宋_GB2312" w:hAnsi="Times New Roman" w:eastAsia="仿宋_GB2312"/>
          <w:sz w:val="32"/>
          <w:lang w:eastAsia="zh-CN"/>
        </w:rPr>
        <w:t>政府性基金预算财政拨款收入</w:t>
      </w:r>
      <w:r>
        <w:rPr>
          <w:rFonts w:hint="eastAsia" w:ascii="仿宋_GB2312" w:hAnsi="Times New Roman" w:eastAsia="仿宋_GB2312"/>
          <w:sz w:val="32"/>
        </w:rPr>
        <w:t>：</w:t>
      </w:r>
      <w:r>
        <w:rPr>
          <w:rFonts w:hint="eastAsia" w:ascii="仿宋_GB2312" w:hAnsi="Times New Roman" w:eastAsia="仿宋_GB2312"/>
          <w:sz w:val="32"/>
          <w:lang w:eastAsia="zh-CN"/>
        </w:rPr>
        <w:t>指各级政府及其所属</w:t>
      </w:r>
      <w:r>
        <w:rPr>
          <w:rFonts w:hint="eastAsia" w:ascii="仿宋_GB2312" w:eastAsia="仿宋_GB2312"/>
          <w:sz w:val="32"/>
          <w:lang w:eastAsia="zh-CN"/>
        </w:rPr>
        <w:t>单位</w:t>
      </w:r>
      <w:r>
        <w:rPr>
          <w:rFonts w:hint="eastAsia" w:ascii="仿宋_GB2312" w:hAnsi="Times New Roman" w:eastAsia="仿宋_GB2312"/>
          <w:sz w:val="32"/>
          <w:lang w:eastAsia="zh-CN"/>
        </w:rPr>
        <w:t>根据法律、行政法规规定并经国务院或财政</w:t>
      </w:r>
      <w:r>
        <w:rPr>
          <w:rFonts w:hint="eastAsia" w:ascii="仿宋_GB2312" w:eastAsia="仿宋_GB2312"/>
          <w:sz w:val="32"/>
          <w:lang w:eastAsia="zh-CN"/>
        </w:rPr>
        <w:t>部</w:t>
      </w:r>
      <w:r>
        <w:rPr>
          <w:rFonts w:hint="eastAsia" w:ascii="仿宋_GB2312" w:hAnsi="Times New Roman" w:eastAsia="仿宋_GB2312"/>
          <w:sz w:val="32"/>
          <w:lang w:eastAsia="zh-CN"/>
        </w:rPr>
        <w:t>批准，向公民、法人和其他组织征收的政府性基金，以及参照政府性基金管理或纳入基金预算、具有特定用途的财政资金</w:t>
      </w:r>
      <w:r>
        <w:rPr>
          <w:rFonts w:hint="eastAsia" w:ascii="仿宋_GB2312" w:hAnsi="仿宋_GB2312" w:eastAsia="仿宋_GB2312"/>
          <w:color w:val="000000"/>
          <w:sz w:val="32"/>
          <w:lang w:val="en-US"/>
        </w:rPr>
        <w:t>。</w:t>
      </w:r>
    </w:p>
    <w:p w14:paraId="65049FBD">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rPr>
        <w:t xml:space="preserve">3.年初结转和结余：指以前年度尚未完成、结转到本年按有关规定继续使用的资金。 </w:t>
      </w:r>
    </w:p>
    <w:p w14:paraId="00383114">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4</w:t>
      </w:r>
      <w:r>
        <w:rPr>
          <w:rFonts w:hint="eastAsia" w:ascii="仿宋_GB2312" w:hAnsi="仿宋_GB2312" w:eastAsia="仿宋_GB2312"/>
          <w:color w:val="000000"/>
          <w:sz w:val="32"/>
          <w:lang w:val="en-US"/>
        </w:rPr>
        <w:t>.年末结转和结余：指单位按有关规定结转到下年或以后年度继续使用的资金。</w:t>
      </w:r>
    </w:p>
    <w:p w14:paraId="6A843CFC">
      <w:pPr>
        <w:spacing w:beforeLines="0" w:afterLines="0" w:line="576" w:lineRule="exact"/>
        <w:ind w:firstLine="640"/>
        <w:rPr>
          <w:rFonts w:hint="eastAsia" w:ascii="仿宋_GB2312" w:hAnsi="Times New Roman" w:eastAsia="仿宋_GB2312"/>
          <w:sz w:val="32"/>
          <w:lang w:val="en-US" w:eastAsia="zh-CN"/>
        </w:rPr>
      </w:pPr>
      <w:r>
        <w:rPr>
          <w:rFonts w:hint="eastAsia" w:ascii="仿宋_GB2312" w:hAnsi="Times New Roman" w:eastAsia="仿宋_GB2312"/>
          <w:color w:val="000000"/>
          <w:sz w:val="32"/>
          <w:lang w:val="en-US" w:eastAsia="zh-CN"/>
        </w:rPr>
        <w:t>5</w:t>
      </w:r>
      <w:r>
        <w:rPr>
          <w:rFonts w:hint="eastAsia" w:ascii="仿宋_GB2312" w:hAnsi="Times New Roman" w:eastAsia="仿宋_GB2312"/>
          <w:color w:val="000000"/>
          <w:sz w:val="32"/>
        </w:rPr>
        <w:t>.</w:t>
      </w:r>
      <w:r>
        <w:rPr>
          <w:rFonts w:hint="eastAsia" w:ascii="仿宋_GB2312" w:hAnsi="Calibri" w:eastAsia="仿宋_GB2312"/>
          <w:color w:val="000000"/>
          <w:sz w:val="32"/>
          <w:lang w:val="en-US" w:eastAsia="zh-CN"/>
        </w:rPr>
        <w:t>一般公共服务（类）人大事务（款）行政运行（项）：指反映行政单位（包括实行公务员管理的事业单位）的基本支出。</w:t>
      </w:r>
    </w:p>
    <w:p w14:paraId="7ACB2A14">
      <w:pPr>
        <w:spacing w:beforeLines="0" w:afterLines="0" w:line="576" w:lineRule="exact"/>
        <w:ind w:firstLine="640"/>
        <w:rPr>
          <w:rFonts w:hint="eastAsia" w:ascii="仿宋_GB2312" w:hAnsi="Times New Roman" w:eastAsia="仿宋_GB2312"/>
          <w:sz w:val="32"/>
          <w:lang w:val="en-US" w:eastAsia="zh-CN"/>
        </w:rPr>
      </w:pPr>
      <w:r>
        <w:rPr>
          <w:rFonts w:hint="eastAsia" w:ascii="仿宋_GB2312" w:hAnsi="Times New Roman" w:eastAsia="仿宋_GB2312"/>
          <w:sz w:val="32"/>
          <w:lang w:val="en-US" w:eastAsia="zh-CN"/>
        </w:rPr>
        <w:t>6.一般公共服务（类）政府办公厅（室）及相关机构事务（款）事业运行（项）：指反映事业单位的基本支出不包括行政单位（包括实行公务员管理的事业单位）后勤服务中心、医务室等附属事业单位。</w:t>
      </w:r>
    </w:p>
    <w:p w14:paraId="5D7F1A5F">
      <w:pPr>
        <w:spacing w:beforeLines="0" w:afterLines="0" w:line="576" w:lineRule="exact"/>
        <w:ind w:firstLine="640"/>
        <w:rPr>
          <w:rFonts w:hint="eastAsia" w:ascii="仿宋_GB2312" w:hAnsi="Times New Roman" w:eastAsia="仿宋_GB2312"/>
          <w:color w:val="000000"/>
          <w:sz w:val="32"/>
          <w:lang w:val="en-US"/>
        </w:rPr>
      </w:pPr>
      <w:r>
        <w:rPr>
          <w:rFonts w:hint="eastAsia" w:ascii="仿宋_GB2312" w:hAnsi="Times New Roman" w:eastAsia="仿宋_GB2312"/>
          <w:color w:val="000000"/>
          <w:sz w:val="32"/>
          <w:lang w:val="en-US" w:eastAsia="zh-CN"/>
        </w:rPr>
        <w:t>7.文化旅游体育与传媒（类）文化和旅游（款）其他文化和旅游支出（项）</w:t>
      </w:r>
      <w:r>
        <w:rPr>
          <w:rFonts w:hint="eastAsia" w:ascii="仿宋_GB2312" w:eastAsia="仿宋_GB2312"/>
          <w:color w:val="000000"/>
          <w:sz w:val="32"/>
          <w:lang w:val="en-US" w:eastAsia="zh-CN"/>
        </w:rPr>
        <w:t>：</w:t>
      </w:r>
      <w:r>
        <w:rPr>
          <w:rFonts w:hint="eastAsia" w:ascii="仿宋_GB2312" w:hAnsi="Times New Roman" w:eastAsia="仿宋_GB2312"/>
          <w:color w:val="000000"/>
          <w:sz w:val="32"/>
          <w:lang w:val="en-US" w:eastAsia="zh-CN"/>
        </w:rPr>
        <w:t xml:space="preserve"> 反映其他用于文化和旅游方面的支出。</w:t>
      </w:r>
    </w:p>
    <w:p w14:paraId="757C466D">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8</w:t>
      </w:r>
      <w:r>
        <w:rPr>
          <w:rFonts w:hint="eastAsia" w:ascii="仿宋_GB2312" w:hAnsi="仿宋_GB2312" w:eastAsia="仿宋_GB2312"/>
          <w:color w:val="000000"/>
          <w:sz w:val="32"/>
          <w:lang w:val="en-US"/>
        </w:rPr>
        <w:t>.</w:t>
      </w:r>
      <w:r>
        <w:rPr>
          <w:rFonts w:hint="eastAsia" w:ascii="仿宋_GB2312" w:hAnsi="仿宋_GB2312" w:eastAsia="仿宋_GB2312"/>
          <w:color w:val="000000"/>
          <w:sz w:val="32"/>
          <w:lang w:val="en-US" w:eastAsia="zh-CN"/>
        </w:rPr>
        <w:t>社会保障和就业（类）行政事业单位养老支出（款）机关事业单位基本养老保险缴费支出（项）：指反映机关事业单位实施养老保险制度由单位缴纳的基本养老保险费支出。</w:t>
      </w:r>
    </w:p>
    <w:p w14:paraId="054CCB9B">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9</w:t>
      </w:r>
      <w:r>
        <w:rPr>
          <w:rFonts w:hint="eastAsia" w:ascii="仿宋_GB2312" w:hAnsi="仿宋_GB2312" w:eastAsia="仿宋_GB2312"/>
          <w:color w:val="000000"/>
          <w:sz w:val="32"/>
          <w:lang w:val="en-US"/>
        </w:rPr>
        <w:t>.社会保障和就业（类）行政事业单位养老支出（款）</w:t>
      </w:r>
      <w:r>
        <w:rPr>
          <w:rFonts w:hint="eastAsia" w:ascii="仿宋_GB2312" w:hAnsi="仿宋_GB2312" w:eastAsia="仿宋_GB2312"/>
          <w:color w:val="000000"/>
          <w:sz w:val="32"/>
          <w:lang w:val="en-US" w:eastAsia="zh-CN"/>
        </w:rPr>
        <w:t>机关事业单位职业年金缴费支出</w:t>
      </w:r>
      <w:r>
        <w:rPr>
          <w:rFonts w:hint="eastAsia" w:ascii="仿宋_GB2312" w:hAnsi="仿宋_GB2312" w:eastAsia="仿宋_GB2312"/>
          <w:color w:val="000000"/>
          <w:sz w:val="32"/>
          <w:lang w:val="en-US"/>
        </w:rPr>
        <w:t>（项）</w:t>
      </w:r>
      <w:r>
        <w:rPr>
          <w:rFonts w:hint="eastAsia" w:ascii="仿宋_GB2312" w:hAnsi="仿宋_GB2312" w:eastAsia="仿宋_GB2312"/>
          <w:color w:val="000000"/>
          <w:sz w:val="32"/>
          <w:lang w:val="en-US" w:eastAsia="zh-CN"/>
        </w:rPr>
        <w:t>：</w:t>
      </w:r>
      <w:r>
        <w:rPr>
          <w:rFonts w:hint="eastAsia" w:ascii="仿宋_GB2312" w:hAnsi="仿宋_GB2312" w:eastAsia="仿宋_GB2312"/>
          <w:color w:val="000000"/>
          <w:sz w:val="32"/>
          <w:lang w:val="en-US"/>
        </w:rPr>
        <w:t xml:space="preserve"> 指</w:t>
      </w:r>
      <w:r>
        <w:rPr>
          <w:rFonts w:hint="eastAsia" w:ascii="仿宋_GB2312" w:hAnsi="仿宋_GB2312" w:eastAsia="仿宋_GB2312"/>
          <w:color w:val="000000"/>
          <w:sz w:val="32"/>
          <w:lang w:val="en-US" w:eastAsia="zh-CN"/>
        </w:rPr>
        <w:t>反映机关事业单位实施养老保险制度由单位实际缴纳的职业年金支出</w:t>
      </w:r>
      <w:r>
        <w:rPr>
          <w:rFonts w:hint="eastAsia" w:ascii="仿宋_GB2312" w:hAnsi="仿宋_GB2312" w:eastAsia="仿宋_GB2312"/>
          <w:color w:val="000000"/>
          <w:sz w:val="32"/>
          <w:lang w:val="en-US"/>
        </w:rPr>
        <w:t>。</w:t>
      </w:r>
    </w:p>
    <w:p w14:paraId="64EA44CA">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10</w:t>
      </w:r>
      <w:r>
        <w:rPr>
          <w:rFonts w:hint="eastAsia" w:ascii="仿宋_GB2312" w:hAnsi="仿宋_GB2312" w:eastAsia="仿宋_GB2312"/>
          <w:color w:val="000000"/>
          <w:sz w:val="32"/>
          <w:lang w:val="en-US"/>
        </w:rPr>
        <w:t>.社会保障和就业（类）</w:t>
      </w:r>
      <w:r>
        <w:rPr>
          <w:rFonts w:hint="eastAsia" w:ascii="仿宋_GB2312" w:hAnsi="仿宋_GB2312" w:eastAsia="仿宋_GB2312"/>
          <w:color w:val="000000"/>
          <w:sz w:val="32"/>
          <w:lang w:val="en-US" w:eastAsia="zh-CN"/>
        </w:rPr>
        <w:t>其他社会保障和就业支出</w:t>
      </w:r>
      <w:r>
        <w:rPr>
          <w:rFonts w:hint="eastAsia" w:ascii="仿宋_GB2312" w:hAnsi="仿宋_GB2312" w:eastAsia="仿宋_GB2312"/>
          <w:color w:val="000000"/>
          <w:sz w:val="32"/>
          <w:lang w:val="en-US"/>
        </w:rPr>
        <w:t>（款）</w:t>
      </w:r>
      <w:r>
        <w:rPr>
          <w:rFonts w:hint="eastAsia" w:ascii="仿宋_GB2312" w:hAnsi="仿宋_GB2312" w:eastAsia="仿宋_GB2312"/>
          <w:color w:val="000000"/>
          <w:sz w:val="32"/>
          <w:lang w:val="en-US" w:eastAsia="zh-CN"/>
        </w:rPr>
        <w:t>其他社会保障和就业支出</w:t>
      </w:r>
      <w:r>
        <w:rPr>
          <w:rFonts w:hint="eastAsia" w:ascii="仿宋_GB2312" w:hAnsi="仿宋_GB2312" w:eastAsia="仿宋_GB2312"/>
          <w:color w:val="000000"/>
          <w:sz w:val="32"/>
          <w:lang w:val="en-US"/>
        </w:rPr>
        <w:t>（项）</w:t>
      </w:r>
      <w:r>
        <w:rPr>
          <w:rFonts w:hint="eastAsia" w:ascii="仿宋_GB2312" w:hAnsi="仿宋_GB2312" w:eastAsia="仿宋_GB2312"/>
          <w:color w:val="000000"/>
          <w:sz w:val="32"/>
          <w:lang w:val="en-US" w:eastAsia="zh-CN"/>
        </w:rPr>
        <w:t>：</w:t>
      </w:r>
      <w:r>
        <w:rPr>
          <w:rFonts w:hint="eastAsia" w:ascii="仿宋_GB2312" w:hAnsi="仿宋_GB2312" w:eastAsia="仿宋_GB2312"/>
          <w:color w:val="000000"/>
          <w:sz w:val="32"/>
          <w:lang w:val="en-US"/>
        </w:rPr>
        <w:t xml:space="preserve"> </w:t>
      </w:r>
      <w:r>
        <w:rPr>
          <w:rFonts w:hint="eastAsia" w:ascii="仿宋_GB2312" w:hAnsi="仿宋_GB2312" w:eastAsia="仿宋_GB2312"/>
          <w:color w:val="000000"/>
          <w:sz w:val="32"/>
          <w:lang w:val="en-US" w:eastAsia="zh-CN"/>
        </w:rPr>
        <w:t>指反映除上述项目以外其他用于社会保障和就业方面的支出。</w:t>
      </w:r>
    </w:p>
    <w:p w14:paraId="7ACA937F">
      <w:pPr>
        <w:spacing w:beforeLines="0" w:afterLines="0" w:line="576" w:lineRule="exact"/>
        <w:ind w:firstLine="640"/>
        <w:rPr>
          <w:rFonts w:hint="eastAsia" w:ascii="仿宋_GB2312" w:hAnsi="仿宋_GB2312" w:eastAsia="仿宋_GB2312"/>
          <w:color w:val="000000"/>
          <w:sz w:val="32"/>
          <w:lang w:val="en-US" w:eastAsia="zh-CN"/>
        </w:rPr>
      </w:pPr>
      <w:r>
        <w:rPr>
          <w:rFonts w:hint="eastAsia" w:ascii="仿宋_GB2312" w:hAnsi="仿宋_GB2312" w:eastAsia="仿宋_GB2312"/>
          <w:color w:val="000000"/>
          <w:sz w:val="32"/>
          <w:lang w:val="en-US" w:eastAsia="zh-CN"/>
        </w:rPr>
        <w:t>11.</w:t>
      </w:r>
      <w:r>
        <w:rPr>
          <w:rFonts w:hint="eastAsia" w:ascii="仿宋_GB2312" w:hAnsi="仿宋_GB2312" w:eastAsia="仿宋_GB2312"/>
          <w:color w:val="000000"/>
          <w:sz w:val="32"/>
          <w:lang w:val="en-US"/>
        </w:rPr>
        <w:t>卫生健康（类）计划生育事务（款）其他计划生育事务支出（项）</w:t>
      </w:r>
      <w:r>
        <w:rPr>
          <w:rFonts w:hint="eastAsia" w:ascii="仿宋_GB2312" w:hAnsi="仿宋_GB2312" w:eastAsia="仿宋_GB2312"/>
          <w:color w:val="000000"/>
          <w:sz w:val="32"/>
          <w:lang w:val="en-US" w:eastAsia="zh-CN"/>
        </w:rPr>
        <w:t>：反映除上述项目以外其他用于计划生育管理事务方面的支出。</w:t>
      </w:r>
    </w:p>
    <w:p w14:paraId="1E9D0C72">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12.</w:t>
      </w:r>
      <w:r>
        <w:rPr>
          <w:rFonts w:hint="eastAsia" w:ascii="仿宋_GB2312" w:hAnsi="仿宋_GB2312" w:eastAsia="仿宋_GB2312"/>
          <w:color w:val="000000"/>
          <w:sz w:val="32"/>
          <w:lang w:val="en-US"/>
        </w:rPr>
        <w:t>卫生健康（类）行政事业单位医疗（款）行政单位医疗（项）</w:t>
      </w:r>
      <w:r>
        <w:rPr>
          <w:rFonts w:hint="eastAsia" w:ascii="仿宋_GB2312" w:hAnsi="仿宋_GB2312" w:eastAsia="仿宋_GB2312"/>
          <w:color w:val="000000"/>
          <w:sz w:val="32"/>
          <w:lang w:val="en-US" w:eastAsia="zh-CN"/>
        </w:rPr>
        <w:t>：</w:t>
      </w:r>
      <w:r>
        <w:rPr>
          <w:rFonts w:hint="eastAsia" w:ascii="仿宋_GB2312" w:hAnsi="仿宋_GB2312" w:eastAsia="仿宋_GB2312"/>
          <w:color w:val="000000"/>
          <w:sz w:val="32"/>
          <w:lang w:val="en-US"/>
        </w:rPr>
        <w:t>指</w:t>
      </w:r>
      <w:r>
        <w:rPr>
          <w:rFonts w:hint="eastAsia" w:ascii="仿宋_GB2312" w:hAnsi="仿宋_GB2312" w:eastAsia="仿宋_GB2312"/>
          <w:color w:val="000000"/>
          <w:sz w:val="32"/>
          <w:lang w:val="en-US" w:eastAsia="zh-CN"/>
        </w:rPr>
        <w:t>反映财政单位安排的行政单位（包括实行公务员管理的事业单位）基本医疗保险缴费经费，未参加医疗保险的行政单位的公费医疗经费，按国家规定享受离休人员待遇的医疗经费</w:t>
      </w:r>
      <w:r>
        <w:rPr>
          <w:rFonts w:hint="eastAsia" w:ascii="仿宋_GB2312" w:hAnsi="仿宋_GB2312" w:eastAsia="仿宋_GB2312"/>
          <w:color w:val="000000"/>
          <w:sz w:val="32"/>
          <w:lang w:val="en-US"/>
        </w:rPr>
        <w:t>。</w:t>
      </w:r>
    </w:p>
    <w:p w14:paraId="74D37952">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13.</w:t>
      </w:r>
      <w:r>
        <w:rPr>
          <w:rFonts w:hint="eastAsia" w:ascii="仿宋_GB2312" w:hAnsi="仿宋_GB2312" w:eastAsia="仿宋_GB2312"/>
          <w:color w:val="000000"/>
          <w:sz w:val="32"/>
          <w:lang w:val="en-US"/>
        </w:rPr>
        <w:t>卫生健康（类）行政事业单位医疗（款）公务员医疗补助（项）</w:t>
      </w:r>
      <w:r>
        <w:rPr>
          <w:rFonts w:hint="eastAsia" w:ascii="仿宋_GB2312" w:hAnsi="仿宋_GB2312" w:eastAsia="仿宋_GB2312"/>
          <w:color w:val="000000"/>
          <w:sz w:val="32"/>
          <w:lang w:val="en-US" w:eastAsia="zh-CN"/>
        </w:rPr>
        <w:t>：反映财政单位安排的公务员医疗补助经费</w:t>
      </w:r>
      <w:r>
        <w:rPr>
          <w:rFonts w:hint="eastAsia" w:ascii="仿宋_GB2312" w:hAnsi="仿宋_GB2312" w:eastAsia="仿宋_GB2312"/>
          <w:color w:val="000000"/>
          <w:sz w:val="32"/>
          <w:lang w:val="en-US"/>
        </w:rPr>
        <w:t>。</w:t>
      </w:r>
    </w:p>
    <w:p w14:paraId="0723ABF9">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14.</w:t>
      </w:r>
      <w:r>
        <w:rPr>
          <w:rFonts w:hint="eastAsia" w:ascii="仿宋_GB2312" w:hAnsi="仿宋_GB2312" w:eastAsia="仿宋_GB2312"/>
          <w:color w:val="000000"/>
          <w:sz w:val="32"/>
          <w:lang w:val="en-US"/>
        </w:rPr>
        <w:t>城乡社区支出（类）城乡社区管理事务（款）城管执法（项）</w:t>
      </w:r>
      <w:r>
        <w:rPr>
          <w:rFonts w:hint="eastAsia" w:ascii="仿宋_GB2312" w:hAnsi="仿宋_GB2312" w:eastAsia="仿宋_GB2312"/>
          <w:color w:val="000000"/>
          <w:sz w:val="32"/>
          <w:lang w:val="en-US" w:eastAsia="zh-CN"/>
        </w:rPr>
        <w:t>：反映城市管理综合行政执法、加强城市市容和环境卫生管理等方面的支出</w:t>
      </w:r>
      <w:r>
        <w:rPr>
          <w:rFonts w:hint="eastAsia" w:ascii="仿宋_GB2312" w:hAnsi="仿宋_GB2312" w:eastAsia="仿宋_GB2312"/>
          <w:color w:val="000000"/>
          <w:sz w:val="32"/>
          <w:lang w:val="en-US"/>
        </w:rPr>
        <w:t>。</w:t>
      </w:r>
    </w:p>
    <w:p w14:paraId="3FDDE597">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15.</w:t>
      </w:r>
      <w:r>
        <w:rPr>
          <w:rFonts w:hint="eastAsia" w:ascii="仿宋_GB2312" w:hAnsi="仿宋_GB2312" w:eastAsia="仿宋_GB2312"/>
          <w:color w:val="000000"/>
          <w:sz w:val="32"/>
          <w:lang w:val="en-US"/>
        </w:rPr>
        <w:t>农林水支出（类）巩固脱贫衔接乡村振兴（款）其他巩固脱贫衔接乡村振兴支出（项）</w:t>
      </w:r>
      <w:r>
        <w:rPr>
          <w:rFonts w:hint="eastAsia" w:ascii="仿宋_GB2312" w:hAnsi="仿宋_GB2312" w:eastAsia="仿宋_GB2312"/>
          <w:color w:val="000000"/>
          <w:sz w:val="32"/>
          <w:lang w:val="en-US" w:eastAsia="zh-CN"/>
        </w:rPr>
        <w:t>：反映除上述项目以外其他用于巩固拓展脱贫攻坚成果同乡村振兴有效衔接方面的支出</w:t>
      </w:r>
      <w:r>
        <w:rPr>
          <w:rFonts w:hint="eastAsia" w:ascii="仿宋_GB2312" w:hAnsi="仿宋_GB2312" w:eastAsia="仿宋_GB2312"/>
          <w:color w:val="000000"/>
          <w:sz w:val="32"/>
          <w:lang w:val="en-US"/>
        </w:rPr>
        <w:t>。</w:t>
      </w:r>
    </w:p>
    <w:p w14:paraId="04244E5D">
      <w:pPr>
        <w:spacing w:beforeLines="0" w:afterLines="0" w:line="576" w:lineRule="exact"/>
        <w:ind w:firstLine="640"/>
        <w:rPr>
          <w:rFonts w:hint="eastAsia" w:ascii="仿宋_GB2312" w:hAnsi="仿宋_GB2312" w:eastAsia="仿宋_GB2312"/>
          <w:color w:val="000000"/>
          <w:sz w:val="32"/>
          <w:lang w:val="en-US" w:eastAsia="zh-CN"/>
        </w:rPr>
      </w:pPr>
      <w:r>
        <w:rPr>
          <w:rFonts w:hint="eastAsia" w:ascii="仿宋_GB2312" w:hAnsi="仿宋_GB2312" w:eastAsia="仿宋_GB2312"/>
          <w:color w:val="000000"/>
          <w:sz w:val="32"/>
          <w:lang w:val="en-US" w:eastAsia="zh-CN"/>
        </w:rPr>
        <w:t>16.</w:t>
      </w:r>
      <w:r>
        <w:rPr>
          <w:rFonts w:hint="eastAsia" w:ascii="仿宋_GB2312" w:hAnsi="仿宋_GB2312" w:eastAsia="仿宋_GB2312"/>
          <w:color w:val="000000"/>
          <w:sz w:val="32"/>
          <w:lang w:val="en-US"/>
        </w:rPr>
        <w:t>农林水支出（类）农村综合改革（款）对村民委员会和村党支部的补助（项）</w:t>
      </w:r>
      <w:r>
        <w:rPr>
          <w:rFonts w:hint="eastAsia" w:ascii="仿宋_GB2312" w:hAnsi="仿宋_GB2312" w:eastAsia="仿宋_GB2312"/>
          <w:color w:val="000000"/>
          <w:sz w:val="32"/>
          <w:lang w:val="en-US" w:eastAsia="zh-CN"/>
        </w:rPr>
        <w:t>：指各级财政对村民委员会和村党支部的补助支出，以及支持建立县级基本财力保障机制安排的村级组织运转奖补资金。</w:t>
      </w:r>
    </w:p>
    <w:p w14:paraId="7B69D2E5">
      <w:pPr>
        <w:spacing w:beforeLines="0" w:afterLines="0" w:line="576" w:lineRule="exact"/>
        <w:ind w:firstLine="640"/>
        <w:rPr>
          <w:rFonts w:hint="eastAsia" w:ascii="仿宋_GB2312" w:hAnsi="仿宋_GB2312" w:eastAsia="仿宋_GB2312"/>
          <w:color w:val="000000"/>
          <w:sz w:val="32"/>
          <w:lang w:val="en-US" w:eastAsia="zh-CN"/>
        </w:rPr>
      </w:pPr>
      <w:r>
        <w:rPr>
          <w:rFonts w:hint="eastAsia" w:ascii="仿宋_GB2312" w:hAnsi="仿宋_GB2312" w:eastAsia="仿宋_GB2312"/>
          <w:color w:val="000000"/>
          <w:sz w:val="32"/>
          <w:lang w:val="en-US" w:eastAsia="zh-CN"/>
        </w:rPr>
        <w:t>17.</w:t>
      </w:r>
      <w:r>
        <w:rPr>
          <w:rFonts w:hint="eastAsia" w:ascii="仿宋_GB2312" w:hAnsi="仿宋_GB2312" w:eastAsia="仿宋_GB2312"/>
          <w:color w:val="000000"/>
          <w:sz w:val="32"/>
          <w:lang w:val="en-US"/>
        </w:rPr>
        <w:t>农林水支出（类）农村综合改革（款）农村综合改革示范试点补助（项）</w:t>
      </w:r>
      <w:r>
        <w:rPr>
          <w:rFonts w:hint="eastAsia" w:ascii="仿宋_GB2312" w:hAnsi="仿宋_GB2312" w:eastAsia="仿宋_GB2312"/>
          <w:color w:val="000000"/>
          <w:sz w:val="32"/>
          <w:lang w:val="en-US" w:eastAsia="zh-CN"/>
        </w:rPr>
        <w:t>：指各级财政对农村综合改革示范试点、新型农村社会化服务体系建设等补助支出。</w:t>
      </w:r>
    </w:p>
    <w:p w14:paraId="78BBA4CD">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sz w:val="32"/>
          <w:lang w:val="en-US" w:eastAsia="zh-CN"/>
        </w:rPr>
        <w:t>18.</w:t>
      </w:r>
      <w:r>
        <w:rPr>
          <w:rFonts w:hint="eastAsia" w:ascii="仿宋_GB2312" w:hAnsi="仿宋_GB2312" w:eastAsia="仿宋_GB2312"/>
          <w:color w:val="000000"/>
          <w:sz w:val="32"/>
          <w:lang w:val="en-US"/>
        </w:rPr>
        <w:t>交通运输支出（类）公路水路运输（款）公路和运输安全（项）</w:t>
      </w:r>
      <w:r>
        <w:rPr>
          <w:rFonts w:hint="eastAsia" w:ascii="仿宋_GB2312" w:hAnsi="仿宋_GB2312" w:eastAsia="仿宋_GB2312"/>
          <w:color w:val="000000"/>
          <w:sz w:val="32"/>
          <w:lang w:val="en-US" w:eastAsia="zh-CN"/>
        </w:rPr>
        <w:t>：反映公路和运输安全支出</w:t>
      </w:r>
      <w:r>
        <w:rPr>
          <w:rFonts w:hint="eastAsia" w:ascii="仿宋_GB2312" w:hAnsi="仿宋_GB2312" w:eastAsia="仿宋_GB2312"/>
          <w:color w:val="000000"/>
          <w:sz w:val="32"/>
          <w:lang w:val="en-US"/>
        </w:rPr>
        <w:t>。</w:t>
      </w:r>
    </w:p>
    <w:p w14:paraId="16B56A2B">
      <w:pPr>
        <w:spacing w:beforeLines="0" w:afterLines="0" w:line="576" w:lineRule="exact"/>
        <w:ind w:firstLine="640"/>
        <w:rPr>
          <w:rFonts w:hint="eastAsia" w:ascii="仿宋_GB2312" w:hAnsi="仿宋_GB2312" w:eastAsia="仿宋_GB2312"/>
          <w:color w:val="000000"/>
          <w:sz w:val="32"/>
          <w:lang w:val="en-US" w:eastAsia="zh-CN"/>
        </w:rPr>
      </w:pPr>
      <w:r>
        <w:rPr>
          <w:rFonts w:hint="eastAsia" w:ascii="仿宋_GB2312" w:hAnsi="仿宋_GB2312" w:eastAsia="仿宋_GB2312"/>
          <w:color w:val="000000"/>
          <w:sz w:val="32"/>
          <w:lang w:val="en-US" w:eastAsia="zh-CN"/>
        </w:rPr>
        <w:t>19.</w:t>
      </w:r>
      <w:r>
        <w:rPr>
          <w:rFonts w:hint="eastAsia" w:ascii="仿宋_GB2312" w:hAnsi="仿宋_GB2312" w:eastAsia="仿宋_GB2312"/>
          <w:color w:val="000000"/>
          <w:sz w:val="32"/>
          <w:lang w:val="en-US"/>
        </w:rPr>
        <w:t>住房保障支出（类）住房改革支出（款）住房公积金（项）</w:t>
      </w:r>
      <w:r>
        <w:rPr>
          <w:rFonts w:hint="eastAsia" w:ascii="仿宋_GB2312" w:hAnsi="仿宋_GB2312" w:eastAsia="仿宋_GB2312"/>
          <w:color w:val="000000"/>
          <w:sz w:val="32"/>
          <w:lang w:val="en-US" w:eastAsia="zh-CN"/>
        </w:rPr>
        <w:t>：指行政事业单位安人力资源和社会保障部、财政部规定的基本工资和津贴补贴以及规定比例为职工缴纳的住房公积金。</w:t>
      </w:r>
    </w:p>
    <w:p w14:paraId="3D10D1F7">
      <w:pPr>
        <w:spacing w:beforeLines="0" w:afterLines="0" w:line="576" w:lineRule="exact"/>
        <w:ind w:firstLine="640"/>
        <w:jc w:val="both"/>
        <w:rPr>
          <w:rFonts w:hint="eastAsia" w:ascii="仿宋_GB2312" w:hAnsi="仿宋_GB2312" w:eastAsia="仿宋_GB2312"/>
          <w:color w:val="000000"/>
          <w:kern w:val="2"/>
          <w:sz w:val="32"/>
          <w:lang w:val="en-US"/>
        </w:rPr>
      </w:pPr>
      <w:r>
        <w:rPr>
          <w:rFonts w:hint="eastAsia" w:ascii="仿宋_GB2312" w:hAnsi="仿宋_GB2312" w:eastAsia="仿宋_GB2312"/>
          <w:color w:val="000000"/>
          <w:kern w:val="2"/>
          <w:sz w:val="32"/>
          <w:lang w:val="en-US" w:eastAsia="zh-CN"/>
        </w:rPr>
        <w:t>20</w:t>
      </w:r>
      <w:r>
        <w:rPr>
          <w:rFonts w:hint="eastAsia" w:ascii="仿宋_GB2312" w:hAnsi="仿宋_GB2312" w:eastAsia="仿宋_GB2312"/>
          <w:color w:val="000000"/>
          <w:kern w:val="2"/>
          <w:sz w:val="32"/>
          <w:lang w:val="en-US"/>
        </w:rPr>
        <w:t>.基本支出：指为保障机构正常运转、完成日常工作任务而发生的人员支出和公用支出。</w:t>
      </w:r>
    </w:p>
    <w:p w14:paraId="4E97D0B1">
      <w:pPr>
        <w:spacing w:beforeLines="0" w:afterLines="0" w:line="576" w:lineRule="exact"/>
        <w:ind w:firstLine="640"/>
        <w:jc w:val="both"/>
        <w:rPr>
          <w:rFonts w:hint="eastAsia" w:ascii="仿宋_GB2312" w:hAnsi="仿宋_GB2312" w:eastAsia="仿宋_GB2312"/>
          <w:color w:val="000000"/>
          <w:kern w:val="2"/>
          <w:sz w:val="32"/>
          <w:lang w:val="en-US"/>
        </w:rPr>
      </w:pPr>
      <w:r>
        <w:rPr>
          <w:rFonts w:hint="eastAsia" w:ascii="仿宋_GB2312" w:hAnsi="仿宋_GB2312" w:eastAsia="仿宋_GB2312"/>
          <w:color w:val="000000"/>
          <w:kern w:val="2"/>
          <w:sz w:val="32"/>
          <w:lang w:val="en-US"/>
        </w:rPr>
        <w:t>2</w:t>
      </w:r>
      <w:r>
        <w:rPr>
          <w:rFonts w:hint="eastAsia" w:ascii="仿宋_GB2312" w:hAnsi="仿宋_GB2312" w:eastAsia="仿宋_GB2312"/>
          <w:color w:val="000000"/>
          <w:kern w:val="2"/>
          <w:sz w:val="32"/>
          <w:lang w:val="en-US" w:eastAsia="zh-CN"/>
        </w:rPr>
        <w:t>1</w:t>
      </w:r>
      <w:r>
        <w:rPr>
          <w:rFonts w:hint="eastAsia" w:ascii="仿宋_GB2312" w:hAnsi="仿宋_GB2312" w:eastAsia="仿宋_GB2312"/>
          <w:color w:val="000000"/>
          <w:kern w:val="2"/>
          <w:sz w:val="32"/>
          <w:lang w:val="en-US"/>
        </w:rPr>
        <w:t xml:space="preserve">.项目支出：指在基本支出之外为完成特定行政任务和事业发展目标所发生的支出。 </w:t>
      </w:r>
    </w:p>
    <w:p w14:paraId="168C0928">
      <w:pPr>
        <w:spacing w:beforeLines="0" w:afterLines="0" w:line="576" w:lineRule="exact"/>
        <w:ind w:firstLine="640"/>
        <w:rPr>
          <w:rFonts w:hint="eastAsia" w:ascii="仿宋_GB2312" w:hAnsi="仿宋_GB2312" w:eastAsia="仿宋_GB2312"/>
          <w:color w:val="000000"/>
          <w:sz w:val="32"/>
          <w:lang w:val="en-US"/>
        </w:rPr>
      </w:pPr>
      <w:r>
        <w:rPr>
          <w:rFonts w:hint="eastAsia" w:ascii="仿宋_GB2312" w:hAnsi="仿宋_GB2312" w:eastAsia="仿宋_GB2312"/>
          <w:color w:val="000000"/>
          <w:kern w:val="2"/>
          <w:sz w:val="32"/>
          <w:lang w:val="en-US" w:eastAsia="zh-CN"/>
        </w:rPr>
        <w:t>22</w:t>
      </w:r>
      <w:r>
        <w:rPr>
          <w:rFonts w:hint="eastAsia" w:ascii="仿宋_GB2312" w:hAnsi="仿宋_GB2312" w:eastAsia="仿宋_GB2312"/>
          <w:color w:val="000000"/>
          <w:sz w:val="32"/>
          <w:lang w:val="en-US"/>
        </w:rPr>
        <w:t>.“三公”经费：指</w:t>
      </w:r>
      <w:r>
        <w:rPr>
          <w:rFonts w:hint="eastAsia" w:ascii="仿宋_GB2312" w:hAnsi="仿宋_GB2312" w:eastAsia="仿宋_GB2312"/>
          <w:color w:val="000000"/>
          <w:sz w:val="32"/>
          <w:lang w:val="en-US" w:eastAsia="zh-CN"/>
        </w:rPr>
        <w:t>单位</w:t>
      </w:r>
      <w:r>
        <w:rPr>
          <w:rFonts w:hint="eastAsia" w:ascii="仿宋_GB2312" w:hAnsi="仿宋_GB2312" w:eastAsia="仿宋_GB2312"/>
          <w:color w:val="000000"/>
          <w:sz w:val="32"/>
          <w:lang w:val="en-US"/>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DBEAF72">
      <w:pPr>
        <w:spacing w:beforeLines="0" w:afterLines="0" w:line="560" w:lineRule="exact"/>
        <w:ind w:firstLine="640"/>
        <w:rPr>
          <w:rFonts w:hint="eastAsia" w:ascii="黑体" w:hAnsi="黑体" w:eastAsia="黑体"/>
          <w:b w:val="0"/>
          <w:lang w:val="en-US" w:eastAsia="zh-CN"/>
        </w:rPr>
      </w:pPr>
      <w:r>
        <w:rPr>
          <w:rFonts w:hint="eastAsia" w:ascii="仿宋_GB2312" w:hAnsi="仿宋_GB2312" w:eastAsia="仿宋_GB2312"/>
          <w:color w:val="000000"/>
          <w:sz w:val="32"/>
          <w:lang w:val="en-US" w:eastAsia="zh-CN"/>
        </w:rPr>
        <w:t>23</w:t>
      </w:r>
      <w:r>
        <w:rPr>
          <w:rFonts w:hint="eastAsia" w:ascii="仿宋_GB2312" w:hAnsi="仿宋_GB2312" w:eastAsia="仿宋_GB2312"/>
          <w:color w:val="000000"/>
          <w:sz w:val="32"/>
          <w:lang w:val="en-US"/>
        </w:rPr>
        <w:t>.机关运行经费：</w:t>
      </w:r>
      <w:r>
        <w:rPr>
          <w:rFonts w:hint="eastAsia" w:ascii="仿宋_GB2312" w:hAnsi="仿宋_GB2312" w:eastAsia="仿宋_GB2312"/>
          <w:color w:val="auto"/>
          <w:sz w:val="32"/>
          <w:lang w:val="en-US"/>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9519B00">
      <w:pPr>
        <w:pStyle w:val="3"/>
        <w:jc w:val="center"/>
        <w:rPr>
          <w:rFonts w:hint="eastAsia" w:ascii="黑体" w:hAnsi="黑体" w:eastAsia="黑体"/>
          <w:b w:val="0"/>
        </w:rPr>
      </w:pPr>
    </w:p>
    <w:p w14:paraId="10D0AE63">
      <w:pPr>
        <w:pStyle w:val="3"/>
        <w:jc w:val="center"/>
        <w:rPr>
          <w:rFonts w:ascii="黑体" w:hAnsi="黑体" w:eastAsia="黑体"/>
          <w:b w:val="0"/>
        </w:rPr>
      </w:pPr>
      <w:r>
        <w:rPr>
          <w:rFonts w:hint="eastAsia" w:ascii="黑体" w:hAnsi="黑体" w:eastAsia="黑体"/>
          <w:b w:val="0"/>
        </w:rPr>
        <w:t>第四部分 附件</w:t>
      </w:r>
    </w:p>
    <w:p w14:paraId="1D39D0D3"/>
    <w:p w14:paraId="42049ABA">
      <w:pPr>
        <w:rPr>
          <w:rFonts w:ascii="黑体" w:hAnsi="黑体" w:eastAsia="黑体"/>
          <w:sz w:val="32"/>
          <w:szCs w:val="32"/>
        </w:rPr>
      </w:pPr>
      <w:r>
        <w:rPr>
          <w:rFonts w:hint="eastAsia" w:ascii="黑体" w:hAnsi="黑体" w:eastAsia="黑体"/>
          <w:sz w:val="32"/>
          <w:szCs w:val="32"/>
        </w:rPr>
        <w:t>附件1</w:t>
      </w:r>
    </w:p>
    <w:p w14:paraId="2C20B192">
      <w:pPr>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lang w:eastAsia="zh-CN"/>
        </w:rPr>
        <w:t>单位</w:t>
      </w:r>
      <w:r>
        <w:rPr>
          <w:rFonts w:hint="eastAsia" w:ascii="方正小标宋简体" w:hAnsi="方正小标宋简体" w:eastAsia="方正小标宋简体"/>
          <w:sz w:val="44"/>
          <w:szCs w:val="44"/>
        </w:rPr>
        <w:t>预算绩效评价报告范本</w:t>
      </w:r>
    </w:p>
    <w:p w14:paraId="4AE6D930">
      <w:pPr>
        <w:jc w:val="center"/>
        <w:rPr>
          <w:rFonts w:ascii="仿宋_GB2312" w:eastAsia="仿宋_GB2312"/>
          <w:sz w:val="32"/>
          <w:szCs w:val="32"/>
        </w:rPr>
      </w:pPr>
      <w:r>
        <w:rPr>
          <w:rFonts w:hint="eastAsia" w:ascii="仿宋_GB2312" w:eastAsia="仿宋_GB2312"/>
          <w:sz w:val="32"/>
          <w:szCs w:val="32"/>
        </w:rPr>
        <w:t>（报告范围包括机关和下属单位）</w:t>
      </w:r>
    </w:p>
    <w:p w14:paraId="4AA8AAC4"/>
    <w:p w14:paraId="740F4102">
      <w:pPr>
        <w:ind w:firstLine="640" w:firstLineChars="200"/>
        <w:rPr>
          <w:rFonts w:eastAsia="仿宋_GB2312"/>
          <w:sz w:val="32"/>
          <w:szCs w:val="32"/>
          <w:lang w:val="zh-CN"/>
        </w:rPr>
      </w:pPr>
      <w:r>
        <w:rPr>
          <w:rFonts w:hint="eastAsia" w:eastAsia="仿宋_GB2312"/>
          <w:sz w:val="32"/>
          <w:szCs w:val="32"/>
          <w:lang w:val="zh-CN"/>
        </w:rPr>
        <w:t>一、单位基本情况</w:t>
      </w:r>
    </w:p>
    <w:p w14:paraId="555BA42E">
      <w:pPr>
        <w:ind w:firstLine="640" w:firstLineChars="200"/>
        <w:rPr>
          <w:rFonts w:hint="eastAsia" w:eastAsia="仿宋_GB2312"/>
          <w:sz w:val="32"/>
          <w:szCs w:val="32"/>
          <w:lang w:val="zh-CN"/>
        </w:rPr>
      </w:pPr>
      <w:r>
        <w:rPr>
          <w:rFonts w:hint="eastAsia" w:eastAsia="仿宋_GB2312"/>
          <w:sz w:val="32"/>
          <w:szCs w:val="32"/>
          <w:lang w:val="zh-CN"/>
        </w:rPr>
        <w:t>（一）机构组成。</w:t>
      </w:r>
    </w:p>
    <w:p w14:paraId="2254128C">
      <w:pPr>
        <w:ind w:firstLine="640" w:firstLineChars="200"/>
        <w:rPr>
          <w:rFonts w:hint="eastAsia" w:eastAsia="仿宋_GB2312"/>
          <w:sz w:val="32"/>
          <w:szCs w:val="32"/>
          <w:lang w:val="zh-CN"/>
        </w:rPr>
      </w:pPr>
      <w:r>
        <w:rPr>
          <w:rFonts w:hint="eastAsia" w:eastAsia="仿宋_GB2312"/>
          <w:sz w:val="32"/>
          <w:szCs w:val="32"/>
          <w:lang w:val="zh-CN"/>
        </w:rPr>
        <w:t>五渡镇机关设下列内设机构：</w:t>
      </w:r>
    </w:p>
    <w:p w14:paraId="03B93B62">
      <w:pPr>
        <w:ind w:firstLine="640" w:firstLineChars="200"/>
        <w:rPr>
          <w:rFonts w:hint="eastAsia" w:eastAsia="仿宋_GB2312"/>
          <w:sz w:val="32"/>
          <w:szCs w:val="32"/>
          <w:lang w:val="zh-CN"/>
        </w:rPr>
      </w:pPr>
      <w:r>
        <w:rPr>
          <w:rFonts w:hint="eastAsia" w:eastAsia="仿宋_GB2312"/>
          <w:sz w:val="32"/>
          <w:szCs w:val="32"/>
          <w:lang w:val="zh-CN"/>
        </w:rPr>
        <w:t>党政办公室。主要承担党委政府日常事务；负责机关综合协调、政策调研、政务公开、督促检查、绩效管理等工作；负责文电会务、保密机要、印章管理、档案管理及后勤保障服务等工作；负责组织人事、机构编制、退休人员等具体工作。完成镇党委、政府交办的其他工作。</w:t>
      </w:r>
    </w:p>
    <w:p w14:paraId="2F468E02">
      <w:pPr>
        <w:ind w:firstLine="640" w:firstLineChars="200"/>
        <w:rPr>
          <w:rFonts w:hint="eastAsia" w:eastAsia="仿宋_GB2312"/>
          <w:sz w:val="32"/>
          <w:szCs w:val="32"/>
          <w:lang w:val="zh-CN"/>
        </w:rPr>
      </w:pPr>
      <w:r>
        <w:rPr>
          <w:rFonts w:hint="eastAsia" w:eastAsia="仿宋_GB2312"/>
          <w:sz w:val="32"/>
          <w:szCs w:val="32"/>
          <w:lang w:val="zh-CN"/>
        </w:rPr>
        <w:t>党建办公室（挂社会治理办公室牌子）。负责基层党组织建设领域各项方针政策、法律法规规章的贯彻落实；负责牵头推进城乡基层治理工作，承办县委城乡基层治理委员会及其办公室交办的各项工作；负责思想政治建设、党风廉政建设、基层组织建设、意识形态建设、精神文明建设等工作；负责统战、民族宗教、宣传、群团等工作；负责指导、管理、监督、考核基层党组织的党建工作；负责统筹辖区党组织建设；负责干部队伍建设，负责村（社区）班子建设，指导村（社区）党组织换届工作，指导村（社区）党组织活动阵地建设；负责社会治理、法治建设、群众工作等领域各项方针政策、法律法规规章的贯彻落实；负责社会治理体系建设和社会治安综合治理信息系统运行的管理保障；负责社会治安综合治理、平安建设、信访维稳、社区戒毒、社区康复、法治宣传教育、多元化解、司法调解、法律援助、外来人口管理、综治工作平台建设运行、网格化服务管理工作；完成镇党委、政府交办的其他工作。</w:t>
      </w:r>
    </w:p>
    <w:p w14:paraId="468A5C85">
      <w:pPr>
        <w:ind w:firstLine="640" w:firstLineChars="200"/>
        <w:rPr>
          <w:rFonts w:hint="eastAsia" w:eastAsia="仿宋_GB2312"/>
          <w:sz w:val="32"/>
          <w:szCs w:val="32"/>
          <w:lang w:val="zh-CN"/>
        </w:rPr>
      </w:pPr>
      <w:r>
        <w:rPr>
          <w:rFonts w:hint="eastAsia" w:eastAsia="仿宋_GB2312"/>
          <w:sz w:val="32"/>
          <w:szCs w:val="32"/>
          <w:lang w:val="zh-CN"/>
        </w:rPr>
        <w:t>社会事务办公室。负责社会事业各项方针政策、法律法规规章的贯彻落实；承担指导推进公共事务和综合管理等职责；负责教育、卫生健康、医疗保障、人民武装、民政、残联、退役军人事务、就业创业、统计、文化、体育、旅游等工作；根据法定职能或受委托承担辖区内行政审批、证照办理、政策咨询、劳动就业、社会保障、劳动关系调整、科技信息服务等事项；完成镇党委、政府交办的其他工作。</w:t>
      </w:r>
    </w:p>
    <w:p w14:paraId="71056F35">
      <w:pPr>
        <w:ind w:firstLine="640" w:firstLineChars="200"/>
        <w:rPr>
          <w:rFonts w:hint="eastAsia" w:eastAsia="仿宋_GB2312"/>
          <w:sz w:val="32"/>
          <w:szCs w:val="32"/>
          <w:lang w:val="zh-CN"/>
        </w:rPr>
      </w:pPr>
      <w:r>
        <w:rPr>
          <w:rFonts w:hint="eastAsia" w:eastAsia="仿宋_GB2312"/>
          <w:sz w:val="32"/>
          <w:szCs w:val="32"/>
          <w:lang w:val="zh-CN"/>
        </w:rPr>
        <w:t>规划建设管理办公室（挂自然资源和生态环境保护办公室牌子）。负责城乡建设、空间规划等领域各项方针政策、法律法规规章的贯彻落实；负责协助重点项目的征地、拆迁、安置等工作；负责宅基地管理、农业设施用地管理等工作；协助做好国土空间、交通、旅游等规划的编制和实施，并负责监督、管理。协调交通运输、电力、通讯、水利等基础建设工作；负责自然资源和生态环境保护领域各项方针政策、法律法规规章的贯彻落实；负责自然资源、生态环境资源开发利用保护等工作；负责野生动物保护、动植物防疫检疫、动物重大疫病和农作物森林重大病虫害监测与防控、种苗等工作；负责生态环境保护，加强环境隐患排查，实施网格化环境监管，及时处置环境问题；负责工业源、农业源和生活源的污染防治工作；负责环境保护宣传教育工作；负责大气、水、土、固废污染防治、“散乱污”企业整治、河道管理等监督管理工作；完成镇党委、政府交办的其他工作。</w:t>
      </w:r>
    </w:p>
    <w:p w14:paraId="6A355989">
      <w:pPr>
        <w:ind w:firstLine="640" w:firstLineChars="200"/>
        <w:rPr>
          <w:rFonts w:hint="eastAsia" w:eastAsia="仿宋_GB2312"/>
          <w:sz w:val="32"/>
          <w:szCs w:val="32"/>
          <w:lang w:val="zh-CN"/>
        </w:rPr>
      </w:pPr>
      <w:r>
        <w:rPr>
          <w:rFonts w:hint="eastAsia" w:eastAsia="仿宋_GB2312"/>
          <w:sz w:val="32"/>
          <w:szCs w:val="32"/>
          <w:lang w:val="zh-CN"/>
        </w:rPr>
        <w:t>乡村振兴办公室（挂脱贫攻坚办公室牌子）。负责农业农村、经济发展、乡村振兴、统计等领域各项方针政策、法律法规规章的贯彻落实；负责制定乡村振兴发展规划并组织实施；负责组织实施乡村振兴战略和美丽乡村建设，主要承担辖区人居环境、农业产业发展、工业经济、商贸业经济、供销合作社等职责；负责涉农项目的组织实施；负责指导、服务、监督辖区内农村集体经济组织的运营管理工作；负责农业资源开发利用、农业林业科技引进推广、动植物疫病防控、招商引资等工作；负责宣传、落实扶贫政策和措施；负责制定脱贫规划，负责巩固拓展脱贫攻坚项目推进实施工作；完成镇党委、政府交办的其他工作。</w:t>
      </w:r>
    </w:p>
    <w:p w14:paraId="11FAA277">
      <w:pPr>
        <w:ind w:firstLine="640" w:firstLineChars="200"/>
        <w:rPr>
          <w:rFonts w:hint="eastAsia" w:eastAsia="仿宋_GB2312"/>
          <w:sz w:val="32"/>
          <w:szCs w:val="32"/>
          <w:lang w:val="zh-CN"/>
        </w:rPr>
      </w:pPr>
      <w:r>
        <w:rPr>
          <w:rFonts w:hint="eastAsia" w:eastAsia="仿宋_GB2312"/>
          <w:sz w:val="32"/>
          <w:szCs w:val="32"/>
          <w:lang w:val="zh-CN"/>
        </w:rPr>
        <w:t>综合执法办公室（挂安全生产和应急管理办公室牌子）。负责综合行政执法领域各项方针政策、法律法规规章的贯彻落实；履行法律法规、规章等赋予或授权镇人民政府的行政执法职责；负责县级相关单位依法委托镇人民政府开展的行政执法；统筹组织协调指挥辖区内派驻基层执法力量开展综合行政执法；负责镇容镇貌、集镇秩序管理；负责辖区范围内日常巡查、快速处置、协助调查取证等基础性监管工作；负责应急管理、安全生产等领域各项方针政策、法律法规规章的贯彻落实；负责辖区内安全生产、抗震救灾、防汛抗旱、地质灾害、消防安全、森林防灭火、道路交通安全、生态环境事件、公共卫生事件、食品药品安全事件、动（植）物疫情事件及各类突发事件应急处置工作。完成镇党委、政府交办的其他工作。</w:t>
      </w:r>
    </w:p>
    <w:p w14:paraId="2429FFE2">
      <w:pPr>
        <w:ind w:firstLine="640" w:firstLineChars="200"/>
        <w:rPr>
          <w:rFonts w:eastAsia="仿宋_GB2312"/>
          <w:sz w:val="32"/>
          <w:szCs w:val="32"/>
          <w:lang w:val="zh-CN"/>
        </w:rPr>
      </w:pPr>
      <w:r>
        <w:rPr>
          <w:rFonts w:hint="eastAsia" w:eastAsia="仿宋_GB2312"/>
          <w:sz w:val="32"/>
          <w:szCs w:val="32"/>
          <w:lang w:val="zh-CN"/>
        </w:rPr>
        <w:t>财政所（挂村集体经济管理办公室牌子）。负责财政领域各项方针政策、法律法规规章的贯彻落实；负责编制和执行本级预算、决算草案和预算绩效管理工作；负责本级财政资金收支管理及行政事业单位会计核算工作；负责资金监管工作；负责政府采购工作；负责镇财务管理，代管村（社区）财务；指导农村集体“三资”管理等工作；负责国有资产管理工作；负责落实兑现各级财政惠农惠民补贴资金；负责财务管理的培训、指导、监督；负责做好财务档案管理工作；完成镇党委、政府交办的其他工作。</w:t>
      </w:r>
    </w:p>
    <w:p w14:paraId="08A49882">
      <w:pPr>
        <w:ind w:firstLine="640" w:firstLineChars="200"/>
        <w:rPr>
          <w:rFonts w:eastAsia="仿宋_GB2312"/>
          <w:sz w:val="32"/>
          <w:szCs w:val="32"/>
          <w:lang w:val="zh-CN"/>
        </w:rPr>
      </w:pPr>
    </w:p>
    <w:p w14:paraId="131215D4">
      <w:pPr>
        <w:ind w:firstLine="640" w:firstLineChars="200"/>
        <w:rPr>
          <w:rFonts w:hint="eastAsia" w:eastAsia="仿宋_GB2312"/>
          <w:sz w:val="32"/>
          <w:szCs w:val="32"/>
          <w:lang w:val="zh-CN"/>
        </w:rPr>
      </w:pPr>
      <w:r>
        <w:rPr>
          <w:rFonts w:hint="eastAsia" w:eastAsia="仿宋_GB2312"/>
          <w:sz w:val="32"/>
          <w:szCs w:val="32"/>
          <w:lang w:val="zh-CN"/>
        </w:rPr>
        <w:t>机构职能和人员概况。</w:t>
      </w:r>
    </w:p>
    <w:p w14:paraId="2880D692">
      <w:pPr>
        <w:ind w:firstLine="640" w:firstLineChars="200"/>
        <w:rPr>
          <w:rFonts w:hint="eastAsia" w:eastAsia="仿宋_GB2312"/>
          <w:sz w:val="32"/>
          <w:szCs w:val="32"/>
          <w:lang w:val="zh-CN"/>
        </w:rPr>
      </w:pPr>
      <w:r>
        <w:rPr>
          <w:rFonts w:hint="eastAsia" w:eastAsia="仿宋_GB2312"/>
          <w:sz w:val="32"/>
          <w:szCs w:val="32"/>
          <w:lang w:val="zh-CN"/>
        </w:rPr>
        <w:t>中共峨边彝族自治县五渡镇委员会统筹协调各方，全面领导辖区各项工作，履行从严管党治党，深化基层社会治理，创新社会管理和服务职能；峨边彝族自治县五渡镇人民政府依法行使公共管理、公共服务、公共安全、民生保障等基本职能。负责指导辖区各类组织依法依规履行职责。</w:t>
      </w:r>
    </w:p>
    <w:p w14:paraId="13099EE6">
      <w:pPr>
        <w:ind w:firstLine="640" w:firstLineChars="200"/>
        <w:rPr>
          <w:rFonts w:hint="eastAsia" w:eastAsia="仿宋_GB2312"/>
          <w:sz w:val="32"/>
          <w:szCs w:val="32"/>
          <w:lang w:val="zh-CN"/>
        </w:rPr>
      </w:pPr>
      <w:r>
        <w:rPr>
          <w:rFonts w:hint="eastAsia" w:eastAsia="仿宋_GB2312"/>
          <w:sz w:val="32"/>
          <w:szCs w:val="32"/>
          <w:lang w:val="zh-CN"/>
        </w:rPr>
        <w:t>五渡镇党委、五渡镇人民政府的主要职责是：</w:t>
      </w:r>
    </w:p>
    <w:p w14:paraId="155E064F">
      <w:pPr>
        <w:ind w:firstLine="640" w:firstLineChars="200"/>
        <w:rPr>
          <w:rFonts w:hint="eastAsia" w:eastAsia="仿宋_GB2312"/>
          <w:sz w:val="32"/>
          <w:szCs w:val="32"/>
          <w:lang w:val="zh-CN"/>
        </w:rPr>
      </w:pPr>
      <w:r>
        <w:rPr>
          <w:rFonts w:hint="eastAsia" w:eastAsia="仿宋_GB2312"/>
          <w:sz w:val="32"/>
          <w:szCs w:val="32"/>
          <w:lang w:val="zh-CN"/>
        </w:rPr>
        <w:t>（一）负责贯彻执行党和国家的路线方针政策、法律法规规章，执行县委、县政府的决定，研究决定辖区政治、经济、文化、社会、生态文明等领域事业发展的重大事项并组织实施。</w:t>
      </w:r>
    </w:p>
    <w:p w14:paraId="193E74BD">
      <w:pPr>
        <w:ind w:firstLine="640" w:firstLineChars="200"/>
        <w:rPr>
          <w:rFonts w:hint="eastAsia" w:eastAsia="仿宋_GB2312"/>
          <w:sz w:val="32"/>
          <w:szCs w:val="32"/>
          <w:lang w:val="zh-CN"/>
        </w:rPr>
      </w:pPr>
      <w:r>
        <w:rPr>
          <w:rFonts w:hint="eastAsia" w:eastAsia="仿宋_GB2312"/>
          <w:sz w:val="32"/>
          <w:szCs w:val="32"/>
          <w:lang w:val="zh-CN"/>
        </w:rPr>
        <w:t>（二）统筹落实关于辖区发展的重大决策，参与辖区建设规划和公共服务设施布局，建立健全基层社会治理工作机制，引导、整合辖区内各种社会力量为区域发展服务，推动辖区健康、有序、可持续发展。</w:t>
      </w:r>
    </w:p>
    <w:p w14:paraId="5C564401">
      <w:pPr>
        <w:ind w:firstLine="640" w:firstLineChars="200"/>
        <w:rPr>
          <w:rFonts w:hint="eastAsia" w:eastAsia="仿宋_GB2312"/>
          <w:sz w:val="32"/>
          <w:szCs w:val="32"/>
          <w:lang w:val="zh-CN"/>
        </w:rPr>
      </w:pPr>
      <w:r>
        <w:rPr>
          <w:rFonts w:hint="eastAsia" w:eastAsia="仿宋_GB2312"/>
          <w:sz w:val="32"/>
          <w:szCs w:val="32"/>
          <w:lang w:val="zh-CN"/>
        </w:rPr>
        <w:t>（三）负责加强基层党组织建设和基层政权建设，巩固党的执政基础；统筹协调辖区内各领域党建工作，推进社区党建、单位党建、行业党建和区域化党建互联互动，统筹抓好新领域新业态新群体党建工作。负责人大、政协、统战、民族宗教、群团工作。</w:t>
      </w:r>
    </w:p>
    <w:p w14:paraId="2A69CBBC">
      <w:pPr>
        <w:ind w:firstLine="640" w:firstLineChars="200"/>
        <w:rPr>
          <w:rFonts w:hint="eastAsia" w:eastAsia="仿宋_GB2312"/>
          <w:sz w:val="32"/>
          <w:szCs w:val="32"/>
          <w:lang w:val="zh-CN"/>
        </w:rPr>
      </w:pPr>
      <w:r>
        <w:rPr>
          <w:rFonts w:hint="eastAsia" w:eastAsia="仿宋_GB2312"/>
          <w:sz w:val="32"/>
          <w:szCs w:val="32"/>
          <w:lang w:val="zh-CN"/>
        </w:rPr>
        <w:t>（四）加强基层意识形态工作，推进基层精神文明建设，培养和弘扬社会主义核心价值观，创造良好社会环境。</w:t>
      </w:r>
    </w:p>
    <w:p w14:paraId="783F3395">
      <w:pPr>
        <w:ind w:firstLine="640" w:firstLineChars="200"/>
        <w:rPr>
          <w:rFonts w:hint="eastAsia" w:eastAsia="仿宋_GB2312"/>
          <w:sz w:val="32"/>
          <w:szCs w:val="32"/>
          <w:lang w:val="zh-CN"/>
        </w:rPr>
      </w:pPr>
      <w:r>
        <w:rPr>
          <w:rFonts w:hint="eastAsia" w:eastAsia="仿宋_GB2312"/>
          <w:sz w:val="32"/>
          <w:szCs w:val="32"/>
          <w:lang w:val="zh-CN"/>
        </w:rPr>
        <w:t>（五）负责拟定经济发展规划并组织实施。促进经济发展，推进产业结构调整，促进经济增长方式转变，促进农民增收。</w:t>
      </w:r>
    </w:p>
    <w:p w14:paraId="2785C3F8">
      <w:pPr>
        <w:ind w:firstLine="640" w:firstLineChars="200"/>
        <w:rPr>
          <w:rFonts w:hint="eastAsia" w:eastAsia="仿宋_GB2312"/>
          <w:sz w:val="32"/>
          <w:szCs w:val="32"/>
          <w:lang w:val="zh-CN"/>
        </w:rPr>
      </w:pPr>
      <w:r>
        <w:rPr>
          <w:rFonts w:hint="eastAsia" w:eastAsia="仿宋_GB2312"/>
          <w:sz w:val="32"/>
          <w:szCs w:val="32"/>
          <w:lang w:val="zh-CN"/>
        </w:rPr>
        <w:t>（六）负责拟定社会事业发展规划并组织实施。负责教育、科技、文化旅游、体育、广播电视、民政、卫生健康、医疗保障、残疾人保障、社会保险、退役军人服务等工作，推进便民服务规范化建设管理，落实与群众密切相关的各项公共服务政策。</w:t>
      </w:r>
    </w:p>
    <w:p w14:paraId="4E8B974C">
      <w:pPr>
        <w:ind w:firstLine="640" w:firstLineChars="200"/>
        <w:rPr>
          <w:rFonts w:hint="eastAsia" w:eastAsia="仿宋_GB2312"/>
          <w:sz w:val="32"/>
          <w:szCs w:val="32"/>
          <w:lang w:val="zh-CN"/>
        </w:rPr>
      </w:pPr>
      <w:r>
        <w:rPr>
          <w:rFonts w:hint="eastAsia" w:eastAsia="仿宋_GB2312"/>
          <w:sz w:val="32"/>
          <w:szCs w:val="32"/>
          <w:lang w:val="zh-CN"/>
        </w:rPr>
        <w:t>（七）负责拟定乡村振兴发展规划并组织实施。负责农业产业升级转型、美丽乡村建设、农村文化生活繁荣、农村基础设施和公共服务能力提升、</w:t>
      </w:r>
      <w:bookmarkStart w:id="49" w:name="_GoBack"/>
      <w:r>
        <w:rPr>
          <w:rFonts w:hint="eastAsia" w:eastAsia="仿宋_GB2312"/>
          <w:sz w:val="32"/>
          <w:szCs w:val="32"/>
          <w:lang w:val="zh-CN"/>
        </w:rPr>
        <w:t>脱贫攻坚</w:t>
      </w:r>
      <w:bookmarkEnd w:id="49"/>
      <w:r>
        <w:rPr>
          <w:rFonts w:hint="eastAsia" w:eastAsia="仿宋_GB2312"/>
          <w:sz w:val="32"/>
          <w:szCs w:val="32"/>
          <w:lang w:val="zh-CN"/>
        </w:rPr>
        <w:t>等工作。</w:t>
      </w:r>
    </w:p>
    <w:p w14:paraId="650DA63E">
      <w:pPr>
        <w:ind w:firstLine="640" w:firstLineChars="200"/>
        <w:rPr>
          <w:rFonts w:hint="eastAsia" w:eastAsia="仿宋_GB2312"/>
          <w:sz w:val="32"/>
          <w:szCs w:val="32"/>
          <w:lang w:val="zh-CN"/>
        </w:rPr>
      </w:pPr>
      <w:r>
        <w:rPr>
          <w:rFonts w:hint="eastAsia" w:eastAsia="仿宋_GB2312"/>
          <w:sz w:val="32"/>
          <w:szCs w:val="32"/>
          <w:lang w:val="zh-CN"/>
        </w:rPr>
        <w:t>（八）负责城乡基层治理工作，深化党建引领城乡基层治理，构建共建共治共享的城乡基层治理工作格局，推进和谐宜居乡村建设；加强社会主义民主法治建设，承担社会治理、信访维稳、综治中心、社区戒毒、社区康复、法治建设、反邪教等工作。</w:t>
      </w:r>
    </w:p>
    <w:p w14:paraId="35240BFD">
      <w:pPr>
        <w:ind w:firstLine="640" w:firstLineChars="200"/>
        <w:rPr>
          <w:rFonts w:hint="eastAsia" w:eastAsia="仿宋_GB2312"/>
          <w:sz w:val="32"/>
          <w:szCs w:val="32"/>
          <w:lang w:val="zh-CN"/>
        </w:rPr>
      </w:pPr>
      <w:r>
        <w:rPr>
          <w:rFonts w:hint="eastAsia" w:eastAsia="仿宋_GB2312"/>
          <w:sz w:val="32"/>
          <w:szCs w:val="32"/>
          <w:lang w:val="zh-CN"/>
        </w:rPr>
        <w:t>（九）负责辖区公共事务综合管理，参与辖区规划建设，负责拟定村镇国土空间规划并组织实施，承担重点工程建设、乡村道路建设及公共设施、水利设施等管理工作，对辖区事关群众利益的重大决策和重大项目提出建议。负责统筹组织协调指挥辖区内派驻和基层执法等力量。</w:t>
      </w:r>
    </w:p>
    <w:p w14:paraId="4636ED04">
      <w:pPr>
        <w:ind w:firstLine="640" w:firstLineChars="200"/>
        <w:rPr>
          <w:rFonts w:hint="eastAsia" w:eastAsia="仿宋_GB2312"/>
          <w:sz w:val="32"/>
          <w:szCs w:val="32"/>
          <w:lang w:val="zh-CN"/>
        </w:rPr>
      </w:pPr>
      <w:r>
        <w:rPr>
          <w:rFonts w:hint="eastAsia" w:eastAsia="仿宋_GB2312"/>
          <w:sz w:val="32"/>
          <w:szCs w:val="32"/>
          <w:lang w:val="zh-CN"/>
        </w:rPr>
        <w:t>（十）负责应急管理和安全生产工作，落实安全生产责任制，建立健全应对突发紧急事件的处置管理机制，构建公共安全防控体系。</w:t>
      </w:r>
    </w:p>
    <w:p w14:paraId="4C713016">
      <w:pPr>
        <w:ind w:firstLine="640" w:firstLineChars="200"/>
        <w:rPr>
          <w:rFonts w:hint="eastAsia" w:eastAsia="仿宋_GB2312"/>
          <w:sz w:val="32"/>
          <w:szCs w:val="32"/>
          <w:lang w:val="zh-CN"/>
        </w:rPr>
      </w:pPr>
      <w:r>
        <w:rPr>
          <w:rFonts w:hint="eastAsia" w:eastAsia="仿宋_GB2312"/>
          <w:sz w:val="32"/>
          <w:szCs w:val="32"/>
          <w:lang w:val="zh-CN"/>
        </w:rPr>
        <w:t>（十一）负责自然资源、生态环境保护工作，做好网格化环境监管，开展自然资源、环境保护隐患排查和治理，配合有关单位查处自然资源、环境违法行为，做好辖区内自然资源及生态环境保护工作。</w:t>
      </w:r>
    </w:p>
    <w:p w14:paraId="42F6BAAD">
      <w:pPr>
        <w:ind w:firstLine="640" w:firstLineChars="200"/>
        <w:rPr>
          <w:rFonts w:hint="eastAsia" w:eastAsia="仿宋_GB2312"/>
          <w:sz w:val="32"/>
          <w:szCs w:val="32"/>
          <w:lang w:val="zh-CN"/>
        </w:rPr>
      </w:pPr>
      <w:r>
        <w:rPr>
          <w:rFonts w:hint="eastAsia" w:eastAsia="仿宋_GB2312"/>
          <w:sz w:val="32"/>
          <w:szCs w:val="32"/>
          <w:lang w:val="zh-CN"/>
        </w:rPr>
        <w:t>（十二）负责推进基层民主法治建设，加强普法依法治理，维护群众合法权益。负责协助武装单位做好辖区民兵训练和公民服兵役工作。</w:t>
      </w:r>
    </w:p>
    <w:p w14:paraId="4D6D32CC">
      <w:pPr>
        <w:ind w:firstLine="640" w:firstLineChars="200"/>
        <w:rPr>
          <w:rFonts w:hint="eastAsia" w:eastAsia="仿宋_GB2312"/>
          <w:sz w:val="32"/>
          <w:szCs w:val="32"/>
          <w:lang w:val="zh-CN"/>
        </w:rPr>
      </w:pPr>
      <w:r>
        <w:rPr>
          <w:rFonts w:hint="eastAsia" w:eastAsia="仿宋_GB2312"/>
          <w:sz w:val="32"/>
          <w:szCs w:val="32"/>
          <w:lang w:val="zh-CN"/>
        </w:rPr>
        <w:t>（十三）按照干部管理权限，负责干部的教育、培训、选拔、考核和监督工作。加强本级财政、所属行政事业单位以及村级财务的核算和监督。</w:t>
      </w:r>
    </w:p>
    <w:p w14:paraId="67F02B72">
      <w:pPr>
        <w:ind w:firstLine="640" w:firstLineChars="200"/>
        <w:rPr>
          <w:rFonts w:hint="eastAsia" w:eastAsia="仿宋_GB2312"/>
          <w:sz w:val="32"/>
          <w:szCs w:val="32"/>
          <w:lang w:val="zh-CN"/>
        </w:rPr>
      </w:pPr>
      <w:r>
        <w:rPr>
          <w:rFonts w:hint="eastAsia" w:eastAsia="仿宋_GB2312"/>
          <w:sz w:val="32"/>
          <w:szCs w:val="32"/>
          <w:lang w:val="zh-CN"/>
        </w:rPr>
        <w:t>（十四）根据法定职责或受委托承担辖区内审批服务、公共服务、各类社会事务服务等职责。负责制定完善权力清单、责任清单、公共服务清单，建立清单动态调整和公示机制，推进党务政务公开，接受群众监督，增加公信力。</w:t>
      </w:r>
    </w:p>
    <w:p w14:paraId="4CD1E16C">
      <w:pPr>
        <w:ind w:firstLine="640" w:firstLineChars="200"/>
        <w:rPr>
          <w:rFonts w:hint="eastAsia" w:eastAsia="仿宋_GB2312"/>
          <w:sz w:val="32"/>
          <w:szCs w:val="32"/>
          <w:lang w:val="zh-CN"/>
        </w:rPr>
      </w:pPr>
      <w:r>
        <w:rPr>
          <w:rFonts w:hint="eastAsia" w:eastAsia="仿宋_GB2312"/>
          <w:sz w:val="32"/>
          <w:szCs w:val="32"/>
          <w:lang w:val="zh-CN"/>
        </w:rPr>
        <w:t>（十五）履行法律法规、规章规定的其他职责，承办县委、县政府交办的其他工作。</w:t>
      </w:r>
    </w:p>
    <w:p w14:paraId="138F68E3">
      <w:pPr>
        <w:ind w:firstLine="640" w:firstLineChars="200"/>
        <w:rPr>
          <w:rFonts w:hint="eastAsia" w:eastAsia="仿宋_GB2312"/>
          <w:sz w:val="32"/>
          <w:szCs w:val="32"/>
          <w:lang w:val="zh-CN"/>
        </w:rPr>
      </w:pPr>
      <w:r>
        <w:rPr>
          <w:rFonts w:hint="eastAsia" w:eastAsia="仿宋_GB2312"/>
          <w:sz w:val="32"/>
          <w:szCs w:val="32"/>
          <w:lang w:val="zh-CN" w:eastAsia="zh-CN"/>
        </w:rPr>
        <w:t>五渡镇机关行政编制20名。核定领导职数11名，其中党委书记1名，镇长（副书记）1名，人大主席1名，专职副书记1名、副镇长3名（其中1名兼任武装部长）、纪委书记1名、组织委员1名（兼任统战委员）、宣传委员1名（兼任人大副主席）、政法委员1名。设中层职数7名。</w:t>
      </w:r>
    </w:p>
    <w:p w14:paraId="6D3B156A">
      <w:pPr>
        <w:ind w:firstLine="640" w:firstLineChars="200"/>
        <w:rPr>
          <w:rFonts w:hint="eastAsia" w:eastAsia="仿宋_GB2312"/>
          <w:sz w:val="32"/>
          <w:szCs w:val="32"/>
          <w:lang w:val="zh-CN"/>
        </w:rPr>
      </w:pPr>
      <w:r>
        <w:rPr>
          <w:rFonts w:hint="eastAsia" w:eastAsia="仿宋_GB2312"/>
          <w:sz w:val="32"/>
          <w:szCs w:val="32"/>
          <w:lang w:val="zh-CN"/>
        </w:rPr>
        <w:t>（三）年度主要工作任务。</w:t>
      </w:r>
    </w:p>
    <w:p w14:paraId="1711EA18">
      <w:pPr>
        <w:ind w:firstLine="640" w:firstLineChars="200"/>
        <w:rPr>
          <w:rFonts w:hint="default" w:eastAsia="仿宋_GB2312"/>
          <w:sz w:val="32"/>
          <w:szCs w:val="32"/>
          <w:lang w:val="zh-CN" w:eastAsia="zh-CN"/>
        </w:rPr>
      </w:pPr>
      <w:r>
        <w:rPr>
          <w:rFonts w:hint="eastAsia" w:eastAsia="仿宋_GB2312"/>
          <w:sz w:val="32"/>
          <w:szCs w:val="32"/>
          <w:lang w:val="zh-CN" w:eastAsia="zh-CN"/>
        </w:rPr>
        <w:t>2023年是贯彻落实党的二十大精神的开局之年，是实施“十四五”规划承前启后的关键一年，是为全面建设社会主义现代化国家奠定坚实基础的重要一年，也是五渡发展历程中极不平凡的一年。面对错综复杂的发展环境、多重叠加的风险挑战，我们坚定以习近平新时代中国特色社会主义思想为指导，深入学习贯彻党的二十大和二十届一中、二中全会精神和习近平总书记来川视察重要指示精神，深入贯彻落实中央和省、市、县决策部署，紧紧围绕省委“四化同步、城乡融合、五区共兴”发展战略、全市“产业强市、旅游兴市”实践定位和县委“党建引领、三区联动、城乡融合、全面振兴”发展思路，在县委、县政府和镇党委的坚强领导下，在镇人大的监督和支持下，风雨兼程、迎难而上，统筹安全稳定和经济社会发展，经济社会事业发展持续向好，民生福祉持续改善，社会大局和谐稳定，</w:t>
      </w:r>
      <w:r>
        <w:rPr>
          <w:rFonts w:hint="default" w:eastAsia="仿宋_GB2312"/>
          <w:sz w:val="32"/>
          <w:szCs w:val="32"/>
          <w:lang w:val="zh-CN" w:eastAsia="zh-CN"/>
        </w:rPr>
        <w:t>圆满完成了五渡镇第八届人民代表大会第</w:t>
      </w:r>
      <w:r>
        <w:rPr>
          <w:rFonts w:hint="eastAsia" w:eastAsia="仿宋_GB2312"/>
          <w:sz w:val="32"/>
          <w:szCs w:val="32"/>
          <w:lang w:val="zh-CN" w:eastAsia="zh-CN"/>
        </w:rPr>
        <w:t>三</w:t>
      </w:r>
      <w:r>
        <w:rPr>
          <w:rFonts w:hint="default" w:eastAsia="仿宋_GB2312"/>
          <w:sz w:val="32"/>
          <w:szCs w:val="32"/>
          <w:lang w:val="zh-CN" w:eastAsia="zh-CN"/>
        </w:rPr>
        <w:t>次会议确定的目标任务。</w:t>
      </w:r>
    </w:p>
    <w:p w14:paraId="786BC3D1">
      <w:pPr>
        <w:ind w:firstLine="640" w:firstLineChars="200"/>
        <w:rPr>
          <w:rFonts w:hint="eastAsia" w:eastAsia="仿宋_GB2312"/>
          <w:sz w:val="32"/>
          <w:szCs w:val="32"/>
          <w:lang w:val="zh-CN" w:eastAsia="zh-CN"/>
        </w:rPr>
      </w:pPr>
      <w:r>
        <w:rPr>
          <w:rFonts w:hint="eastAsia" w:eastAsia="仿宋_GB2312"/>
          <w:sz w:val="32"/>
          <w:szCs w:val="32"/>
          <w:lang w:val="zh-CN" w:eastAsia="zh-CN"/>
        </w:rPr>
        <w:t>坚持巩固脱贫不放松，乡村振兴持续推进。一是兜住返贫致贫</w:t>
      </w:r>
      <w:r>
        <w:rPr>
          <w:rFonts w:hint="default" w:eastAsia="仿宋_GB2312"/>
          <w:sz w:val="32"/>
          <w:szCs w:val="32"/>
          <w:lang w:val="zh-CN" w:eastAsia="zh-CN"/>
        </w:rPr>
        <w:t>“底线”</w:t>
      </w:r>
      <w:r>
        <w:rPr>
          <w:rFonts w:hint="eastAsia" w:eastAsia="仿宋_GB2312"/>
          <w:sz w:val="32"/>
          <w:szCs w:val="32"/>
          <w:lang w:val="zh-CN" w:eastAsia="zh-CN"/>
        </w:rPr>
        <w:t>。坚持集中排查、常态排查两手抓，2023年及时识别纳入监测户6户17人，坚决守住防止致贫返贫底线，横向到边、纵向到底，顺利通过省级巩固脱贫成效第三方考核评估、市级专项抽查，确保无一人致贫返贫。积极引导农户就近就业、外出务工、参加种养培训等，千方百计促进百姓持续增收，2023年度脱贫户人均收入增幅达16.2%，葛村、双凤、新茶村等顺利通过市级专项抽查、省级第三方考核评估。新茶村获评2023年度乐山市乡村振兴重点帮扶优秀村。二是兜牢人居环境“基线”。坚持全镇“一盘棋”，改善场镇和乡村人居环境，按照“一村一策”的思路，加快村容村貌改造，完成工农村居民安置点建筑风貌及景观环境提升项目，健全积分超市和五星评选工作整体联动机制，全年奖励评选洁美星240户。扎实做好生态环境保护，完善人居环境管理实施办法，常态化开展“五清”等三大行动，全年开展河、渠、沟、路、院、场镇秩序等监督检查12次，发现问题点对点交办落实，农村宜居宜业宜人环境持续改善，美丽五渡创建深入推进。三是兜准乡风文明“主线”。坚持一手抓管理约束、一手抓服务引导，把培育和践行社会主义核心价值观贯穿于乡风文明建设全过程，让时代新风、文明乡风吹进群众心田。2023年组织“德古彝汉双语讲堂”活动25次，组织新时代文明实践志愿活动33次。健全村民理事会、村民议事会、红白理事会等群众组织，深入推进移风易俗全覆盖宣传教育，大力整治红白喜事大操大办、婚嫁“双高”等不良习俗，乡村治理取得新成效。2024年1月，铜河村获全市基层群众自治优秀案例。</w:t>
      </w:r>
    </w:p>
    <w:p w14:paraId="7998CD29">
      <w:pPr>
        <w:ind w:firstLine="640" w:firstLineChars="200"/>
        <w:rPr>
          <w:rFonts w:hint="eastAsia" w:eastAsia="仿宋_GB2312"/>
          <w:sz w:val="32"/>
          <w:szCs w:val="32"/>
          <w:lang w:val="zh-CN" w:eastAsia="zh-CN"/>
        </w:rPr>
      </w:pPr>
      <w:r>
        <w:rPr>
          <w:rFonts w:hint="eastAsia" w:eastAsia="仿宋_GB2312"/>
          <w:sz w:val="32"/>
          <w:szCs w:val="32"/>
          <w:lang w:val="zh-CN" w:eastAsia="zh-CN"/>
        </w:rPr>
        <w:t>坚持产业兴镇不动摇，产业体系持续完善。一是在巩固农业基础上出</w:t>
      </w:r>
      <w:r>
        <w:rPr>
          <w:rFonts w:hint="default" w:eastAsia="仿宋_GB2312"/>
          <w:sz w:val="32"/>
          <w:szCs w:val="32"/>
          <w:lang w:val="zh-CN" w:eastAsia="zh-CN"/>
        </w:rPr>
        <w:t>实</w:t>
      </w:r>
      <w:r>
        <w:rPr>
          <w:rFonts w:hint="eastAsia" w:eastAsia="仿宋_GB2312"/>
          <w:sz w:val="32"/>
          <w:szCs w:val="32"/>
          <w:lang w:val="zh-CN" w:eastAsia="zh-CN"/>
        </w:rPr>
        <w:t>招</w:t>
      </w:r>
      <w:r>
        <w:rPr>
          <w:rFonts w:hint="default" w:eastAsia="仿宋_GB2312"/>
          <w:sz w:val="32"/>
          <w:szCs w:val="32"/>
          <w:lang w:val="zh-CN" w:eastAsia="zh-CN"/>
        </w:rPr>
        <w:t>。</w:t>
      </w:r>
      <w:r>
        <w:rPr>
          <w:rFonts w:hint="eastAsia" w:eastAsia="仿宋_GB2312"/>
          <w:sz w:val="32"/>
          <w:szCs w:val="32"/>
          <w:lang w:val="zh-CN" w:eastAsia="zh-CN"/>
        </w:rPr>
        <w:t>严格实行耕地保护党政同责，落实耕地保护“长牙齿”硬措施，严守耕地保护红线，大力开展春耕生产、秋粮种植等行动。坚持“工农互补发展 建设田园乡村”目标，积极探索特色农业发展路径，全面完成粮食生产目标任务，其中五渡村高产田水稻产量达1292.5斤/亩，远高于县域同类作物同期平均水平。严格落实非洲猪瘟等重大动物疫病常态化防控措施，全年检疫出栏生猪4.2万头，母猪存栏3515头。二是在谋划园区建设上出真招。全力配合实施南环线林竹产业园区、五渡毛坪粮经复合园区建设，新茶村、胜利村、双凤村、葛村的三月笋、八月笋、牛尾笋年产量约600万斤。2023年成功创建五渡镇水稻－泽泻县级现代农业园区。持续推进五渡工矿园区“五化”提升，立足现有产业基础，支持企业采用新技术、新工艺、新流程，确保稳产达产拓增量创新高。2024年2月，五渡镇被评为2023年度乐山市特色产业“十亿元”镇。三是在推动产业发展上出硬招。因地制宜制定“一村一品”“一乡一业”，落实林竹产业、种养结合产业发展规划，谋划农文旅融合串珠发展。2024年3月西南科技大学采用</w:t>
      </w:r>
      <w:r>
        <w:rPr>
          <w:rFonts w:hint="eastAsia" w:eastAsia="仿宋_GB2312"/>
          <w:sz w:val="32"/>
          <w:szCs w:val="32"/>
          <w:lang w:val="zh-CN" w:eastAsia="zh-CN"/>
        </w:rPr>
        <w:fldChar w:fldCharType="begin"/>
      </w:r>
      <w:r>
        <w:rPr>
          <w:rFonts w:hint="eastAsia" w:eastAsia="仿宋_GB2312"/>
          <w:sz w:val="32"/>
          <w:szCs w:val="32"/>
          <w:lang w:val="zh-CN" w:eastAsia="zh-CN"/>
        </w:rPr>
        <w:instrText xml:space="preserve"> HYPERLINK "https://www.so.com/link?m=zTgJ46CyGTkmmQnWRnUcisCWilHuXGVN20Obe67TkXSUiittvPcMxTzrEdkaNq2zEselt+woPI2P5Drs/ZAdyz6iuI/UQudK5X9VHkWkgdm8fCeg/kVYcnxbWA+z82arAwgqH0dHhtdFTHA/mvSvYxGH8dC+7ywx7yfg4PX8WNmckXfLVyFeYGeoVzLgMldw7h8a78RQFwrRm4/28xBRgna/0uaUhNfZXaBJO9Bg+YWnPJu3aYjUnWTQuUAIvpUcIKklHN0f1r+zz5NuDHMWo+hkZxBGJwPdFSi50MuwRQgJ603G1F2GAtyjwQGH8kb9g5V89WoZS1UCMZqjhR8soNQ==" \t "https://www.so.com/_blank" </w:instrText>
      </w:r>
      <w:r>
        <w:rPr>
          <w:rFonts w:hint="eastAsia" w:eastAsia="仿宋_GB2312"/>
          <w:sz w:val="32"/>
          <w:szCs w:val="32"/>
          <w:lang w:val="zh-CN" w:eastAsia="zh-CN"/>
        </w:rPr>
        <w:fldChar w:fldCharType="separate"/>
      </w:r>
      <w:r>
        <w:rPr>
          <w:rFonts w:hint="eastAsia" w:eastAsia="仿宋_GB2312"/>
          <w:sz w:val="32"/>
          <w:szCs w:val="32"/>
          <w:lang w:val="zh-CN" w:eastAsia="zh-CN"/>
        </w:rPr>
        <w:t>特色甜竹笋高产栽培技术</w:t>
      </w:r>
      <w:r>
        <w:rPr>
          <w:rFonts w:hint="eastAsia" w:eastAsia="仿宋_GB2312"/>
          <w:sz w:val="32"/>
          <w:szCs w:val="32"/>
          <w:lang w:val="zh-CN" w:eastAsia="zh-CN"/>
        </w:rPr>
        <w:fldChar w:fldCharType="end"/>
      </w:r>
      <w:r>
        <w:rPr>
          <w:rFonts w:hint="eastAsia" w:eastAsia="仿宋_GB2312"/>
          <w:sz w:val="32"/>
          <w:szCs w:val="32"/>
          <w:lang w:val="zh-CN" w:eastAsia="zh-CN"/>
        </w:rPr>
        <w:t>，在五渡双凤、新茶等地开展竹笋试种。坚决落实“油茶”战略任务，种植苗木872亩5万余株。积极推动双凤村、葛村开展旱稻试点，经专家测产旱稻平均亩产1087斤/亩，产量再创新高。</w:t>
      </w:r>
    </w:p>
    <w:p w14:paraId="70062C23">
      <w:pPr>
        <w:ind w:firstLine="640" w:firstLineChars="200"/>
        <w:rPr>
          <w:rFonts w:hint="eastAsia" w:eastAsia="仿宋_GB2312"/>
          <w:sz w:val="32"/>
          <w:szCs w:val="32"/>
          <w:lang w:val="zh-CN" w:eastAsia="zh-CN"/>
        </w:rPr>
      </w:pPr>
      <w:r>
        <w:rPr>
          <w:rFonts w:hint="eastAsia" w:eastAsia="仿宋_GB2312"/>
          <w:sz w:val="32"/>
          <w:szCs w:val="32"/>
          <w:lang w:val="zh-CN" w:eastAsia="zh-CN"/>
        </w:rPr>
        <w:t>坚守安全底线不松劲，安全环境持续稳定。一是安全形势向上向好。坚决扛牢安全“使命”，全年召开安全生产专题会议13次，全力开展安全生产百日攻坚行动，对27家矿山及矿石加工企业常态化开展安全生产和环保执法检查816家次，立案查处矿山企业4家、环保违法行为3起，约谈企业8家，发现并督改问题隐患24个，切实落实重点行业（领域）包保责任。严格执行“三个避让”“三个紧急撤离”刚性要求，严格执行12个%，筑牢防火防汛减灾“安全防护墙”。二是森防底线夯实夯牢。严格落实森林防灭火“十二个100%”要求，全面落实宣传教育、风险隐患问题排查整治等工作，实行逐级分包、上下联动、责任到人的工作机制，大力开展森林防灭火宣传，常态化开展巡山护林，统筹镇、村、组、驻村工作队四支力量，组建村级义务扑火队8支，镇级应急半专业扑火队1支，开展应急演练36次，扑火队队员专题培训4次，发放明白卡2528份，有效保障森林平安，全力守好森林资源。三是矛盾调处有力有方。深化“我为群众办实事”，运用“3+3+3”工作法，着力排查调处矛盾纠纷，狠抓矛盾纠纷化解，充分发挥党员干部、乡贤、调解人员、离职村干部关键作用，化解各类矛盾纠纷44件，成功化解沙玛史田等历史遗留疑难复杂问题3件，做到小事不出村、大事不出镇、矛盾不上交，确保全镇和谐稳定。四是禁毒防线筑稳筑牢。落实党政“双组长”，召开党委会、工作例会研究禁毒工作30余次，开展禁毒宣传“六进”系列活动4次，对全镇26名涉毒人员落实管控，63个易制毒场所开展每月踏查，“九率”完成情况100%，对1069名长期外出人员进行全覆盖宣传教育。五是隐患排除见行见效。坚决扛起守护一方平安的政治责任，完成龚嘴电站旧办公楼、旧住宿楼居住人员23户84人的劝返搬离工作，及时消除重大安全隐患。工作成效受到省委主题教育第二指导组表扬，被市委主题教育办第23期简报宣传报道，并获市委马波书记肯定性批示。</w:t>
      </w:r>
    </w:p>
    <w:p w14:paraId="6EA7BED0">
      <w:pPr>
        <w:ind w:firstLine="640" w:firstLineChars="200"/>
        <w:rPr>
          <w:rFonts w:hint="eastAsia" w:eastAsia="仿宋_GB2312"/>
          <w:sz w:val="32"/>
          <w:szCs w:val="32"/>
          <w:lang w:val="zh-CN" w:eastAsia="zh-CN"/>
        </w:rPr>
      </w:pPr>
      <w:r>
        <w:rPr>
          <w:rFonts w:hint="eastAsia" w:eastAsia="仿宋_GB2312"/>
          <w:sz w:val="32"/>
          <w:szCs w:val="32"/>
          <w:lang w:val="zh-CN" w:eastAsia="zh-CN"/>
        </w:rPr>
        <w:t>坚持夯实基础增福祉，民生事业持续进步。一是民生保障更增温度。全面构建困难群众基本生活保障机制，城乡居民基本养老保险、基本医疗保险基本实现全覆盖，参保人数逐年递增。扎实做好各类补贴动态监测，2023年发放高龄补贴330人16.58万元、低保资金240户460人104.93万元、特困保障资金65人55.54万元、残疾人生活补贴93人1.12万元、困难补贴208人17.46万元、灵活就业补助60人3.6万元。慰问残疾人39人，重度残疾人家庭医生签约97人。年审领取城乡保险1400 余人，办理退休136人，开发保洁公益性岗位15人。全力做好医疗保障工作，率先在峨边试点实施医疗互助项目，累计募集资金44余万元，参与群众7000多人，参与率73%，已成功救助9人、发放资金6830元，极大解决群众困难。二是社会事业更具深度。深入推进文化惠民供给，综合文化活动中心实现全覆盖，举办各类群众文化活动12场，惠及群众1000余人次。持续加强老年健康服务体系建设，引导养老机构创新服务模式和内容，促进养老与医疗、教育、文化、体育等服务的融合。退役军人服务保障体系不断健全，人民武装、民族宗教、工会、共青团、妇联、科协、残联、红十字会等事业取得新进步。三是法治政府建设更有准度。严格执行“三重一大”集体决策制度，主动接受镇人大法律监督和工作监督，完成人大代表票决民生实事项目3个。严格落实中央八项规定及其实施细则精神，持续加强公务用车、办公用房管理。充分发挥法治在自治、法治、德治“三治”并举的乡村治理新格局中优势作用，持续推动法治乡村建设不断有新气象、新作为。四是项目推进更显力度。完成胜利公路桥、葛村干坝儿桥梁、葛村鱼儿坝桥梁、葛村太阳能路灯、新茶漫水桥、新茶产业路6个衔接项目建设，铜河旅游栈道、街村改造项目完成主体建设。</w:t>
      </w:r>
    </w:p>
    <w:p w14:paraId="4CC0D7A8">
      <w:pPr>
        <w:ind w:firstLine="640" w:firstLineChars="200"/>
        <w:rPr>
          <w:rFonts w:hint="eastAsia" w:eastAsia="仿宋_GB2312"/>
          <w:sz w:val="32"/>
          <w:szCs w:val="32"/>
          <w:lang w:val="zh-CN"/>
        </w:rPr>
      </w:pPr>
      <w:r>
        <w:rPr>
          <w:rFonts w:hint="eastAsia" w:eastAsia="仿宋_GB2312"/>
          <w:sz w:val="32"/>
          <w:szCs w:val="32"/>
          <w:lang w:val="zh-CN" w:eastAsia="zh-CN"/>
        </w:rPr>
        <w:t>坚持优化服务强作风，政府效能持续提升。一是政治建设全面加强。深入开展学习贯彻习近平新时代中国特色社会主义思想主题教育，深入学习贯彻党的二十大精神和习近平总书记来川视察重要指示精神，深刻领悟“两个确立”的决定性意义，持续增强“四个意识”，坚定“四个自信”，做到“两个维护”。坚持把党的领导贯穿于政府工作的全过程，落实依法行政、依法办事的机制体制，切实加强干部日常管理，扎实开展干部作风建设，全年党纪政务处分3人。二是政务服务优化提升。秉承便民利民原则，加强便民服务中心日常管理，以方便群众办事为目的，提升便民服务能力，引导群众网上办事，真正让“数据多跑路，群众少跑腿”，完成2023年省级示范中心软硬设施准备工作，全年累计接待群众4500余人次，未出现投诉举报情况。及时妥善办理乐山市心连心热线事项90余件。充分发挥“我为群众办实事”和“有事来协商”平台作用，推动政府治理、政协协商、村民自治良性互动。三是依法行政持续推进。常态化开展法治宣传教育，严格贯彻落实行政规范性文件管理制度，严守行政规范性文件制定程序，遵照相关法律规定依法行政，真正做到有法必依，依法办事。自觉接受镇人大及社会各界监督，办理人大代表建议和政协提案满意率均达100%。</w:t>
      </w:r>
    </w:p>
    <w:p w14:paraId="5CA41BF0">
      <w:pPr>
        <w:ind w:firstLine="640" w:firstLineChars="200"/>
        <w:rPr>
          <w:rFonts w:hint="eastAsia" w:eastAsia="仿宋_GB2312"/>
          <w:sz w:val="32"/>
          <w:szCs w:val="32"/>
          <w:lang w:val="zh-CN"/>
        </w:rPr>
      </w:pPr>
      <w:r>
        <w:rPr>
          <w:rFonts w:hint="eastAsia" w:eastAsia="仿宋_GB2312"/>
          <w:sz w:val="32"/>
          <w:szCs w:val="32"/>
          <w:lang w:val="zh-CN"/>
        </w:rPr>
        <w:t>（四）单位整体支出绩效目标。</w:t>
      </w:r>
    </w:p>
    <w:p w14:paraId="4794F41F">
      <w:pPr>
        <w:ind w:firstLine="640" w:firstLineChars="200"/>
        <w:rPr>
          <w:rFonts w:hint="eastAsia" w:eastAsia="仿宋_GB2312"/>
          <w:sz w:val="32"/>
          <w:szCs w:val="32"/>
          <w:lang w:val="zh-CN"/>
        </w:rPr>
      </w:pPr>
      <w:r>
        <w:rPr>
          <w:rFonts w:hint="eastAsia" w:eastAsia="仿宋_GB2312"/>
          <w:sz w:val="32"/>
          <w:szCs w:val="32"/>
          <w:lang w:val="zh-CN" w:eastAsia="zh-CN"/>
        </w:rPr>
        <w:t>保障村组干部意外伤害保险、养老保险缴纳，解决全镇8个行政村村民最关心、最直接、最现实问题，包括各项公益事项建设，改善农村人居环境，保障维全乡辖区内群众办好事、做好事、解决事等支出。</w:t>
      </w:r>
    </w:p>
    <w:p w14:paraId="58A6A669">
      <w:pPr>
        <w:ind w:firstLine="640" w:firstLineChars="200"/>
        <w:rPr>
          <w:rFonts w:eastAsia="仿宋_GB2312"/>
          <w:sz w:val="32"/>
          <w:szCs w:val="32"/>
          <w:lang w:val="zh-CN"/>
        </w:rPr>
      </w:pPr>
      <w:r>
        <w:rPr>
          <w:rFonts w:hint="eastAsia" w:eastAsia="仿宋_GB2312"/>
          <w:sz w:val="32"/>
          <w:szCs w:val="32"/>
          <w:lang w:val="zh-CN"/>
        </w:rPr>
        <w:t>二、单位财政资金收支情况</w:t>
      </w:r>
    </w:p>
    <w:p w14:paraId="0609FA31">
      <w:pPr>
        <w:ind w:firstLine="640" w:firstLineChars="200"/>
        <w:rPr>
          <w:rFonts w:hint="eastAsia" w:eastAsia="仿宋_GB2312"/>
          <w:sz w:val="32"/>
          <w:szCs w:val="32"/>
          <w:lang w:val="zh-CN"/>
        </w:rPr>
      </w:pPr>
      <w:r>
        <w:rPr>
          <w:rFonts w:hint="eastAsia" w:eastAsia="仿宋_GB2312"/>
          <w:sz w:val="32"/>
          <w:szCs w:val="32"/>
          <w:lang w:val="zh-CN"/>
        </w:rPr>
        <w:t>（一）单位财政资金收入情况。</w:t>
      </w:r>
    </w:p>
    <w:p w14:paraId="38717025">
      <w:pPr>
        <w:ind w:firstLine="640" w:firstLineChars="200"/>
        <w:rPr>
          <w:rFonts w:hint="default" w:eastAsia="仿宋_GB2312"/>
          <w:sz w:val="32"/>
          <w:szCs w:val="32"/>
          <w:lang w:val="zh-CN"/>
        </w:rPr>
      </w:pPr>
      <w:r>
        <w:rPr>
          <w:rFonts w:hint="eastAsia" w:eastAsia="仿宋_GB2312"/>
          <w:sz w:val="32"/>
          <w:szCs w:val="32"/>
          <w:lang w:val="zh-CN" w:eastAsia="zh-CN"/>
        </w:rPr>
        <w:t>2023年财政拨款预算收入1282.33万元，</w:t>
      </w:r>
      <w:r>
        <w:rPr>
          <w:rFonts w:hint="eastAsia" w:eastAsia="仿宋_GB2312"/>
          <w:sz w:val="32"/>
          <w:szCs w:val="32"/>
          <w:lang w:val="zh-CN"/>
        </w:rPr>
        <w:t>一般公共预算拨款收入</w:t>
      </w:r>
      <w:r>
        <w:rPr>
          <w:rFonts w:hint="eastAsia" w:eastAsia="仿宋_GB2312"/>
          <w:sz w:val="32"/>
          <w:szCs w:val="32"/>
          <w:lang w:val="zh-CN" w:eastAsia="zh-CN"/>
        </w:rPr>
        <w:t>1008.65</w:t>
      </w:r>
      <w:r>
        <w:rPr>
          <w:rFonts w:hint="eastAsia" w:eastAsia="仿宋_GB2312"/>
          <w:sz w:val="32"/>
          <w:szCs w:val="32"/>
          <w:lang w:val="zh-CN"/>
        </w:rPr>
        <w:t>万元</w:t>
      </w:r>
      <w:r>
        <w:rPr>
          <w:rFonts w:hint="eastAsia" w:eastAsia="仿宋_GB2312"/>
          <w:sz w:val="32"/>
          <w:szCs w:val="32"/>
          <w:lang w:val="zh-CN" w:eastAsia="zh-CN"/>
        </w:rPr>
        <w:t>；政府性基金预算拨款收入273.67万元。</w:t>
      </w:r>
    </w:p>
    <w:p w14:paraId="68ECBBE4">
      <w:pPr>
        <w:ind w:firstLine="640" w:firstLineChars="200"/>
        <w:rPr>
          <w:rFonts w:hint="eastAsia" w:eastAsia="仿宋_GB2312"/>
          <w:sz w:val="32"/>
          <w:szCs w:val="32"/>
          <w:lang w:val="zh-CN"/>
        </w:rPr>
      </w:pPr>
      <w:r>
        <w:rPr>
          <w:rFonts w:hint="eastAsia" w:eastAsia="仿宋_GB2312"/>
          <w:sz w:val="32"/>
          <w:szCs w:val="32"/>
          <w:lang w:val="zh-CN"/>
        </w:rPr>
        <w:t>单位财政资金支出情况。</w:t>
      </w:r>
    </w:p>
    <w:p w14:paraId="678CCC5F">
      <w:pPr>
        <w:ind w:firstLine="640" w:firstLineChars="200"/>
        <w:rPr>
          <w:rFonts w:hint="default" w:eastAsia="仿宋_GB2312"/>
          <w:sz w:val="32"/>
          <w:szCs w:val="32"/>
          <w:lang w:val="zh-CN" w:eastAsia="zh-CN"/>
        </w:rPr>
      </w:pPr>
      <w:r>
        <w:rPr>
          <w:rFonts w:hint="eastAsia" w:eastAsia="仿宋_GB2312"/>
          <w:sz w:val="32"/>
          <w:szCs w:val="32"/>
          <w:lang w:val="zh-CN" w:eastAsia="zh-CN"/>
        </w:rPr>
        <w:t>2023年支出预算1282.33万元，</w:t>
      </w:r>
      <w:r>
        <w:rPr>
          <w:rFonts w:hint="eastAsia" w:eastAsia="仿宋_GB2312"/>
          <w:sz w:val="32"/>
          <w:szCs w:val="32"/>
          <w:lang w:val="zh-CN"/>
        </w:rPr>
        <w:t>一般公共预算拨款收入</w:t>
      </w:r>
      <w:r>
        <w:rPr>
          <w:rFonts w:hint="eastAsia" w:eastAsia="仿宋_GB2312"/>
          <w:sz w:val="32"/>
          <w:szCs w:val="32"/>
          <w:lang w:val="zh-CN" w:eastAsia="zh-CN"/>
        </w:rPr>
        <w:t>1008.65</w:t>
      </w:r>
      <w:r>
        <w:rPr>
          <w:rFonts w:hint="eastAsia" w:eastAsia="仿宋_GB2312"/>
          <w:sz w:val="32"/>
          <w:szCs w:val="32"/>
          <w:lang w:val="zh-CN"/>
        </w:rPr>
        <w:t>万元</w:t>
      </w:r>
      <w:r>
        <w:rPr>
          <w:rFonts w:hint="eastAsia" w:eastAsia="仿宋_GB2312"/>
          <w:sz w:val="32"/>
          <w:szCs w:val="32"/>
          <w:lang w:val="zh-CN" w:eastAsia="zh-CN"/>
        </w:rPr>
        <w:t>；政府性基金预算拨款收入273.67万元。</w:t>
      </w:r>
    </w:p>
    <w:p w14:paraId="5DD5A304">
      <w:pPr>
        <w:ind w:firstLine="640" w:firstLineChars="200"/>
        <w:rPr>
          <w:rFonts w:hint="eastAsia" w:eastAsia="仿宋_GB2312"/>
          <w:sz w:val="32"/>
          <w:szCs w:val="32"/>
          <w:lang w:val="zh-CN"/>
        </w:rPr>
      </w:pPr>
      <w:r>
        <w:rPr>
          <w:rFonts w:hint="eastAsia" w:eastAsia="仿宋_GB2312"/>
          <w:sz w:val="32"/>
          <w:szCs w:val="32"/>
          <w:lang w:val="zh-CN"/>
        </w:rPr>
        <w:t>单位财政资金结转结余情况。</w:t>
      </w:r>
    </w:p>
    <w:p w14:paraId="3E0EAF07">
      <w:pPr>
        <w:ind w:firstLine="640" w:firstLineChars="200"/>
        <w:rPr>
          <w:rFonts w:eastAsia="仿宋_GB2312"/>
          <w:sz w:val="32"/>
          <w:szCs w:val="32"/>
          <w:lang w:val="zh-CN"/>
        </w:rPr>
      </w:pPr>
      <w:r>
        <w:rPr>
          <w:rFonts w:hint="eastAsia" w:eastAsia="仿宋_GB2312"/>
          <w:sz w:val="32"/>
          <w:szCs w:val="32"/>
          <w:lang w:val="zh-CN" w:eastAsia="zh-CN"/>
        </w:rPr>
        <w:t>2023年度财政资金结转结余0元。</w:t>
      </w:r>
    </w:p>
    <w:p w14:paraId="312BB946">
      <w:pPr>
        <w:ind w:firstLine="640" w:firstLineChars="200"/>
        <w:rPr>
          <w:rFonts w:eastAsia="仿宋_GB2312"/>
          <w:sz w:val="32"/>
          <w:szCs w:val="32"/>
          <w:lang w:val="zh-CN"/>
        </w:rPr>
      </w:pPr>
      <w:r>
        <w:rPr>
          <w:rFonts w:hint="eastAsia" w:eastAsia="仿宋_GB2312"/>
          <w:sz w:val="32"/>
          <w:szCs w:val="32"/>
          <w:lang w:val="zh-CN"/>
        </w:rPr>
        <w:t>三、单位整体绩效管理情况（根据自评体系进行描述）</w:t>
      </w:r>
    </w:p>
    <w:p w14:paraId="36F59DD8">
      <w:pPr>
        <w:ind w:firstLine="640" w:firstLineChars="200"/>
        <w:rPr>
          <w:rFonts w:eastAsia="仿宋_GB2312"/>
          <w:sz w:val="32"/>
          <w:szCs w:val="32"/>
          <w:lang w:val="zh-CN"/>
        </w:rPr>
      </w:pPr>
      <w:r>
        <w:rPr>
          <w:rFonts w:hint="eastAsia" w:eastAsia="仿宋_GB2312"/>
          <w:sz w:val="32"/>
          <w:szCs w:val="32"/>
          <w:lang w:val="zh-CN"/>
        </w:rPr>
        <w:t>（一）单位整体履职绩效分析。</w:t>
      </w:r>
    </w:p>
    <w:p w14:paraId="14236484">
      <w:pPr>
        <w:ind w:firstLine="640" w:firstLineChars="200"/>
        <w:rPr>
          <w:rFonts w:eastAsia="仿宋_GB2312"/>
          <w:sz w:val="32"/>
          <w:szCs w:val="32"/>
          <w:lang w:val="zh-CN"/>
        </w:rPr>
      </w:pPr>
      <w:r>
        <w:rPr>
          <w:rFonts w:hint="eastAsia" w:eastAsia="仿宋_GB2312"/>
          <w:sz w:val="32"/>
          <w:szCs w:val="32"/>
          <w:lang w:val="zh-CN" w:eastAsia="zh-CN"/>
        </w:rPr>
        <w:t>本单位预算编制严格按照上级单位要求编制并及时报送，项目分类也严格按照上级单位要求分类，未发现有不按照要求编制、报送等行为。</w:t>
      </w:r>
      <w:r>
        <w:rPr>
          <w:rFonts w:hint="default" w:eastAsia="仿宋_GB2312"/>
          <w:sz w:val="32"/>
          <w:szCs w:val="32"/>
          <w:lang w:val="zh-CN" w:eastAsia="zh-CN"/>
        </w:rPr>
        <w:t>预算管理方面，编制内在职人员控制率小于100%，</w:t>
      </w:r>
      <w:r>
        <w:rPr>
          <w:rFonts w:hint="eastAsia" w:eastAsia="仿宋_GB2312"/>
          <w:sz w:val="32"/>
          <w:szCs w:val="32"/>
          <w:lang w:val="zh-CN" w:eastAsia="zh-CN"/>
        </w:rPr>
        <w:t>单位经费</w:t>
      </w:r>
      <w:r>
        <w:rPr>
          <w:rFonts w:hint="default" w:eastAsia="仿宋_GB2312"/>
          <w:sz w:val="32"/>
          <w:szCs w:val="32"/>
          <w:lang w:val="zh-CN" w:eastAsia="zh-CN"/>
        </w:rPr>
        <w:t>支出控制在预算内。制度执行总体较</w:t>
      </w:r>
      <w:r>
        <w:rPr>
          <w:rFonts w:hint="eastAsia" w:eastAsia="仿宋_GB2312"/>
          <w:sz w:val="32"/>
          <w:szCs w:val="32"/>
          <w:lang w:val="zh-CN" w:eastAsia="zh-CN"/>
        </w:rPr>
        <w:t>好</w:t>
      </w:r>
      <w:r>
        <w:rPr>
          <w:rFonts w:hint="default" w:eastAsia="仿宋_GB2312"/>
          <w:sz w:val="32"/>
          <w:szCs w:val="32"/>
          <w:lang w:val="zh-CN" w:eastAsia="zh-CN"/>
        </w:rPr>
        <w:t>，但仍需进一步强化，资金使用管理需进一步加强。</w:t>
      </w:r>
      <w:r>
        <w:rPr>
          <w:rFonts w:hint="eastAsia" w:eastAsia="仿宋_GB2312"/>
          <w:sz w:val="32"/>
          <w:szCs w:val="32"/>
          <w:lang w:val="zh-CN" w:eastAsia="zh-CN"/>
        </w:rPr>
        <w:t>绩效目标按要求向社会公开，单位整体绩效自评情况和自行组织的评价</w:t>
      </w:r>
      <w:r>
        <w:rPr>
          <w:rFonts w:hint="eastAsia" w:eastAsia="仿宋_GB2312"/>
          <w:sz w:val="32"/>
          <w:szCs w:val="32"/>
          <w:lang w:val="zh-CN"/>
        </w:rPr>
        <w:t>情况向社会公开，及时整改了绩效管理发现问题，向财政单位反馈结果应用情况。资金主要投入在城乡环境整治、人居环境改善、乡村及镇区风貌、村民活动场所建设、文化设施建设、治安维稳、基础设施建设等方面，通过统计分析获取了人民群众对生态环境的健康度、居住生活的舒适度、工作出行的便捷度、居住生活的安全度各方面的良好评价。</w:t>
      </w:r>
    </w:p>
    <w:p w14:paraId="340C2EEA">
      <w:pPr>
        <w:ind w:firstLine="640" w:firstLineChars="200"/>
        <w:rPr>
          <w:rFonts w:eastAsia="仿宋_GB2312"/>
          <w:sz w:val="32"/>
          <w:szCs w:val="32"/>
          <w:lang w:val="zh-CN"/>
        </w:rPr>
      </w:pPr>
      <w:r>
        <w:rPr>
          <w:rFonts w:hint="eastAsia" w:eastAsia="仿宋_GB2312"/>
          <w:sz w:val="32"/>
          <w:szCs w:val="32"/>
          <w:lang w:val="zh-CN"/>
        </w:rPr>
        <w:t>（二）特定目标类项目绩效分析。</w:t>
      </w:r>
    </w:p>
    <w:p w14:paraId="12529EBC">
      <w:pPr>
        <w:ind w:firstLine="640" w:firstLineChars="200"/>
        <w:rPr>
          <w:rFonts w:hint="eastAsia" w:eastAsia="仿宋_GB2312"/>
          <w:sz w:val="32"/>
          <w:szCs w:val="32"/>
          <w:lang w:val="zh-CN"/>
        </w:rPr>
      </w:pPr>
      <w:r>
        <w:rPr>
          <w:rFonts w:hint="eastAsia" w:eastAsia="仿宋_GB2312"/>
          <w:sz w:val="32"/>
          <w:szCs w:val="32"/>
          <w:lang w:val="zh-CN"/>
        </w:rPr>
        <w:t>1.整体情况</w:t>
      </w:r>
    </w:p>
    <w:p w14:paraId="7B1A8B96">
      <w:pPr>
        <w:ind w:firstLine="640" w:firstLineChars="200"/>
        <w:rPr>
          <w:rFonts w:hint="default" w:eastAsia="仿宋_GB2312"/>
          <w:sz w:val="32"/>
          <w:szCs w:val="32"/>
          <w:lang w:val="zh-CN" w:eastAsia="zh-CN"/>
        </w:rPr>
      </w:pPr>
      <w:r>
        <w:rPr>
          <w:rFonts w:hint="eastAsia" w:eastAsia="仿宋_GB2312"/>
          <w:sz w:val="32"/>
          <w:szCs w:val="32"/>
          <w:lang w:val="zh-CN" w:eastAsia="zh-CN"/>
        </w:rPr>
        <w:t>2023年本单位实施的预算内项目有：2023年基层组织和农村公共服务运行维护费（上级）－中央，35万；社区服务群众专项经费－省级，2万；2023年基层组织和农村公共服务运行维护费（上级）－省级，40万；农村公共服务运行维护费－县级，40万；垃圾车运营维护费，3.9992万元；乡镇安全管理相关经费，10.2万元；公务用车购置，49.96万元；峨边彝族自治县五渡镇双凤村川山堰支渠建设项目岩土工程勘察，4.5万元。乡镇农村人居环境整治考核奖补资金：49.482728万元。</w:t>
      </w:r>
    </w:p>
    <w:p w14:paraId="3AD33CA2">
      <w:pPr>
        <w:ind w:firstLine="640" w:firstLineChars="200"/>
        <w:rPr>
          <w:rFonts w:hint="eastAsia" w:eastAsia="仿宋_GB2312"/>
          <w:sz w:val="32"/>
          <w:szCs w:val="32"/>
          <w:lang w:val="zh-CN"/>
        </w:rPr>
      </w:pPr>
      <w:r>
        <w:rPr>
          <w:rFonts w:hint="eastAsia" w:eastAsia="仿宋_GB2312"/>
          <w:sz w:val="32"/>
          <w:szCs w:val="32"/>
          <w:lang w:val="zh-CN"/>
        </w:rPr>
        <w:t>2.100万以上项目：无</w:t>
      </w:r>
    </w:p>
    <w:p w14:paraId="420E898B">
      <w:pPr>
        <w:ind w:firstLine="640" w:firstLineChars="200"/>
        <w:rPr>
          <w:rFonts w:eastAsia="仿宋_GB2312"/>
          <w:sz w:val="32"/>
          <w:szCs w:val="32"/>
          <w:lang w:val="zh-CN"/>
        </w:rPr>
      </w:pPr>
      <w:r>
        <w:rPr>
          <w:rFonts w:hint="eastAsia" w:eastAsia="仿宋_GB2312"/>
          <w:sz w:val="32"/>
          <w:szCs w:val="32"/>
          <w:lang w:val="zh-CN"/>
        </w:rPr>
        <w:t>（三）结果应用情况。</w:t>
      </w:r>
    </w:p>
    <w:p w14:paraId="3B0A46A2">
      <w:pPr>
        <w:ind w:firstLine="640" w:firstLineChars="200"/>
        <w:rPr>
          <w:rFonts w:eastAsia="仿宋_GB2312"/>
          <w:sz w:val="32"/>
          <w:szCs w:val="32"/>
          <w:lang w:val="zh-CN"/>
        </w:rPr>
      </w:pPr>
      <w:r>
        <w:rPr>
          <w:rFonts w:hint="eastAsia" w:eastAsia="仿宋_GB2312"/>
          <w:sz w:val="32"/>
          <w:szCs w:val="32"/>
          <w:lang w:val="zh-CN"/>
        </w:rPr>
        <w:t>本单位按照财政局下达的预算指标，严格执行预算内开支，保障了单位正常运转。本单位的预决算编制均按照县财政局下达的相关文件指标进行了编制，按时完成编制工作，决算报表和说明均在峨边彝族自治县人民政府门户网站公开。绩效目标也按照有关文件如实进行了填报。</w:t>
      </w:r>
    </w:p>
    <w:p w14:paraId="7273C55E">
      <w:pPr>
        <w:ind w:firstLine="640" w:firstLineChars="200"/>
        <w:rPr>
          <w:rFonts w:eastAsia="仿宋_GB2312"/>
          <w:sz w:val="32"/>
          <w:szCs w:val="32"/>
          <w:lang w:val="zh-CN"/>
        </w:rPr>
      </w:pPr>
      <w:r>
        <w:rPr>
          <w:rFonts w:hint="eastAsia" w:eastAsia="仿宋_GB2312"/>
          <w:sz w:val="32"/>
          <w:szCs w:val="32"/>
          <w:lang w:val="zh-CN"/>
        </w:rPr>
        <w:t>四、评价结论及建议</w:t>
      </w:r>
    </w:p>
    <w:p w14:paraId="5235C974">
      <w:pPr>
        <w:ind w:firstLine="640" w:firstLineChars="200"/>
        <w:rPr>
          <w:rFonts w:hint="eastAsia" w:eastAsia="仿宋_GB2312"/>
          <w:sz w:val="32"/>
          <w:szCs w:val="32"/>
          <w:lang w:val="zh-CN"/>
        </w:rPr>
      </w:pPr>
      <w:r>
        <w:rPr>
          <w:rFonts w:hint="eastAsia" w:eastAsia="仿宋_GB2312"/>
          <w:sz w:val="32"/>
          <w:szCs w:val="32"/>
          <w:lang w:val="zh-CN"/>
        </w:rPr>
        <w:t>（一）评价结论。</w:t>
      </w:r>
    </w:p>
    <w:p w14:paraId="349388CF">
      <w:pPr>
        <w:ind w:firstLine="640" w:firstLineChars="200"/>
        <w:rPr>
          <w:rFonts w:hint="eastAsia" w:eastAsia="仿宋_GB2312"/>
          <w:sz w:val="32"/>
          <w:szCs w:val="32"/>
          <w:lang w:val="zh-CN"/>
        </w:rPr>
      </w:pPr>
      <w:r>
        <w:rPr>
          <w:rFonts w:hint="eastAsia" w:eastAsia="仿宋_GB2312"/>
          <w:sz w:val="32"/>
          <w:szCs w:val="32"/>
          <w:lang w:val="zh-CN"/>
        </w:rPr>
        <w:t>根据《峨边彝族自治县财政局 关于开展20</w:t>
      </w:r>
      <w:r>
        <w:rPr>
          <w:rFonts w:hint="eastAsia" w:eastAsia="仿宋_GB2312"/>
          <w:sz w:val="32"/>
          <w:szCs w:val="32"/>
          <w:lang w:val="zh-CN" w:eastAsia="zh-CN"/>
        </w:rPr>
        <w:t>23</w:t>
      </w:r>
      <w:r>
        <w:rPr>
          <w:rFonts w:hint="eastAsia" w:eastAsia="仿宋_GB2312"/>
          <w:sz w:val="32"/>
          <w:szCs w:val="32"/>
          <w:lang w:val="zh-CN"/>
        </w:rPr>
        <w:t>年财政绩效评价工作的通知》文件精神，</w:t>
      </w:r>
      <w:r>
        <w:rPr>
          <w:rFonts w:hint="eastAsia" w:eastAsia="仿宋_GB2312"/>
          <w:sz w:val="32"/>
          <w:szCs w:val="32"/>
          <w:lang w:val="zh-CN" w:eastAsia="zh-CN"/>
        </w:rPr>
        <w:t>五渡镇人民政府认真组织开展了单位整体支出绩效评价工作，绩效评价</w:t>
      </w:r>
      <w:r>
        <w:rPr>
          <w:rFonts w:hint="eastAsia" w:eastAsia="仿宋_GB2312"/>
          <w:sz w:val="32"/>
          <w:szCs w:val="32"/>
          <w:lang w:val="zh-CN"/>
        </w:rPr>
        <w:t>得分：</w:t>
      </w:r>
      <w:r>
        <w:rPr>
          <w:rFonts w:hint="eastAsia" w:eastAsia="仿宋_GB2312"/>
          <w:sz w:val="32"/>
          <w:szCs w:val="32"/>
          <w:lang w:val="zh-CN" w:eastAsia="zh-CN"/>
        </w:rPr>
        <w:t>100</w:t>
      </w:r>
      <w:r>
        <w:rPr>
          <w:rFonts w:hint="eastAsia" w:eastAsia="仿宋_GB2312"/>
          <w:sz w:val="32"/>
          <w:szCs w:val="32"/>
          <w:lang w:val="zh-CN"/>
        </w:rPr>
        <w:t>分。</w:t>
      </w:r>
    </w:p>
    <w:p w14:paraId="3266B190">
      <w:pPr>
        <w:ind w:firstLine="640" w:firstLineChars="200"/>
        <w:rPr>
          <w:rFonts w:hint="eastAsia" w:eastAsia="仿宋_GB2312"/>
          <w:sz w:val="32"/>
          <w:szCs w:val="32"/>
          <w:lang w:val="zh-CN"/>
        </w:rPr>
      </w:pPr>
      <w:r>
        <w:rPr>
          <w:rFonts w:hint="eastAsia" w:eastAsia="仿宋_GB2312"/>
          <w:sz w:val="32"/>
          <w:szCs w:val="32"/>
          <w:lang w:val="zh-CN"/>
        </w:rPr>
        <w:t>（二）存在问题。</w:t>
      </w:r>
    </w:p>
    <w:p w14:paraId="2963EBFE">
      <w:pPr>
        <w:ind w:firstLine="640" w:firstLineChars="200"/>
        <w:rPr>
          <w:rFonts w:hint="eastAsia" w:eastAsia="仿宋_GB2312"/>
          <w:sz w:val="32"/>
          <w:szCs w:val="32"/>
          <w:lang w:val="zh-CN"/>
        </w:rPr>
      </w:pPr>
      <w:r>
        <w:rPr>
          <w:rFonts w:hint="eastAsia" w:eastAsia="仿宋_GB2312"/>
          <w:sz w:val="32"/>
          <w:szCs w:val="32"/>
          <w:lang w:val="zh-CN" w:eastAsia="zh-CN"/>
        </w:rPr>
        <w:t>预决算项目支出编制需进一步明确、精细化。同时项目执行率需进一步提高。</w:t>
      </w:r>
    </w:p>
    <w:p w14:paraId="66CAE550">
      <w:pPr>
        <w:ind w:firstLine="640" w:firstLineChars="200"/>
        <w:rPr>
          <w:rFonts w:hint="eastAsia" w:eastAsia="仿宋_GB2312"/>
          <w:sz w:val="32"/>
          <w:szCs w:val="32"/>
          <w:lang w:val="zh-CN"/>
        </w:rPr>
      </w:pPr>
      <w:r>
        <w:rPr>
          <w:rFonts w:hint="eastAsia" w:eastAsia="仿宋_GB2312"/>
          <w:sz w:val="32"/>
          <w:szCs w:val="32"/>
          <w:lang w:val="zh-CN"/>
        </w:rPr>
        <w:t>改进建议。</w:t>
      </w:r>
    </w:p>
    <w:p w14:paraId="10535CE5">
      <w:pPr>
        <w:ind w:firstLine="640" w:firstLineChars="200"/>
        <w:rPr>
          <w:rFonts w:hint="eastAsia" w:eastAsia="仿宋_GB2312"/>
          <w:sz w:val="32"/>
          <w:szCs w:val="32"/>
          <w:lang w:val="zh-CN" w:eastAsia="zh-CN"/>
        </w:rPr>
      </w:pPr>
      <w:r>
        <w:rPr>
          <w:rFonts w:hint="eastAsia" w:eastAsia="仿宋_GB2312"/>
          <w:sz w:val="32"/>
          <w:szCs w:val="32"/>
          <w:lang w:val="zh-CN" w:eastAsia="zh-CN"/>
        </w:rPr>
        <w:t>1.细化预算编制工作，进一步加强内设机构的预算管理意识，严格按照预算编制的相关制度和要求进行预算编制。</w:t>
      </w:r>
    </w:p>
    <w:p w14:paraId="102AAEEC">
      <w:pPr>
        <w:ind w:firstLine="640" w:firstLineChars="200"/>
        <w:rPr>
          <w:rFonts w:hint="eastAsia" w:eastAsia="仿宋_GB2312"/>
          <w:sz w:val="32"/>
          <w:szCs w:val="32"/>
          <w:lang w:val="zh-CN" w:eastAsia="zh-CN"/>
        </w:rPr>
      </w:pPr>
      <w:r>
        <w:rPr>
          <w:rFonts w:hint="eastAsia" w:eastAsia="仿宋_GB2312"/>
          <w:sz w:val="32"/>
          <w:szCs w:val="32"/>
          <w:lang w:val="zh-CN" w:eastAsia="zh-CN"/>
        </w:rPr>
        <w:t>2.加强财务管理，严格财务审核。加强单位财务管理，健全单位财务管理制度体系，规范单位财务行为。在费用报账支付时，按照预算规定的费用项目和用途进行资金使用审核、财务严格核算，杜绝超支现象的发生。</w:t>
      </w:r>
    </w:p>
    <w:p w14:paraId="7A7D5ABF">
      <w:pPr>
        <w:ind w:firstLine="640" w:firstLineChars="200"/>
        <w:rPr>
          <w:rFonts w:hint="eastAsia" w:eastAsia="仿宋_GB2312"/>
          <w:sz w:val="32"/>
          <w:szCs w:val="32"/>
          <w:lang w:val="zh-CN" w:eastAsia="zh-CN"/>
        </w:rPr>
      </w:pPr>
      <w:r>
        <w:rPr>
          <w:rFonts w:hint="eastAsia" w:eastAsia="仿宋_GB2312"/>
          <w:sz w:val="32"/>
          <w:szCs w:val="32"/>
          <w:lang w:val="zh-CN" w:eastAsia="zh-CN"/>
        </w:rPr>
        <w:t>3、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的。</w:t>
      </w:r>
    </w:p>
    <w:p w14:paraId="654D66D1">
      <w:pPr>
        <w:ind w:firstLine="420" w:firstLineChars="200"/>
        <w:rPr>
          <w:rFonts w:eastAsia="仿宋_GB2312"/>
          <w:sz w:val="32"/>
          <w:szCs w:val="32"/>
          <w:lang w:val="zh-CN"/>
        </w:rPr>
      </w:pPr>
      <w:r>
        <w:drawing>
          <wp:inline distT="0" distB="0" distL="114300" distR="114300">
            <wp:extent cx="5081905" cy="3776345"/>
            <wp:effectExtent l="0" t="0" r="4445" b="146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4"/>
                    <a:stretch>
                      <a:fillRect/>
                    </a:stretch>
                  </pic:blipFill>
                  <pic:spPr>
                    <a:xfrm>
                      <a:off x="0" y="0"/>
                      <a:ext cx="5081905" cy="3776345"/>
                    </a:xfrm>
                    <a:prstGeom prst="rect">
                      <a:avLst/>
                    </a:prstGeom>
                    <a:noFill/>
                    <a:ln>
                      <a:noFill/>
                    </a:ln>
                  </pic:spPr>
                </pic:pic>
              </a:graphicData>
            </a:graphic>
          </wp:inline>
        </w:drawing>
      </w:r>
    </w:p>
    <w:p w14:paraId="2188A894">
      <w:pPr>
        <w:ind w:firstLine="640" w:firstLineChars="200"/>
        <w:rPr>
          <w:rFonts w:asciiTheme="minorEastAsia" w:hAnsiTheme="minorEastAsia" w:eastAsiaTheme="minorEastAsia"/>
          <w:sz w:val="32"/>
          <w:szCs w:val="32"/>
          <w:lang w:val="zh-CN"/>
        </w:rPr>
      </w:pPr>
      <w:r>
        <w:rPr>
          <w:rFonts w:hint="eastAsia" w:asciiTheme="minorEastAsia" w:hAnsiTheme="minorEastAsia" w:eastAsiaTheme="minorEastAsia"/>
          <w:sz w:val="32"/>
          <w:szCs w:val="32"/>
          <w:lang w:val="zh-CN"/>
        </w:rPr>
        <w:t>附表：</w:t>
      </w:r>
      <w:r>
        <w:rPr>
          <w:rFonts w:hint="eastAsia" w:asciiTheme="minorEastAsia" w:hAnsiTheme="minorEastAsia" w:eastAsiaTheme="minorEastAsia"/>
          <w:sz w:val="32"/>
          <w:szCs w:val="32"/>
          <w:lang w:eastAsia="zh-CN"/>
        </w:rPr>
        <w:t>单位</w:t>
      </w:r>
      <w:r>
        <w:rPr>
          <w:rFonts w:hint="eastAsia" w:asciiTheme="minorEastAsia" w:hAnsiTheme="minorEastAsia" w:eastAsiaTheme="minorEastAsia"/>
          <w:sz w:val="32"/>
          <w:szCs w:val="32"/>
          <w:lang w:val="zh-CN"/>
        </w:rPr>
        <w:t>预算项目支出绩效自评表（2023年度）</w:t>
      </w:r>
    </w:p>
    <w:p w14:paraId="357751EB">
      <w:pPr>
        <w:ind w:firstLine="640" w:firstLineChars="200"/>
        <w:rPr>
          <w:rFonts w:eastAsia="仿宋_GB2312"/>
          <w:sz w:val="32"/>
          <w:szCs w:val="32"/>
          <w:lang w:val="zh-CN"/>
        </w:rPr>
      </w:pPr>
      <w:r>
        <w:rPr>
          <w:rFonts w:hint="eastAsia" w:eastAsia="仿宋_GB2312"/>
          <w:sz w:val="32"/>
          <w:szCs w:val="32"/>
          <w:lang w:val="zh-CN"/>
        </w:rPr>
        <w:t>（备注：按照绩效自评工作安排，各单位已在预算管理一体化系统绩效自评模块上传“单位预算项目支出绩效自评表2023年度”，该表格应作为附表予以公示）</w:t>
      </w:r>
    </w:p>
    <w:p w14:paraId="532F47B2">
      <w:pPr>
        <w:rPr>
          <w:rFonts w:hint="eastAsia" w:ascii="黑体" w:hAnsi="黑体" w:eastAsia="黑体"/>
          <w:sz w:val="32"/>
          <w:szCs w:val="32"/>
        </w:rPr>
      </w:pPr>
    </w:p>
    <w:p w14:paraId="40465515">
      <w:pPr>
        <w:jc w:val="center"/>
        <w:rPr>
          <w:rFonts w:hint="eastAsia" w:ascii="黑体" w:hAnsi="黑体" w:eastAsia="黑体"/>
          <w:sz w:val="32"/>
          <w:szCs w:val="32"/>
        </w:rPr>
      </w:pPr>
    </w:p>
    <w:p w14:paraId="55201A25">
      <w:pPr>
        <w:jc w:val="center"/>
        <w:rPr>
          <w:rFonts w:hint="eastAsia" w:ascii="黑体" w:hAnsi="黑体" w:eastAsia="黑体"/>
          <w:sz w:val="32"/>
          <w:szCs w:val="32"/>
        </w:rPr>
      </w:pPr>
    </w:p>
    <w:p w14:paraId="15E99796">
      <w:pPr>
        <w:jc w:val="center"/>
        <w:rPr>
          <w:rFonts w:hint="eastAsia" w:ascii="黑体" w:hAnsi="黑体" w:eastAsia="黑体"/>
          <w:sz w:val="32"/>
          <w:szCs w:val="32"/>
        </w:rPr>
      </w:pPr>
      <w:r>
        <w:rPr>
          <w:rFonts w:hint="eastAsia" w:ascii="黑体" w:hAnsi="黑体" w:eastAsia="黑体"/>
          <w:sz w:val="32"/>
          <w:szCs w:val="32"/>
        </w:rPr>
        <w:t>项目支出绩效自评报告范本</w:t>
      </w:r>
    </w:p>
    <w:p w14:paraId="1586060D">
      <w:pPr>
        <w:jc w:val="center"/>
        <w:rPr>
          <w:rFonts w:hint="eastAsia" w:ascii="黑体" w:hAnsi="黑体" w:eastAsia="黑体"/>
          <w:sz w:val="32"/>
          <w:szCs w:val="32"/>
        </w:rPr>
      </w:pPr>
      <w:r>
        <w:rPr>
          <w:rFonts w:hint="eastAsia" w:ascii="黑体" w:hAnsi="黑体" w:eastAsia="黑体"/>
          <w:sz w:val="32"/>
          <w:szCs w:val="32"/>
        </w:rPr>
        <w:t>2023年基层组织和农村公共服务运行维护费</w:t>
      </w:r>
      <w:r>
        <w:rPr>
          <w:rFonts w:hint="eastAsia" w:ascii="黑体" w:hAnsi="黑体" w:eastAsia="黑体"/>
          <w:sz w:val="32"/>
          <w:szCs w:val="32"/>
          <w:lang w:eastAsia="zh-CN"/>
        </w:rPr>
        <w:t>（</w:t>
      </w:r>
      <w:r>
        <w:rPr>
          <w:rFonts w:hint="eastAsia" w:ascii="黑体" w:hAnsi="黑体" w:eastAsia="黑体"/>
          <w:sz w:val="32"/>
          <w:szCs w:val="32"/>
        </w:rPr>
        <w:t>上级</w:t>
      </w:r>
      <w:r>
        <w:rPr>
          <w:rFonts w:hint="eastAsia" w:ascii="黑体" w:hAnsi="黑体" w:eastAsia="黑体"/>
          <w:sz w:val="32"/>
          <w:szCs w:val="32"/>
          <w:lang w:eastAsia="zh-CN"/>
        </w:rPr>
        <w:t>）</w:t>
      </w:r>
    </w:p>
    <w:p w14:paraId="1C1025D3">
      <w:pPr>
        <w:rPr>
          <w:rFonts w:hint="eastAsia" w:ascii="黑体" w:hAnsi="黑体" w:eastAsia="黑体"/>
          <w:sz w:val="32"/>
          <w:szCs w:val="32"/>
        </w:rPr>
      </w:pPr>
    </w:p>
    <w:p w14:paraId="4EFE3505">
      <w:pPr>
        <w:rPr>
          <w:rFonts w:hint="eastAsia" w:ascii="黑体" w:hAnsi="黑体" w:eastAsia="黑体"/>
          <w:sz w:val="32"/>
          <w:szCs w:val="32"/>
          <w:lang w:val="zh-CN"/>
        </w:rPr>
      </w:pPr>
      <w:r>
        <w:rPr>
          <w:rFonts w:hint="eastAsia" w:ascii="黑体" w:hAnsi="黑体" w:eastAsia="黑体"/>
          <w:sz w:val="32"/>
          <w:szCs w:val="32"/>
        </w:rPr>
        <w:t>一、</w:t>
      </w:r>
      <w:r>
        <w:rPr>
          <w:rFonts w:hint="eastAsia" w:ascii="黑体" w:hAnsi="黑体" w:eastAsia="黑体"/>
          <w:sz w:val="32"/>
          <w:szCs w:val="32"/>
          <w:lang w:val="zh-CN"/>
        </w:rPr>
        <w:t>项目概况</w:t>
      </w:r>
    </w:p>
    <w:p w14:paraId="743EFE0D">
      <w:pPr>
        <w:rPr>
          <w:rFonts w:hint="eastAsia" w:ascii="黑体" w:hAnsi="黑体" w:eastAsia="黑体"/>
          <w:sz w:val="32"/>
          <w:szCs w:val="32"/>
          <w:lang w:val="zh-CN"/>
        </w:rPr>
      </w:pPr>
      <w:r>
        <w:rPr>
          <w:rFonts w:hint="eastAsia" w:ascii="黑体" w:hAnsi="黑体" w:eastAsia="黑体"/>
          <w:sz w:val="32"/>
          <w:szCs w:val="32"/>
          <w:lang w:val="zh-CN"/>
        </w:rPr>
        <w:t>介绍项目基本情况，重点说明以下内容：</w:t>
      </w:r>
    </w:p>
    <w:p w14:paraId="2678E3A3">
      <w:pPr>
        <w:rPr>
          <w:rFonts w:hint="eastAsia" w:ascii="黑体" w:hAnsi="黑体" w:eastAsia="黑体"/>
          <w:sz w:val="32"/>
          <w:szCs w:val="32"/>
          <w:lang w:val="zh-CN"/>
        </w:rPr>
      </w:pPr>
      <w:r>
        <w:rPr>
          <w:rFonts w:hint="eastAsia" w:ascii="黑体" w:hAnsi="黑体" w:eastAsia="黑体"/>
          <w:sz w:val="32"/>
          <w:szCs w:val="32"/>
        </w:rPr>
        <w:t>2023年基层组织和农村公共服务运行维护费</w:t>
      </w:r>
      <w:r>
        <w:rPr>
          <w:rFonts w:hint="eastAsia" w:ascii="黑体" w:hAnsi="黑体" w:eastAsia="黑体"/>
          <w:sz w:val="32"/>
          <w:szCs w:val="32"/>
          <w:lang w:val="zh-CN"/>
        </w:rPr>
        <w:t>主要用于基层党组织开展组织活动，党员干部教育培训，激励创先争优，走访慰问，群团活动开展，组织活动场所维护等。公共服务运维。主要包括农村基础设施和环境类、农业生产服务类、农村生活服务类、农村社会管理类项目的运行维护等。</w:t>
      </w:r>
    </w:p>
    <w:p w14:paraId="051CCB58">
      <w:pPr>
        <w:rPr>
          <w:rFonts w:hint="eastAsia" w:ascii="黑体" w:hAnsi="黑体" w:eastAsia="黑体"/>
          <w:sz w:val="32"/>
          <w:szCs w:val="32"/>
        </w:rPr>
      </w:pPr>
      <w:r>
        <w:rPr>
          <w:rFonts w:hint="eastAsia" w:ascii="黑体" w:hAnsi="黑体" w:eastAsia="黑体"/>
          <w:sz w:val="32"/>
          <w:szCs w:val="32"/>
        </w:rPr>
        <w:t>二、项目实施及管理情况</w:t>
      </w:r>
    </w:p>
    <w:p w14:paraId="01018BDE">
      <w:pPr>
        <w:rPr>
          <w:rFonts w:hint="eastAsia" w:ascii="黑体" w:hAnsi="黑体" w:eastAsia="黑体"/>
          <w:sz w:val="32"/>
          <w:szCs w:val="32"/>
          <w:lang w:val="zh-CN"/>
        </w:rPr>
      </w:pPr>
      <w:r>
        <w:rPr>
          <w:rFonts w:hint="eastAsia" w:ascii="黑体" w:hAnsi="黑体" w:eastAsia="黑体"/>
          <w:sz w:val="32"/>
          <w:szCs w:val="32"/>
          <w:lang w:val="zh-CN"/>
        </w:rPr>
        <w:tab/>
      </w:r>
      <w:r>
        <w:rPr>
          <w:rFonts w:hint="eastAsia" w:ascii="黑体" w:hAnsi="黑体" w:eastAsia="黑体"/>
          <w:sz w:val="32"/>
          <w:szCs w:val="32"/>
          <w:lang w:val="zh-CN"/>
        </w:rPr>
        <w:t>（一）资金计划、到位及使用情况。</w:t>
      </w:r>
    </w:p>
    <w:p w14:paraId="688D2E8F">
      <w:pPr>
        <w:rPr>
          <w:rFonts w:hint="eastAsia" w:ascii="黑体" w:hAnsi="黑体" w:eastAsia="黑体"/>
          <w:sz w:val="32"/>
          <w:szCs w:val="32"/>
          <w:lang w:val="en-US" w:eastAsia="zh-CN"/>
        </w:rPr>
      </w:pPr>
      <w:r>
        <w:rPr>
          <w:rFonts w:hint="eastAsia" w:ascii="黑体" w:hAnsi="黑体" w:eastAsia="黑体"/>
          <w:sz w:val="32"/>
          <w:szCs w:val="32"/>
          <w:lang w:val="zh-CN"/>
        </w:rPr>
        <w:t>1．</w:t>
      </w:r>
      <w:r>
        <w:rPr>
          <w:rFonts w:hint="eastAsia" w:ascii="黑体" w:hAnsi="黑体" w:eastAsia="黑体"/>
          <w:sz w:val="32"/>
          <w:szCs w:val="32"/>
        </w:rPr>
        <w:t>2023年基层组织和农村公共服务运行维护费（上级）</w:t>
      </w:r>
      <w:r>
        <w:rPr>
          <w:rFonts w:hint="eastAsia" w:ascii="黑体" w:hAnsi="黑体" w:eastAsia="黑体"/>
          <w:sz w:val="32"/>
          <w:szCs w:val="32"/>
          <w:lang w:eastAsia="zh-CN"/>
        </w:rPr>
        <w:t>主要分别为中央、省、县三级资金构成，其中中央资金到位</w:t>
      </w:r>
      <w:r>
        <w:rPr>
          <w:rFonts w:hint="eastAsia" w:ascii="黑体" w:hAnsi="黑体" w:eastAsia="黑体"/>
          <w:sz w:val="32"/>
          <w:szCs w:val="32"/>
          <w:lang w:val="en-US" w:eastAsia="zh-CN"/>
        </w:rPr>
        <w:t>35万元、省级资金到位40万元、县级资金到位40万元</w:t>
      </w:r>
    </w:p>
    <w:p w14:paraId="547CD8AB">
      <w:pPr>
        <w:rPr>
          <w:rFonts w:hint="eastAsia" w:ascii="黑体" w:hAnsi="黑体" w:eastAsia="黑体"/>
          <w:sz w:val="32"/>
          <w:szCs w:val="32"/>
          <w:lang w:val="en-US" w:eastAsia="zh-CN"/>
        </w:rPr>
      </w:pPr>
      <w:r>
        <w:rPr>
          <w:rFonts w:hint="eastAsia" w:ascii="黑体" w:hAnsi="黑体" w:eastAsia="黑体"/>
          <w:sz w:val="32"/>
          <w:szCs w:val="32"/>
          <w:lang w:val="zh-CN"/>
        </w:rPr>
        <w:t>2．资金使用。截至评价时点项目资金的实际支出情况主要分</w:t>
      </w:r>
      <w:r>
        <w:rPr>
          <w:rFonts w:hint="eastAsia" w:ascii="黑体" w:hAnsi="黑体" w:eastAsia="黑体"/>
          <w:sz w:val="32"/>
          <w:szCs w:val="32"/>
          <w:lang w:val="en-US" w:eastAsia="zh-CN"/>
        </w:rPr>
        <w:t>2个批次到村级账户中，其中第一批次到位60万元，第二批次到位33.8万元，其中有1.2万调剂给五渡社区使用。</w:t>
      </w:r>
    </w:p>
    <w:p w14:paraId="34A36E1B">
      <w:pPr>
        <w:rPr>
          <w:rFonts w:hint="eastAsia" w:ascii="黑体" w:hAnsi="黑体" w:eastAsia="黑体"/>
          <w:sz w:val="32"/>
          <w:szCs w:val="32"/>
          <w:lang w:val="zh-CN"/>
        </w:rPr>
      </w:pPr>
      <w:r>
        <w:rPr>
          <w:rFonts w:hint="eastAsia" w:ascii="黑体" w:hAnsi="黑体" w:eastAsia="黑体"/>
          <w:sz w:val="32"/>
          <w:szCs w:val="32"/>
          <w:lang w:val="zh-CN"/>
        </w:rPr>
        <w:t>（二）项目财务管理情况。</w:t>
      </w:r>
    </w:p>
    <w:p w14:paraId="0668ECF2">
      <w:pPr>
        <w:rPr>
          <w:rFonts w:hint="eastAsia" w:ascii="黑体" w:hAnsi="黑体" w:eastAsia="黑体"/>
          <w:sz w:val="32"/>
          <w:szCs w:val="32"/>
          <w:lang w:val="zh-CN" w:eastAsia="zh-CN"/>
        </w:rPr>
      </w:pPr>
      <w:r>
        <w:rPr>
          <w:rFonts w:hint="eastAsia" w:ascii="黑体" w:hAnsi="黑体" w:eastAsia="黑体"/>
          <w:sz w:val="32"/>
          <w:szCs w:val="32"/>
        </w:rPr>
        <w:t>2023年基层组织和农村公共服务运行维护费</w:t>
      </w:r>
      <w:r>
        <w:rPr>
          <w:rFonts w:hint="eastAsia" w:ascii="黑体" w:hAnsi="黑体" w:eastAsia="黑体"/>
          <w:sz w:val="32"/>
          <w:szCs w:val="32"/>
          <w:lang w:val="en-US" w:eastAsia="zh-CN"/>
        </w:rPr>
        <w:t>项目具体由五渡镇财政所</w:t>
      </w:r>
      <w:r>
        <w:rPr>
          <w:rFonts w:hint="eastAsia" w:ascii="黑体" w:hAnsi="黑体" w:eastAsia="黑体"/>
          <w:sz w:val="32"/>
          <w:szCs w:val="32"/>
          <w:lang w:val="zh-CN" w:eastAsia="zh-CN"/>
        </w:rPr>
        <w:t>负责</w:t>
      </w:r>
      <w:r>
        <w:rPr>
          <w:rFonts w:hint="eastAsia" w:ascii="黑体" w:hAnsi="黑体" w:eastAsia="黑体"/>
          <w:sz w:val="32"/>
          <w:szCs w:val="32"/>
          <w:lang w:val="en-US" w:eastAsia="zh-CN"/>
        </w:rPr>
        <w:t>具体</w:t>
      </w:r>
      <w:r>
        <w:rPr>
          <w:rFonts w:hint="eastAsia" w:ascii="黑体" w:hAnsi="黑体" w:eastAsia="黑体"/>
          <w:sz w:val="32"/>
          <w:szCs w:val="32"/>
          <w:lang w:val="zh-CN" w:eastAsia="zh-CN"/>
        </w:rPr>
        <w:t>实施，</w:t>
      </w:r>
      <w:r>
        <w:rPr>
          <w:rFonts w:hint="eastAsia" w:ascii="黑体" w:hAnsi="黑体" w:eastAsia="黑体"/>
          <w:sz w:val="32"/>
          <w:szCs w:val="32"/>
          <w:lang w:val="en-US" w:eastAsia="zh-CN"/>
        </w:rPr>
        <w:t>年初上报计划，制定公务运行经费具体使用方案，分上、下半年度对此项目进行自评及审核上报</w:t>
      </w:r>
      <w:r>
        <w:rPr>
          <w:rFonts w:hint="eastAsia" w:ascii="黑体" w:hAnsi="黑体" w:eastAsia="黑体"/>
          <w:sz w:val="32"/>
          <w:szCs w:val="32"/>
          <w:lang w:val="zh-CN" w:eastAsia="zh-CN"/>
        </w:rPr>
        <w:t>。</w:t>
      </w:r>
    </w:p>
    <w:p w14:paraId="4DBC200A">
      <w:pPr>
        <w:rPr>
          <w:rFonts w:hint="eastAsia" w:ascii="黑体" w:hAnsi="黑体" w:eastAsia="黑体"/>
          <w:sz w:val="32"/>
          <w:szCs w:val="32"/>
          <w:lang w:val="zh-CN"/>
        </w:rPr>
      </w:pPr>
      <w:r>
        <w:rPr>
          <w:rFonts w:hint="eastAsia" w:ascii="黑体" w:hAnsi="黑体" w:eastAsia="黑体"/>
          <w:sz w:val="32"/>
          <w:szCs w:val="32"/>
          <w:lang w:val="zh-CN"/>
        </w:rPr>
        <w:t>（三）项目组织实施情况。</w:t>
      </w:r>
    </w:p>
    <w:p w14:paraId="31614D7B">
      <w:pPr>
        <w:rPr>
          <w:rFonts w:hint="eastAsia" w:ascii="黑体" w:hAnsi="黑体" w:eastAsia="黑体"/>
          <w:sz w:val="32"/>
          <w:szCs w:val="32"/>
          <w:lang w:val="zh-CN" w:eastAsia="zh-CN"/>
        </w:rPr>
      </w:pPr>
      <w:r>
        <w:rPr>
          <w:rFonts w:hint="eastAsia" w:ascii="黑体" w:hAnsi="黑体" w:eastAsia="黑体"/>
          <w:sz w:val="32"/>
          <w:szCs w:val="32"/>
        </w:rPr>
        <w:t>2023年基层组织和农村公共服务运行维护费</w:t>
      </w:r>
      <w:r>
        <w:rPr>
          <w:rFonts w:hint="eastAsia" w:ascii="黑体" w:hAnsi="黑体" w:eastAsia="黑体"/>
          <w:sz w:val="32"/>
          <w:szCs w:val="32"/>
          <w:lang w:val="en-US" w:eastAsia="zh-CN"/>
        </w:rPr>
        <w:t>项目具体由五渡镇财政所</w:t>
      </w:r>
      <w:r>
        <w:rPr>
          <w:rFonts w:hint="eastAsia" w:ascii="黑体" w:hAnsi="黑体" w:eastAsia="黑体"/>
          <w:sz w:val="32"/>
          <w:szCs w:val="32"/>
          <w:lang w:val="zh-CN" w:eastAsia="zh-CN"/>
        </w:rPr>
        <w:t>负责</w:t>
      </w:r>
      <w:r>
        <w:rPr>
          <w:rFonts w:hint="eastAsia" w:ascii="黑体" w:hAnsi="黑体" w:eastAsia="黑体"/>
          <w:sz w:val="32"/>
          <w:szCs w:val="32"/>
          <w:lang w:val="en-US" w:eastAsia="zh-CN"/>
        </w:rPr>
        <w:t>具体</w:t>
      </w:r>
      <w:r>
        <w:rPr>
          <w:rFonts w:hint="eastAsia" w:ascii="黑体" w:hAnsi="黑体" w:eastAsia="黑体"/>
          <w:sz w:val="32"/>
          <w:szCs w:val="32"/>
          <w:lang w:val="zh-CN" w:eastAsia="zh-CN"/>
        </w:rPr>
        <w:t>实施</w:t>
      </w:r>
    </w:p>
    <w:p w14:paraId="16BA554D">
      <w:pPr>
        <w:rPr>
          <w:rFonts w:hint="eastAsia" w:ascii="黑体" w:hAnsi="黑体" w:eastAsia="黑体"/>
          <w:sz w:val="32"/>
          <w:szCs w:val="32"/>
          <w:lang w:val="zh-CN"/>
        </w:rPr>
      </w:pPr>
      <w:r>
        <w:rPr>
          <w:rFonts w:hint="eastAsia" w:ascii="黑体" w:hAnsi="黑体" w:eastAsia="黑体"/>
          <w:sz w:val="32"/>
          <w:szCs w:val="32"/>
        </w:rPr>
        <w:t>三、项目绩效情况</w:t>
      </w:r>
      <w:r>
        <w:rPr>
          <w:rFonts w:hint="eastAsia" w:ascii="黑体" w:hAnsi="黑体" w:eastAsia="黑体"/>
          <w:sz w:val="32"/>
          <w:szCs w:val="32"/>
          <w:lang w:val="zh-CN"/>
        </w:rPr>
        <w:tab/>
      </w:r>
    </w:p>
    <w:p w14:paraId="066BC984">
      <w:pPr>
        <w:rPr>
          <w:rFonts w:hint="eastAsia" w:ascii="黑体" w:hAnsi="黑体" w:eastAsia="黑体"/>
          <w:sz w:val="32"/>
          <w:szCs w:val="32"/>
          <w:lang w:val="zh-CN"/>
        </w:rPr>
      </w:pPr>
      <w:r>
        <w:rPr>
          <w:rFonts w:hint="eastAsia" w:ascii="黑体" w:hAnsi="黑体" w:eastAsia="黑体"/>
          <w:sz w:val="32"/>
          <w:szCs w:val="32"/>
          <w:lang w:val="zh-CN"/>
        </w:rPr>
        <w:t>（一）项目完成情况。</w:t>
      </w:r>
    </w:p>
    <w:p w14:paraId="6BFBB23C">
      <w:pPr>
        <w:rPr>
          <w:rFonts w:hint="eastAsia" w:ascii="黑体" w:hAnsi="黑体" w:eastAsia="黑体"/>
          <w:sz w:val="32"/>
          <w:szCs w:val="32"/>
          <w:lang w:val="zh-CN"/>
        </w:rPr>
      </w:pPr>
      <w:r>
        <w:rPr>
          <w:rFonts w:hint="eastAsia" w:ascii="黑体" w:hAnsi="黑体" w:eastAsia="黑体"/>
          <w:sz w:val="32"/>
          <w:szCs w:val="32"/>
        </w:rPr>
        <w:t>2023年基层组织和农村公共服务运行维护费</w:t>
      </w:r>
      <w:r>
        <w:rPr>
          <w:rFonts w:hint="eastAsia" w:ascii="黑体" w:hAnsi="黑体" w:eastAsia="黑体"/>
          <w:sz w:val="32"/>
          <w:szCs w:val="32"/>
          <w:lang w:val="en-US" w:eastAsia="zh-CN"/>
        </w:rPr>
        <w:t>项目，于2023年12月底前完成了项目实施，并由镇财政所审核上报，及时完成了115万元的补贴发放，无结余资金</w:t>
      </w:r>
      <w:r>
        <w:rPr>
          <w:rFonts w:hint="eastAsia" w:ascii="黑体" w:hAnsi="黑体" w:eastAsia="黑体"/>
          <w:sz w:val="32"/>
          <w:szCs w:val="32"/>
          <w:lang w:val="zh-CN"/>
        </w:rPr>
        <w:t>。</w:t>
      </w:r>
    </w:p>
    <w:p w14:paraId="5FD96E07">
      <w:pPr>
        <w:rPr>
          <w:rFonts w:hint="eastAsia" w:ascii="黑体" w:hAnsi="黑体" w:eastAsia="黑体"/>
          <w:sz w:val="32"/>
          <w:szCs w:val="32"/>
          <w:lang w:val="zh-CN" w:eastAsia="zh-CN"/>
        </w:rPr>
      </w:pPr>
      <w:r>
        <w:rPr>
          <w:rFonts w:hint="eastAsia" w:ascii="黑体" w:hAnsi="黑体" w:eastAsia="黑体"/>
          <w:sz w:val="32"/>
          <w:szCs w:val="32"/>
          <w:lang w:val="zh-CN" w:eastAsia="zh-CN"/>
        </w:rPr>
        <w:t>项目效益情况。</w:t>
      </w:r>
    </w:p>
    <w:p w14:paraId="4047A8AE">
      <w:pPr>
        <w:rPr>
          <w:rFonts w:hint="eastAsia" w:ascii="黑体" w:hAnsi="黑体" w:eastAsia="黑体"/>
          <w:sz w:val="32"/>
          <w:szCs w:val="32"/>
          <w:lang w:val="zh-CN" w:eastAsia="zh-CN"/>
        </w:rPr>
      </w:pPr>
      <w:r>
        <w:rPr>
          <w:rFonts w:hint="eastAsia" w:ascii="黑体" w:hAnsi="黑体" w:eastAsia="黑体"/>
          <w:sz w:val="32"/>
          <w:szCs w:val="32"/>
          <w:lang w:val="en-US" w:eastAsia="zh-CN"/>
        </w:rPr>
        <w:t>1.</w:t>
      </w:r>
      <w:r>
        <w:rPr>
          <w:rFonts w:hint="eastAsia" w:ascii="黑体" w:hAnsi="黑体" w:eastAsia="黑体"/>
          <w:sz w:val="32"/>
          <w:szCs w:val="32"/>
          <w:lang w:val="zh-CN" w:eastAsia="zh-CN"/>
        </w:rPr>
        <w:t>社会效益</w:t>
      </w:r>
    </w:p>
    <w:p w14:paraId="3638813B">
      <w:pPr>
        <w:rPr>
          <w:rFonts w:hint="eastAsia" w:ascii="黑体" w:hAnsi="黑体" w:eastAsia="黑体"/>
          <w:sz w:val="32"/>
          <w:szCs w:val="32"/>
          <w:lang w:val="en-US" w:eastAsia="zh-CN"/>
        </w:rPr>
      </w:pPr>
      <w:r>
        <w:rPr>
          <w:rFonts w:hint="eastAsia" w:ascii="黑体" w:hAnsi="黑体" w:eastAsia="黑体"/>
          <w:sz w:val="32"/>
          <w:szCs w:val="32"/>
          <w:lang w:eastAsia="zh-CN"/>
        </w:rPr>
        <w:t>　</w:t>
      </w:r>
      <w:r>
        <w:rPr>
          <w:rFonts w:hint="eastAsia" w:ascii="黑体" w:hAnsi="黑体" w:eastAsia="黑体"/>
          <w:sz w:val="32"/>
          <w:szCs w:val="32"/>
          <w:lang w:val="en-US" w:eastAsia="zh-CN"/>
        </w:rPr>
        <w:t>通过项目的实施，提升服务群众质量，为实现乡村振兴，促进乡风文明打下了坚定基础。</w:t>
      </w:r>
    </w:p>
    <w:p w14:paraId="6E9873C7">
      <w:pPr>
        <w:rPr>
          <w:rFonts w:hint="eastAsia" w:ascii="黑体" w:hAnsi="黑体" w:eastAsia="黑体"/>
          <w:sz w:val="32"/>
          <w:szCs w:val="32"/>
          <w:lang w:val="zh-CN" w:eastAsia="zh-CN"/>
        </w:rPr>
      </w:pPr>
      <w:r>
        <w:rPr>
          <w:rFonts w:hint="eastAsia" w:ascii="黑体" w:hAnsi="黑体" w:eastAsia="黑体"/>
          <w:sz w:val="32"/>
          <w:szCs w:val="32"/>
          <w:lang w:val="en-US" w:eastAsia="zh-CN"/>
        </w:rPr>
        <w:t>2.</w:t>
      </w:r>
      <w:r>
        <w:rPr>
          <w:rFonts w:hint="eastAsia" w:ascii="黑体" w:hAnsi="黑体" w:eastAsia="黑体"/>
          <w:sz w:val="32"/>
          <w:szCs w:val="32"/>
          <w:lang w:val="zh-CN" w:eastAsia="zh-CN"/>
        </w:rPr>
        <w:t>满意度</w:t>
      </w:r>
    </w:p>
    <w:p w14:paraId="0E6D6FF1">
      <w:pPr>
        <w:rPr>
          <w:rFonts w:hint="eastAsia" w:ascii="黑体" w:hAnsi="黑体" w:eastAsia="黑体"/>
          <w:sz w:val="32"/>
          <w:szCs w:val="32"/>
        </w:rPr>
      </w:pPr>
      <w:r>
        <w:rPr>
          <w:rFonts w:hint="eastAsia" w:ascii="黑体" w:hAnsi="黑体" w:eastAsia="黑体"/>
          <w:sz w:val="32"/>
          <w:szCs w:val="32"/>
          <w:lang w:val="en-US" w:eastAsia="zh-CN"/>
        </w:rPr>
        <w:t>　通过项目的实施，提升了村级干事创业的热情，提升了群众对基层服务的满意度</w:t>
      </w:r>
      <w:r>
        <w:rPr>
          <w:rFonts w:hint="eastAsia" w:ascii="黑体" w:hAnsi="黑体" w:eastAsia="黑体"/>
          <w:sz w:val="32"/>
          <w:szCs w:val="32"/>
        </w:rPr>
        <w:t>。</w:t>
      </w:r>
    </w:p>
    <w:p w14:paraId="1503EF4D">
      <w:pPr>
        <w:rPr>
          <w:rFonts w:hint="eastAsia" w:ascii="黑体" w:hAnsi="黑体" w:eastAsia="黑体"/>
          <w:sz w:val="32"/>
          <w:szCs w:val="32"/>
        </w:rPr>
      </w:pPr>
      <w:r>
        <w:rPr>
          <w:rFonts w:hint="eastAsia" w:ascii="黑体" w:hAnsi="黑体" w:eastAsia="黑体"/>
          <w:sz w:val="32"/>
          <w:szCs w:val="32"/>
        </w:rPr>
        <w:t>四、问题及建议</w:t>
      </w:r>
    </w:p>
    <w:p w14:paraId="3FD97069">
      <w:pPr>
        <w:rPr>
          <w:rFonts w:hint="eastAsia" w:ascii="黑体" w:hAnsi="黑体" w:eastAsia="黑体"/>
          <w:sz w:val="32"/>
          <w:szCs w:val="32"/>
          <w:lang w:val="zh-CN"/>
        </w:rPr>
      </w:pPr>
      <w:r>
        <w:rPr>
          <w:rFonts w:hint="eastAsia" w:ascii="黑体" w:hAnsi="黑体" w:eastAsia="黑体"/>
          <w:sz w:val="32"/>
          <w:szCs w:val="32"/>
          <w:lang w:val="zh-CN"/>
        </w:rPr>
        <w:t>（一）存在的问题。无</w:t>
      </w:r>
    </w:p>
    <w:p w14:paraId="036D3B1E">
      <w:pPr>
        <w:rPr>
          <w:rFonts w:hint="eastAsia" w:ascii="黑体" w:hAnsi="黑体" w:eastAsia="黑体"/>
          <w:sz w:val="32"/>
          <w:szCs w:val="32"/>
        </w:rPr>
      </w:pPr>
      <w:r>
        <w:rPr>
          <w:rFonts w:hint="eastAsia" w:ascii="黑体" w:hAnsi="黑体" w:eastAsia="黑体"/>
          <w:sz w:val="32"/>
          <w:szCs w:val="32"/>
          <w:lang w:val="zh-CN"/>
        </w:rPr>
        <w:t>（二）相关建议。无</w:t>
      </w:r>
    </w:p>
    <w:p w14:paraId="611590CF">
      <w:pPr>
        <w:rPr>
          <w:rFonts w:hint="eastAsia" w:ascii="黑体" w:hAnsi="黑体" w:eastAsia="黑体"/>
          <w:sz w:val="32"/>
          <w:szCs w:val="32"/>
        </w:rPr>
      </w:pPr>
    </w:p>
    <w:p w14:paraId="74DB5C71">
      <w:pPr>
        <w:rPr>
          <w:rFonts w:hint="eastAsia" w:ascii="黑体" w:hAnsi="黑体" w:eastAsia="黑体"/>
          <w:sz w:val="32"/>
          <w:szCs w:val="32"/>
        </w:rPr>
      </w:pPr>
      <w:r>
        <w:drawing>
          <wp:inline distT="0" distB="0" distL="114300" distR="114300">
            <wp:extent cx="5269865" cy="8285480"/>
            <wp:effectExtent l="0" t="0" r="6985"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269865" cy="8285480"/>
                    </a:xfrm>
                    <a:prstGeom prst="rect">
                      <a:avLst/>
                    </a:prstGeom>
                    <a:noFill/>
                    <a:ln>
                      <a:noFill/>
                    </a:ln>
                  </pic:spPr>
                </pic:pic>
              </a:graphicData>
            </a:graphic>
          </wp:inline>
        </w:drawing>
      </w:r>
    </w:p>
    <w:p w14:paraId="4165BB50">
      <w:pPr>
        <w:rPr>
          <w:rFonts w:hint="eastAsia" w:ascii="黑体" w:hAnsi="黑体" w:eastAsia="黑体"/>
          <w:sz w:val="32"/>
          <w:szCs w:val="32"/>
        </w:rPr>
      </w:pPr>
    </w:p>
    <w:p w14:paraId="0B9EBBAD">
      <w:pPr>
        <w:pStyle w:val="37"/>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项目支出绩效自评报告范本</w:t>
      </w:r>
    </w:p>
    <w:p w14:paraId="40B2FE25">
      <w:pPr>
        <w:pStyle w:val="37"/>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olor w:val="auto"/>
          <w:kern w:val="2"/>
          <w:sz w:val="32"/>
          <w:szCs w:val="32"/>
        </w:rPr>
      </w:pPr>
      <w:r>
        <w:rPr>
          <w:rFonts w:hint="eastAsia" w:ascii="仿宋_GB2312" w:hAnsi="宋体" w:eastAsia="仿宋_GB2312"/>
          <w:color w:val="auto"/>
          <w:kern w:val="2"/>
          <w:sz w:val="32"/>
          <w:szCs w:val="32"/>
        </w:rPr>
        <w:t>（</w:t>
      </w:r>
      <w:r>
        <w:rPr>
          <w:rFonts w:hint="eastAsia" w:ascii="仿宋_GB2312" w:hAnsi="宋体" w:eastAsia="仿宋_GB2312"/>
          <w:color w:val="auto"/>
          <w:kern w:val="2"/>
          <w:sz w:val="32"/>
          <w:szCs w:val="32"/>
          <w:lang w:eastAsia="zh-CN"/>
        </w:rPr>
        <w:t>峨边彝族自治县</w:t>
      </w:r>
      <w:r>
        <w:rPr>
          <w:rFonts w:hint="eastAsia" w:ascii="仿宋_GB2312" w:hAnsi="宋体" w:eastAsia="仿宋_GB2312"/>
          <w:color w:val="auto"/>
          <w:kern w:val="2"/>
          <w:sz w:val="32"/>
          <w:szCs w:val="32"/>
        </w:rPr>
        <w:t>五渡镇双凤村川山堰支渠建设项目岩土工程勘察）</w:t>
      </w:r>
    </w:p>
    <w:p w14:paraId="368CBEAF">
      <w:pPr>
        <w:pStyle w:val="37"/>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rPr>
      </w:pPr>
    </w:p>
    <w:p w14:paraId="0F914BE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0C4E0A3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仿宋_GB2312" w:hAnsi="宋体"/>
          <w:sz w:val="32"/>
          <w:szCs w:val="32"/>
          <w:lang w:val="zh-CN"/>
        </w:rPr>
        <w:t>介绍项目基本情况，重点说明以下内容：</w:t>
      </w:r>
    </w:p>
    <w:p w14:paraId="2AA8C6B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rPr>
      </w:pPr>
      <w:r>
        <w:rPr>
          <w:rFonts w:hint="eastAsia" w:ascii="仿宋_GB2312" w:hAnsi="宋体" w:eastAsia="仿宋_GB2312"/>
          <w:color w:val="auto"/>
          <w:kern w:val="2"/>
          <w:sz w:val="32"/>
          <w:szCs w:val="32"/>
          <w:lang w:eastAsia="zh-CN"/>
        </w:rPr>
        <w:t>峨边彝族自治县</w:t>
      </w:r>
      <w:r>
        <w:rPr>
          <w:rFonts w:hint="eastAsia" w:ascii="仿宋_GB2312" w:hAnsi="宋体" w:eastAsia="仿宋_GB2312"/>
          <w:color w:val="auto"/>
          <w:kern w:val="2"/>
          <w:sz w:val="32"/>
          <w:szCs w:val="32"/>
        </w:rPr>
        <w:t>五渡镇双凤村川山堰支渠建设项目岩土工程勘察费</w:t>
      </w:r>
      <w:r>
        <w:rPr>
          <w:rFonts w:hint="eastAsia" w:ascii="仿宋_GB2312" w:hAnsi="宋体"/>
          <w:sz w:val="32"/>
          <w:szCs w:val="32"/>
          <w:lang w:val="zh-CN"/>
        </w:rPr>
        <w:t>主要为峨边彝族自治县五渡镇双凤村川山堰支渠建设项目提起实施岩土工程勘察，得出项目实施的可行性。</w:t>
      </w:r>
    </w:p>
    <w:p w14:paraId="0A919ECC">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二、项目实施及管理情况</w:t>
      </w:r>
    </w:p>
    <w:p w14:paraId="12F27E4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仿宋_GB2312" w:hAnsi="宋体"/>
          <w:sz w:val="32"/>
          <w:szCs w:val="32"/>
          <w:lang w:val="zh-CN"/>
        </w:rPr>
        <w:tab/>
      </w:r>
      <w:r>
        <w:rPr>
          <w:rFonts w:hint="eastAsia" w:ascii="楷体_GB2312" w:hAnsi="宋体" w:eastAsia="楷体_GB2312"/>
          <w:b/>
          <w:sz w:val="32"/>
          <w:szCs w:val="32"/>
          <w:lang w:val="zh-CN"/>
        </w:rPr>
        <w:t>（一）资金计划、到位及使用情况。</w:t>
      </w:r>
    </w:p>
    <w:p w14:paraId="415C205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color w:val="auto"/>
          <w:kern w:val="2"/>
          <w:sz w:val="32"/>
          <w:szCs w:val="32"/>
          <w:lang w:val="en-US" w:eastAsia="zh-CN"/>
        </w:rPr>
      </w:pPr>
      <w:r>
        <w:rPr>
          <w:rFonts w:hint="eastAsia" w:ascii="楷体_GB2312" w:hAnsi="宋体" w:eastAsia="楷体_GB2312"/>
          <w:sz w:val="32"/>
          <w:szCs w:val="32"/>
          <w:lang w:val="zh-CN"/>
        </w:rPr>
        <w:t>1．峨边彝族自治县</w:t>
      </w:r>
      <w:r>
        <w:rPr>
          <w:rFonts w:hint="eastAsia" w:ascii="仿宋_GB2312" w:hAnsi="宋体" w:eastAsia="仿宋_GB2312"/>
          <w:color w:val="auto"/>
          <w:kern w:val="2"/>
          <w:sz w:val="32"/>
          <w:szCs w:val="32"/>
        </w:rPr>
        <w:t>五渡镇双凤村川山堰支渠建设项目岩土工程勘察费</w:t>
      </w:r>
      <w:r>
        <w:rPr>
          <w:rFonts w:hint="eastAsia" w:ascii="仿宋_GB2312" w:hAnsi="宋体"/>
          <w:color w:val="auto"/>
          <w:kern w:val="2"/>
          <w:sz w:val="32"/>
          <w:szCs w:val="32"/>
          <w:lang w:eastAsia="zh-CN"/>
        </w:rPr>
        <w:t>主要是县级资金构成，</w:t>
      </w:r>
      <w:r>
        <w:rPr>
          <w:rFonts w:hint="eastAsia" w:ascii="仿宋_GB2312" w:hAnsi="宋体"/>
          <w:color w:val="auto"/>
          <w:kern w:val="2"/>
          <w:sz w:val="32"/>
          <w:szCs w:val="32"/>
          <w:lang w:val="en-US" w:eastAsia="zh-CN"/>
        </w:rPr>
        <w:t>县资金到位4.5万元。</w:t>
      </w:r>
    </w:p>
    <w:p w14:paraId="7F18AB6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sz w:val="32"/>
          <w:szCs w:val="32"/>
          <w:lang w:val="en-US" w:eastAsia="zh-CN"/>
        </w:rPr>
      </w:pPr>
      <w:r>
        <w:rPr>
          <w:rFonts w:hint="eastAsia" w:ascii="楷体_GB2312" w:hAnsi="宋体" w:eastAsia="楷体_GB2312"/>
          <w:sz w:val="32"/>
          <w:szCs w:val="32"/>
          <w:lang w:val="zh-CN"/>
        </w:rPr>
        <w:t>2．资金使用。截至</w:t>
      </w:r>
      <w:r>
        <w:rPr>
          <w:rFonts w:hint="eastAsia" w:ascii="仿宋_GB2312" w:hAnsi="宋体"/>
          <w:sz w:val="32"/>
          <w:szCs w:val="32"/>
          <w:lang w:val="zh-CN"/>
        </w:rPr>
        <w:t>评价时点项目资金的实际支出情况主要到账</w:t>
      </w:r>
      <w:r>
        <w:rPr>
          <w:rFonts w:hint="eastAsia" w:ascii="仿宋_GB2312" w:hAnsi="宋体"/>
          <w:sz w:val="32"/>
          <w:szCs w:val="32"/>
          <w:lang w:val="en-US" w:eastAsia="zh-CN"/>
        </w:rPr>
        <w:t>4.5万元。</w:t>
      </w:r>
    </w:p>
    <w:p w14:paraId="639F396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（二）项目财务管理情况。</w:t>
      </w:r>
    </w:p>
    <w:p w14:paraId="3427C000">
      <w:pPr>
        <w:adjustRightInd w:val="0"/>
        <w:snapToGrid w:val="0"/>
        <w:spacing w:line="600" w:lineRule="exact"/>
        <w:ind w:firstLine="720"/>
        <w:rPr>
          <w:rFonts w:hint="eastAsia" w:ascii="仿宋_GB2312" w:hAnsi="宋体"/>
          <w:sz w:val="32"/>
          <w:szCs w:val="32"/>
          <w:lang w:val="zh-CN" w:eastAsia="zh-CN"/>
        </w:rPr>
      </w:pPr>
      <w:r>
        <w:rPr>
          <w:rFonts w:hint="eastAsia" w:ascii="仿宋_GB2312" w:hAnsi="宋体" w:eastAsia="仿宋_GB2312"/>
          <w:color w:val="auto"/>
          <w:kern w:val="2"/>
          <w:sz w:val="32"/>
          <w:szCs w:val="32"/>
          <w:lang w:eastAsia="zh-CN"/>
        </w:rPr>
        <w:t>峨边彝族自治县</w:t>
      </w:r>
      <w:r>
        <w:rPr>
          <w:rFonts w:hint="eastAsia" w:ascii="仿宋_GB2312" w:hAnsi="宋体" w:eastAsia="仿宋_GB2312"/>
          <w:color w:val="auto"/>
          <w:kern w:val="2"/>
          <w:sz w:val="32"/>
          <w:szCs w:val="32"/>
        </w:rPr>
        <w:t>五渡镇双凤村川山堰支渠建设项目岩土工程勘察费</w:t>
      </w:r>
      <w:r>
        <w:rPr>
          <w:rFonts w:hint="eastAsia" w:ascii="仿宋_GB2312" w:hAnsi="宋体"/>
          <w:sz w:val="32"/>
          <w:szCs w:val="32"/>
          <w:lang w:val="en-US" w:eastAsia="zh-CN"/>
        </w:rPr>
        <w:t>项目具体由五渡镇项目办具体</w:t>
      </w:r>
      <w:r>
        <w:rPr>
          <w:rFonts w:hint="eastAsia" w:ascii="仿宋_GB2312" w:hAnsi="宋体"/>
          <w:sz w:val="32"/>
          <w:szCs w:val="32"/>
          <w:lang w:val="zh-CN" w:eastAsia="zh-CN"/>
        </w:rPr>
        <w:t>实施，</w:t>
      </w:r>
      <w:r>
        <w:rPr>
          <w:rFonts w:hint="eastAsia" w:ascii="仿宋_GB2312" w:hAnsi="宋体"/>
          <w:sz w:val="32"/>
          <w:szCs w:val="32"/>
          <w:lang w:val="en-US" w:eastAsia="zh-CN"/>
        </w:rPr>
        <w:t>年初签订合同，项目实施后对此项目进行自评及审核上报</w:t>
      </w:r>
      <w:r>
        <w:rPr>
          <w:rFonts w:hint="eastAsia" w:ascii="仿宋_GB2312" w:hAnsi="宋体"/>
          <w:sz w:val="32"/>
          <w:szCs w:val="32"/>
          <w:lang w:val="zh-CN" w:eastAsia="zh-CN"/>
        </w:rPr>
        <w:t>。</w:t>
      </w:r>
    </w:p>
    <w:p w14:paraId="3A93DBC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（三）项目组织实施情况。</w:t>
      </w:r>
    </w:p>
    <w:p w14:paraId="49EDE1A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eastAsia="zh-CN"/>
        </w:rPr>
      </w:pPr>
      <w:r>
        <w:rPr>
          <w:rFonts w:hint="eastAsia" w:ascii="仿宋_GB2312" w:hAnsi="宋体" w:eastAsia="仿宋_GB2312"/>
          <w:color w:val="auto"/>
          <w:kern w:val="2"/>
          <w:sz w:val="32"/>
          <w:szCs w:val="32"/>
          <w:lang w:eastAsia="zh-CN"/>
        </w:rPr>
        <w:t>峨边彝族自治县</w:t>
      </w:r>
      <w:r>
        <w:rPr>
          <w:rFonts w:hint="eastAsia" w:ascii="仿宋_GB2312" w:hAnsi="宋体" w:eastAsia="仿宋_GB2312"/>
          <w:color w:val="auto"/>
          <w:kern w:val="2"/>
          <w:sz w:val="32"/>
          <w:szCs w:val="32"/>
        </w:rPr>
        <w:t>五渡镇双凤村川山堰支渠建设项目岩土工程勘察费</w:t>
      </w:r>
      <w:r>
        <w:rPr>
          <w:rFonts w:hint="eastAsia" w:ascii="仿宋_GB2312" w:hAnsi="宋体"/>
          <w:sz w:val="32"/>
          <w:szCs w:val="32"/>
          <w:lang w:val="en-US" w:eastAsia="zh-CN"/>
        </w:rPr>
        <w:t>项目具体由五渡镇项目办具体</w:t>
      </w:r>
      <w:r>
        <w:rPr>
          <w:rFonts w:hint="eastAsia" w:ascii="仿宋_GB2312" w:hAnsi="宋体"/>
          <w:sz w:val="32"/>
          <w:szCs w:val="32"/>
          <w:lang w:val="zh-CN" w:eastAsia="zh-CN"/>
        </w:rPr>
        <w:t>实施。</w:t>
      </w:r>
    </w:p>
    <w:p w14:paraId="1BCE340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黑体" w:hAnsi="宋体" w:eastAsia="黑体"/>
          <w:sz w:val="32"/>
          <w:szCs w:val="32"/>
        </w:rPr>
        <w:t>三、项目绩效情况</w:t>
      </w:r>
      <w:r>
        <w:rPr>
          <w:rFonts w:hint="eastAsia" w:ascii="仿宋_GB2312" w:hAnsi="宋体"/>
          <w:sz w:val="32"/>
          <w:szCs w:val="32"/>
          <w:lang w:val="zh-CN"/>
        </w:rPr>
        <w:tab/>
      </w:r>
    </w:p>
    <w:p w14:paraId="13A7AFE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3A3A2967">
      <w:pPr>
        <w:adjustRightInd w:val="0"/>
        <w:snapToGrid w:val="0"/>
        <w:spacing w:line="600" w:lineRule="exact"/>
        <w:ind w:firstLine="720"/>
        <w:rPr>
          <w:rFonts w:ascii="楷体_GB2312" w:hAnsi="宋体" w:eastAsia="楷体_GB2312"/>
          <w:b/>
          <w:sz w:val="32"/>
          <w:szCs w:val="32"/>
          <w:lang w:val="zh-CN"/>
        </w:rPr>
      </w:pPr>
      <w:r>
        <w:rPr>
          <w:rFonts w:hint="eastAsia" w:ascii="仿宋_GB2312" w:hAnsi="宋体" w:eastAsia="仿宋_GB2312"/>
          <w:color w:val="auto"/>
          <w:kern w:val="2"/>
          <w:sz w:val="32"/>
          <w:szCs w:val="32"/>
          <w:lang w:eastAsia="zh-CN"/>
        </w:rPr>
        <w:t>峨边彝族自治县</w:t>
      </w:r>
      <w:r>
        <w:rPr>
          <w:rFonts w:hint="eastAsia" w:ascii="仿宋_GB2312" w:hAnsi="宋体" w:eastAsia="仿宋_GB2312"/>
          <w:color w:val="auto"/>
          <w:kern w:val="2"/>
          <w:sz w:val="32"/>
          <w:szCs w:val="32"/>
        </w:rPr>
        <w:t>五渡镇双凤村川山堰支渠建设项目岩土工程勘察费</w:t>
      </w:r>
      <w:r>
        <w:rPr>
          <w:rFonts w:hint="eastAsia" w:ascii="仿宋_GB2312" w:hAnsi="宋体"/>
          <w:sz w:val="32"/>
          <w:szCs w:val="32"/>
          <w:lang w:val="en-US" w:eastAsia="zh-CN"/>
        </w:rPr>
        <w:t>项目具体由五渡镇项目办具体</w:t>
      </w:r>
      <w:r>
        <w:rPr>
          <w:rFonts w:hint="eastAsia" w:ascii="仿宋_GB2312" w:hAnsi="宋体"/>
          <w:sz w:val="32"/>
          <w:szCs w:val="32"/>
          <w:lang w:val="zh-CN" w:eastAsia="zh-CN"/>
        </w:rPr>
        <w:t>实施</w:t>
      </w:r>
      <w:r>
        <w:rPr>
          <w:rFonts w:hint="eastAsia" w:ascii="仿宋_GB2312" w:hAnsi="宋体"/>
          <w:sz w:val="32"/>
          <w:szCs w:val="32"/>
          <w:lang w:val="en-US" w:eastAsia="zh-CN"/>
        </w:rPr>
        <w:t>，于2023年12月底前完成了项目实施，并由镇财政所审核上报，及时完成了4.5万元的补贴发放，无结余资金</w:t>
      </w:r>
      <w:r>
        <w:rPr>
          <w:rFonts w:hint="eastAsia" w:ascii="仿宋_GB2312" w:hAnsi="宋体"/>
          <w:sz w:val="32"/>
          <w:szCs w:val="32"/>
          <w:lang w:val="zh-CN"/>
        </w:rPr>
        <w:t>。</w:t>
      </w:r>
    </w:p>
    <w:p w14:paraId="0D5DF728">
      <w:pPr>
        <w:pStyle w:val="16"/>
        <w:widowControl/>
        <w:numPr>
          <w:ilvl w:val="0"/>
          <w:numId w:val="5"/>
        </w:numPr>
        <w:shd w:val="clear" w:color="auto" w:fill="FFFFFF"/>
        <w:spacing w:before="0" w:beforeAutospacing="0" w:after="0" w:afterAutospacing="0" w:line="600" w:lineRule="atLeast"/>
        <w:ind w:firstLine="42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zh-CN" w:eastAsia="zh-CN" w:bidi="ar-SA"/>
        </w:rPr>
        <w:t>项目效益情况。</w:t>
      </w:r>
    </w:p>
    <w:p w14:paraId="7CD24064">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1.</w:t>
      </w:r>
      <w:r>
        <w:rPr>
          <w:rFonts w:hint="eastAsia" w:ascii="楷体_GB2312" w:hAnsi="宋体" w:eastAsia="楷体_GB2312" w:cs="Times New Roman"/>
          <w:b/>
          <w:kern w:val="2"/>
          <w:sz w:val="32"/>
          <w:szCs w:val="32"/>
          <w:lang w:val="zh-CN" w:eastAsia="zh-CN" w:bidi="ar-SA"/>
        </w:rPr>
        <w:t>社会效益</w:t>
      </w:r>
    </w:p>
    <w:p w14:paraId="0230DC8D">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 w:hAnsi="仿宋" w:eastAsia="仿宋" w:cs="Microsoft YaHei UI"/>
          <w:spacing w:val="8"/>
          <w:sz w:val="32"/>
          <w:szCs w:val="32"/>
          <w:shd w:val="clear" w:color="auto" w:fill="FFFFFF"/>
          <w:lang w:eastAsia="zh-CN"/>
        </w:rPr>
        <w:t>　</w:t>
      </w:r>
      <w:r>
        <w:rPr>
          <w:rFonts w:hint="eastAsia" w:ascii="仿宋_GB2312" w:hAnsi="宋体" w:eastAsia="仿宋_GB2312" w:cs="Times New Roman"/>
          <w:kern w:val="2"/>
          <w:sz w:val="32"/>
          <w:szCs w:val="32"/>
          <w:lang w:val="en-US" w:eastAsia="zh-CN" w:bidi="ar-SA"/>
        </w:rPr>
        <w:t>通过项目的实施，为农业灌溉生产创造效益。</w:t>
      </w:r>
    </w:p>
    <w:p w14:paraId="0A6B26EF">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en-US" w:eastAsia="zh-CN" w:bidi="ar-SA"/>
        </w:rPr>
      </w:pPr>
      <w:r>
        <w:rPr>
          <w:rFonts w:hint="eastAsia" w:ascii="楷体_GB2312" w:hAnsi="宋体" w:eastAsia="楷体_GB2312" w:cs="Times New Roman"/>
          <w:b/>
          <w:kern w:val="2"/>
          <w:sz w:val="32"/>
          <w:szCs w:val="32"/>
          <w:lang w:val="en-US" w:eastAsia="zh-CN" w:bidi="ar-SA"/>
        </w:rPr>
        <w:t>2.满意度</w:t>
      </w:r>
    </w:p>
    <w:p w14:paraId="063566CE">
      <w:pPr>
        <w:pStyle w:val="16"/>
        <w:widowControl/>
        <w:numPr>
          <w:ilvl w:val="0"/>
          <w:numId w:val="0"/>
        </w:numPr>
        <w:shd w:val="clear" w:color="auto" w:fill="FFFFFF"/>
        <w:spacing w:before="0" w:beforeAutospacing="0" w:after="0" w:afterAutospacing="0" w:line="600" w:lineRule="atLeast"/>
        <w:ind w:firstLine="640" w:firstLineChars="200"/>
        <w:jc w:val="both"/>
        <w:rPr>
          <w:rFonts w:hint="default" w:ascii="楷体_GB2312" w:hAnsi="宋体" w:eastAsia="楷体_GB2312" w:cs="Times New Roman"/>
          <w:b/>
          <w:kern w:val="2"/>
          <w:sz w:val="32"/>
          <w:szCs w:val="32"/>
          <w:lang w:val="en-US" w:eastAsia="zh-CN" w:bidi="ar-SA"/>
        </w:rPr>
      </w:pPr>
      <w:r>
        <w:rPr>
          <w:rFonts w:hint="eastAsia" w:ascii="仿宋_GB2312" w:hAnsi="宋体" w:eastAsia="仿宋_GB2312" w:cs="Times New Roman"/>
          <w:kern w:val="2"/>
          <w:sz w:val="32"/>
          <w:szCs w:val="32"/>
          <w:lang w:val="en-US" w:eastAsia="zh-CN" w:bidi="ar-SA"/>
        </w:rPr>
        <w:t>通过项目的实施，为农业灌溉生产创造效益，提升农户满意度。</w:t>
      </w:r>
    </w:p>
    <w:p w14:paraId="0E3FD76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四、问题及建议</w:t>
      </w:r>
    </w:p>
    <w:p w14:paraId="5B450AD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（一）存在的问题。无</w:t>
      </w:r>
    </w:p>
    <w:p w14:paraId="0ECA0F9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sz w:val="32"/>
          <w:szCs w:val="32"/>
        </w:rPr>
      </w:pPr>
      <w:r>
        <w:rPr>
          <w:rFonts w:hint="eastAsia" w:ascii="楷体_GB2312" w:hAnsi="宋体" w:eastAsia="楷体_GB2312"/>
          <w:b/>
          <w:sz w:val="32"/>
          <w:szCs w:val="32"/>
          <w:lang w:val="zh-CN"/>
        </w:rPr>
        <w:t>（二）相关建议。无</w:t>
      </w:r>
    </w:p>
    <w:p w14:paraId="1BE65F9D">
      <w:pPr>
        <w:ind w:firstLine="640" w:firstLineChars="200"/>
        <w:rPr>
          <w:rFonts w:hint="eastAsia" w:eastAsia="仿宋_GB2312"/>
          <w:color w:val="FF0000"/>
          <w:sz w:val="32"/>
          <w:szCs w:val="32"/>
          <w:lang w:val="zh-CN"/>
        </w:rPr>
      </w:pPr>
    </w:p>
    <w:p w14:paraId="61FDE274">
      <w:pPr>
        <w:ind w:firstLine="640" w:firstLineChars="200"/>
        <w:rPr>
          <w:rFonts w:hint="eastAsia" w:eastAsia="仿宋_GB2312"/>
          <w:color w:val="FF0000"/>
          <w:sz w:val="32"/>
          <w:szCs w:val="32"/>
          <w:lang w:val="zh-CN"/>
        </w:rPr>
      </w:pPr>
    </w:p>
    <w:p w14:paraId="3A4BE6A2">
      <w:pPr>
        <w:ind w:firstLine="640" w:firstLineChars="200"/>
        <w:rPr>
          <w:rFonts w:hint="eastAsia" w:eastAsia="仿宋_GB2312"/>
          <w:color w:val="FF0000"/>
          <w:sz w:val="32"/>
          <w:szCs w:val="32"/>
          <w:lang w:val="zh-CN"/>
        </w:rPr>
      </w:pPr>
    </w:p>
    <w:p w14:paraId="0D8C2A8B">
      <w:pPr>
        <w:ind w:firstLine="640" w:firstLineChars="200"/>
        <w:rPr>
          <w:rFonts w:hint="eastAsia" w:eastAsia="仿宋_GB2312"/>
          <w:color w:val="FF0000"/>
          <w:sz w:val="32"/>
          <w:szCs w:val="32"/>
          <w:lang w:val="zh-CN"/>
        </w:rPr>
      </w:pPr>
    </w:p>
    <w:p w14:paraId="535FBF3B">
      <w:pPr>
        <w:ind w:firstLine="640" w:firstLineChars="200"/>
        <w:rPr>
          <w:rFonts w:hint="eastAsia" w:eastAsia="仿宋_GB2312"/>
          <w:color w:val="FF0000"/>
          <w:sz w:val="32"/>
          <w:szCs w:val="32"/>
          <w:lang w:val="zh-CN"/>
        </w:rPr>
      </w:pPr>
    </w:p>
    <w:p w14:paraId="4DC7E3E8">
      <w:pPr>
        <w:ind w:firstLine="640" w:firstLineChars="200"/>
        <w:rPr>
          <w:rFonts w:hint="eastAsia" w:eastAsia="仿宋_GB2312"/>
          <w:color w:val="FF0000"/>
          <w:sz w:val="32"/>
          <w:szCs w:val="32"/>
          <w:lang w:val="zh-CN"/>
        </w:rPr>
      </w:pPr>
    </w:p>
    <w:p w14:paraId="2593BD5C">
      <w:pPr>
        <w:ind w:firstLine="640" w:firstLineChars="200"/>
        <w:rPr>
          <w:rFonts w:hint="eastAsia" w:eastAsia="仿宋_GB2312"/>
          <w:color w:val="FF0000"/>
          <w:sz w:val="32"/>
          <w:szCs w:val="32"/>
          <w:lang w:val="zh-CN"/>
        </w:rPr>
      </w:pPr>
    </w:p>
    <w:p w14:paraId="709A03BC">
      <w:pPr>
        <w:ind w:firstLine="640" w:firstLineChars="200"/>
        <w:rPr>
          <w:rFonts w:hint="eastAsia" w:eastAsia="仿宋_GB2312"/>
          <w:color w:val="FF0000"/>
          <w:sz w:val="32"/>
          <w:szCs w:val="32"/>
          <w:lang w:val="zh-CN"/>
        </w:rPr>
      </w:pPr>
    </w:p>
    <w:p w14:paraId="3DB9E929">
      <w:pPr>
        <w:ind w:firstLine="640" w:firstLineChars="200"/>
        <w:rPr>
          <w:rFonts w:hint="eastAsia" w:eastAsia="仿宋_GB2312"/>
          <w:color w:val="FF0000"/>
          <w:sz w:val="32"/>
          <w:szCs w:val="32"/>
          <w:lang w:val="zh-CN"/>
        </w:rPr>
      </w:pPr>
    </w:p>
    <w:p w14:paraId="6295A9F7">
      <w:pPr>
        <w:ind w:firstLine="640" w:firstLineChars="200"/>
        <w:rPr>
          <w:rFonts w:hint="eastAsia" w:eastAsia="仿宋_GB2312"/>
          <w:color w:val="FF0000"/>
          <w:sz w:val="32"/>
          <w:szCs w:val="32"/>
          <w:lang w:val="zh-CN"/>
        </w:rPr>
      </w:pPr>
    </w:p>
    <w:p w14:paraId="7BD488E0">
      <w:pPr>
        <w:ind w:firstLine="420" w:firstLineChars="200"/>
      </w:pPr>
      <w:r>
        <w:drawing>
          <wp:inline distT="0" distB="0" distL="114300" distR="114300">
            <wp:extent cx="5271770" cy="8422005"/>
            <wp:effectExtent l="0" t="0" r="5080" b="1714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5271770" cy="8422005"/>
                    </a:xfrm>
                    <a:prstGeom prst="rect">
                      <a:avLst/>
                    </a:prstGeom>
                    <a:noFill/>
                    <a:ln>
                      <a:noFill/>
                    </a:ln>
                  </pic:spPr>
                </pic:pic>
              </a:graphicData>
            </a:graphic>
          </wp:inline>
        </w:drawing>
      </w:r>
    </w:p>
    <w:p w14:paraId="01F79501"/>
    <w:p w14:paraId="25A46135"/>
    <w:p w14:paraId="07992B73">
      <w:pPr>
        <w:pStyle w:val="37"/>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项目支出绩效自评报告范本</w:t>
      </w:r>
    </w:p>
    <w:p w14:paraId="6F8325D3">
      <w:pPr>
        <w:pStyle w:val="37"/>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olor w:val="auto"/>
          <w:kern w:val="2"/>
          <w:sz w:val="32"/>
          <w:szCs w:val="32"/>
        </w:rPr>
      </w:pPr>
      <w:r>
        <w:rPr>
          <w:rFonts w:hint="eastAsia" w:ascii="仿宋_GB2312" w:hAnsi="宋体" w:eastAsia="仿宋_GB2312"/>
          <w:color w:val="auto"/>
          <w:kern w:val="2"/>
          <w:sz w:val="32"/>
          <w:szCs w:val="32"/>
        </w:rPr>
        <w:t>（公务用车购置）</w:t>
      </w:r>
    </w:p>
    <w:p w14:paraId="6FF16E13">
      <w:pPr>
        <w:pStyle w:val="37"/>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rPr>
      </w:pPr>
    </w:p>
    <w:p w14:paraId="1E6C270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7772643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仿宋_GB2312" w:hAnsi="宋体"/>
          <w:sz w:val="32"/>
          <w:szCs w:val="32"/>
          <w:lang w:val="zh-CN"/>
        </w:rPr>
        <w:t>介绍项目基本情况，重点说明以下内容：</w:t>
      </w:r>
    </w:p>
    <w:p w14:paraId="5B959F1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rPr>
      </w:pPr>
      <w:r>
        <w:rPr>
          <w:rFonts w:hint="eastAsia" w:ascii="仿宋_GB2312" w:hAnsi="宋体" w:eastAsia="仿宋_GB2312"/>
          <w:color w:val="auto"/>
          <w:kern w:val="2"/>
          <w:sz w:val="32"/>
          <w:szCs w:val="32"/>
        </w:rPr>
        <w:t>公务用车购置经费</w:t>
      </w:r>
      <w:r>
        <w:rPr>
          <w:rFonts w:hint="eastAsia" w:ascii="仿宋_GB2312" w:hAnsi="宋体"/>
          <w:sz w:val="32"/>
          <w:szCs w:val="32"/>
          <w:lang w:val="zh-CN"/>
        </w:rPr>
        <w:t>主要采购党政机关配备的用于定向保障公务活动的机动车辆</w:t>
      </w:r>
      <w:r>
        <w:rPr>
          <w:rFonts w:hint="eastAsia" w:ascii="仿宋_GB2312" w:hAnsi="宋体"/>
          <w:sz w:val="32"/>
          <w:szCs w:val="32"/>
          <w:lang w:val="en-US" w:eastAsia="zh-CN"/>
        </w:rPr>
        <w:t>2台</w:t>
      </w:r>
      <w:r>
        <w:rPr>
          <w:rFonts w:hint="eastAsia" w:ascii="仿宋_GB2312" w:hAnsi="宋体"/>
          <w:sz w:val="32"/>
          <w:szCs w:val="32"/>
          <w:lang w:val="zh-CN"/>
        </w:rPr>
        <w:t>。</w:t>
      </w:r>
    </w:p>
    <w:p w14:paraId="24F3589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二、项目实施及管理情况</w:t>
      </w:r>
    </w:p>
    <w:p w14:paraId="0BD69BF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仿宋_GB2312" w:hAnsi="宋体"/>
          <w:sz w:val="32"/>
          <w:szCs w:val="32"/>
          <w:lang w:val="zh-CN"/>
        </w:rPr>
        <w:tab/>
      </w:r>
      <w:r>
        <w:rPr>
          <w:rFonts w:hint="eastAsia" w:ascii="楷体_GB2312" w:hAnsi="宋体" w:eastAsia="楷体_GB2312"/>
          <w:b/>
          <w:sz w:val="32"/>
          <w:szCs w:val="32"/>
          <w:lang w:val="zh-CN"/>
        </w:rPr>
        <w:t>（一）资金计划、到位及使用情况。</w:t>
      </w:r>
    </w:p>
    <w:p w14:paraId="00C2693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color w:val="auto"/>
          <w:kern w:val="2"/>
          <w:sz w:val="32"/>
          <w:szCs w:val="32"/>
          <w:lang w:val="en-US" w:eastAsia="zh-CN"/>
        </w:rPr>
      </w:pPr>
      <w:r>
        <w:rPr>
          <w:rFonts w:hint="eastAsia" w:ascii="楷体_GB2312" w:hAnsi="宋体" w:eastAsia="楷体_GB2312"/>
          <w:sz w:val="32"/>
          <w:szCs w:val="32"/>
          <w:lang w:val="zh-CN"/>
        </w:rPr>
        <w:t>1．</w:t>
      </w:r>
      <w:r>
        <w:rPr>
          <w:rFonts w:hint="eastAsia" w:ascii="仿宋_GB2312" w:hAnsi="宋体" w:eastAsia="仿宋_GB2312"/>
          <w:color w:val="auto"/>
          <w:kern w:val="2"/>
          <w:sz w:val="32"/>
          <w:szCs w:val="32"/>
        </w:rPr>
        <w:t>公务用车购置经费</w:t>
      </w:r>
      <w:r>
        <w:rPr>
          <w:rFonts w:hint="eastAsia" w:ascii="仿宋_GB2312" w:hAnsi="宋体"/>
          <w:color w:val="auto"/>
          <w:kern w:val="2"/>
          <w:sz w:val="32"/>
          <w:szCs w:val="32"/>
          <w:lang w:eastAsia="zh-CN"/>
        </w:rPr>
        <w:t>主要是省级资金构成，</w:t>
      </w:r>
      <w:r>
        <w:rPr>
          <w:rFonts w:hint="eastAsia" w:ascii="仿宋_GB2312" w:hAnsi="宋体"/>
          <w:color w:val="auto"/>
          <w:kern w:val="2"/>
          <w:sz w:val="32"/>
          <w:szCs w:val="32"/>
          <w:lang w:val="en-US" w:eastAsia="zh-CN"/>
        </w:rPr>
        <w:t>省资金到位49.96万元。</w:t>
      </w:r>
    </w:p>
    <w:p w14:paraId="317DAD8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sz w:val="32"/>
          <w:szCs w:val="32"/>
          <w:lang w:val="en-US" w:eastAsia="zh-CN"/>
        </w:rPr>
      </w:pPr>
      <w:r>
        <w:rPr>
          <w:rFonts w:hint="eastAsia" w:ascii="楷体_GB2312" w:hAnsi="宋体" w:eastAsia="楷体_GB2312"/>
          <w:sz w:val="32"/>
          <w:szCs w:val="32"/>
          <w:lang w:val="zh-CN"/>
        </w:rPr>
        <w:t>2．资金使用。</w:t>
      </w:r>
      <w:r>
        <w:rPr>
          <w:rFonts w:hint="eastAsia" w:ascii="仿宋_GB2312" w:hAnsi="宋体"/>
          <w:sz w:val="32"/>
          <w:szCs w:val="32"/>
          <w:lang w:val="zh-CN"/>
        </w:rPr>
        <w:t>截止评价时点项目资金的实际支出情况主要到账</w:t>
      </w:r>
      <w:r>
        <w:rPr>
          <w:rFonts w:hint="eastAsia" w:ascii="仿宋_GB2312" w:hAnsi="宋体"/>
          <w:sz w:val="32"/>
          <w:szCs w:val="32"/>
          <w:lang w:val="en-US" w:eastAsia="zh-CN"/>
        </w:rPr>
        <w:t>49.96万元。</w:t>
      </w:r>
    </w:p>
    <w:p w14:paraId="6BDF876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（二）项目财务管理情况。</w:t>
      </w:r>
    </w:p>
    <w:p w14:paraId="63A6B036">
      <w:pPr>
        <w:adjustRightInd w:val="0"/>
        <w:snapToGrid w:val="0"/>
        <w:spacing w:line="600" w:lineRule="exact"/>
        <w:ind w:firstLine="720"/>
        <w:rPr>
          <w:rFonts w:hint="eastAsia" w:ascii="仿宋_GB2312" w:hAnsi="宋体"/>
          <w:sz w:val="32"/>
          <w:szCs w:val="32"/>
          <w:lang w:val="zh-CN" w:eastAsia="zh-CN"/>
        </w:rPr>
      </w:pPr>
      <w:r>
        <w:rPr>
          <w:rFonts w:hint="eastAsia" w:ascii="仿宋_GB2312" w:hAnsi="宋体" w:eastAsia="仿宋_GB2312"/>
          <w:color w:val="auto"/>
          <w:kern w:val="2"/>
          <w:sz w:val="32"/>
          <w:szCs w:val="32"/>
        </w:rPr>
        <w:t>公务用车购置经费</w:t>
      </w:r>
      <w:r>
        <w:rPr>
          <w:rFonts w:hint="eastAsia" w:ascii="仿宋_GB2312" w:hAnsi="宋体"/>
          <w:sz w:val="32"/>
          <w:szCs w:val="32"/>
          <w:lang w:val="en-US" w:eastAsia="zh-CN"/>
        </w:rPr>
        <w:t>项目具体由五渡镇党政办</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r>
        <w:rPr>
          <w:rFonts w:hint="eastAsia" w:ascii="仿宋_GB2312" w:hAnsi="宋体"/>
          <w:sz w:val="32"/>
          <w:szCs w:val="32"/>
          <w:lang w:val="en-US" w:eastAsia="zh-CN"/>
        </w:rPr>
        <w:t>年初上报计划，制定</w:t>
      </w:r>
      <w:r>
        <w:rPr>
          <w:rFonts w:hint="eastAsia" w:ascii="仿宋_GB2312" w:hAnsi="宋体" w:eastAsia="仿宋_GB2312"/>
          <w:color w:val="auto"/>
          <w:kern w:val="2"/>
          <w:sz w:val="32"/>
          <w:szCs w:val="32"/>
        </w:rPr>
        <w:t>公务用车购置经费</w:t>
      </w:r>
      <w:r>
        <w:rPr>
          <w:rFonts w:hint="eastAsia" w:ascii="仿宋_GB2312" w:hAnsi="宋体"/>
          <w:sz w:val="32"/>
          <w:szCs w:val="32"/>
          <w:lang w:val="en-US" w:eastAsia="zh-CN"/>
        </w:rPr>
        <w:t>具体使用方案，具体实施采购时对此项目进行自评及审核上报</w:t>
      </w:r>
      <w:r>
        <w:rPr>
          <w:rFonts w:hint="eastAsia" w:ascii="仿宋_GB2312" w:hAnsi="宋体"/>
          <w:sz w:val="32"/>
          <w:szCs w:val="32"/>
          <w:lang w:val="zh-CN" w:eastAsia="zh-CN"/>
        </w:rPr>
        <w:t>。</w:t>
      </w:r>
    </w:p>
    <w:p w14:paraId="5AC93E8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（三）项目组织实施情况。</w:t>
      </w:r>
    </w:p>
    <w:p w14:paraId="34F718A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eastAsia="zh-CN"/>
        </w:rPr>
      </w:pPr>
      <w:r>
        <w:rPr>
          <w:rFonts w:hint="eastAsia" w:ascii="仿宋_GB2312" w:hAnsi="宋体" w:eastAsia="仿宋_GB2312"/>
          <w:color w:val="auto"/>
          <w:kern w:val="2"/>
          <w:sz w:val="32"/>
          <w:szCs w:val="32"/>
        </w:rPr>
        <w:t>公务用车购置经费</w:t>
      </w:r>
      <w:r>
        <w:rPr>
          <w:rFonts w:hint="eastAsia" w:ascii="仿宋_GB2312" w:hAnsi="宋体"/>
          <w:sz w:val="32"/>
          <w:szCs w:val="32"/>
          <w:lang w:val="en-US" w:eastAsia="zh-CN"/>
        </w:rPr>
        <w:t>项目具体由五渡镇党政办</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p>
    <w:p w14:paraId="20343D3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黑体" w:hAnsi="宋体" w:eastAsia="黑体"/>
          <w:sz w:val="32"/>
          <w:szCs w:val="32"/>
        </w:rPr>
        <w:t>三、项目绩效情况</w:t>
      </w:r>
      <w:r>
        <w:rPr>
          <w:rFonts w:hint="eastAsia" w:ascii="仿宋_GB2312" w:hAnsi="宋体"/>
          <w:sz w:val="32"/>
          <w:szCs w:val="32"/>
          <w:lang w:val="zh-CN"/>
        </w:rPr>
        <w:tab/>
      </w:r>
    </w:p>
    <w:p w14:paraId="6FFAEFE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109EA74B">
      <w:pPr>
        <w:adjustRightInd w:val="0"/>
        <w:snapToGrid w:val="0"/>
        <w:spacing w:line="600" w:lineRule="exact"/>
        <w:ind w:firstLine="720"/>
        <w:rPr>
          <w:rFonts w:ascii="楷体_GB2312" w:hAnsi="宋体" w:eastAsia="楷体_GB2312"/>
          <w:b/>
          <w:sz w:val="32"/>
          <w:szCs w:val="32"/>
          <w:lang w:val="zh-CN"/>
        </w:rPr>
      </w:pPr>
      <w:r>
        <w:rPr>
          <w:rFonts w:hint="eastAsia" w:ascii="仿宋_GB2312" w:hAnsi="宋体" w:eastAsia="仿宋_GB2312"/>
          <w:color w:val="auto"/>
          <w:kern w:val="2"/>
          <w:sz w:val="32"/>
          <w:szCs w:val="32"/>
        </w:rPr>
        <w:t>公务用车购置经费</w:t>
      </w:r>
      <w:r>
        <w:rPr>
          <w:rFonts w:hint="eastAsia" w:ascii="仿宋_GB2312" w:hAnsi="宋体"/>
          <w:sz w:val="32"/>
          <w:szCs w:val="32"/>
          <w:lang w:val="en-US" w:eastAsia="zh-CN"/>
        </w:rPr>
        <w:t>项目，于2023年9月底前完成了项目实施，并由镇财政所审核上报，及时完成了49.96万元的补贴发放，无结余资金</w:t>
      </w:r>
      <w:r>
        <w:rPr>
          <w:rFonts w:hint="eastAsia" w:ascii="仿宋_GB2312" w:hAnsi="宋体"/>
          <w:sz w:val="32"/>
          <w:szCs w:val="32"/>
          <w:lang w:val="zh-CN"/>
        </w:rPr>
        <w:t>。</w:t>
      </w:r>
    </w:p>
    <w:p w14:paraId="3A7CB990">
      <w:pPr>
        <w:pStyle w:val="16"/>
        <w:widowControl/>
        <w:numPr>
          <w:ilvl w:val="0"/>
          <w:numId w:val="5"/>
        </w:numPr>
        <w:shd w:val="clear" w:color="auto" w:fill="FFFFFF"/>
        <w:spacing w:before="0" w:beforeAutospacing="0" w:after="0" w:afterAutospacing="0" w:line="600" w:lineRule="atLeast"/>
        <w:ind w:firstLine="42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zh-CN" w:eastAsia="zh-CN" w:bidi="ar-SA"/>
        </w:rPr>
        <w:t>项目效益情况。</w:t>
      </w:r>
    </w:p>
    <w:p w14:paraId="47EC44A4">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1.</w:t>
      </w:r>
      <w:r>
        <w:rPr>
          <w:rFonts w:hint="eastAsia" w:ascii="楷体_GB2312" w:hAnsi="宋体" w:eastAsia="楷体_GB2312" w:cs="Times New Roman"/>
          <w:b/>
          <w:kern w:val="2"/>
          <w:sz w:val="32"/>
          <w:szCs w:val="32"/>
          <w:lang w:val="zh-CN" w:eastAsia="zh-CN" w:bidi="ar-SA"/>
        </w:rPr>
        <w:t>质量</w:t>
      </w:r>
    </w:p>
    <w:p w14:paraId="6DF33EAD">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 w:hAnsi="仿宋" w:eastAsia="仿宋" w:cs="Microsoft YaHei UI"/>
          <w:spacing w:val="8"/>
          <w:sz w:val="32"/>
          <w:szCs w:val="32"/>
          <w:shd w:val="clear" w:color="auto" w:fill="FFFFFF"/>
          <w:lang w:eastAsia="zh-CN"/>
        </w:rPr>
        <w:t>　</w:t>
      </w:r>
      <w:r>
        <w:rPr>
          <w:rFonts w:hint="eastAsia" w:ascii="仿宋_GB2312" w:hAnsi="宋体" w:eastAsia="仿宋_GB2312" w:cs="Times New Roman"/>
          <w:kern w:val="2"/>
          <w:sz w:val="32"/>
          <w:szCs w:val="32"/>
          <w:lang w:val="en-US" w:eastAsia="zh-CN" w:bidi="ar-SA"/>
        </w:rPr>
        <w:t>通过项目的实施，保障公务活动正常开展。</w:t>
      </w:r>
    </w:p>
    <w:p w14:paraId="00AD6DCB">
      <w:pPr>
        <w:pStyle w:val="16"/>
        <w:widowControl/>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2.</w:t>
      </w:r>
      <w:r>
        <w:rPr>
          <w:rFonts w:hint="eastAsia" w:ascii="楷体_GB2312" w:hAnsi="宋体" w:eastAsia="楷体_GB2312" w:cs="Times New Roman"/>
          <w:b/>
          <w:kern w:val="2"/>
          <w:sz w:val="32"/>
          <w:szCs w:val="32"/>
          <w:lang w:val="zh-CN" w:eastAsia="zh-CN" w:bidi="ar-SA"/>
        </w:rPr>
        <w:t>满意度</w:t>
      </w:r>
    </w:p>
    <w:p w14:paraId="0CEE0D86">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spacing w:val="8"/>
          <w:kern w:val="2"/>
          <w:sz w:val="32"/>
          <w:szCs w:val="32"/>
          <w:lang w:val="en-US" w:eastAsia="zh-CN" w:bidi="ar-SA"/>
        </w:rPr>
      </w:pPr>
      <w:r>
        <w:rPr>
          <w:rFonts w:hint="eastAsia" w:ascii="仿宋_GB2312" w:hAnsi="宋体" w:eastAsia="仿宋_GB2312" w:cs="Times New Roman"/>
          <w:kern w:val="2"/>
          <w:sz w:val="32"/>
          <w:szCs w:val="32"/>
          <w:lang w:val="en-US" w:eastAsia="zh-CN" w:bidi="ar-SA"/>
        </w:rPr>
        <w:t>　通过项目的实施，保障公务活动正常开展，提升满意度。</w:t>
      </w:r>
    </w:p>
    <w:p w14:paraId="745F81F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四、问题及建议</w:t>
      </w:r>
    </w:p>
    <w:p w14:paraId="108EAB5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（一）存在的问题。无</w:t>
      </w:r>
    </w:p>
    <w:p w14:paraId="399D089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sz w:val="32"/>
          <w:szCs w:val="32"/>
        </w:rPr>
      </w:pPr>
      <w:r>
        <w:rPr>
          <w:rFonts w:hint="eastAsia" w:ascii="楷体_GB2312" w:hAnsi="宋体" w:eastAsia="楷体_GB2312"/>
          <w:b/>
          <w:sz w:val="32"/>
          <w:szCs w:val="32"/>
          <w:lang w:val="zh-CN"/>
        </w:rPr>
        <w:t>（二）相关建议。无</w:t>
      </w:r>
    </w:p>
    <w:p w14:paraId="5DC95E72">
      <w:pPr>
        <w:adjustRightInd w:val="0"/>
        <w:snapToGrid w:val="0"/>
        <w:spacing w:line="600" w:lineRule="exact"/>
        <w:ind w:firstLine="720"/>
        <w:rPr>
          <w:sz w:val="32"/>
          <w:szCs w:val="32"/>
        </w:rPr>
      </w:pPr>
    </w:p>
    <w:p w14:paraId="40F96553">
      <w:r>
        <w:drawing>
          <wp:inline distT="0" distB="0" distL="114300" distR="114300">
            <wp:extent cx="5271135" cy="5605780"/>
            <wp:effectExtent l="0" t="0" r="5715" b="139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5271135" cy="5605780"/>
                    </a:xfrm>
                    <a:prstGeom prst="rect">
                      <a:avLst/>
                    </a:prstGeom>
                    <a:noFill/>
                    <a:ln>
                      <a:noFill/>
                    </a:ln>
                  </pic:spPr>
                </pic:pic>
              </a:graphicData>
            </a:graphic>
          </wp:inline>
        </w:drawing>
      </w:r>
    </w:p>
    <w:p w14:paraId="0A213295"/>
    <w:p w14:paraId="68DEF78E"/>
    <w:p w14:paraId="1F2F8996"/>
    <w:p w14:paraId="04EF3973"/>
    <w:p w14:paraId="26916B80"/>
    <w:p w14:paraId="64A8ECBB"/>
    <w:p w14:paraId="44570D3F"/>
    <w:p w14:paraId="75E74ECB"/>
    <w:p w14:paraId="7D8D19BD"/>
    <w:p w14:paraId="71C9F7CE"/>
    <w:p w14:paraId="4A6C0464"/>
    <w:p w14:paraId="31A74AC5"/>
    <w:p w14:paraId="674BF1AC"/>
    <w:p w14:paraId="4D9CBE82"/>
    <w:p w14:paraId="5AAE6367"/>
    <w:p w14:paraId="506DDF5F">
      <w:pPr>
        <w:pStyle w:val="37"/>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项目支出绩效自评报告范本</w:t>
      </w:r>
    </w:p>
    <w:p w14:paraId="196FE4F3">
      <w:pPr>
        <w:pStyle w:val="37"/>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olor w:val="auto"/>
          <w:kern w:val="2"/>
          <w:sz w:val="32"/>
          <w:szCs w:val="32"/>
        </w:rPr>
      </w:pPr>
      <w:r>
        <w:rPr>
          <w:rFonts w:hint="eastAsia" w:ascii="仿宋_GB2312" w:hAnsi="宋体" w:eastAsia="仿宋_GB2312"/>
          <w:color w:val="auto"/>
          <w:kern w:val="2"/>
          <w:sz w:val="32"/>
          <w:szCs w:val="32"/>
        </w:rPr>
        <w:t>（垃圾车运营维护费）</w:t>
      </w:r>
    </w:p>
    <w:p w14:paraId="09D7FC77">
      <w:pPr>
        <w:pStyle w:val="37"/>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rPr>
      </w:pPr>
    </w:p>
    <w:p w14:paraId="63C65EC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5A1CBE4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仿宋_GB2312" w:hAnsi="宋体"/>
          <w:sz w:val="32"/>
          <w:szCs w:val="32"/>
          <w:lang w:val="zh-CN"/>
        </w:rPr>
        <w:t>介绍项目基本情况，重点说明以下内容：</w:t>
      </w:r>
    </w:p>
    <w:p w14:paraId="5FE0BC5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rPr>
      </w:pPr>
      <w:r>
        <w:rPr>
          <w:rFonts w:hint="eastAsia" w:ascii="仿宋_GB2312" w:hAnsi="宋体" w:eastAsia="仿宋_GB2312"/>
          <w:color w:val="auto"/>
          <w:kern w:val="2"/>
          <w:sz w:val="32"/>
          <w:szCs w:val="32"/>
        </w:rPr>
        <w:t>垃圾车运营维护费</w:t>
      </w:r>
      <w:r>
        <w:rPr>
          <w:rFonts w:hint="eastAsia" w:ascii="仿宋_GB2312" w:hAnsi="宋体"/>
          <w:sz w:val="32"/>
          <w:szCs w:val="32"/>
          <w:lang w:val="zh-CN"/>
        </w:rPr>
        <w:t>主要用于巩固“垃圾革命”工作成效，进一步完善农村生活垃圾收转运体系，补齐农村垃圾清运车辆短板，采购垃圾车，并投入乡镇使用。</w:t>
      </w:r>
      <w:r>
        <w:rPr>
          <w:rFonts w:hint="eastAsia" w:ascii="仿宋_GB2312" w:hAnsi="宋体"/>
          <w:sz w:val="32"/>
          <w:szCs w:val="32"/>
          <w:lang w:val="en-US" w:eastAsia="zh-CN"/>
        </w:rPr>
        <w:t>1辆</w:t>
      </w:r>
      <w:r>
        <w:rPr>
          <w:rFonts w:hint="eastAsia" w:ascii="仿宋_GB2312" w:hAnsi="宋体"/>
          <w:sz w:val="32"/>
          <w:szCs w:val="32"/>
          <w:lang w:val="zh-CN"/>
        </w:rPr>
        <w:t>垃圾车，租赁费4万。每个垃圾车每年花费油费维修费保险费等要花费4万元，合计8万元。</w:t>
      </w:r>
    </w:p>
    <w:p w14:paraId="2B01E61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二、项目实施及管理情况</w:t>
      </w:r>
    </w:p>
    <w:p w14:paraId="59D96BB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仿宋_GB2312" w:hAnsi="宋体"/>
          <w:sz w:val="32"/>
          <w:szCs w:val="32"/>
          <w:lang w:val="zh-CN"/>
        </w:rPr>
        <w:tab/>
      </w:r>
      <w:r>
        <w:rPr>
          <w:rFonts w:hint="eastAsia" w:ascii="楷体_GB2312" w:hAnsi="宋体" w:eastAsia="楷体_GB2312"/>
          <w:b/>
          <w:sz w:val="32"/>
          <w:szCs w:val="32"/>
          <w:lang w:val="zh-CN"/>
        </w:rPr>
        <w:t>（一）资金计划、到位及使用情况。</w:t>
      </w:r>
    </w:p>
    <w:p w14:paraId="76BFAF6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color w:val="auto"/>
          <w:kern w:val="2"/>
          <w:sz w:val="32"/>
          <w:szCs w:val="32"/>
          <w:lang w:val="en-US" w:eastAsia="zh-CN"/>
        </w:rPr>
      </w:pPr>
      <w:r>
        <w:rPr>
          <w:rFonts w:hint="eastAsia" w:ascii="楷体_GB2312" w:hAnsi="宋体" w:eastAsia="楷体_GB2312"/>
          <w:sz w:val="32"/>
          <w:szCs w:val="32"/>
          <w:lang w:val="zh-CN"/>
        </w:rPr>
        <w:t>1．</w:t>
      </w:r>
      <w:r>
        <w:rPr>
          <w:rFonts w:hint="eastAsia" w:ascii="仿宋_GB2312" w:hAnsi="宋体" w:eastAsia="仿宋_GB2312"/>
          <w:color w:val="auto"/>
          <w:kern w:val="2"/>
          <w:sz w:val="32"/>
          <w:szCs w:val="32"/>
        </w:rPr>
        <w:t>垃圾车运营维护费</w:t>
      </w:r>
      <w:r>
        <w:rPr>
          <w:rFonts w:hint="eastAsia" w:ascii="仿宋_GB2312" w:hAnsi="宋体"/>
          <w:color w:val="auto"/>
          <w:kern w:val="2"/>
          <w:sz w:val="32"/>
          <w:szCs w:val="32"/>
          <w:lang w:eastAsia="zh-CN"/>
        </w:rPr>
        <w:t>主要是县级资金构成，</w:t>
      </w:r>
      <w:r>
        <w:rPr>
          <w:rFonts w:hint="eastAsia" w:ascii="仿宋_GB2312" w:hAnsi="宋体"/>
          <w:color w:val="auto"/>
          <w:kern w:val="2"/>
          <w:sz w:val="32"/>
          <w:szCs w:val="32"/>
          <w:lang w:val="en-US" w:eastAsia="zh-CN"/>
        </w:rPr>
        <w:t>县资金到位3.9992万元。</w:t>
      </w:r>
    </w:p>
    <w:p w14:paraId="49342161">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sz w:val="32"/>
          <w:szCs w:val="32"/>
          <w:lang w:val="en-US" w:eastAsia="zh-CN"/>
        </w:rPr>
      </w:pPr>
      <w:r>
        <w:rPr>
          <w:rFonts w:hint="eastAsia" w:ascii="楷体_GB2312" w:hAnsi="宋体" w:eastAsia="楷体_GB2312"/>
          <w:sz w:val="32"/>
          <w:szCs w:val="32"/>
          <w:lang w:val="zh-CN"/>
        </w:rPr>
        <w:t>2．资金使用。</w:t>
      </w:r>
      <w:r>
        <w:rPr>
          <w:rFonts w:hint="eastAsia" w:ascii="仿宋_GB2312" w:hAnsi="宋体"/>
          <w:sz w:val="32"/>
          <w:szCs w:val="32"/>
          <w:lang w:val="zh-CN"/>
        </w:rPr>
        <w:t>截止评价时点项目资金的实际支出情况主要到账</w:t>
      </w:r>
      <w:r>
        <w:rPr>
          <w:rFonts w:hint="eastAsia" w:ascii="仿宋_GB2312" w:hAnsi="宋体"/>
          <w:sz w:val="32"/>
          <w:szCs w:val="32"/>
          <w:lang w:val="en-US" w:eastAsia="zh-CN"/>
        </w:rPr>
        <w:t>3.9992万元。</w:t>
      </w:r>
    </w:p>
    <w:p w14:paraId="7EA49AE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（二）项目财务管理情况。</w:t>
      </w:r>
    </w:p>
    <w:p w14:paraId="0EC97ECF">
      <w:pPr>
        <w:adjustRightInd w:val="0"/>
        <w:snapToGrid w:val="0"/>
        <w:spacing w:line="600" w:lineRule="exact"/>
        <w:ind w:firstLine="720"/>
        <w:rPr>
          <w:rFonts w:hint="eastAsia" w:ascii="仿宋_GB2312" w:hAnsi="宋体"/>
          <w:sz w:val="32"/>
          <w:szCs w:val="32"/>
          <w:lang w:val="zh-CN" w:eastAsia="zh-CN"/>
        </w:rPr>
      </w:pPr>
      <w:r>
        <w:rPr>
          <w:rFonts w:hint="eastAsia" w:ascii="仿宋_GB2312" w:hAnsi="宋体" w:eastAsia="仿宋_GB2312"/>
          <w:color w:val="auto"/>
          <w:kern w:val="2"/>
          <w:sz w:val="32"/>
          <w:szCs w:val="32"/>
        </w:rPr>
        <w:t>垃圾车运营维护费</w:t>
      </w:r>
      <w:r>
        <w:rPr>
          <w:rFonts w:hint="eastAsia" w:ascii="仿宋_GB2312" w:hAnsi="宋体"/>
          <w:sz w:val="32"/>
          <w:szCs w:val="32"/>
          <w:lang w:val="en-US" w:eastAsia="zh-CN"/>
        </w:rPr>
        <w:t>项目具体由五渡镇综合执法办、党政办</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r>
        <w:rPr>
          <w:rFonts w:hint="eastAsia" w:ascii="仿宋_GB2312" w:hAnsi="宋体"/>
          <w:sz w:val="32"/>
          <w:szCs w:val="32"/>
          <w:lang w:val="en-US" w:eastAsia="zh-CN"/>
        </w:rPr>
        <w:t>年初签订租赁合同，制定</w:t>
      </w:r>
      <w:r>
        <w:rPr>
          <w:rFonts w:hint="eastAsia" w:ascii="仿宋_GB2312" w:hAnsi="宋体" w:eastAsia="仿宋_GB2312"/>
          <w:color w:val="auto"/>
          <w:kern w:val="2"/>
          <w:sz w:val="32"/>
          <w:szCs w:val="32"/>
        </w:rPr>
        <w:t>垃圾车运营维护费</w:t>
      </w:r>
      <w:r>
        <w:rPr>
          <w:rFonts w:hint="eastAsia" w:ascii="仿宋_GB2312" w:hAnsi="宋体"/>
          <w:sz w:val="32"/>
          <w:szCs w:val="32"/>
          <w:lang w:val="en-US" w:eastAsia="zh-CN"/>
        </w:rPr>
        <w:t>具体使用方案，每月定期对此项目进行自评及审核上报</w:t>
      </w:r>
      <w:r>
        <w:rPr>
          <w:rFonts w:hint="eastAsia" w:ascii="仿宋_GB2312" w:hAnsi="宋体"/>
          <w:sz w:val="32"/>
          <w:szCs w:val="32"/>
          <w:lang w:val="zh-CN" w:eastAsia="zh-CN"/>
        </w:rPr>
        <w:t>。</w:t>
      </w:r>
    </w:p>
    <w:p w14:paraId="110419F9">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（三）项目组织实施情况。</w:t>
      </w:r>
    </w:p>
    <w:p w14:paraId="7CAB865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eastAsia="zh-CN"/>
        </w:rPr>
      </w:pPr>
      <w:r>
        <w:rPr>
          <w:rFonts w:hint="eastAsia" w:ascii="仿宋_GB2312" w:hAnsi="宋体" w:eastAsia="仿宋_GB2312"/>
          <w:color w:val="auto"/>
          <w:kern w:val="2"/>
          <w:sz w:val="32"/>
          <w:szCs w:val="32"/>
        </w:rPr>
        <w:t>垃圾车运营维护费</w:t>
      </w:r>
      <w:r>
        <w:rPr>
          <w:rFonts w:hint="eastAsia" w:ascii="仿宋_GB2312" w:hAnsi="宋体"/>
          <w:sz w:val="32"/>
          <w:szCs w:val="32"/>
          <w:lang w:val="en-US" w:eastAsia="zh-CN"/>
        </w:rPr>
        <w:t>项目具体由五渡镇综合执法办、党政办</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p>
    <w:p w14:paraId="1BFACC4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黑体" w:hAnsi="宋体" w:eastAsia="黑体"/>
          <w:sz w:val="32"/>
          <w:szCs w:val="32"/>
        </w:rPr>
        <w:t>三、项目绩效情况</w:t>
      </w:r>
      <w:r>
        <w:rPr>
          <w:rFonts w:hint="eastAsia" w:ascii="仿宋_GB2312" w:hAnsi="宋体"/>
          <w:sz w:val="32"/>
          <w:szCs w:val="32"/>
          <w:lang w:val="zh-CN"/>
        </w:rPr>
        <w:tab/>
      </w:r>
    </w:p>
    <w:p w14:paraId="506720F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5B4C99CC">
      <w:pPr>
        <w:adjustRightInd w:val="0"/>
        <w:snapToGrid w:val="0"/>
        <w:spacing w:line="600" w:lineRule="exact"/>
        <w:ind w:firstLine="720"/>
        <w:rPr>
          <w:rFonts w:ascii="楷体_GB2312" w:hAnsi="宋体" w:eastAsia="楷体_GB2312"/>
          <w:b/>
          <w:sz w:val="32"/>
          <w:szCs w:val="32"/>
          <w:lang w:val="zh-CN"/>
        </w:rPr>
      </w:pPr>
      <w:r>
        <w:rPr>
          <w:rFonts w:hint="eastAsia" w:ascii="仿宋_GB2312" w:hAnsi="宋体" w:eastAsia="仿宋_GB2312"/>
          <w:color w:val="auto"/>
          <w:kern w:val="2"/>
          <w:sz w:val="32"/>
          <w:szCs w:val="32"/>
        </w:rPr>
        <w:t>垃圾车运营维护费</w:t>
      </w:r>
      <w:r>
        <w:rPr>
          <w:rFonts w:hint="eastAsia" w:ascii="仿宋_GB2312" w:hAnsi="宋体"/>
          <w:sz w:val="32"/>
          <w:szCs w:val="32"/>
          <w:lang w:val="en-US" w:eastAsia="zh-CN"/>
        </w:rPr>
        <w:t>项目，于2023年12月底前完成了项目实施，并由镇财政所审核上报，及时完成了3.9992万元的补贴发放，无结余资金</w:t>
      </w:r>
      <w:r>
        <w:rPr>
          <w:rFonts w:hint="eastAsia" w:ascii="仿宋_GB2312" w:hAnsi="宋体"/>
          <w:sz w:val="32"/>
          <w:szCs w:val="32"/>
          <w:lang w:val="zh-CN"/>
        </w:rPr>
        <w:t>。</w:t>
      </w:r>
    </w:p>
    <w:p w14:paraId="3981D76B">
      <w:pPr>
        <w:pStyle w:val="16"/>
        <w:widowControl/>
        <w:numPr>
          <w:ilvl w:val="0"/>
          <w:numId w:val="5"/>
        </w:numPr>
        <w:shd w:val="clear" w:color="auto" w:fill="FFFFFF"/>
        <w:spacing w:before="0" w:beforeAutospacing="0" w:after="0" w:afterAutospacing="0" w:line="600" w:lineRule="atLeast"/>
        <w:ind w:firstLine="42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zh-CN" w:eastAsia="zh-CN" w:bidi="ar-SA"/>
        </w:rPr>
        <w:t>项目效益情况。</w:t>
      </w:r>
    </w:p>
    <w:p w14:paraId="40B69ECC">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1.</w:t>
      </w:r>
      <w:r>
        <w:rPr>
          <w:rFonts w:hint="eastAsia" w:ascii="楷体_GB2312" w:hAnsi="宋体" w:eastAsia="楷体_GB2312" w:cs="Times New Roman"/>
          <w:b/>
          <w:kern w:val="2"/>
          <w:sz w:val="32"/>
          <w:szCs w:val="32"/>
          <w:lang w:val="zh-CN" w:eastAsia="zh-CN" w:bidi="ar-SA"/>
        </w:rPr>
        <w:t>质量</w:t>
      </w:r>
    </w:p>
    <w:p w14:paraId="6FB57E02">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 w:hAnsi="仿宋" w:eastAsia="仿宋" w:cs="Microsoft YaHei UI"/>
          <w:spacing w:val="8"/>
          <w:sz w:val="32"/>
          <w:szCs w:val="32"/>
          <w:shd w:val="clear" w:color="auto" w:fill="FFFFFF"/>
          <w:lang w:eastAsia="zh-CN"/>
        </w:rPr>
        <w:t>　</w:t>
      </w:r>
      <w:r>
        <w:rPr>
          <w:rFonts w:hint="eastAsia" w:ascii="仿宋_GB2312" w:hAnsi="宋体" w:eastAsia="仿宋_GB2312" w:cs="Times New Roman"/>
          <w:kern w:val="2"/>
          <w:sz w:val="32"/>
          <w:szCs w:val="32"/>
          <w:lang w:val="en-US" w:eastAsia="zh-CN" w:bidi="ar-SA"/>
        </w:rPr>
        <w:t>通过项目的实施，巩固“垃圾革命”工作成效，进一步完善农村生活垃圾收转运体系，补齐农村垃圾清运车辆短板。</w:t>
      </w:r>
    </w:p>
    <w:p w14:paraId="2027D0DF">
      <w:pPr>
        <w:pStyle w:val="16"/>
        <w:widowControl/>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2.</w:t>
      </w:r>
      <w:r>
        <w:rPr>
          <w:rFonts w:hint="eastAsia" w:ascii="楷体_GB2312" w:hAnsi="宋体" w:eastAsia="楷体_GB2312" w:cs="Times New Roman"/>
          <w:b/>
          <w:kern w:val="2"/>
          <w:sz w:val="32"/>
          <w:szCs w:val="32"/>
          <w:lang w:val="zh-CN" w:eastAsia="zh-CN" w:bidi="ar-SA"/>
        </w:rPr>
        <w:t>可持续影响</w:t>
      </w:r>
    </w:p>
    <w:p w14:paraId="2A057B0F">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　通过项目的实施，改变了农村居民的生活习惯，养成了爱卫生、爱整洁的习惯。</w:t>
      </w:r>
    </w:p>
    <w:p w14:paraId="7F7889AC">
      <w:pPr>
        <w:pStyle w:val="16"/>
        <w:widowControl/>
        <w:numPr>
          <w:ilvl w:val="0"/>
          <w:numId w:val="6"/>
        </w:numPr>
        <w:shd w:val="clear" w:color="auto" w:fill="FFFFFF"/>
        <w:spacing w:before="0" w:beforeAutospacing="0" w:after="0" w:afterAutospacing="0" w:line="600" w:lineRule="atLeast"/>
        <w:ind w:firstLine="742" w:firstLineChars="231"/>
        <w:jc w:val="both"/>
        <w:rPr>
          <w:rFonts w:hint="eastAsia" w:ascii="楷体_GB2312" w:hAnsi="宋体" w:eastAsia="楷体_GB2312" w:cs="Times New Roman"/>
          <w:b/>
          <w:kern w:val="2"/>
          <w:sz w:val="32"/>
          <w:szCs w:val="32"/>
          <w:lang w:val="en-US" w:eastAsia="zh-CN" w:bidi="ar-SA"/>
        </w:rPr>
      </w:pPr>
      <w:r>
        <w:rPr>
          <w:rFonts w:hint="eastAsia" w:ascii="楷体_GB2312" w:hAnsi="宋体" w:eastAsia="楷体_GB2312" w:cs="Times New Roman"/>
          <w:b/>
          <w:kern w:val="2"/>
          <w:sz w:val="32"/>
          <w:szCs w:val="32"/>
          <w:lang w:val="en-US" w:eastAsia="zh-CN" w:bidi="ar-SA"/>
        </w:rPr>
        <w:t>满意度</w:t>
      </w:r>
    </w:p>
    <w:p w14:paraId="17CC9541">
      <w:pPr>
        <w:pStyle w:val="16"/>
        <w:widowControl/>
        <w:numPr>
          <w:ilvl w:val="0"/>
          <w:numId w:val="0"/>
        </w:numPr>
        <w:shd w:val="clear" w:color="auto" w:fill="FFFFFF"/>
        <w:spacing w:before="0" w:beforeAutospacing="0" w:after="0" w:afterAutospacing="0" w:line="600" w:lineRule="atLeast"/>
        <w:ind w:firstLine="640" w:firstLineChars="200"/>
        <w:jc w:val="both"/>
        <w:rPr>
          <w:rFonts w:hint="default" w:ascii="楷体_GB2312" w:hAnsi="宋体" w:eastAsia="楷体_GB2312" w:cs="Times New Roman"/>
          <w:b/>
          <w:kern w:val="2"/>
          <w:sz w:val="32"/>
          <w:szCs w:val="32"/>
          <w:lang w:val="en-US" w:eastAsia="zh-CN" w:bidi="ar-SA"/>
        </w:rPr>
      </w:pPr>
      <w:r>
        <w:rPr>
          <w:rFonts w:hint="eastAsia" w:ascii="仿宋_GB2312" w:hAnsi="宋体" w:eastAsia="仿宋_GB2312" w:cs="Times New Roman"/>
          <w:kern w:val="2"/>
          <w:sz w:val="32"/>
          <w:szCs w:val="32"/>
          <w:lang w:val="en-US" w:eastAsia="zh-CN" w:bidi="ar-SA"/>
        </w:rPr>
        <w:t>通过项目的实施，人居环境改善，满意度提升</w:t>
      </w:r>
    </w:p>
    <w:p w14:paraId="1CC4C96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四、问题及建议</w:t>
      </w:r>
    </w:p>
    <w:p w14:paraId="6542667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（一）存在的问题。无</w:t>
      </w:r>
    </w:p>
    <w:p w14:paraId="10D68D4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（二）相关建议。无</w:t>
      </w:r>
    </w:p>
    <w:p w14:paraId="5F847A5B">
      <w:pPr>
        <w:pStyle w:val="23"/>
      </w:pPr>
      <w:r>
        <w:drawing>
          <wp:inline distT="0" distB="0" distL="114300" distR="114300">
            <wp:extent cx="5272405" cy="6464300"/>
            <wp:effectExtent l="0" t="0" r="4445" b="1270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5272405" cy="6464300"/>
                    </a:xfrm>
                    <a:prstGeom prst="rect">
                      <a:avLst/>
                    </a:prstGeom>
                    <a:noFill/>
                    <a:ln>
                      <a:noFill/>
                    </a:ln>
                  </pic:spPr>
                </pic:pic>
              </a:graphicData>
            </a:graphic>
          </wp:inline>
        </w:drawing>
      </w:r>
    </w:p>
    <w:p w14:paraId="37CBDF91">
      <w:pPr>
        <w:pStyle w:val="23"/>
      </w:pPr>
    </w:p>
    <w:p w14:paraId="7F61C547">
      <w:pPr>
        <w:pStyle w:val="23"/>
      </w:pPr>
    </w:p>
    <w:p w14:paraId="32879B6E">
      <w:pPr>
        <w:pStyle w:val="23"/>
      </w:pPr>
    </w:p>
    <w:p w14:paraId="41882D82">
      <w:pPr>
        <w:pStyle w:val="23"/>
      </w:pPr>
    </w:p>
    <w:p w14:paraId="495FFE4B">
      <w:pPr>
        <w:pStyle w:val="23"/>
      </w:pPr>
    </w:p>
    <w:p w14:paraId="1F22CF31">
      <w:pPr>
        <w:pStyle w:val="23"/>
      </w:pPr>
    </w:p>
    <w:p w14:paraId="0C8EF01D">
      <w:pPr>
        <w:pStyle w:val="23"/>
      </w:pPr>
    </w:p>
    <w:p w14:paraId="0D966834">
      <w:pPr>
        <w:pStyle w:val="23"/>
      </w:pPr>
    </w:p>
    <w:p w14:paraId="091F4494">
      <w:pPr>
        <w:pStyle w:val="23"/>
      </w:pPr>
    </w:p>
    <w:p w14:paraId="1FF00274">
      <w:pPr>
        <w:pStyle w:val="23"/>
      </w:pPr>
    </w:p>
    <w:p w14:paraId="236B1171">
      <w:pPr>
        <w:pStyle w:val="23"/>
      </w:pPr>
    </w:p>
    <w:p w14:paraId="4F7E07B7">
      <w:pPr>
        <w:pStyle w:val="37"/>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项目支出绩效自评报告范本</w:t>
      </w:r>
    </w:p>
    <w:p w14:paraId="117DC204">
      <w:pPr>
        <w:pStyle w:val="37"/>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olor w:val="auto"/>
          <w:kern w:val="2"/>
          <w:sz w:val="32"/>
          <w:szCs w:val="32"/>
        </w:rPr>
      </w:pPr>
      <w:r>
        <w:rPr>
          <w:rFonts w:hint="eastAsia" w:ascii="仿宋_GB2312" w:hAnsi="宋体" w:eastAsia="仿宋_GB2312"/>
          <w:color w:val="auto"/>
          <w:kern w:val="2"/>
          <w:sz w:val="32"/>
          <w:szCs w:val="32"/>
        </w:rPr>
        <w:t>（社区服务群众专项经费）</w:t>
      </w:r>
    </w:p>
    <w:p w14:paraId="3803C93A">
      <w:pPr>
        <w:pStyle w:val="37"/>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rPr>
      </w:pPr>
    </w:p>
    <w:p w14:paraId="34A79824">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7D96F5A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仿宋_GB2312" w:hAnsi="宋体"/>
          <w:sz w:val="32"/>
          <w:szCs w:val="32"/>
          <w:lang w:val="zh-CN"/>
        </w:rPr>
        <w:t>介绍项目基本情况，重点说明以下内容：</w:t>
      </w:r>
    </w:p>
    <w:p w14:paraId="3477711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rPr>
      </w:pPr>
      <w:r>
        <w:rPr>
          <w:rFonts w:hint="eastAsia" w:ascii="仿宋_GB2312" w:hAnsi="宋体" w:eastAsia="仿宋_GB2312"/>
          <w:color w:val="auto"/>
          <w:kern w:val="2"/>
          <w:sz w:val="32"/>
          <w:szCs w:val="32"/>
        </w:rPr>
        <w:t>社区服务群众专项经费</w:t>
      </w:r>
      <w:r>
        <w:rPr>
          <w:rFonts w:hint="eastAsia" w:ascii="仿宋_GB2312" w:hAnsi="宋体"/>
          <w:sz w:val="32"/>
          <w:szCs w:val="32"/>
          <w:lang w:val="zh-CN"/>
        </w:rPr>
        <w:t>主要用于基层党组织开展组织活动，党员干部教育培训，激励创先争优，走访慰问，群团活动开展，组织活动场所维护等。公共服务运维。主要包括农村基础设施和环境类、农业生产服务类、农村生活服务类、农村社会管理类项目的运行维护等。</w:t>
      </w:r>
    </w:p>
    <w:p w14:paraId="25B2470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二、项目实施及管理情况</w:t>
      </w:r>
    </w:p>
    <w:p w14:paraId="624544ED">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仿宋_GB2312" w:hAnsi="宋体"/>
          <w:sz w:val="32"/>
          <w:szCs w:val="32"/>
          <w:lang w:val="zh-CN"/>
        </w:rPr>
        <w:tab/>
      </w:r>
      <w:r>
        <w:rPr>
          <w:rFonts w:hint="eastAsia" w:ascii="楷体_GB2312" w:hAnsi="宋体" w:eastAsia="楷体_GB2312"/>
          <w:b/>
          <w:sz w:val="32"/>
          <w:szCs w:val="32"/>
          <w:lang w:val="zh-CN"/>
        </w:rPr>
        <w:t>（一）资金计划、到位及使用情况。</w:t>
      </w:r>
    </w:p>
    <w:p w14:paraId="1573FC1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color w:val="auto"/>
          <w:kern w:val="2"/>
          <w:sz w:val="32"/>
          <w:szCs w:val="32"/>
          <w:lang w:val="en-US" w:eastAsia="zh-CN"/>
        </w:rPr>
      </w:pPr>
      <w:r>
        <w:rPr>
          <w:rFonts w:hint="eastAsia" w:ascii="楷体_GB2312" w:hAnsi="宋体" w:eastAsia="楷体_GB2312"/>
          <w:sz w:val="32"/>
          <w:szCs w:val="32"/>
          <w:lang w:val="zh-CN"/>
        </w:rPr>
        <w:t>1．</w:t>
      </w:r>
      <w:r>
        <w:rPr>
          <w:rFonts w:hint="eastAsia" w:ascii="仿宋_GB2312" w:hAnsi="宋体" w:eastAsia="仿宋_GB2312"/>
          <w:color w:val="auto"/>
          <w:kern w:val="2"/>
          <w:sz w:val="32"/>
          <w:szCs w:val="32"/>
        </w:rPr>
        <w:t>2023年基层组织和农村公共服务运行维护费（上级）</w:t>
      </w:r>
      <w:r>
        <w:rPr>
          <w:rFonts w:hint="eastAsia" w:ascii="仿宋_GB2312" w:hAnsi="宋体"/>
          <w:color w:val="auto"/>
          <w:kern w:val="2"/>
          <w:sz w:val="32"/>
          <w:szCs w:val="32"/>
          <w:lang w:eastAsia="zh-CN"/>
        </w:rPr>
        <w:t>主要是省级资金构成，</w:t>
      </w:r>
      <w:r>
        <w:rPr>
          <w:rFonts w:hint="eastAsia" w:ascii="仿宋_GB2312" w:hAnsi="宋体"/>
          <w:color w:val="auto"/>
          <w:kern w:val="2"/>
          <w:sz w:val="32"/>
          <w:szCs w:val="32"/>
          <w:lang w:val="en-US" w:eastAsia="zh-CN"/>
        </w:rPr>
        <w:t>省资金到位2万元。</w:t>
      </w:r>
    </w:p>
    <w:p w14:paraId="09D90F2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sz w:val="32"/>
          <w:szCs w:val="32"/>
          <w:lang w:val="en-US" w:eastAsia="zh-CN"/>
        </w:rPr>
      </w:pPr>
      <w:r>
        <w:rPr>
          <w:rFonts w:hint="eastAsia" w:ascii="楷体_GB2312" w:hAnsi="宋体" w:eastAsia="楷体_GB2312"/>
          <w:sz w:val="32"/>
          <w:szCs w:val="32"/>
          <w:lang w:val="zh-CN"/>
        </w:rPr>
        <w:t>2．资金使用。截至</w:t>
      </w:r>
      <w:r>
        <w:rPr>
          <w:rFonts w:hint="eastAsia" w:ascii="仿宋_GB2312" w:hAnsi="宋体"/>
          <w:sz w:val="32"/>
          <w:szCs w:val="32"/>
          <w:lang w:val="zh-CN"/>
        </w:rPr>
        <w:t>评价时点项目资金的实际支出情况主要到账</w:t>
      </w:r>
      <w:r>
        <w:rPr>
          <w:rFonts w:hint="eastAsia" w:ascii="仿宋_GB2312" w:hAnsi="宋体"/>
          <w:sz w:val="32"/>
          <w:szCs w:val="32"/>
          <w:lang w:val="en-US" w:eastAsia="zh-CN"/>
        </w:rPr>
        <w:t>2万元。</w:t>
      </w:r>
    </w:p>
    <w:p w14:paraId="0CE80C46">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（二）项目财务管理情况。</w:t>
      </w:r>
    </w:p>
    <w:p w14:paraId="1F8D90FF">
      <w:pPr>
        <w:adjustRightInd w:val="0"/>
        <w:snapToGrid w:val="0"/>
        <w:spacing w:line="600" w:lineRule="exact"/>
        <w:ind w:firstLine="720"/>
        <w:rPr>
          <w:rFonts w:hint="eastAsia" w:ascii="仿宋_GB2312" w:hAnsi="宋体"/>
          <w:sz w:val="32"/>
          <w:szCs w:val="32"/>
          <w:lang w:val="zh-CN" w:eastAsia="zh-CN"/>
        </w:rPr>
      </w:pPr>
      <w:r>
        <w:rPr>
          <w:rFonts w:hint="eastAsia" w:ascii="仿宋_GB2312" w:hAnsi="宋体" w:eastAsia="仿宋_GB2312"/>
          <w:color w:val="auto"/>
          <w:kern w:val="2"/>
          <w:sz w:val="32"/>
          <w:szCs w:val="32"/>
        </w:rPr>
        <w:t>2023年基层组织和农村公共服务运行维护费</w:t>
      </w:r>
      <w:r>
        <w:rPr>
          <w:rFonts w:hint="eastAsia" w:ascii="仿宋_GB2312" w:hAnsi="宋体"/>
          <w:sz w:val="32"/>
          <w:szCs w:val="32"/>
          <w:lang w:val="en-US" w:eastAsia="zh-CN"/>
        </w:rPr>
        <w:t>项目具体由五渡镇财政所</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r>
        <w:rPr>
          <w:rFonts w:hint="eastAsia" w:ascii="仿宋_GB2312" w:hAnsi="宋体"/>
          <w:sz w:val="32"/>
          <w:szCs w:val="32"/>
          <w:lang w:val="en-US" w:eastAsia="zh-CN"/>
        </w:rPr>
        <w:t>年初上报计划，制定公务运行经费具体使用方案，分上、下半年度对此项目进行自评及审核上报</w:t>
      </w:r>
      <w:r>
        <w:rPr>
          <w:rFonts w:hint="eastAsia" w:ascii="仿宋_GB2312" w:hAnsi="宋体"/>
          <w:sz w:val="32"/>
          <w:szCs w:val="32"/>
          <w:lang w:val="zh-CN" w:eastAsia="zh-CN"/>
        </w:rPr>
        <w:t>。</w:t>
      </w:r>
    </w:p>
    <w:p w14:paraId="2F604D3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（三）项目组织实施情况。</w:t>
      </w:r>
    </w:p>
    <w:p w14:paraId="49E85A1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eastAsia="zh-CN"/>
        </w:rPr>
      </w:pPr>
      <w:r>
        <w:rPr>
          <w:rFonts w:hint="eastAsia" w:ascii="仿宋_GB2312" w:hAnsi="宋体" w:eastAsia="仿宋_GB2312"/>
          <w:color w:val="auto"/>
          <w:kern w:val="2"/>
          <w:sz w:val="32"/>
          <w:szCs w:val="32"/>
        </w:rPr>
        <w:t>2023年基层组织和农村公共服务运行维护费</w:t>
      </w:r>
      <w:r>
        <w:rPr>
          <w:rFonts w:hint="eastAsia" w:ascii="仿宋_GB2312" w:hAnsi="宋体"/>
          <w:sz w:val="32"/>
          <w:szCs w:val="32"/>
          <w:lang w:val="en-US" w:eastAsia="zh-CN"/>
        </w:rPr>
        <w:t>项目具体由五渡镇财政所</w:t>
      </w:r>
      <w:r>
        <w:rPr>
          <w:rFonts w:hint="eastAsia" w:ascii="仿宋_GB2312" w:hAnsi="宋体"/>
          <w:sz w:val="32"/>
          <w:szCs w:val="32"/>
          <w:lang w:val="zh-CN" w:eastAsia="zh-CN"/>
        </w:rPr>
        <w:t>负责</w:t>
      </w:r>
      <w:r>
        <w:rPr>
          <w:rFonts w:hint="eastAsia" w:ascii="仿宋_GB2312" w:hAnsi="宋体"/>
          <w:sz w:val="32"/>
          <w:szCs w:val="32"/>
          <w:lang w:val="en-US" w:eastAsia="zh-CN"/>
        </w:rPr>
        <w:t>具体</w:t>
      </w:r>
      <w:r>
        <w:rPr>
          <w:rFonts w:hint="eastAsia" w:ascii="仿宋_GB2312" w:hAnsi="宋体"/>
          <w:sz w:val="32"/>
          <w:szCs w:val="32"/>
          <w:lang w:val="zh-CN" w:eastAsia="zh-CN"/>
        </w:rPr>
        <w:t>实施</w:t>
      </w:r>
    </w:p>
    <w:p w14:paraId="247B405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黑体" w:hAnsi="宋体" w:eastAsia="黑体"/>
          <w:sz w:val="32"/>
          <w:szCs w:val="32"/>
        </w:rPr>
        <w:t>三、项目绩效情况</w:t>
      </w:r>
      <w:r>
        <w:rPr>
          <w:rFonts w:hint="eastAsia" w:ascii="仿宋_GB2312" w:hAnsi="宋体"/>
          <w:sz w:val="32"/>
          <w:szCs w:val="32"/>
          <w:lang w:val="zh-CN"/>
        </w:rPr>
        <w:tab/>
      </w:r>
    </w:p>
    <w:p w14:paraId="14E3834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0E7EE04F">
      <w:pPr>
        <w:adjustRightInd w:val="0"/>
        <w:snapToGrid w:val="0"/>
        <w:spacing w:line="600" w:lineRule="exact"/>
        <w:ind w:firstLine="720"/>
        <w:rPr>
          <w:rFonts w:ascii="楷体_GB2312" w:hAnsi="宋体" w:eastAsia="楷体_GB2312"/>
          <w:b/>
          <w:sz w:val="32"/>
          <w:szCs w:val="32"/>
          <w:lang w:val="zh-CN"/>
        </w:rPr>
      </w:pPr>
      <w:r>
        <w:rPr>
          <w:rFonts w:hint="eastAsia" w:ascii="仿宋_GB2312" w:hAnsi="宋体" w:eastAsia="仿宋_GB2312"/>
          <w:color w:val="auto"/>
          <w:kern w:val="2"/>
          <w:sz w:val="32"/>
          <w:szCs w:val="32"/>
        </w:rPr>
        <w:t>2023年基层组织和农村公共服务运行维护费</w:t>
      </w:r>
      <w:r>
        <w:rPr>
          <w:rFonts w:hint="eastAsia" w:ascii="仿宋_GB2312" w:hAnsi="宋体"/>
          <w:sz w:val="32"/>
          <w:szCs w:val="32"/>
          <w:lang w:val="en-US" w:eastAsia="zh-CN"/>
        </w:rPr>
        <w:t>项目，于2023年12月底前完成了项目实施，并由镇财政所审核上报，及时完成了2万元的补贴发放，无结余资金</w:t>
      </w:r>
      <w:r>
        <w:rPr>
          <w:rFonts w:hint="eastAsia" w:ascii="仿宋_GB2312" w:hAnsi="宋体"/>
          <w:sz w:val="32"/>
          <w:szCs w:val="32"/>
          <w:lang w:val="zh-CN"/>
        </w:rPr>
        <w:t>。</w:t>
      </w:r>
    </w:p>
    <w:p w14:paraId="2AD562F9">
      <w:pPr>
        <w:pStyle w:val="16"/>
        <w:widowControl/>
        <w:numPr>
          <w:ilvl w:val="0"/>
          <w:numId w:val="5"/>
        </w:numPr>
        <w:shd w:val="clear" w:color="auto" w:fill="FFFFFF"/>
        <w:spacing w:before="0" w:beforeAutospacing="0" w:after="0" w:afterAutospacing="0" w:line="600" w:lineRule="atLeast"/>
        <w:ind w:firstLine="42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zh-CN" w:eastAsia="zh-CN" w:bidi="ar-SA"/>
        </w:rPr>
        <w:t>项目效益情况。</w:t>
      </w:r>
    </w:p>
    <w:p w14:paraId="5D7C3914">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1.</w:t>
      </w:r>
      <w:r>
        <w:rPr>
          <w:rFonts w:hint="eastAsia" w:ascii="楷体_GB2312" w:hAnsi="宋体" w:eastAsia="楷体_GB2312" w:cs="Times New Roman"/>
          <w:b/>
          <w:kern w:val="2"/>
          <w:sz w:val="32"/>
          <w:szCs w:val="32"/>
          <w:lang w:val="zh-CN" w:eastAsia="zh-CN" w:bidi="ar-SA"/>
        </w:rPr>
        <w:t>社会效益</w:t>
      </w:r>
    </w:p>
    <w:p w14:paraId="066B2AE9">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 w:hAnsi="仿宋" w:eastAsia="仿宋" w:cs="Microsoft YaHei UI"/>
          <w:spacing w:val="8"/>
          <w:sz w:val="32"/>
          <w:szCs w:val="32"/>
          <w:shd w:val="clear" w:color="auto" w:fill="FFFFFF"/>
          <w:lang w:eastAsia="zh-CN"/>
        </w:rPr>
        <w:t>　</w:t>
      </w:r>
      <w:r>
        <w:rPr>
          <w:rFonts w:hint="eastAsia" w:ascii="仿宋_GB2312" w:hAnsi="宋体" w:eastAsia="仿宋_GB2312" w:cs="Times New Roman"/>
          <w:kern w:val="2"/>
          <w:sz w:val="32"/>
          <w:szCs w:val="32"/>
          <w:lang w:val="en-US" w:eastAsia="zh-CN" w:bidi="ar-SA"/>
        </w:rPr>
        <w:t>通过项目的实施，提升服务群众质量，为实现乡村振兴，促进乡风文明打下了坚定基础。</w:t>
      </w:r>
    </w:p>
    <w:p w14:paraId="08735474">
      <w:pPr>
        <w:pStyle w:val="16"/>
        <w:widowControl/>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2.</w:t>
      </w:r>
      <w:r>
        <w:rPr>
          <w:rFonts w:hint="eastAsia" w:ascii="楷体_GB2312" w:hAnsi="宋体" w:eastAsia="楷体_GB2312" w:cs="Times New Roman"/>
          <w:b/>
          <w:kern w:val="2"/>
          <w:sz w:val="32"/>
          <w:szCs w:val="32"/>
          <w:lang w:val="zh-CN" w:eastAsia="zh-CN" w:bidi="ar-SA"/>
        </w:rPr>
        <w:t>满意度</w:t>
      </w:r>
    </w:p>
    <w:p w14:paraId="6DD33512">
      <w:pPr>
        <w:pStyle w:val="16"/>
        <w:widowControl/>
        <w:shd w:val="clear" w:color="auto" w:fill="FFFFFF"/>
        <w:spacing w:before="0" w:beforeAutospacing="0" w:after="0" w:afterAutospacing="0" w:line="600" w:lineRule="atLeast"/>
        <w:ind w:firstLine="420"/>
        <w:jc w:val="both"/>
        <w:rPr>
          <w:rFonts w:ascii="仿宋" w:hAnsi="仿宋" w:eastAsia="仿宋" w:cs="Microsoft YaHei UI"/>
          <w:spacing w:val="8"/>
          <w:sz w:val="32"/>
          <w:szCs w:val="32"/>
        </w:rPr>
      </w:pPr>
      <w:r>
        <w:rPr>
          <w:rFonts w:hint="eastAsia" w:ascii="仿宋_GB2312" w:hAnsi="宋体" w:eastAsia="仿宋_GB2312" w:cs="Times New Roman"/>
          <w:kern w:val="2"/>
          <w:sz w:val="32"/>
          <w:szCs w:val="32"/>
          <w:lang w:val="en-US" w:eastAsia="zh-CN" w:bidi="ar-SA"/>
        </w:rPr>
        <w:t>　通过项目的实施，提升了社区干事创业的热情，提升了群众对基层服务的满意度</w:t>
      </w:r>
      <w:r>
        <w:rPr>
          <w:rFonts w:hint="eastAsia" w:ascii="仿宋" w:hAnsi="仿宋" w:eastAsia="仿宋" w:cs="Microsoft YaHei UI"/>
          <w:spacing w:val="8"/>
          <w:sz w:val="32"/>
          <w:szCs w:val="32"/>
          <w:shd w:val="clear" w:color="auto" w:fill="FFFFFF"/>
        </w:rPr>
        <w:t>。</w:t>
      </w:r>
    </w:p>
    <w:p w14:paraId="4AADA9E7">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四、问题及建议</w:t>
      </w:r>
    </w:p>
    <w:p w14:paraId="6DBB783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（一）存在的问题。无</w:t>
      </w:r>
    </w:p>
    <w:p w14:paraId="58980572">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sz w:val="32"/>
          <w:szCs w:val="32"/>
        </w:rPr>
      </w:pPr>
      <w:r>
        <w:rPr>
          <w:rFonts w:hint="eastAsia" w:ascii="楷体_GB2312" w:hAnsi="宋体" w:eastAsia="楷体_GB2312"/>
          <w:b/>
          <w:sz w:val="32"/>
          <w:szCs w:val="32"/>
          <w:lang w:val="zh-CN"/>
        </w:rPr>
        <w:t>（二）相关建议。无</w:t>
      </w:r>
    </w:p>
    <w:p w14:paraId="702BFB0B">
      <w:pPr>
        <w:pStyle w:val="23"/>
      </w:pPr>
      <w:r>
        <w:drawing>
          <wp:inline distT="0" distB="0" distL="114300" distR="114300">
            <wp:extent cx="5273040" cy="7364730"/>
            <wp:effectExtent l="0" t="0" r="3810" b="762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5273040" cy="7364730"/>
                    </a:xfrm>
                    <a:prstGeom prst="rect">
                      <a:avLst/>
                    </a:prstGeom>
                    <a:noFill/>
                    <a:ln>
                      <a:noFill/>
                    </a:ln>
                  </pic:spPr>
                </pic:pic>
              </a:graphicData>
            </a:graphic>
          </wp:inline>
        </w:drawing>
      </w:r>
    </w:p>
    <w:p w14:paraId="2C276FF9">
      <w:pPr>
        <w:rPr>
          <w:rFonts w:hint="eastAsia" w:eastAsia="仿宋_GB2312"/>
          <w:color w:val="FF0000"/>
          <w:sz w:val="32"/>
          <w:szCs w:val="32"/>
          <w:lang w:val="zh-CN"/>
        </w:rPr>
      </w:pPr>
    </w:p>
    <w:p w14:paraId="733E2D8A">
      <w:pPr>
        <w:rPr>
          <w:rFonts w:hint="eastAsia" w:eastAsia="仿宋_GB2312"/>
          <w:color w:val="FF0000"/>
          <w:sz w:val="32"/>
          <w:szCs w:val="32"/>
          <w:lang w:val="zh-CN"/>
        </w:rPr>
      </w:pPr>
    </w:p>
    <w:p w14:paraId="1EEFB0EA">
      <w:pPr>
        <w:rPr>
          <w:rFonts w:hint="eastAsia" w:eastAsia="仿宋_GB2312"/>
          <w:color w:val="FF0000"/>
          <w:sz w:val="32"/>
          <w:szCs w:val="32"/>
          <w:lang w:val="zh-CN"/>
        </w:rPr>
      </w:pPr>
    </w:p>
    <w:p w14:paraId="60337119">
      <w:pPr>
        <w:rPr>
          <w:rFonts w:hint="eastAsia" w:eastAsia="仿宋_GB2312"/>
          <w:color w:val="FF0000"/>
          <w:sz w:val="32"/>
          <w:szCs w:val="32"/>
          <w:lang w:val="zh-CN"/>
        </w:rPr>
      </w:pPr>
    </w:p>
    <w:p w14:paraId="6051C6D8">
      <w:pPr>
        <w:pStyle w:val="37"/>
        <w:spacing w:line="6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项目支出绩效自评报告范本</w:t>
      </w:r>
    </w:p>
    <w:p w14:paraId="221BB914">
      <w:pPr>
        <w:pStyle w:val="37"/>
        <w:keepNext w:val="0"/>
        <w:keepLines w:val="0"/>
        <w:pageBreakBefore w:val="0"/>
        <w:widowControl w:val="0"/>
        <w:kinsoku/>
        <w:wordWrap/>
        <w:overflowPunct/>
        <w:topLinePunct w:val="0"/>
        <w:autoSpaceDE/>
        <w:autoSpaceDN/>
        <w:bidi w:val="0"/>
        <w:spacing w:line="560" w:lineRule="exact"/>
        <w:jc w:val="center"/>
        <w:textAlignment w:val="auto"/>
        <w:rPr>
          <w:rFonts w:ascii="仿宋_GB2312" w:hAnsi="宋体" w:eastAsia="仿宋_GB2312"/>
          <w:color w:val="auto"/>
          <w:kern w:val="2"/>
          <w:sz w:val="32"/>
          <w:szCs w:val="32"/>
        </w:rPr>
      </w:pPr>
      <w:r>
        <w:rPr>
          <w:rFonts w:hint="eastAsia" w:ascii="仿宋_GB2312" w:hAnsi="宋体" w:eastAsia="仿宋_GB2312"/>
          <w:color w:val="auto"/>
          <w:kern w:val="2"/>
          <w:sz w:val="32"/>
          <w:szCs w:val="32"/>
        </w:rPr>
        <w:t>（乡镇安全管理相关经费）</w:t>
      </w:r>
    </w:p>
    <w:p w14:paraId="5920D12B">
      <w:pPr>
        <w:pStyle w:val="37"/>
        <w:keepNext w:val="0"/>
        <w:keepLines w:val="0"/>
        <w:pageBreakBefore w:val="0"/>
        <w:widowControl w:val="0"/>
        <w:kinsoku/>
        <w:wordWrap/>
        <w:overflowPunct/>
        <w:topLinePunct w:val="0"/>
        <w:autoSpaceDE/>
        <w:autoSpaceDN/>
        <w:bidi w:val="0"/>
        <w:spacing w:line="560" w:lineRule="exact"/>
        <w:ind w:firstLine="640"/>
        <w:jc w:val="center"/>
        <w:textAlignment w:val="auto"/>
        <w:rPr>
          <w:rFonts w:ascii="宋体" w:hAnsi="宋体"/>
          <w:color w:val="auto"/>
          <w:kern w:val="2"/>
          <w:sz w:val="32"/>
          <w:szCs w:val="32"/>
        </w:rPr>
      </w:pPr>
    </w:p>
    <w:p w14:paraId="2497801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24C281F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仿宋_GB2312" w:hAnsi="宋体"/>
          <w:sz w:val="32"/>
          <w:szCs w:val="32"/>
          <w:lang w:val="zh-CN"/>
        </w:rPr>
        <w:t>介绍项目基本情况，重点说明以下内容：</w:t>
      </w:r>
    </w:p>
    <w:p w14:paraId="65CD691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仿宋_GB2312" w:hAnsi="宋体" w:eastAsia="仿宋_GB2312"/>
          <w:color w:val="auto"/>
          <w:kern w:val="2"/>
          <w:sz w:val="32"/>
          <w:szCs w:val="32"/>
        </w:rPr>
        <w:t>乡镇安全管理相关经费</w:t>
      </w:r>
      <w:r>
        <w:rPr>
          <w:rFonts w:hint="eastAsia" w:ascii="仿宋_GB2312" w:hAnsi="宋体"/>
          <w:sz w:val="32"/>
          <w:szCs w:val="32"/>
          <w:lang w:val="zh-CN"/>
        </w:rPr>
        <w:t>主要宣传贯彻、执行党和政府有关交通的方针、政策、法规以及上级交通主管单位的决定和指示；拟订乡镇交通建设发展规划和年度工作计划，并按程序和要求组织实施；管理乡镇水路、陆路运输市场；对辖区内各种经济成分的运输车、船主和从业人员进行宣传教育（含安全教育和规章制度的学习）；负责乡镇运输船舶、渡口以及小河支流的安全管理；建立健全各种运输工具和收费台账，做好交通统计报表工作；在户外协助路面执勤，维持交通秩序，可以对各类交通违法违例现象依法进行纠正、劝导及教导；健全水上交通安全监管长效机制，有效预防和控制水上重特大交通事故的发生。</w:t>
      </w:r>
      <w:r>
        <w:rPr>
          <w:rFonts w:hint="eastAsia" w:ascii="黑体" w:hAnsi="宋体" w:eastAsia="黑体"/>
          <w:sz w:val="32"/>
          <w:szCs w:val="32"/>
        </w:rPr>
        <w:t>二、项目实施及管理情况</w:t>
      </w:r>
    </w:p>
    <w:p w14:paraId="2CFDC76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仿宋_GB2312" w:hAnsi="宋体"/>
          <w:sz w:val="32"/>
          <w:szCs w:val="32"/>
          <w:lang w:val="zh-CN"/>
        </w:rPr>
        <w:tab/>
      </w:r>
      <w:r>
        <w:rPr>
          <w:rFonts w:hint="eastAsia" w:ascii="楷体_GB2312" w:hAnsi="宋体" w:eastAsia="楷体_GB2312"/>
          <w:b/>
          <w:sz w:val="32"/>
          <w:szCs w:val="32"/>
          <w:lang w:val="zh-CN"/>
        </w:rPr>
        <w:t>（一）资金计划、到位及使用情况。</w:t>
      </w:r>
    </w:p>
    <w:p w14:paraId="37AA2C0E">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color w:val="auto"/>
          <w:kern w:val="2"/>
          <w:sz w:val="32"/>
          <w:szCs w:val="32"/>
          <w:lang w:val="en-US" w:eastAsia="zh-CN"/>
        </w:rPr>
      </w:pPr>
      <w:r>
        <w:rPr>
          <w:rFonts w:hint="eastAsia" w:ascii="楷体_GB2312" w:hAnsi="宋体" w:eastAsia="楷体_GB2312"/>
          <w:sz w:val="32"/>
          <w:szCs w:val="32"/>
          <w:lang w:val="zh-CN"/>
        </w:rPr>
        <w:t>1．</w:t>
      </w:r>
      <w:r>
        <w:rPr>
          <w:rFonts w:hint="eastAsia" w:ascii="仿宋_GB2312" w:hAnsi="宋体" w:eastAsia="仿宋_GB2312"/>
          <w:color w:val="auto"/>
          <w:kern w:val="2"/>
          <w:sz w:val="32"/>
          <w:szCs w:val="32"/>
        </w:rPr>
        <w:t>乡镇安全管理相关经费</w:t>
      </w:r>
      <w:r>
        <w:rPr>
          <w:rFonts w:hint="eastAsia" w:ascii="仿宋_GB2312" w:hAnsi="宋体"/>
          <w:color w:val="auto"/>
          <w:kern w:val="2"/>
          <w:sz w:val="32"/>
          <w:szCs w:val="32"/>
          <w:lang w:eastAsia="zh-CN"/>
        </w:rPr>
        <w:t>主要县级资金构成，</w:t>
      </w:r>
      <w:r>
        <w:rPr>
          <w:rFonts w:hint="eastAsia" w:ascii="仿宋_GB2312" w:hAnsi="宋体"/>
          <w:color w:val="auto"/>
          <w:kern w:val="2"/>
          <w:sz w:val="32"/>
          <w:szCs w:val="32"/>
          <w:lang w:val="en-US" w:eastAsia="zh-CN"/>
        </w:rPr>
        <w:t>县资金到位10.2万元。</w:t>
      </w:r>
    </w:p>
    <w:p w14:paraId="5E62994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default" w:ascii="仿宋_GB2312" w:hAnsi="宋体" w:eastAsia="仿宋_GB2312"/>
          <w:sz w:val="32"/>
          <w:szCs w:val="32"/>
          <w:lang w:val="en-US" w:eastAsia="zh-CN"/>
        </w:rPr>
      </w:pPr>
      <w:r>
        <w:rPr>
          <w:rFonts w:hint="eastAsia" w:ascii="楷体_GB2312" w:hAnsi="宋体" w:eastAsia="楷体_GB2312"/>
          <w:sz w:val="32"/>
          <w:szCs w:val="32"/>
          <w:lang w:val="zh-CN"/>
        </w:rPr>
        <w:t>2．资金使用。截至</w:t>
      </w:r>
      <w:r>
        <w:rPr>
          <w:rFonts w:hint="eastAsia" w:ascii="仿宋_GB2312" w:hAnsi="宋体"/>
          <w:sz w:val="32"/>
          <w:szCs w:val="32"/>
          <w:lang w:val="zh-CN"/>
        </w:rPr>
        <w:t>评价时点项目资金的实际支出情况主要到账</w:t>
      </w:r>
      <w:r>
        <w:rPr>
          <w:rFonts w:hint="eastAsia" w:ascii="仿宋_GB2312" w:hAnsi="宋体"/>
          <w:sz w:val="32"/>
          <w:szCs w:val="32"/>
          <w:lang w:val="en-US" w:eastAsia="zh-CN"/>
        </w:rPr>
        <w:t>10.2万元。</w:t>
      </w:r>
    </w:p>
    <w:p w14:paraId="14E5EC63">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（二）项目财务管理情况。</w:t>
      </w:r>
    </w:p>
    <w:p w14:paraId="433CEE59">
      <w:pPr>
        <w:adjustRightInd w:val="0"/>
        <w:snapToGrid w:val="0"/>
        <w:spacing w:line="600" w:lineRule="exact"/>
        <w:ind w:firstLine="720"/>
        <w:rPr>
          <w:rFonts w:hint="eastAsia" w:ascii="仿宋_GB2312" w:hAnsi="宋体"/>
          <w:sz w:val="32"/>
          <w:szCs w:val="32"/>
          <w:lang w:val="zh-CN" w:eastAsia="zh-CN"/>
        </w:rPr>
      </w:pPr>
      <w:r>
        <w:rPr>
          <w:rFonts w:hint="eastAsia" w:ascii="仿宋_GB2312" w:hAnsi="宋体" w:eastAsia="仿宋_GB2312"/>
          <w:color w:val="auto"/>
          <w:kern w:val="2"/>
          <w:sz w:val="32"/>
          <w:szCs w:val="32"/>
        </w:rPr>
        <w:t>乡镇安全管理相关经费</w:t>
      </w:r>
      <w:r>
        <w:rPr>
          <w:rFonts w:hint="eastAsia" w:ascii="仿宋_GB2312" w:hAnsi="宋体"/>
          <w:sz w:val="32"/>
          <w:szCs w:val="32"/>
          <w:lang w:val="en-US" w:eastAsia="zh-CN"/>
        </w:rPr>
        <w:t>具体由五渡镇安办、交管站负责具体</w:t>
      </w:r>
      <w:r>
        <w:rPr>
          <w:rFonts w:hint="eastAsia" w:ascii="仿宋_GB2312" w:hAnsi="宋体"/>
          <w:sz w:val="32"/>
          <w:szCs w:val="32"/>
          <w:lang w:val="zh-CN" w:eastAsia="zh-CN"/>
        </w:rPr>
        <w:t>实施，</w:t>
      </w:r>
      <w:r>
        <w:rPr>
          <w:rFonts w:hint="eastAsia" w:ascii="仿宋_GB2312" w:hAnsi="宋体"/>
          <w:sz w:val="32"/>
          <w:szCs w:val="32"/>
          <w:lang w:val="en-US" w:eastAsia="zh-CN"/>
        </w:rPr>
        <w:t>每月定期对此项目进行自评及审核上报</w:t>
      </w:r>
      <w:r>
        <w:rPr>
          <w:rFonts w:hint="eastAsia" w:ascii="仿宋_GB2312" w:hAnsi="宋体"/>
          <w:sz w:val="32"/>
          <w:szCs w:val="32"/>
          <w:lang w:val="zh-CN" w:eastAsia="zh-CN"/>
        </w:rPr>
        <w:t>。</w:t>
      </w:r>
    </w:p>
    <w:p w14:paraId="3C0A2B68">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（三）项目组织实施情况。</w:t>
      </w:r>
    </w:p>
    <w:p w14:paraId="1D112675">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hint="eastAsia" w:ascii="仿宋_GB2312" w:hAnsi="宋体"/>
          <w:sz w:val="32"/>
          <w:szCs w:val="32"/>
          <w:lang w:val="zh-CN" w:eastAsia="zh-CN"/>
        </w:rPr>
      </w:pPr>
      <w:r>
        <w:rPr>
          <w:rFonts w:hint="eastAsia" w:ascii="仿宋_GB2312" w:hAnsi="宋体" w:eastAsia="仿宋_GB2312"/>
          <w:color w:val="auto"/>
          <w:kern w:val="2"/>
          <w:sz w:val="32"/>
          <w:szCs w:val="32"/>
        </w:rPr>
        <w:t>乡镇安全管理相关经费</w:t>
      </w:r>
      <w:r>
        <w:rPr>
          <w:rFonts w:hint="eastAsia" w:ascii="仿宋_GB2312" w:hAnsi="宋体"/>
          <w:sz w:val="32"/>
          <w:szCs w:val="32"/>
          <w:lang w:val="en-US" w:eastAsia="zh-CN"/>
        </w:rPr>
        <w:t>具体由五渡镇安办、交管站负责具体</w:t>
      </w:r>
      <w:r>
        <w:rPr>
          <w:rFonts w:hint="eastAsia" w:ascii="仿宋_GB2312" w:hAnsi="宋体"/>
          <w:sz w:val="32"/>
          <w:szCs w:val="32"/>
          <w:lang w:val="zh-CN" w:eastAsia="zh-CN"/>
        </w:rPr>
        <w:t>实施。</w:t>
      </w:r>
    </w:p>
    <w:p w14:paraId="59C5BD60">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仿宋_GB2312" w:hAnsi="宋体"/>
          <w:sz w:val="32"/>
          <w:szCs w:val="32"/>
          <w:lang w:val="zh-CN"/>
        </w:rPr>
      </w:pPr>
      <w:r>
        <w:rPr>
          <w:rFonts w:hint="eastAsia" w:ascii="黑体" w:hAnsi="宋体" w:eastAsia="黑体"/>
          <w:sz w:val="32"/>
          <w:szCs w:val="32"/>
        </w:rPr>
        <w:t>三、项目绩效情况</w:t>
      </w:r>
      <w:r>
        <w:rPr>
          <w:rFonts w:hint="eastAsia" w:ascii="仿宋_GB2312" w:hAnsi="宋体"/>
          <w:sz w:val="32"/>
          <w:szCs w:val="32"/>
          <w:lang w:val="zh-CN"/>
        </w:rPr>
        <w:tab/>
      </w:r>
    </w:p>
    <w:p w14:paraId="18439E3B">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62349DA0">
      <w:pPr>
        <w:adjustRightInd w:val="0"/>
        <w:snapToGrid w:val="0"/>
        <w:spacing w:line="600" w:lineRule="exact"/>
        <w:ind w:firstLine="720"/>
        <w:rPr>
          <w:rFonts w:ascii="楷体_GB2312" w:hAnsi="宋体" w:eastAsia="楷体_GB2312"/>
          <w:b/>
          <w:sz w:val="32"/>
          <w:szCs w:val="32"/>
          <w:lang w:val="zh-CN"/>
        </w:rPr>
      </w:pPr>
      <w:r>
        <w:rPr>
          <w:rFonts w:hint="eastAsia" w:ascii="仿宋_GB2312" w:hAnsi="宋体" w:eastAsia="仿宋_GB2312"/>
          <w:color w:val="auto"/>
          <w:kern w:val="2"/>
          <w:sz w:val="32"/>
          <w:szCs w:val="32"/>
        </w:rPr>
        <w:t>乡镇安全管理相关经费</w:t>
      </w:r>
      <w:r>
        <w:rPr>
          <w:rFonts w:hint="eastAsia" w:ascii="仿宋_GB2312" w:hAnsi="宋体"/>
          <w:sz w:val="32"/>
          <w:szCs w:val="32"/>
          <w:lang w:val="en-US" w:eastAsia="zh-CN"/>
        </w:rPr>
        <w:t>，于2023年12月底前完成了项目实施，并由镇财政所审核上报，及时完成了10.2万元的补贴发放，无结余资金</w:t>
      </w:r>
      <w:r>
        <w:rPr>
          <w:rFonts w:hint="eastAsia" w:ascii="仿宋_GB2312" w:hAnsi="宋体"/>
          <w:sz w:val="32"/>
          <w:szCs w:val="32"/>
          <w:lang w:val="zh-CN"/>
        </w:rPr>
        <w:t>。</w:t>
      </w:r>
    </w:p>
    <w:p w14:paraId="765C1125">
      <w:pPr>
        <w:pStyle w:val="16"/>
        <w:widowControl/>
        <w:numPr>
          <w:ilvl w:val="0"/>
          <w:numId w:val="5"/>
        </w:numPr>
        <w:shd w:val="clear" w:color="auto" w:fill="FFFFFF"/>
        <w:spacing w:before="0" w:beforeAutospacing="0" w:after="0" w:afterAutospacing="0" w:line="600" w:lineRule="atLeast"/>
        <w:ind w:firstLine="42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zh-CN" w:eastAsia="zh-CN" w:bidi="ar-SA"/>
        </w:rPr>
        <w:t>项目效益情况。</w:t>
      </w:r>
    </w:p>
    <w:p w14:paraId="427C0488">
      <w:pPr>
        <w:pStyle w:val="16"/>
        <w:widowControl/>
        <w:numPr>
          <w:ilvl w:val="0"/>
          <w:numId w:val="0"/>
        </w:numPr>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1.</w:t>
      </w:r>
      <w:r>
        <w:rPr>
          <w:rFonts w:hint="eastAsia" w:ascii="楷体_GB2312" w:hAnsi="宋体" w:eastAsia="楷体_GB2312" w:cs="Times New Roman"/>
          <w:b/>
          <w:kern w:val="2"/>
          <w:sz w:val="32"/>
          <w:szCs w:val="32"/>
          <w:lang w:val="zh-CN" w:eastAsia="zh-CN" w:bidi="ar-SA"/>
        </w:rPr>
        <w:t>质量</w:t>
      </w:r>
    </w:p>
    <w:p w14:paraId="133A7AD0">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 w:hAnsi="仿宋" w:eastAsia="仿宋" w:cs="Microsoft YaHei UI"/>
          <w:spacing w:val="8"/>
          <w:sz w:val="32"/>
          <w:szCs w:val="32"/>
          <w:shd w:val="clear" w:color="auto" w:fill="FFFFFF"/>
          <w:lang w:eastAsia="zh-CN"/>
        </w:rPr>
        <w:t>　</w:t>
      </w:r>
      <w:r>
        <w:rPr>
          <w:rFonts w:hint="eastAsia" w:ascii="仿宋_GB2312" w:hAnsi="宋体" w:eastAsia="仿宋_GB2312" w:cs="Times New Roman"/>
          <w:kern w:val="2"/>
          <w:sz w:val="32"/>
          <w:szCs w:val="32"/>
          <w:lang w:val="en-US" w:eastAsia="zh-CN" w:bidi="ar-SA"/>
        </w:rPr>
        <w:t>通过项目的实施，提升辖区内交通秩序，降低事故发生率。</w:t>
      </w:r>
    </w:p>
    <w:p w14:paraId="14FCF227">
      <w:pPr>
        <w:pStyle w:val="16"/>
        <w:widowControl/>
        <w:shd w:val="clear" w:color="auto" w:fill="FFFFFF"/>
        <w:spacing w:before="0" w:beforeAutospacing="0" w:after="0" w:afterAutospacing="0" w:line="600" w:lineRule="atLeast"/>
        <w:ind w:firstLine="643" w:firstLineChars="200"/>
        <w:jc w:val="both"/>
        <w:rPr>
          <w:rFonts w:hint="eastAsia" w:ascii="楷体_GB2312" w:hAnsi="宋体" w:eastAsia="楷体_GB2312" w:cs="Times New Roman"/>
          <w:b/>
          <w:kern w:val="2"/>
          <w:sz w:val="32"/>
          <w:szCs w:val="32"/>
          <w:lang w:val="zh-CN" w:eastAsia="zh-CN" w:bidi="ar-SA"/>
        </w:rPr>
      </w:pPr>
      <w:r>
        <w:rPr>
          <w:rFonts w:hint="eastAsia" w:ascii="楷体_GB2312" w:hAnsi="宋体" w:eastAsia="楷体_GB2312" w:cs="Times New Roman"/>
          <w:b/>
          <w:kern w:val="2"/>
          <w:sz w:val="32"/>
          <w:szCs w:val="32"/>
          <w:lang w:val="en-US" w:eastAsia="zh-CN" w:bidi="ar-SA"/>
        </w:rPr>
        <w:t>2.</w:t>
      </w:r>
      <w:r>
        <w:rPr>
          <w:rFonts w:hint="eastAsia" w:ascii="楷体_GB2312" w:hAnsi="宋体" w:eastAsia="楷体_GB2312" w:cs="Times New Roman"/>
          <w:b/>
          <w:kern w:val="2"/>
          <w:sz w:val="32"/>
          <w:szCs w:val="32"/>
          <w:lang w:val="zh-CN" w:eastAsia="zh-CN" w:bidi="ar-SA"/>
        </w:rPr>
        <w:t>可持续影响</w:t>
      </w:r>
    </w:p>
    <w:p w14:paraId="28477794">
      <w:pPr>
        <w:pStyle w:val="16"/>
        <w:widowControl/>
        <w:shd w:val="clear" w:color="auto" w:fill="FFFFFF"/>
        <w:spacing w:before="0" w:beforeAutospacing="0" w:after="0" w:afterAutospacing="0" w:line="600" w:lineRule="atLeast"/>
        <w:ind w:firstLine="420"/>
        <w:jc w:val="both"/>
        <w:rPr>
          <w:rFonts w:hint="eastAsia" w:ascii="仿宋_GB2312" w:hAnsi="宋体" w:eastAsia="仿宋_GB2312" w:cs="Times New Roman"/>
          <w:kern w:val="2"/>
          <w:sz w:val="32"/>
          <w:szCs w:val="32"/>
          <w:lang w:val="en-US" w:eastAsia="zh-CN" w:bidi="ar-SA"/>
        </w:rPr>
      </w:pPr>
      <w:r>
        <w:rPr>
          <w:rFonts w:hint="eastAsia" w:ascii="仿宋_GB2312" w:hAnsi="宋体" w:eastAsia="仿宋_GB2312" w:cs="Times New Roman"/>
          <w:kern w:val="2"/>
          <w:sz w:val="32"/>
          <w:szCs w:val="32"/>
          <w:lang w:val="en-US" w:eastAsia="zh-CN" w:bidi="ar-SA"/>
        </w:rPr>
        <w:t>　通过项目的实施，通过提升辖区内交通秩序，降低事故发生率，提升群众满意度。</w:t>
      </w:r>
    </w:p>
    <w:p w14:paraId="0B4F5F5B">
      <w:pPr>
        <w:pStyle w:val="16"/>
        <w:widowControl/>
        <w:numPr>
          <w:ilvl w:val="0"/>
          <w:numId w:val="6"/>
        </w:numPr>
        <w:shd w:val="clear" w:color="auto" w:fill="FFFFFF"/>
        <w:spacing w:before="0" w:beforeAutospacing="0" w:after="0" w:afterAutospacing="0" w:line="600" w:lineRule="atLeast"/>
        <w:ind w:firstLine="742" w:firstLineChars="231"/>
        <w:jc w:val="both"/>
        <w:rPr>
          <w:rFonts w:hint="eastAsia" w:ascii="楷体_GB2312" w:hAnsi="宋体" w:eastAsia="楷体_GB2312" w:cs="Times New Roman"/>
          <w:b/>
          <w:kern w:val="2"/>
          <w:sz w:val="32"/>
          <w:szCs w:val="32"/>
          <w:lang w:val="en-US" w:eastAsia="zh-CN" w:bidi="ar-SA"/>
        </w:rPr>
      </w:pPr>
      <w:r>
        <w:rPr>
          <w:rFonts w:hint="eastAsia" w:ascii="楷体_GB2312" w:hAnsi="宋体" w:eastAsia="楷体_GB2312" w:cs="Times New Roman"/>
          <w:b/>
          <w:kern w:val="2"/>
          <w:sz w:val="32"/>
          <w:szCs w:val="32"/>
          <w:lang w:val="en-US" w:eastAsia="zh-CN" w:bidi="ar-SA"/>
        </w:rPr>
        <w:t>满意度</w:t>
      </w:r>
    </w:p>
    <w:p w14:paraId="1A72844D">
      <w:pPr>
        <w:pStyle w:val="16"/>
        <w:widowControl/>
        <w:numPr>
          <w:ilvl w:val="0"/>
          <w:numId w:val="0"/>
        </w:numPr>
        <w:shd w:val="clear" w:color="auto" w:fill="FFFFFF"/>
        <w:spacing w:before="0" w:beforeAutospacing="0" w:after="0" w:afterAutospacing="0" w:line="600" w:lineRule="atLeast"/>
        <w:ind w:firstLine="640" w:firstLineChars="200"/>
        <w:jc w:val="both"/>
        <w:rPr>
          <w:rFonts w:hint="default" w:ascii="楷体_GB2312" w:hAnsi="宋体" w:eastAsia="楷体_GB2312" w:cs="Times New Roman"/>
          <w:b/>
          <w:kern w:val="2"/>
          <w:sz w:val="32"/>
          <w:szCs w:val="32"/>
          <w:lang w:val="en-US" w:eastAsia="zh-CN" w:bidi="ar-SA"/>
        </w:rPr>
      </w:pPr>
      <w:r>
        <w:rPr>
          <w:rFonts w:hint="eastAsia" w:ascii="仿宋_GB2312" w:hAnsi="宋体" w:eastAsia="仿宋_GB2312" w:cs="Times New Roman"/>
          <w:kern w:val="2"/>
          <w:sz w:val="32"/>
          <w:szCs w:val="32"/>
          <w:lang w:val="en-US" w:eastAsia="zh-CN" w:bidi="ar-SA"/>
        </w:rPr>
        <w:t>通过项目的实施，通过提升辖区内交通秩序，降低事故发生率，提升群众满意度</w:t>
      </w:r>
    </w:p>
    <w:p w14:paraId="0A05105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黑体" w:hAnsi="宋体" w:eastAsia="黑体"/>
          <w:sz w:val="32"/>
          <w:szCs w:val="32"/>
        </w:rPr>
      </w:pPr>
      <w:r>
        <w:rPr>
          <w:rFonts w:hint="eastAsia" w:ascii="黑体" w:hAnsi="宋体" w:eastAsia="黑体"/>
          <w:sz w:val="32"/>
          <w:szCs w:val="32"/>
        </w:rPr>
        <w:t>四、问题及建议</w:t>
      </w:r>
    </w:p>
    <w:p w14:paraId="4C00ABDA">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rFonts w:ascii="楷体_GB2312" w:hAnsi="宋体" w:eastAsia="楷体_GB2312"/>
          <w:b/>
          <w:sz w:val="32"/>
          <w:szCs w:val="32"/>
          <w:lang w:val="zh-CN"/>
        </w:rPr>
      </w:pPr>
      <w:r>
        <w:rPr>
          <w:rFonts w:hint="eastAsia" w:ascii="楷体_GB2312" w:hAnsi="宋体" w:eastAsia="楷体_GB2312"/>
          <w:b/>
          <w:sz w:val="32"/>
          <w:szCs w:val="32"/>
          <w:lang w:val="zh-CN"/>
        </w:rPr>
        <w:t>（一）存在的问题。无</w:t>
      </w:r>
    </w:p>
    <w:p w14:paraId="291BF25F">
      <w:pPr>
        <w:keepNext w:val="0"/>
        <w:keepLines w:val="0"/>
        <w:pageBreakBefore w:val="0"/>
        <w:widowControl w:val="0"/>
        <w:kinsoku/>
        <w:wordWrap/>
        <w:overflowPunct/>
        <w:topLinePunct w:val="0"/>
        <w:autoSpaceDE/>
        <w:autoSpaceDN/>
        <w:bidi w:val="0"/>
        <w:adjustRightInd w:val="0"/>
        <w:snapToGrid w:val="0"/>
        <w:spacing w:line="560" w:lineRule="exact"/>
        <w:ind w:firstLine="720"/>
        <w:textAlignment w:val="auto"/>
        <w:rPr>
          <w:sz w:val="32"/>
          <w:szCs w:val="32"/>
        </w:rPr>
      </w:pPr>
      <w:r>
        <w:rPr>
          <w:rFonts w:hint="eastAsia" w:ascii="楷体_GB2312" w:hAnsi="宋体" w:eastAsia="楷体_GB2312"/>
          <w:b/>
          <w:sz w:val="32"/>
          <w:szCs w:val="32"/>
          <w:lang w:val="zh-CN"/>
        </w:rPr>
        <w:t>（二）相关建议。无</w:t>
      </w:r>
    </w:p>
    <w:p w14:paraId="175885D9">
      <w:pPr>
        <w:adjustRightInd w:val="0"/>
        <w:snapToGrid w:val="0"/>
        <w:spacing w:line="600" w:lineRule="exact"/>
        <w:ind w:firstLine="720"/>
        <w:rPr>
          <w:sz w:val="32"/>
          <w:szCs w:val="32"/>
        </w:rPr>
      </w:pPr>
    </w:p>
    <w:p w14:paraId="723B9D79">
      <w:pPr>
        <w:rPr>
          <w:rFonts w:hint="eastAsia" w:eastAsia="仿宋_GB2312"/>
          <w:color w:val="FF0000"/>
          <w:sz w:val="32"/>
          <w:szCs w:val="32"/>
          <w:lang w:val="zh-CN"/>
        </w:rPr>
      </w:pPr>
      <w:r>
        <w:drawing>
          <wp:inline distT="0" distB="0" distL="114300" distR="114300">
            <wp:extent cx="5274310" cy="6349365"/>
            <wp:effectExtent l="0" t="0" r="2540" b="1333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5274310" cy="6349365"/>
                    </a:xfrm>
                    <a:prstGeom prst="rect">
                      <a:avLst/>
                    </a:prstGeom>
                    <a:noFill/>
                    <a:ln>
                      <a:noFill/>
                    </a:ln>
                  </pic:spPr>
                </pic:pic>
              </a:graphicData>
            </a:graphic>
          </wp:inline>
        </w:drawing>
      </w:r>
    </w:p>
    <w:p w14:paraId="1C507ACC">
      <w:pPr>
        <w:rPr>
          <w:rFonts w:hint="eastAsia" w:eastAsia="仿宋_GB2312"/>
          <w:color w:val="FF0000"/>
          <w:sz w:val="32"/>
          <w:szCs w:val="32"/>
          <w:lang w:val="zh-CN"/>
        </w:rPr>
      </w:pPr>
    </w:p>
    <w:p w14:paraId="169D6F1A">
      <w:pPr>
        <w:rPr>
          <w:rFonts w:hint="eastAsia" w:eastAsia="仿宋_GB2312"/>
          <w:color w:val="FF0000"/>
          <w:sz w:val="32"/>
          <w:szCs w:val="32"/>
          <w:lang w:val="zh-CN"/>
        </w:rPr>
      </w:pPr>
    </w:p>
    <w:p w14:paraId="3C7D23BB">
      <w:pPr>
        <w:rPr>
          <w:rFonts w:hint="eastAsia" w:eastAsia="仿宋_GB2312"/>
          <w:color w:val="FF0000"/>
          <w:sz w:val="32"/>
          <w:szCs w:val="32"/>
          <w:lang w:val="zh-CN"/>
        </w:rPr>
      </w:pPr>
    </w:p>
    <w:p w14:paraId="011A7BD0">
      <w:pPr>
        <w:rPr>
          <w:rFonts w:hint="eastAsia" w:eastAsia="仿宋_GB2312"/>
          <w:color w:val="FF0000"/>
          <w:sz w:val="32"/>
          <w:szCs w:val="32"/>
          <w:lang w:val="zh-CN"/>
        </w:rPr>
      </w:pPr>
    </w:p>
    <w:p w14:paraId="5407C5B6">
      <w:pPr>
        <w:rPr>
          <w:rFonts w:hint="eastAsia" w:eastAsia="仿宋_GB2312"/>
          <w:color w:val="FF0000"/>
          <w:sz w:val="32"/>
          <w:szCs w:val="32"/>
          <w:lang w:val="zh-CN"/>
        </w:rPr>
      </w:pPr>
    </w:p>
    <w:p w14:paraId="570396CF">
      <w:pPr>
        <w:rPr>
          <w:rFonts w:hint="eastAsia" w:eastAsia="仿宋_GB2312"/>
          <w:color w:val="FF0000"/>
          <w:sz w:val="32"/>
          <w:szCs w:val="32"/>
          <w:lang w:val="zh-CN"/>
        </w:rPr>
      </w:pPr>
    </w:p>
    <w:p w14:paraId="26077E4D">
      <w:pPr>
        <w:pStyle w:val="3"/>
        <w:jc w:val="center"/>
        <w:rPr>
          <w:rFonts w:ascii="黑体" w:hAnsi="黑体" w:eastAsia="黑体"/>
        </w:rPr>
      </w:pPr>
      <w:r>
        <w:rPr>
          <w:rFonts w:hint="eastAsia" w:ascii="黑体" w:hAnsi="黑体" w:eastAsia="黑体"/>
        </w:rPr>
        <w:t>第五部分 附表</w:t>
      </w:r>
    </w:p>
    <w:p w14:paraId="32330C47">
      <w:pPr>
        <w:rPr>
          <w:rFonts w:ascii="仿宋" w:hAnsi="仿宋" w:eastAsia="仿宋"/>
          <w:sz w:val="32"/>
          <w:szCs w:val="32"/>
        </w:rPr>
      </w:pPr>
      <w:r>
        <w:rPr>
          <w:rFonts w:hint="eastAsia" w:ascii="仿宋" w:hAnsi="仿宋" w:eastAsia="仿宋"/>
          <w:sz w:val="32"/>
          <w:szCs w:val="32"/>
        </w:rPr>
        <w:t>一、收入支出决算总表</w:t>
      </w:r>
    </w:p>
    <w:p w14:paraId="58A86741">
      <w:pPr>
        <w:rPr>
          <w:rFonts w:ascii="仿宋" w:hAnsi="仿宋" w:eastAsia="仿宋"/>
          <w:sz w:val="32"/>
          <w:szCs w:val="32"/>
        </w:rPr>
      </w:pPr>
      <w:r>
        <w:rPr>
          <w:rFonts w:hint="eastAsia" w:ascii="仿宋" w:hAnsi="仿宋" w:eastAsia="仿宋"/>
          <w:sz w:val="32"/>
          <w:szCs w:val="32"/>
        </w:rPr>
        <w:t>二、收入决算表</w:t>
      </w:r>
    </w:p>
    <w:p w14:paraId="306848F4">
      <w:pPr>
        <w:rPr>
          <w:rFonts w:ascii="仿宋" w:hAnsi="仿宋" w:eastAsia="仿宋"/>
          <w:sz w:val="32"/>
          <w:szCs w:val="32"/>
        </w:rPr>
      </w:pPr>
      <w:r>
        <w:rPr>
          <w:rFonts w:hint="eastAsia" w:ascii="仿宋" w:hAnsi="仿宋" w:eastAsia="仿宋"/>
          <w:sz w:val="32"/>
          <w:szCs w:val="32"/>
        </w:rPr>
        <w:t>三、支出决算表</w:t>
      </w:r>
    </w:p>
    <w:p w14:paraId="019E5892">
      <w:pPr>
        <w:rPr>
          <w:rFonts w:ascii="仿宋" w:hAnsi="仿宋" w:eastAsia="仿宋"/>
          <w:sz w:val="32"/>
          <w:szCs w:val="32"/>
        </w:rPr>
      </w:pPr>
      <w:r>
        <w:rPr>
          <w:rFonts w:hint="eastAsia" w:ascii="仿宋" w:hAnsi="仿宋" w:eastAsia="仿宋"/>
          <w:sz w:val="32"/>
          <w:szCs w:val="32"/>
        </w:rPr>
        <w:t>四、财政拨款收入支出决算总表</w:t>
      </w:r>
    </w:p>
    <w:p w14:paraId="57BD7B02">
      <w:pPr>
        <w:rPr>
          <w:rFonts w:ascii="仿宋" w:hAnsi="仿宋" w:eastAsia="仿宋"/>
          <w:sz w:val="32"/>
          <w:szCs w:val="32"/>
        </w:rPr>
      </w:pPr>
      <w:r>
        <w:rPr>
          <w:rFonts w:hint="eastAsia" w:ascii="仿宋" w:hAnsi="仿宋" w:eastAsia="仿宋"/>
          <w:sz w:val="32"/>
          <w:szCs w:val="32"/>
        </w:rPr>
        <w:t>五、财政拨款支出决算明细表</w:t>
      </w:r>
    </w:p>
    <w:p w14:paraId="0CF10071">
      <w:pPr>
        <w:rPr>
          <w:rFonts w:ascii="仿宋" w:hAnsi="仿宋" w:eastAsia="仿宋"/>
          <w:sz w:val="32"/>
          <w:szCs w:val="32"/>
        </w:rPr>
      </w:pPr>
      <w:r>
        <w:rPr>
          <w:rFonts w:hint="eastAsia" w:ascii="仿宋" w:hAnsi="仿宋" w:eastAsia="仿宋"/>
          <w:sz w:val="32"/>
          <w:szCs w:val="32"/>
        </w:rPr>
        <w:t>六、一般公共预算财政拨款支出决算表</w:t>
      </w:r>
    </w:p>
    <w:p w14:paraId="17CBF09A">
      <w:pPr>
        <w:rPr>
          <w:rFonts w:ascii="仿宋" w:hAnsi="仿宋" w:eastAsia="仿宋"/>
          <w:sz w:val="32"/>
          <w:szCs w:val="32"/>
        </w:rPr>
      </w:pPr>
      <w:r>
        <w:rPr>
          <w:rFonts w:hint="eastAsia" w:ascii="仿宋" w:hAnsi="仿宋" w:eastAsia="仿宋"/>
          <w:sz w:val="32"/>
          <w:szCs w:val="32"/>
        </w:rPr>
        <w:t>七、一般公共预算财政拨款支出决算明细表</w:t>
      </w:r>
    </w:p>
    <w:p w14:paraId="55E9AA30">
      <w:pPr>
        <w:rPr>
          <w:rFonts w:ascii="仿宋" w:hAnsi="仿宋" w:eastAsia="仿宋"/>
          <w:sz w:val="32"/>
          <w:szCs w:val="32"/>
        </w:rPr>
      </w:pPr>
      <w:r>
        <w:rPr>
          <w:rFonts w:hint="eastAsia" w:ascii="仿宋" w:hAnsi="仿宋" w:eastAsia="仿宋"/>
          <w:sz w:val="32"/>
          <w:szCs w:val="32"/>
        </w:rPr>
        <w:t>八、一般公共预算财政拨款基本支出决算表</w:t>
      </w:r>
    </w:p>
    <w:p w14:paraId="4B69C636">
      <w:pPr>
        <w:rPr>
          <w:rFonts w:ascii="仿宋" w:hAnsi="仿宋" w:eastAsia="仿宋"/>
          <w:sz w:val="32"/>
          <w:szCs w:val="32"/>
        </w:rPr>
      </w:pPr>
      <w:r>
        <w:rPr>
          <w:rFonts w:hint="eastAsia" w:ascii="仿宋" w:hAnsi="仿宋" w:eastAsia="仿宋"/>
          <w:sz w:val="32"/>
          <w:szCs w:val="32"/>
        </w:rPr>
        <w:t>九、一般公共预算财政拨款项目支出决算表</w:t>
      </w:r>
    </w:p>
    <w:p w14:paraId="0D37122A">
      <w:pPr>
        <w:rPr>
          <w:rFonts w:ascii="仿宋" w:hAnsi="仿宋" w:eastAsia="仿宋"/>
          <w:sz w:val="32"/>
          <w:szCs w:val="32"/>
        </w:rPr>
      </w:pPr>
      <w:r>
        <w:rPr>
          <w:rFonts w:hint="eastAsia" w:ascii="仿宋" w:hAnsi="仿宋" w:eastAsia="仿宋"/>
          <w:sz w:val="32"/>
          <w:szCs w:val="32"/>
        </w:rPr>
        <w:t>十、政府性基金预算财政拨款收入支出决算表</w:t>
      </w:r>
    </w:p>
    <w:p w14:paraId="48B8C1D1">
      <w:pPr>
        <w:rPr>
          <w:rFonts w:ascii="仿宋" w:hAnsi="仿宋" w:eastAsia="仿宋"/>
          <w:sz w:val="32"/>
          <w:szCs w:val="32"/>
        </w:rPr>
      </w:pPr>
      <w:r>
        <w:rPr>
          <w:rFonts w:hint="eastAsia" w:ascii="仿宋" w:hAnsi="仿宋" w:eastAsia="仿宋"/>
          <w:sz w:val="32"/>
          <w:szCs w:val="32"/>
        </w:rPr>
        <w:t>十一、国有资本经营预算财政拨款收入支出决算表</w:t>
      </w:r>
    </w:p>
    <w:p w14:paraId="595032EB">
      <w:pPr>
        <w:rPr>
          <w:rFonts w:ascii="仿宋" w:hAnsi="仿宋" w:eastAsia="仿宋"/>
          <w:sz w:val="32"/>
          <w:szCs w:val="32"/>
        </w:rPr>
      </w:pPr>
      <w:r>
        <w:rPr>
          <w:rFonts w:hint="eastAsia" w:ascii="仿宋" w:hAnsi="仿宋" w:eastAsia="仿宋"/>
          <w:sz w:val="32"/>
          <w:szCs w:val="32"/>
        </w:rPr>
        <w:t>十二、国有资本经营预算财政拨款支出决算表</w:t>
      </w:r>
    </w:p>
    <w:p w14:paraId="18545B5C">
      <w:pPr>
        <w:rPr>
          <w:rFonts w:ascii="仿宋" w:hAnsi="仿宋" w:eastAsia="仿宋"/>
          <w:sz w:val="32"/>
          <w:szCs w:val="32"/>
        </w:rPr>
      </w:pPr>
      <w:r>
        <w:rPr>
          <w:rFonts w:hint="eastAsia" w:ascii="仿宋" w:hAnsi="仿宋" w:eastAsia="仿宋"/>
          <w:sz w:val="32"/>
          <w:szCs w:val="32"/>
        </w:rPr>
        <w:t>十三、财政拨款“三公”经费支出决算表</w:t>
      </w:r>
    </w:p>
    <w:sectPr>
      <w:footerReference r:id="rId5" w:type="first"/>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8E84B87-2E1F-4FBD-9FBC-23E968DAA6C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BFA0A3C6-0A38-42E9-B324-AB5F51D291DF}"/>
  </w:font>
  <w:font w:name="仿宋">
    <w:panose1 w:val="02010609060101010101"/>
    <w:charset w:val="86"/>
    <w:family w:val="modern"/>
    <w:pitch w:val="default"/>
    <w:sig w:usb0="800002BF" w:usb1="38CF7CFA" w:usb2="00000016" w:usb3="00000000" w:csb0="00040001" w:csb1="00000000"/>
    <w:embedRegular r:id="rId3" w:fontKey="{D943D7DE-0D6B-4353-8E20-E6D9348909E8}"/>
  </w:font>
  <w:font w:name="Cambria">
    <w:panose1 w:val="02040503050406030204"/>
    <w:charset w:val="00"/>
    <w:family w:val="roman"/>
    <w:pitch w:val="default"/>
    <w:sig w:usb0="E00002FF" w:usb1="400004FF" w:usb2="00000000" w:usb3="00000000" w:csb0="2000019F" w:csb1="00000000"/>
    <w:embedRegular r:id="rId4" w:fontKey="{4949999D-3BB8-4CA6-A6E1-96B6B33EE44C}"/>
  </w:font>
  <w:font w:name="仿宋_GB2312">
    <w:panose1 w:val="02010609030101010101"/>
    <w:charset w:val="86"/>
    <w:family w:val="modern"/>
    <w:pitch w:val="default"/>
    <w:sig w:usb0="00000001" w:usb1="080E0000" w:usb2="00000000" w:usb3="00000000" w:csb0="00040000" w:csb1="00000000"/>
    <w:embedRegular r:id="rId5" w:fontKey="{728D7EF1-34E6-4192-9D07-4A22C325EB78}"/>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E0000" w:usb2="00000000" w:usb3="00000000" w:csb0="00040000" w:csb1="00000000"/>
    <w:embedRegular r:id="rId6" w:fontKey="{2D858A73-AC4A-4434-8436-3EDD3DD3F9CC}"/>
  </w:font>
  <w:font w:name="楷体_GB2312">
    <w:panose1 w:val="02010609030101010101"/>
    <w:charset w:val="86"/>
    <w:family w:val="auto"/>
    <w:pitch w:val="default"/>
    <w:sig w:usb0="00000001" w:usb1="080E0000" w:usb2="00000000" w:usb3="00000000" w:csb0="00040000" w:csb1="00000000"/>
    <w:embedRegular r:id="rId7" w:fontKey="{2E2D5FF3-6F7C-453A-8B03-BB7F8403E418}"/>
  </w:font>
  <w:font w:name="Microsoft YaHei UI">
    <w:panose1 w:val="020B0503020204020204"/>
    <w:charset w:val="86"/>
    <w:family w:val="auto"/>
    <w:pitch w:val="default"/>
    <w:sig w:usb0="80000287" w:usb1="2ACF3C50" w:usb2="00000016" w:usb3="00000000" w:csb0="0004001F" w:csb1="00000000"/>
    <w:embedRegular r:id="rId8" w:fontKey="{590ACAAF-EC26-4F20-9D5C-3D9E4C53E8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849CE">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sdtPr>
                          <w:sdtContent>
                            <w:p w14:paraId="1926654D">
                              <w:pPr>
                                <w:pStyle w:val="12"/>
                                <w:jc w:val="center"/>
                              </w:pPr>
                              <w:r>
                                <w:fldChar w:fldCharType="begin"/>
                              </w:r>
                              <w:r>
                                <w:instrText xml:space="preserve">PAGE   \* MERGEFORMAT</w:instrText>
                              </w:r>
                              <w:r>
                                <w:fldChar w:fldCharType="separate"/>
                              </w:r>
                              <w:r>
                                <w:rPr>
                                  <w:lang w:val="zh-CN"/>
                                </w:rPr>
                                <w:t>23</w:t>
                              </w:r>
                              <w:r>
                                <w:fldChar w:fldCharType="end"/>
                              </w:r>
                            </w:p>
                          </w:sdtContent>
                        </w:sdt>
                        <w:p w14:paraId="05B90DF1">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sdt>
                    <w:sdtPr>
                      <w:id w:val="-1994781956"/>
                    </w:sdtPr>
                    <w:sdtContent>
                      <w:p w14:paraId="1926654D">
                        <w:pPr>
                          <w:pStyle w:val="12"/>
                          <w:jc w:val="center"/>
                        </w:pPr>
                        <w:r>
                          <w:fldChar w:fldCharType="begin"/>
                        </w:r>
                        <w:r>
                          <w:instrText xml:space="preserve">PAGE   \* MERGEFORMAT</w:instrText>
                        </w:r>
                        <w:r>
                          <w:fldChar w:fldCharType="separate"/>
                        </w:r>
                        <w:r>
                          <w:rPr>
                            <w:lang w:val="zh-CN"/>
                          </w:rPr>
                          <w:t>23</w:t>
                        </w:r>
                        <w:r>
                          <w:fldChar w:fldCharType="end"/>
                        </w:r>
                      </w:p>
                    </w:sdtContent>
                  </w:sdt>
                  <w:p w14:paraId="05B90DF1">
                    <w:pPr>
                      <w:pStyle w:val="23"/>
                    </w:pPr>
                  </w:p>
                </w:txbxContent>
              </v:textbox>
            </v:shape>
          </w:pict>
        </mc:Fallback>
      </mc:AlternateContent>
    </w:r>
  </w:p>
  <w:p w14:paraId="13DAEC6F">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C4785">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679D0">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5C679D0">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6550E">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42585C"/>
    <w:multiLevelType w:val="singleLevel"/>
    <w:tmpl w:val="8742585C"/>
    <w:lvl w:ilvl="0" w:tentative="0">
      <w:start w:val="3"/>
      <w:numFmt w:val="decimal"/>
      <w:lvlText w:val="%1."/>
      <w:lvlJc w:val="left"/>
      <w:pPr>
        <w:tabs>
          <w:tab w:val="left" w:pos="312"/>
        </w:tabs>
      </w:pPr>
    </w:lvl>
  </w:abstractNum>
  <w:abstractNum w:abstractNumId="1">
    <w:nsid w:val="ABA9D302"/>
    <w:multiLevelType w:val="singleLevel"/>
    <w:tmpl w:val="ABA9D302"/>
    <w:lvl w:ilvl="0" w:tentative="0">
      <w:start w:val="1"/>
      <w:numFmt w:val="decimal"/>
      <w:lvlText w:val="%1."/>
      <w:lvlJc w:val="left"/>
      <w:pPr>
        <w:tabs>
          <w:tab w:val="left" w:pos="312"/>
        </w:tabs>
      </w:pPr>
    </w:lvl>
  </w:abstractNum>
  <w:abstractNum w:abstractNumId="2">
    <w:nsid w:val="CF652CEC"/>
    <w:multiLevelType w:val="singleLevel"/>
    <w:tmpl w:val="CF652CEC"/>
    <w:lvl w:ilvl="0" w:tentative="0">
      <w:start w:val="9"/>
      <w:numFmt w:val="chineseCounting"/>
      <w:suff w:val="nothing"/>
      <w:lvlText w:val="%1、"/>
      <w:lvlJc w:val="left"/>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56D2ADE3"/>
    <w:multiLevelType w:val="singleLevel"/>
    <w:tmpl w:val="56D2ADE3"/>
    <w:lvl w:ilvl="0" w:tentative="0">
      <w:start w:val="2"/>
      <w:numFmt w:val="chineseCounting"/>
      <w:suff w:val="nothing"/>
      <w:lvlText w:val="（%1）"/>
      <w:lvlJc w:val="left"/>
      <w:rPr>
        <w:rFonts w:hint="eastAsia"/>
      </w:rPr>
    </w:lvl>
  </w:abstractNum>
  <w:abstractNum w:abstractNumId="5">
    <w:nsid w:val="5B021476"/>
    <w:multiLevelType w:val="singleLevel"/>
    <w:tmpl w:val="5B021476"/>
    <w:lvl w:ilvl="0" w:tentative="0">
      <w:start w:val="1"/>
      <w:numFmt w:val="chineseCounting"/>
      <w:suff w:val="nothing"/>
      <w:lvlText w:val="%1、"/>
      <w:lvlJc w:val="left"/>
      <w:rPr>
        <w:rFonts w:hint="eastAsia"/>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U1MjFjMDUwODIwZDg4NDczZTI5ZmU1NTQ5YzljMTkifQ=="/>
  </w:docVars>
  <w:rsids>
    <w:rsidRoot w:val="00F1361C"/>
    <w:rsid w:val="00014A1C"/>
    <w:rsid w:val="000222C6"/>
    <w:rsid w:val="0002549F"/>
    <w:rsid w:val="00035392"/>
    <w:rsid w:val="000468DB"/>
    <w:rsid w:val="0006487A"/>
    <w:rsid w:val="00065F8F"/>
    <w:rsid w:val="00070A43"/>
    <w:rsid w:val="000768F2"/>
    <w:rsid w:val="00082EAC"/>
    <w:rsid w:val="0009184B"/>
    <w:rsid w:val="00094236"/>
    <w:rsid w:val="0009593C"/>
    <w:rsid w:val="00097322"/>
    <w:rsid w:val="00097358"/>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30E5"/>
    <w:rsid w:val="00174518"/>
    <w:rsid w:val="0018106D"/>
    <w:rsid w:val="001877A7"/>
    <w:rsid w:val="00191536"/>
    <w:rsid w:val="00196687"/>
    <w:rsid w:val="001C0962"/>
    <w:rsid w:val="001C2738"/>
    <w:rsid w:val="001D7531"/>
    <w:rsid w:val="001E737D"/>
    <w:rsid w:val="001F0592"/>
    <w:rsid w:val="001F6419"/>
    <w:rsid w:val="001F7506"/>
    <w:rsid w:val="002006CD"/>
    <w:rsid w:val="00202B36"/>
    <w:rsid w:val="00204B7A"/>
    <w:rsid w:val="00204CDE"/>
    <w:rsid w:val="0021101A"/>
    <w:rsid w:val="00220536"/>
    <w:rsid w:val="00235629"/>
    <w:rsid w:val="00260289"/>
    <w:rsid w:val="00260C38"/>
    <w:rsid w:val="002616C0"/>
    <w:rsid w:val="002643DB"/>
    <w:rsid w:val="00265372"/>
    <w:rsid w:val="002662AA"/>
    <w:rsid w:val="00280496"/>
    <w:rsid w:val="00283D47"/>
    <w:rsid w:val="00294DC9"/>
    <w:rsid w:val="00295495"/>
    <w:rsid w:val="002A31DE"/>
    <w:rsid w:val="002A62F7"/>
    <w:rsid w:val="002B2613"/>
    <w:rsid w:val="002C1468"/>
    <w:rsid w:val="002D6D05"/>
    <w:rsid w:val="002F1818"/>
    <w:rsid w:val="002F5109"/>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2919"/>
    <w:rsid w:val="003D66DA"/>
    <w:rsid w:val="003E1310"/>
    <w:rsid w:val="003E2E6A"/>
    <w:rsid w:val="003E6F55"/>
    <w:rsid w:val="00406254"/>
    <w:rsid w:val="00410559"/>
    <w:rsid w:val="0041585D"/>
    <w:rsid w:val="00420B47"/>
    <w:rsid w:val="004223DE"/>
    <w:rsid w:val="00434489"/>
    <w:rsid w:val="00437085"/>
    <w:rsid w:val="00443880"/>
    <w:rsid w:val="004464F4"/>
    <w:rsid w:val="00447329"/>
    <w:rsid w:val="00471401"/>
    <w:rsid w:val="00473F31"/>
    <w:rsid w:val="0048263A"/>
    <w:rsid w:val="004826A2"/>
    <w:rsid w:val="00487E5D"/>
    <w:rsid w:val="004A711F"/>
    <w:rsid w:val="004B199D"/>
    <w:rsid w:val="004B4690"/>
    <w:rsid w:val="004E0A2D"/>
    <w:rsid w:val="004E206B"/>
    <w:rsid w:val="004E3607"/>
    <w:rsid w:val="004E6DF7"/>
    <w:rsid w:val="004F0FBD"/>
    <w:rsid w:val="00505A47"/>
    <w:rsid w:val="00512FDA"/>
    <w:rsid w:val="00520DA0"/>
    <w:rsid w:val="005664BB"/>
    <w:rsid w:val="00566FFA"/>
    <w:rsid w:val="0057481D"/>
    <w:rsid w:val="0058486E"/>
    <w:rsid w:val="00585B33"/>
    <w:rsid w:val="0059014D"/>
    <w:rsid w:val="005A09FD"/>
    <w:rsid w:val="005B0198"/>
    <w:rsid w:val="005B321C"/>
    <w:rsid w:val="005B5C64"/>
    <w:rsid w:val="005C5337"/>
    <w:rsid w:val="005C6BD0"/>
    <w:rsid w:val="005D1C8B"/>
    <w:rsid w:val="005D468D"/>
    <w:rsid w:val="005D5CED"/>
    <w:rsid w:val="005F1A4C"/>
    <w:rsid w:val="00605688"/>
    <w:rsid w:val="006070AF"/>
    <w:rsid w:val="00607E6C"/>
    <w:rsid w:val="006101B1"/>
    <w:rsid w:val="00614E44"/>
    <w:rsid w:val="00620030"/>
    <w:rsid w:val="0062270A"/>
    <w:rsid w:val="00622830"/>
    <w:rsid w:val="00623DA0"/>
    <w:rsid w:val="00630AEF"/>
    <w:rsid w:val="006325F8"/>
    <w:rsid w:val="00633463"/>
    <w:rsid w:val="00634C9A"/>
    <w:rsid w:val="00640417"/>
    <w:rsid w:val="00641F56"/>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516B"/>
    <w:rsid w:val="00746F48"/>
    <w:rsid w:val="0075404D"/>
    <w:rsid w:val="0076182A"/>
    <w:rsid w:val="00762406"/>
    <w:rsid w:val="0076493D"/>
    <w:rsid w:val="00767B7E"/>
    <w:rsid w:val="007770C3"/>
    <w:rsid w:val="00784D24"/>
    <w:rsid w:val="00785FBA"/>
    <w:rsid w:val="00786E4A"/>
    <w:rsid w:val="007875EB"/>
    <w:rsid w:val="0079426B"/>
    <w:rsid w:val="007D1682"/>
    <w:rsid w:val="007D312A"/>
    <w:rsid w:val="007D3F19"/>
    <w:rsid w:val="007E23B0"/>
    <w:rsid w:val="007E23E5"/>
    <w:rsid w:val="007E6A82"/>
    <w:rsid w:val="007F1991"/>
    <w:rsid w:val="007F2C2F"/>
    <w:rsid w:val="007F55FC"/>
    <w:rsid w:val="007F5665"/>
    <w:rsid w:val="007F7385"/>
    <w:rsid w:val="00800112"/>
    <w:rsid w:val="00813348"/>
    <w:rsid w:val="008253BB"/>
    <w:rsid w:val="0083706E"/>
    <w:rsid w:val="008408F6"/>
    <w:rsid w:val="008423A5"/>
    <w:rsid w:val="00850625"/>
    <w:rsid w:val="00853718"/>
    <w:rsid w:val="00855221"/>
    <w:rsid w:val="00860645"/>
    <w:rsid w:val="00871F71"/>
    <w:rsid w:val="00872FD8"/>
    <w:rsid w:val="00875641"/>
    <w:rsid w:val="00885AF4"/>
    <w:rsid w:val="00887F08"/>
    <w:rsid w:val="008914B9"/>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34F0"/>
    <w:rsid w:val="00935C98"/>
    <w:rsid w:val="00946945"/>
    <w:rsid w:val="00951248"/>
    <w:rsid w:val="0095152F"/>
    <w:rsid w:val="009546E4"/>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E50C8"/>
    <w:rsid w:val="009F1185"/>
    <w:rsid w:val="009F18CD"/>
    <w:rsid w:val="009F2A13"/>
    <w:rsid w:val="009F7527"/>
    <w:rsid w:val="00A04EB0"/>
    <w:rsid w:val="00A13CC1"/>
    <w:rsid w:val="00A16847"/>
    <w:rsid w:val="00A237D8"/>
    <w:rsid w:val="00A25C9F"/>
    <w:rsid w:val="00A268C4"/>
    <w:rsid w:val="00A27C77"/>
    <w:rsid w:val="00A307CD"/>
    <w:rsid w:val="00A331C8"/>
    <w:rsid w:val="00A40A00"/>
    <w:rsid w:val="00A4142F"/>
    <w:rsid w:val="00A422EB"/>
    <w:rsid w:val="00A45BB7"/>
    <w:rsid w:val="00A56DF2"/>
    <w:rsid w:val="00A56E6E"/>
    <w:rsid w:val="00A67AB5"/>
    <w:rsid w:val="00A733B2"/>
    <w:rsid w:val="00A741C2"/>
    <w:rsid w:val="00A74A9E"/>
    <w:rsid w:val="00A91760"/>
    <w:rsid w:val="00A93B00"/>
    <w:rsid w:val="00A93C21"/>
    <w:rsid w:val="00AB64C9"/>
    <w:rsid w:val="00AC2E50"/>
    <w:rsid w:val="00AC3C6A"/>
    <w:rsid w:val="00AD5620"/>
    <w:rsid w:val="00AD656B"/>
    <w:rsid w:val="00AD7C1B"/>
    <w:rsid w:val="00AE16BA"/>
    <w:rsid w:val="00AE1EBE"/>
    <w:rsid w:val="00B03C9D"/>
    <w:rsid w:val="00B060AE"/>
    <w:rsid w:val="00B10517"/>
    <w:rsid w:val="00B12E8B"/>
    <w:rsid w:val="00B14E76"/>
    <w:rsid w:val="00B161B8"/>
    <w:rsid w:val="00B2048C"/>
    <w:rsid w:val="00B310B9"/>
    <w:rsid w:val="00B35F3F"/>
    <w:rsid w:val="00B36CBB"/>
    <w:rsid w:val="00B411A6"/>
    <w:rsid w:val="00B425E0"/>
    <w:rsid w:val="00B440AA"/>
    <w:rsid w:val="00B44B70"/>
    <w:rsid w:val="00B53C56"/>
    <w:rsid w:val="00B57DAF"/>
    <w:rsid w:val="00B76F9D"/>
    <w:rsid w:val="00B77EA6"/>
    <w:rsid w:val="00B81598"/>
    <w:rsid w:val="00B841F1"/>
    <w:rsid w:val="00B944D6"/>
    <w:rsid w:val="00BA579E"/>
    <w:rsid w:val="00BB4DF0"/>
    <w:rsid w:val="00BC289F"/>
    <w:rsid w:val="00BC2D50"/>
    <w:rsid w:val="00BC5361"/>
    <w:rsid w:val="00BC5460"/>
    <w:rsid w:val="00BC6B50"/>
    <w:rsid w:val="00BD0E25"/>
    <w:rsid w:val="00BF5BD6"/>
    <w:rsid w:val="00C03E31"/>
    <w:rsid w:val="00C33E72"/>
    <w:rsid w:val="00C354B2"/>
    <w:rsid w:val="00C35554"/>
    <w:rsid w:val="00C42709"/>
    <w:rsid w:val="00C46119"/>
    <w:rsid w:val="00C533CC"/>
    <w:rsid w:val="00C5751C"/>
    <w:rsid w:val="00C61BFC"/>
    <w:rsid w:val="00C62B85"/>
    <w:rsid w:val="00C65438"/>
    <w:rsid w:val="00C860D5"/>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950A1"/>
    <w:rsid w:val="00DA634F"/>
    <w:rsid w:val="00DA65AC"/>
    <w:rsid w:val="00DB1913"/>
    <w:rsid w:val="00DC410D"/>
    <w:rsid w:val="00DC5A81"/>
    <w:rsid w:val="00DC68CA"/>
    <w:rsid w:val="00DC7CBA"/>
    <w:rsid w:val="00DD73B7"/>
    <w:rsid w:val="00DF24DF"/>
    <w:rsid w:val="00DF28BC"/>
    <w:rsid w:val="00DF34B9"/>
    <w:rsid w:val="00E01053"/>
    <w:rsid w:val="00E01B70"/>
    <w:rsid w:val="00E07ACF"/>
    <w:rsid w:val="00E11813"/>
    <w:rsid w:val="00E331A1"/>
    <w:rsid w:val="00E33202"/>
    <w:rsid w:val="00E336A9"/>
    <w:rsid w:val="00E472B1"/>
    <w:rsid w:val="00E50624"/>
    <w:rsid w:val="00E568DF"/>
    <w:rsid w:val="00E64269"/>
    <w:rsid w:val="00E82267"/>
    <w:rsid w:val="00E853CE"/>
    <w:rsid w:val="00E867B6"/>
    <w:rsid w:val="00EA010F"/>
    <w:rsid w:val="00EB0FAE"/>
    <w:rsid w:val="00ED1B63"/>
    <w:rsid w:val="00ED3C1F"/>
    <w:rsid w:val="00ED4085"/>
    <w:rsid w:val="00ED420E"/>
    <w:rsid w:val="00ED6FBE"/>
    <w:rsid w:val="00EE2F57"/>
    <w:rsid w:val="00EF4C34"/>
    <w:rsid w:val="00EF77C6"/>
    <w:rsid w:val="00F03938"/>
    <w:rsid w:val="00F05438"/>
    <w:rsid w:val="00F1361C"/>
    <w:rsid w:val="00F156F0"/>
    <w:rsid w:val="00F160C7"/>
    <w:rsid w:val="00F2408F"/>
    <w:rsid w:val="00F240E9"/>
    <w:rsid w:val="00F36D8F"/>
    <w:rsid w:val="00F417B1"/>
    <w:rsid w:val="00F45853"/>
    <w:rsid w:val="00F5561B"/>
    <w:rsid w:val="00F602DF"/>
    <w:rsid w:val="00F754A1"/>
    <w:rsid w:val="00F81FD9"/>
    <w:rsid w:val="00F841AA"/>
    <w:rsid w:val="00F84A94"/>
    <w:rsid w:val="00F87E96"/>
    <w:rsid w:val="00FA23E8"/>
    <w:rsid w:val="00FA789D"/>
    <w:rsid w:val="00FC7DA4"/>
    <w:rsid w:val="00FD3CC1"/>
    <w:rsid w:val="00FF1E02"/>
    <w:rsid w:val="00FF30B4"/>
    <w:rsid w:val="015975B8"/>
    <w:rsid w:val="02FEBE30"/>
    <w:rsid w:val="036F8141"/>
    <w:rsid w:val="066E0107"/>
    <w:rsid w:val="07996F6E"/>
    <w:rsid w:val="07DFD8BA"/>
    <w:rsid w:val="0A2032A3"/>
    <w:rsid w:val="0C8F0702"/>
    <w:rsid w:val="0D35B1ED"/>
    <w:rsid w:val="0E7ED1F5"/>
    <w:rsid w:val="0F98263C"/>
    <w:rsid w:val="101860EC"/>
    <w:rsid w:val="10C055FF"/>
    <w:rsid w:val="111C6064"/>
    <w:rsid w:val="118107EC"/>
    <w:rsid w:val="13225989"/>
    <w:rsid w:val="132815AF"/>
    <w:rsid w:val="13D50BC4"/>
    <w:rsid w:val="13F5616D"/>
    <w:rsid w:val="16BB723D"/>
    <w:rsid w:val="175E2AED"/>
    <w:rsid w:val="17F9714D"/>
    <w:rsid w:val="1918F934"/>
    <w:rsid w:val="1B2B44F4"/>
    <w:rsid w:val="1BE8440E"/>
    <w:rsid w:val="1D155CEE"/>
    <w:rsid w:val="1DFBC4B3"/>
    <w:rsid w:val="1E740ACF"/>
    <w:rsid w:val="1F19C781"/>
    <w:rsid w:val="1F33FCE5"/>
    <w:rsid w:val="1F7F7398"/>
    <w:rsid w:val="1FD2DB6F"/>
    <w:rsid w:val="1FF35744"/>
    <w:rsid w:val="1FF6BC77"/>
    <w:rsid w:val="1FF9236D"/>
    <w:rsid w:val="2333840E"/>
    <w:rsid w:val="23860B96"/>
    <w:rsid w:val="23F12AC7"/>
    <w:rsid w:val="240371BF"/>
    <w:rsid w:val="25720A96"/>
    <w:rsid w:val="257C638F"/>
    <w:rsid w:val="299C4CB3"/>
    <w:rsid w:val="29FD04D3"/>
    <w:rsid w:val="2BFF7BC6"/>
    <w:rsid w:val="2C8A61B5"/>
    <w:rsid w:val="2CD59C95"/>
    <w:rsid w:val="2DF04E50"/>
    <w:rsid w:val="2EFD05E5"/>
    <w:rsid w:val="2F040D46"/>
    <w:rsid w:val="2F4F95CE"/>
    <w:rsid w:val="2FACAFDD"/>
    <w:rsid w:val="2FAE5751"/>
    <w:rsid w:val="2FB1A395"/>
    <w:rsid w:val="2FCF0B76"/>
    <w:rsid w:val="2FD9A7D8"/>
    <w:rsid w:val="30A9249D"/>
    <w:rsid w:val="319F7F4E"/>
    <w:rsid w:val="3304709D"/>
    <w:rsid w:val="33230F57"/>
    <w:rsid w:val="337113D4"/>
    <w:rsid w:val="36AA5135"/>
    <w:rsid w:val="36BE0DA7"/>
    <w:rsid w:val="376B6AA6"/>
    <w:rsid w:val="376D39B2"/>
    <w:rsid w:val="37E16F03"/>
    <w:rsid w:val="37F53A3B"/>
    <w:rsid w:val="38D469F0"/>
    <w:rsid w:val="38F78389"/>
    <w:rsid w:val="397BAF1F"/>
    <w:rsid w:val="39E7B272"/>
    <w:rsid w:val="39F7642F"/>
    <w:rsid w:val="39FF7B37"/>
    <w:rsid w:val="3A6A2150"/>
    <w:rsid w:val="3AB79AF3"/>
    <w:rsid w:val="3AFDCB77"/>
    <w:rsid w:val="3B7EF35A"/>
    <w:rsid w:val="3B9FDB6C"/>
    <w:rsid w:val="3BCC6F0F"/>
    <w:rsid w:val="3BF5BC2F"/>
    <w:rsid w:val="3BF7C23A"/>
    <w:rsid w:val="3BFF223E"/>
    <w:rsid w:val="3C076A1F"/>
    <w:rsid w:val="3C6EC0A1"/>
    <w:rsid w:val="3CDB0824"/>
    <w:rsid w:val="3CEBA265"/>
    <w:rsid w:val="3D6A7F9F"/>
    <w:rsid w:val="3D7E7F4D"/>
    <w:rsid w:val="3D98207C"/>
    <w:rsid w:val="3D9CF30A"/>
    <w:rsid w:val="3DFF5A3E"/>
    <w:rsid w:val="3E78745D"/>
    <w:rsid w:val="3EEE77E9"/>
    <w:rsid w:val="3F394AF5"/>
    <w:rsid w:val="3FBE5714"/>
    <w:rsid w:val="3FDD8615"/>
    <w:rsid w:val="3FDFB2FF"/>
    <w:rsid w:val="3FF4CAE0"/>
    <w:rsid w:val="3FF75FAF"/>
    <w:rsid w:val="3FF7B227"/>
    <w:rsid w:val="41DC1781"/>
    <w:rsid w:val="428C3575"/>
    <w:rsid w:val="44E268DA"/>
    <w:rsid w:val="457F4F6B"/>
    <w:rsid w:val="4737FB58"/>
    <w:rsid w:val="477B2CAA"/>
    <w:rsid w:val="47ECCB02"/>
    <w:rsid w:val="47FA6A3F"/>
    <w:rsid w:val="49D7AE48"/>
    <w:rsid w:val="4A3F6C7E"/>
    <w:rsid w:val="4A627F82"/>
    <w:rsid w:val="4B0E749A"/>
    <w:rsid w:val="4B4F25DA"/>
    <w:rsid w:val="4BBB4781"/>
    <w:rsid w:val="4BD709A5"/>
    <w:rsid w:val="4BDD9BFF"/>
    <w:rsid w:val="4BE068DB"/>
    <w:rsid w:val="4D577224"/>
    <w:rsid w:val="4DBF1CEB"/>
    <w:rsid w:val="4DBF6A6B"/>
    <w:rsid w:val="4DF6A672"/>
    <w:rsid w:val="4EAB630A"/>
    <w:rsid w:val="4ECE2238"/>
    <w:rsid w:val="4F7EA413"/>
    <w:rsid w:val="4FAB812F"/>
    <w:rsid w:val="4FE9BD67"/>
    <w:rsid w:val="4FEE4C07"/>
    <w:rsid w:val="4FFB052F"/>
    <w:rsid w:val="52910D9E"/>
    <w:rsid w:val="537E6D0A"/>
    <w:rsid w:val="53AB6B88"/>
    <w:rsid w:val="53F74C96"/>
    <w:rsid w:val="5583522D"/>
    <w:rsid w:val="57BD3DD4"/>
    <w:rsid w:val="57F9CD1E"/>
    <w:rsid w:val="5ACA3314"/>
    <w:rsid w:val="5AF92295"/>
    <w:rsid w:val="5AF9D8E9"/>
    <w:rsid w:val="5B233C50"/>
    <w:rsid w:val="5BDD38BD"/>
    <w:rsid w:val="5BDD79E6"/>
    <w:rsid w:val="5BEFC772"/>
    <w:rsid w:val="5BFF5DFC"/>
    <w:rsid w:val="5CD71FC4"/>
    <w:rsid w:val="5D1F11B5"/>
    <w:rsid w:val="5D3647F9"/>
    <w:rsid w:val="5DA644D4"/>
    <w:rsid w:val="5DAE1B18"/>
    <w:rsid w:val="5DE7D9E5"/>
    <w:rsid w:val="5ECEC941"/>
    <w:rsid w:val="5EFF8FC6"/>
    <w:rsid w:val="5F5BA39A"/>
    <w:rsid w:val="5F7D3B79"/>
    <w:rsid w:val="5F7F4610"/>
    <w:rsid w:val="5FBF9FF3"/>
    <w:rsid w:val="5FCD4E2C"/>
    <w:rsid w:val="5FEF394A"/>
    <w:rsid w:val="5FF67715"/>
    <w:rsid w:val="61CA71D5"/>
    <w:rsid w:val="627EE9EA"/>
    <w:rsid w:val="63B23AA5"/>
    <w:rsid w:val="647F5392"/>
    <w:rsid w:val="64E322C4"/>
    <w:rsid w:val="65FB93B9"/>
    <w:rsid w:val="6633C463"/>
    <w:rsid w:val="672E3C81"/>
    <w:rsid w:val="67D55B77"/>
    <w:rsid w:val="67EE7F84"/>
    <w:rsid w:val="686F5F53"/>
    <w:rsid w:val="6AFFCEAF"/>
    <w:rsid w:val="6B1A695F"/>
    <w:rsid w:val="6B96E9E6"/>
    <w:rsid w:val="6BCE57B5"/>
    <w:rsid w:val="6BFEA4DB"/>
    <w:rsid w:val="6BFFB662"/>
    <w:rsid w:val="6C4A05C8"/>
    <w:rsid w:val="6CFF4FB8"/>
    <w:rsid w:val="6D6BD6E0"/>
    <w:rsid w:val="6D77E73C"/>
    <w:rsid w:val="6DB90534"/>
    <w:rsid w:val="6DBF5E93"/>
    <w:rsid w:val="6DCE766A"/>
    <w:rsid w:val="6DF81477"/>
    <w:rsid w:val="6DFF077E"/>
    <w:rsid w:val="6E7E3605"/>
    <w:rsid w:val="6E7FDCC7"/>
    <w:rsid w:val="6ED6A62E"/>
    <w:rsid w:val="6EE00B15"/>
    <w:rsid w:val="6EE737B2"/>
    <w:rsid w:val="6EEB2329"/>
    <w:rsid w:val="6EECE67A"/>
    <w:rsid w:val="6F6F90A8"/>
    <w:rsid w:val="6F6FB3EB"/>
    <w:rsid w:val="6F8731EA"/>
    <w:rsid w:val="6FBC2ADD"/>
    <w:rsid w:val="6FD57C00"/>
    <w:rsid w:val="6FEFFFD8"/>
    <w:rsid w:val="6FF5CC65"/>
    <w:rsid w:val="6FFB47EC"/>
    <w:rsid w:val="6FFF034A"/>
    <w:rsid w:val="712A28F1"/>
    <w:rsid w:val="715C0E4B"/>
    <w:rsid w:val="71FFD401"/>
    <w:rsid w:val="72233669"/>
    <w:rsid w:val="72734D90"/>
    <w:rsid w:val="7332FE48"/>
    <w:rsid w:val="73AD73D5"/>
    <w:rsid w:val="73B6EB34"/>
    <w:rsid w:val="73FA497D"/>
    <w:rsid w:val="744731E5"/>
    <w:rsid w:val="74BBD01D"/>
    <w:rsid w:val="74ED5379"/>
    <w:rsid w:val="75DEEEC2"/>
    <w:rsid w:val="767F479D"/>
    <w:rsid w:val="76E3355F"/>
    <w:rsid w:val="76F742AF"/>
    <w:rsid w:val="76F7BE7D"/>
    <w:rsid w:val="76FF5125"/>
    <w:rsid w:val="773570D3"/>
    <w:rsid w:val="77597F31"/>
    <w:rsid w:val="776F6FFA"/>
    <w:rsid w:val="7777A522"/>
    <w:rsid w:val="77858688"/>
    <w:rsid w:val="778769C8"/>
    <w:rsid w:val="77CB741A"/>
    <w:rsid w:val="77D7BE3A"/>
    <w:rsid w:val="77DC22F5"/>
    <w:rsid w:val="797E3A6C"/>
    <w:rsid w:val="79CF70E2"/>
    <w:rsid w:val="79D7FD79"/>
    <w:rsid w:val="79E75806"/>
    <w:rsid w:val="79EE5BA4"/>
    <w:rsid w:val="7A641148"/>
    <w:rsid w:val="7A6F8BF5"/>
    <w:rsid w:val="7A894339"/>
    <w:rsid w:val="7A905207"/>
    <w:rsid w:val="7ACF82B5"/>
    <w:rsid w:val="7AFF28C9"/>
    <w:rsid w:val="7AFF72A0"/>
    <w:rsid w:val="7AFF7572"/>
    <w:rsid w:val="7B6C7DFB"/>
    <w:rsid w:val="7B7D76A7"/>
    <w:rsid w:val="7BAE2FE2"/>
    <w:rsid w:val="7BAF6951"/>
    <w:rsid w:val="7BBFBED0"/>
    <w:rsid w:val="7BC3E394"/>
    <w:rsid w:val="7BF3FE4C"/>
    <w:rsid w:val="7BFB5035"/>
    <w:rsid w:val="7BFDE17E"/>
    <w:rsid w:val="7CBFC87B"/>
    <w:rsid w:val="7CFE0F48"/>
    <w:rsid w:val="7D3DE31C"/>
    <w:rsid w:val="7D7EC23E"/>
    <w:rsid w:val="7D7F8A13"/>
    <w:rsid w:val="7DBBCB01"/>
    <w:rsid w:val="7DC765D0"/>
    <w:rsid w:val="7DDB0EE0"/>
    <w:rsid w:val="7DFF51D8"/>
    <w:rsid w:val="7E634199"/>
    <w:rsid w:val="7E8ADEBF"/>
    <w:rsid w:val="7EEF11D3"/>
    <w:rsid w:val="7EF78C20"/>
    <w:rsid w:val="7F3F679B"/>
    <w:rsid w:val="7F4FC4EF"/>
    <w:rsid w:val="7F5E4D54"/>
    <w:rsid w:val="7F6B75FA"/>
    <w:rsid w:val="7F9F518D"/>
    <w:rsid w:val="7FA30C79"/>
    <w:rsid w:val="7FAF8ABF"/>
    <w:rsid w:val="7FB7269E"/>
    <w:rsid w:val="7FBD6753"/>
    <w:rsid w:val="7FBFABB4"/>
    <w:rsid w:val="7FC65084"/>
    <w:rsid w:val="7FC96657"/>
    <w:rsid w:val="7FD72595"/>
    <w:rsid w:val="7FDA9588"/>
    <w:rsid w:val="7FDF220F"/>
    <w:rsid w:val="7FDF4542"/>
    <w:rsid w:val="7FDF5405"/>
    <w:rsid w:val="7FEDC251"/>
    <w:rsid w:val="7FEDC5F7"/>
    <w:rsid w:val="7FEDD9DE"/>
    <w:rsid w:val="7FEFCDB9"/>
    <w:rsid w:val="7FF5890D"/>
    <w:rsid w:val="7FF5EB09"/>
    <w:rsid w:val="7FF89B92"/>
    <w:rsid w:val="7FF8F2E7"/>
    <w:rsid w:val="7FF93490"/>
    <w:rsid w:val="7FFA6237"/>
    <w:rsid w:val="7FFB5275"/>
    <w:rsid w:val="7FFD14DE"/>
    <w:rsid w:val="7FFFF783"/>
    <w:rsid w:val="93F70A9E"/>
    <w:rsid w:val="997D060E"/>
    <w:rsid w:val="99FF2014"/>
    <w:rsid w:val="9E59F895"/>
    <w:rsid w:val="9E7DEDC1"/>
    <w:rsid w:val="9EEF2B0D"/>
    <w:rsid w:val="9FF6F2A6"/>
    <w:rsid w:val="9FFE4AD9"/>
    <w:rsid w:val="9FFF61B9"/>
    <w:rsid w:val="A6DD0D7F"/>
    <w:rsid w:val="A7955197"/>
    <w:rsid w:val="A7FE5E0E"/>
    <w:rsid w:val="ADC6F725"/>
    <w:rsid w:val="AF0FFA84"/>
    <w:rsid w:val="AF9F0A5E"/>
    <w:rsid w:val="AFEF7964"/>
    <w:rsid w:val="B27A6F28"/>
    <w:rsid w:val="B35F0D5A"/>
    <w:rsid w:val="B3F7F693"/>
    <w:rsid w:val="B3FBBB6C"/>
    <w:rsid w:val="B5FFE407"/>
    <w:rsid w:val="B7CF06AB"/>
    <w:rsid w:val="B7CFA926"/>
    <w:rsid w:val="B7F8786B"/>
    <w:rsid w:val="B9EF5647"/>
    <w:rsid w:val="BABB6AA1"/>
    <w:rsid w:val="BAFCD398"/>
    <w:rsid w:val="BAFFDA0F"/>
    <w:rsid w:val="BB2F4199"/>
    <w:rsid w:val="BBFBD24E"/>
    <w:rsid w:val="BD079C78"/>
    <w:rsid w:val="BD2DD278"/>
    <w:rsid w:val="BD733540"/>
    <w:rsid w:val="BDF7970E"/>
    <w:rsid w:val="BDFE68BD"/>
    <w:rsid w:val="BE6FC990"/>
    <w:rsid w:val="BEBE9537"/>
    <w:rsid w:val="BEFF0D62"/>
    <w:rsid w:val="BEFF90EF"/>
    <w:rsid w:val="BF3735D5"/>
    <w:rsid w:val="BF7F09AC"/>
    <w:rsid w:val="BFB3380D"/>
    <w:rsid w:val="BFB7E7A2"/>
    <w:rsid w:val="BFC2F103"/>
    <w:rsid w:val="BFD475C3"/>
    <w:rsid w:val="BFDE5EA6"/>
    <w:rsid w:val="BFEF99E9"/>
    <w:rsid w:val="BFF9E564"/>
    <w:rsid w:val="BFFF3A69"/>
    <w:rsid w:val="C7BFEF9C"/>
    <w:rsid w:val="C8BD8F25"/>
    <w:rsid w:val="C94DA72E"/>
    <w:rsid w:val="CBEEAA00"/>
    <w:rsid w:val="CC7E9ECE"/>
    <w:rsid w:val="CDBFF9FF"/>
    <w:rsid w:val="CDF78664"/>
    <w:rsid w:val="CE3FF57E"/>
    <w:rsid w:val="CF3AB4AC"/>
    <w:rsid w:val="CF6FC6F3"/>
    <w:rsid w:val="CFD3D3D7"/>
    <w:rsid w:val="CFDF1009"/>
    <w:rsid w:val="D6B7E4F6"/>
    <w:rsid w:val="D6CB2739"/>
    <w:rsid w:val="D776A8DB"/>
    <w:rsid w:val="D7B6B268"/>
    <w:rsid w:val="D7D7B16A"/>
    <w:rsid w:val="D7EF2E2A"/>
    <w:rsid w:val="D8D6DB89"/>
    <w:rsid w:val="DB6F4CAB"/>
    <w:rsid w:val="DB777682"/>
    <w:rsid w:val="DBDDA52A"/>
    <w:rsid w:val="DCFFC0D1"/>
    <w:rsid w:val="DD1FB521"/>
    <w:rsid w:val="DDCB2E5E"/>
    <w:rsid w:val="DDFE75CA"/>
    <w:rsid w:val="DEFBBE33"/>
    <w:rsid w:val="DEFBFEAE"/>
    <w:rsid w:val="DF1F3B80"/>
    <w:rsid w:val="DF6F9789"/>
    <w:rsid w:val="DF9B8D55"/>
    <w:rsid w:val="DF9D198A"/>
    <w:rsid w:val="DFDF1D8E"/>
    <w:rsid w:val="DFEFC58B"/>
    <w:rsid w:val="DFF5F241"/>
    <w:rsid w:val="DFFFA9E8"/>
    <w:rsid w:val="E37D5D3F"/>
    <w:rsid w:val="E3FFE98D"/>
    <w:rsid w:val="E5F4E9DC"/>
    <w:rsid w:val="E67FF583"/>
    <w:rsid w:val="E70FE695"/>
    <w:rsid w:val="E7676621"/>
    <w:rsid w:val="E76B2B9A"/>
    <w:rsid w:val="E7AB7A34"/>
    <w:rsid w:val="E7DF1E20"/>
    <w:rsid w:val="E7FF6381"/>
    <w:rsid w:val="E9A30291"/>
    <w:rsid w:val="EBBF924C"/>
    <w:rsid w:val="ECFED1BC"/>
    <w:rsid w:val="ED1D69BB"/>
    <w:rsid w:val="ED2C2584"/>
    <w:rsid w:val="ED7FD312"/>
    <w:rsid w:val="EDBE03E0"/>
    <w:rsid w:val="EDD1A84A"/>
    <w:rsid w:val="EDFF8263"/>
    <w:rsid w:val="EE1FA0C7"/>
    <w:rsid w:val="EF53993F"/>
    <w:rsid w:val="EF7B8152"/>
    <w:rsid w:val="EF8E27E2"/>
    <w:rsid w:val="EFBFB2F4"/>
    <w:rsid w:val="EFBFFA21"/>
    <w:rsid w:val="EFDF4337"/>
    <w:rsid w:val="EFF7097E"/>
    <w:rsid w:val="F2BEBCB8"/>
    <w:rsid w:val="F36FB518"/>
    <w:rsid w:val="F3DE1A04"/>
    <w:rsid w:val="F3E244FA"/>
    <w:rsid w:val="F3EFB7CA"/>
    <w:rsid w:val="F3F722E5"/>
    <w:rsid w:val="F699BB1A"/>
    <w:rsid w:val="F6DEABFE"/>
    <w:rsid w:val="F7B650C7"/>
    <w:rsid w:val="F7EF9033"/>
    <w:rsid w:val="F7FDC2B1"/>
    <w:rsid w:val="F8DDDAC6"/>
    <w:rsid w:val="F96B55C8"/>
    <w:rsid w:val="FA2F5BEB"/>
    <w:rsid w:val="FA5F1E70"/>
    <w:rsid w:val="FA5FDB97"/>
    <w:rsid w:val="FB1BB959"/>
    <w:rsid w:val="FB75E3C8"/>
    <w:rsid w:val="FB7F461B"/>
    <w:rsid w:val="FB7F486A"/>
    <w:rsid w:val="FB7F6E28"/>
    <w:rsid w:val="FB8778F4"/>
    <w:rsid w:val="FBB61866"/>
    <w:rsid w:val="FBEE055A"/>
    <w:rsid w:val="FBF91527"/>
    <w:rsid w:val="FBFD1260"/>
    <w:rsid w:val="FBFF5B2E"/>
    <w:rsid w:val="FC833EBB"/>
    <w:rsid w:val="FCFE0B49"/>
    <w:rsid w:val="FD4B388D"/>
    <w:rsid w:val="FD77A83C"/>
    <w:rsid w:val="FD7FFE2B"/>
    <w:rsid w:val="FDADA43D"/>
    <w:rsid w:val="FDBDC432"/>
    <w:rsid w:val="FDEB412A"/>
    <w:rsid w:val="FDEE196B"/>
    <w:rsid w:val="FDEF50BC"/>
    <w:rsid w:val="FDFD5EC3"/>
    <w:rsid w:val="FDFE6575"/>
    <w:rsid w:val="FE9E11AB"/>
    <w:rsid w:val="FEBF38CD"/>
    <w:rsid w:val="FEDFDDC2"/>
    <w:rsid w:val="FEEB4E4D"/>
    <w:rsid w:val="FEED32F6"/>
    <w:rsid w:val="FEF781DD"/>
    <w:rsid w:val="FEF9D8C4"/>
    <w:rsid w:val="FF3F7E3F"/>
    <w:rsid w:val="FF3FF759"/>
    <w:rsid w:val="FF4749A3"/>
    <w:rsid w:val="FF4D3A28"/>
    <w:rsid w:val="FF5913BC"/>
    <w:rsid w:val="FF7F1E7E"/>
    <w:rsid w:val="FF9BAA5C"/>
    <w:rsid w:val="FFA57884"/>
    <w:rsid w:val="FFB513DD"/>
    <w:rsid w:val="FFBA12D7"/>
    <w:rsid w:val="FFBFE8C6"/>
    <w:rsid w:val="FFCF2925"/>
    <w:rsid w:val="FFD33B6C"/>
    <w:rsid w:val="FFDAD824"/>
    <w:rsid w:val="FFDE4064"/>
    <w:rsid w:val="FFDEA9D8"/>
    <w:rsid w:val="FFDF2DEC"/>
    <w:rsid w:val="FFDF624E"/>
    <w:rsid w:val="FFDF6BC0"/>
    <w:rsid w:val="FFDFFAEE"/>
    <w:rsid w:val="FFE3BA41"/>
    <w:rsid w:val="FFE3BED4"/>
    <w:rsid w:val="FFF316C1"/>
    <w:rsid w:val="FFF63ECC"/>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5"/>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6">
    <w:name w:val="Normal Indent"/>
    <w:basedOn w:val="1"/>
    <w:next w:val="1"/>
    <w:qFormat/>
    <w:uiPriority w:val="0"/>
    <w:pPr>
      <w:ind w:firstLine="420" w:firstLineChars="200"/>
    </w:pPr>
  </w:style>
  <w:style w:type="paragraph" w:styleId="7">
    <w:name w:val="annotation text"/>
    <w:basedOn w:val="1"/>
    <w:semiHidden/>
    <w:unhideWhenUsed/>
    <w:qFormat/>
    <w:uiPriority w:val="99"/>
    <w:pPr>
      <w:jc w:val="left"/>
    </w:pPr>
  </w:style>
  <w:style w:type="paragraph" w:styleId="8">
    <w:name w:val="Body Text"/>
    <w:basedOn w:val="1"/>
    <w:link w:val="29"/>
    <w:qFormat/>
    <w:uiPriority w:val="99"/>
    <w:pPr>
      <w:spacing w:beforeLines="30"/>
    </w:pPr>
    <w:rPr>
      <w:rFonts w:ascii="仿宋_GB2312" w:eastAsia="仿宋_GB2312"/>
      <w:kern w:val="0"/>
      <w:sz w:val="30"/>
    </w:rPr>
  </w:style>
  <w:style w:type="paragraph" w:styleId="9">
    <w:name w:val="Body Text Indent"/>
    <w:basedOn w:val="1"/>
    <w:qFormat/>
    <w:uiPriority w:val="0"/>
    <w:pPr>
      <w:spacing w:after="120"/>
      <w:ind w:left="200" w:leftChars="200"/>
    </w:pPr>
    <w:rPr>
      <w:rFonts w:ascii="仿宋_GB2312"/>
      <w:szCs w:val="32"/>
    </w:rPr>
  </w:style>
  <w:style w:type="paragraph" w:styleId="10">
    <w:name w:val="toc 3"/>
    <w:basedOn w:val="1"/>
    <w:next w:val="1"/>
    <w:unhideWhenUsed/>
    <w:qFormat/>
    <w:uiPriority w:val="39"/>
    <w:pPr>
      <w:tabs>
        <w:tab w:val="right" w:leader="dot" w:pos="8296"/>
      </w:tabs>
      <w:ind w:left="840" w:leftChars="400"/>
    </w:pPr>
  </w:style>
  <w:style w:type="paragraph" w:styleId="11">
    <w:name w:val="Balloon Text"/>
    <w:basedOn w:val="1"/>
    <w:link w:val="34"/>
    <w:semiHidden/>
    <w:unhideWhenUsed/>
    <w:qFormat/>
    <w:uiPriority w:val="99"/>
    <w:rPr>
      <w:sz w:val="18"/>
      <w:szCs w:val="18"/>
    </w:rPr>
  </w:style>
  <w:style w:type="paragraph" w:styleId="12">
    <w:name w:val="footer"/>
    <w:basedOn w:val="1"/>
    <w:link w:val="27"/>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toc 2"/>
    <w:basedOn w:val="1"/>
    <w:next w:val="1"/>
    <w:unhideWhenUsed/>
    <w:qFormat/>
    <w:uiPriority w:val="39"/>
    <w:pPr>
      <w:tabs>
        <w:tab w:val="right" w:leader="dot" w:pos="8296"/>
      </w:tabs>
      <w:ind w:left="420" w:leftChars="200"/>
    </w:pPr>
  </w:style>
  <w:style w:type="paragraph" w:styleId="16">
    <w:name w:val="Normal (Web)"/>
    <w:basedOn w:val="1"/>
    <w:qFormat/>
    <w:uiPriority w:val="0"/>
    <w:pPr>
      <w:spacing w:before="100" w:beforeAutospacing="1" w:after="100" w:afterAutospacing="1"/>
      <w:jc w:val="left"/>
    </w:pPr>
    <w:rPr>
      <w:rFonts w:ascii="Calibri" w:hAnsi="Calibri" w:eastAsia="宋体"/>
      <w:kern w:val="0"/>
      <w:sz w:val="24"/>
      <w:szCs w:val="24"/>
    </w:rPr>
  </w:style>
  <w:style w:type="paragraph" w:styleId="17">
    <w:name w:val="Title"/>
    <w:basedOn w:val="1"/>
    <w:next w:val="1"/>
    <w:unhideWhenUsed/>
    <w:qFormat/>
    <w:uiPriority w:val="0"/>
    <w:pPr>
      <w:spacing w:before="240" w:beforeLines="0" w:after="60" w:afterLines="0"/>
      <w:jc w:val="center"/>
      <w:outlineLvl w:val="0"/>
    </w:pPr>
    <w:rPr>
      <w:rFonts w:hint="default" w:ascii="Arial" w:hAnsi="Arial" w:eastAsia="宋体"/>
      <w:b/>
      <w:sz w:val="32"/>
    </w:rPr>
  </w:style>
  <w:style w:type="paragraph" w:styleId="18">
    <w:name w:val="Body Text First Indent 2"/>
    <w:basedOn w:val="9"/>
    <w:unhideWhenUsed/>
    <w:qFormat/>
    <w:uiPriority w:val="99"/>
    <w:pPr>
      <w:ind w:firstLine="420" w:firstLineChars="200"/>
    </w:pPr>
  </w:style>
  <w:style w:type="character" w:styleId="21">
    <w:name w:val="Strong"/>
    <w:basedOn w:val="20"/>
    <w:qFormat/>
    <w:uiPriority w:val="99"/>
    <w:rPr>
      <w:b/>
    </w:rPr>
  </w:style>
  <w:style w:type="character" w:styleId="22">
    <w:name w:val="Hyperlink"/>
    <w:basedOn w:val="20"/>
    <w:unhideWhenUsed/>
    <w:qFormat/>
    <w:uiPriority w:val="99"/>
    <w:rPr>
      <w:color w:val="0000FF" w:themeColor="hyperlink"/>
      <w:u w:val="single"/>
      <w14:textFill>
        <w14:solidFill>
          <w14:schemeClr w14:val="hlink"/>
        </w14:solidFill>
      </w14:textFill>
    </w:rPr>
  </w:style>
  <w:style w:type="paragraph" w:customStyle="1" w:styleId="2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4">
    <w:name w:val="Header Char"/>
    <w:basedOn w:val="20"/>
    <w:semiHidden/>
    <w:qFormat/>
    <w:uiPriority w:val="99"/>
    <w:rPr>
      <w:rFonts w:ascii="Times New Roman" w:hAnsi="Times New Roman"/>
      <w:sz w:val="18"/>
      <w:szCs w:val="18"/>
    </w:rPr>
  </w:style>
  <w:style w:type="character" w:customStyle="1" w:styleId="25">
    <w:name w:val="页眉 字符"/>
    <w:link w:val="13"/>
    <w:semiHidden/>
    <w:qFormat/>
    <w:locked/>
    <w:uiPriority w:val="99"/>
    <w:rPr>
      <w:sz w:val="18"/>
    </w:rPr>
  </w:style>
  <w:style w:type="character" w:customStyle="1" w:styleId="26">
    <w:name w:val="Footer Char"/>
    <w:basedOn w:val="20"/>
    <w:semiHidden/>
    <w:qFormat/>
    <w:uiPriority w:val="99"/>
    <w:rPr>
      <w:rFonts w:ascii="Times New Roman" w:hAnsi="Times New Roman"/>
      <w:sz w:val="18"/>
      <w:szCs w:val="18"/>
    </w:rPr>
  </w:style>
  <w:style w:type="character" w:customStyle="1" w:styleId="27">
    <w:name w:val="页脚 字符"/>
    <w:link w:val="12"/>
    <w:qFormat/>
    <w:locked/>
    <w:uiPriority w:val="99"/>
    <w:rPr>
      <w:sz w:val="18"/>
    </w:rPr>
  </w:style>
  <w:style w:type="character" w:customStyle="1" w:styleId="28">
    <w:name w:val="Body Text Char"/>
    <w:basedOn w:val="20"/>
    <w:semiHidden/>
    <w:qFormat/>
    <w:uiPriority w:val="99"/>
    <w:rPr>
      <w:rFonts w:ascii="Times New Roman" w:hAnsi="Times New Roman"/>
      <w:szCs w:val="24"/>
    </w:rPr>
  </w:style>
  <w:style w:type="character" w:customStyle="1" w:styleId="29">
    <w:name w:val="正文文本 字符"/>
    <w:link w:val="8"/>
    <w:qFormat/>
    <w:locked/>
    <w:uiPriority w:val="99"/>
    <w:rPr>
      <w:rFonts w:ascii="仿宋_GB2312" w:hAnsi="Times New Roman" w:eastAsia="仿宋_GB2312"/>
      <w:sz w:val="24"/>
    </w:rPr>
  </w:style>
  <w:style w:type="paragraph" w:styleId="30">
    <w:name w:val="List Paragraph"/>
    <w:basedOn w:val="1"/>
    <w:qFormat/>
    <w:uiPriority w:val="34"/>
    <w:pPr>
      <w:ind w:firstLine="420" w:firstLineChars="200"/>
    </w:pPr>
  </w:style>
  <w:style w:type="character" w:customStyle="1" w:styleId="31">
    <w:name w:val="标题 1 字符"/>
    <w:basedOn w:val="20"/>
    <w:link w:val="3"/>
    <w:qFormat/>
    <w:uiPriority w:val="9"/>
    <w:rPr>
      <w:rFonts w:ascii="Times New Roman" w:hAnsi="Times New Roman"/>
      <w:b/>
      <w:bCs/>
      <w:kern w:val="44"/>
      <w:sz w:val="44"/>
      <w:szCs w:val="44"/>
    </w:rPr>
  </w:style>
  <w:style w:type="character" w:customStyle="1" w:styleId="32">
    <w:name w:val="标题 2 字符"/>
    <w:basedOn w:val="20"/>
    <w:link w:val="4"/>
    <w:qFormat/>
    <w:uiPriority w:val="9"/>
    <w:rPr>
      <w:rFonts w:asciiTheme="majorHAnsi" w:hAnsiTheme="majorHAnsi" w:eastAsiaTheme="majorEastAsia" w:cstheme="majorBidi"/>
      <w:b/>
      <w:bCs/>
      <w:kern w:val="2"/>
      <w:sz w:val="32"/>
      <w:szCs w:val="32"/>
    </w:rPr>
  </w:style>
  <w:style w:type="paragraph" w:customStyle="1" w:styleId="33">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框文本 字符"/>
    <w:basedOn w:val="20"/>
    <w:link w:val="11"/>
    <w:semiHidden/>
    <w:qFormat/>
    <w:uiPriority w:val="99"/>
    <w:rPr>
      <w:rFonts w:ascii="Times New Roman" w:hAnsi="Times New Roman"/>
      <w:kern w:val="2"/>
      <w:sz w:val="18"/>
      <w:szCs w:val="18"/>
    </w:rPr>
  </w:style>
  <w:style w:type="character" w:customStyle="1" w:styleId="35">
    <w:name w:val="标题 3 字符"/>
    <w:basedOn w:val="20"/>
    <w:link w:val="5"/>
    <w:qFormat/>
    <w:uiPriority w:val="9"/>
    <w:rPr>
      <w:rFonts w:ascii="Times New Roman" w:hAnsi="Times New Roman"/>
      <w:b/>
      <w:bCs/>
      <w:kern w:val="2"/>
      <w:sz w:val="32"/>
      <w:szCs w:val="32"/>
    </w:rPr>
  </w:style>
  <w:style w:type="paragraph" w:customStyle="1" w:styleId="36">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7">
    <w:name w:val="四号正文"/>
    <w:basedOn w:val="1"/>
    <w:qFormat/>
    <w:uiPriority w:val="0"/>
    <w:pPr>
      <w:spacing w:line="360" w:lineRule="auto"/>
    </w:pPr>
    <w:rPr>
      <w:rFonts w:ascii="??" w:hAnsi="??"/>
      <w:color w:val="000000"/>
      <w:kern w:val="0"/>
      <w:sz w:val="28"/>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20XLSX%20&#24037;&#20316;&#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6032;&#24314;%20XLSX%20&#24037;&#20316;&#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6032;&#24314;%20XLSX%20&#24037;&#20316;&#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6032;&#24314;%20XLSX%20&#24037;&#20316;&#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6032;&#24314;%20XLSX%20&#24037;&#20316;&#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6032;&#24314;%20XLSX%20&#24037;&#20316;&#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cap="all" spc="150" baseline="0">
                <a:solidFill>
                  <a:schemeClr val="tx1">
                    <a:lumMod val="50000"/>
                    <a:lumOff val="50000"/>
                  </a:schemeClr>
                </a:solidFill>
                <a:latin typeface="+mn-lt"/>
                <a:ea typeface="+mn-ea"/>
                <a:cs typeface="+mn-cs"/>
              </a:defRPr>
            </a:pPr>
            <a:r>
              <a:t>收、支决算总计变动情况图</a:t>
            </a:r>
          </a:p>
        </c:rich>
      </c:tx>
      <c:layout/>
      <c:overlay val="0"/>
      <c:spPr>
        <a:noFill/>
        <a:ln>
          <a:noFill/>
        </a:ln>
        <a:effectLst/>
      </c:sp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'[新建 XLSX 工作表.xlsx]Sheet1'!$A$2:$A$3</c:f>
              <c:strCache>
                <c:ptCount val="2"/>
                <c:pt idx="0">
                  <c:v>2022年收、支总计</c:v>
                </c:pt>
                <c:pt idx="1">
                  <c:v>2023年收、支总计</c:v>
                </c:pt>
              </c:strCache>
            </c:strRef>
          </c:cat>
          <c:val>
            <c:numRef>
              <c:f>'[新建 XLSX 工作表.xlsx]Sheet1'!$B$2:$B$3</c:f>
              <c:numCache>
                <c:formatCode>#,##0.00</c:formatCode>
                <c:ptCount val="2"/>
                <c:pt idx="0">
                  <c:v>1257.59</c:v>
                </c:pt>
                <c:pt idx="1" c:formatCode="General">
                  <c:v>1282.33</c:v>
                </c:pt>
              </c:numCache>
            </c:numRef>
          </c:val>
        </c:ser>
        <c:dLbls>
          <c:showLegendKey val="0"/>
          <c:showVal val="1"/>
          <c:showCatName val="0"/>
          <c:showSerName val="0"/>
          <c:showPercent val="0"/>
          <c:showBubbleSize val="0"/>
        </c:dLbls>
        <c:gapWidth val="164"/>
        <c:overlap val="-22"/>
        <c:axId val="431477041"/>
        <c:axId val="382358560"/>
      </c:barChart>
      <c:catAx>
        <c:axId val="431477041"/>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2358560"/>
        <c:crosses val="autoZero"/>
        <c:auto val="1"/>
        <c:lblAlgn val="ctr"/>
        <c:lblOffset val="100"/>
        <c:noMultiLvlLbl val="0"/>
      </c:catAx>
      <c:valAx>
        <c:axId val="382358560"/>
        <c:scaling>
          <c:orientation val="minMax"/>
        </c:scaling>
        <c:delete val="0"/>
        <c:axPos val="l"/>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1477041"/>
        <c:crosses val="autoZero"/>
        <c:crossBetween val="between"/>
      </c:valAx>
      <c:spPr>
        <a:noFill/>
        <a:ln>
          <a:noFill/>
        </a:ln>
        <a:effectLst/>
      </c:spPr>
    </c:plotArea>
    <c:plotVisOnly val="1"/>
    <c:dispBlanksAs val="gap"/>
    <c:showDLblsOverMax val="0"/>
    <c:extLst>
      <c:ext uri="{0b15fc19-7d7d-44ad-8c2d-2c3a37ce22c3}">
        <chartProps xmlns="https://web.wps.cn/et/2018/main" chartId="{06f03fa6-76aa-483c-bf88-aa0b80a20fb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收入决算结构图</a:t>
            </a:r>
          </a:p>
        </c:rich>
      </c:tx>
      <c:layout>
        <c:manualLayout>
          <c:xMode val="edge"/>
          <c:yMode val="edge"/>
          <c:x val="0.360277777777778"/>
          <c:y val="0.031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'[新建 XLSX 工作表.xlsx]Sheet1'!$A$1:$A$3</c:f>
              <c:strCache>
                <c:ptCount val="3"/>
                <c:pt idx="0">
                  <c:v>收入决算结构图</c:v>
                </c:pt>
                <c:pt idx="1">
                  <c:v>一般公共预算财政拨款收入</c:v>
                </c:pt>
                <c:pt idx="2">
                  <c:v>政府性基金预算财政拨款收入</c:v>
                </c:pt>
              </c:strCache>
            </c:strRef>
          </c:cat>
          <c:val>
            <c:numRef>
              <c:f>'[新建 XLSX 工作表.xlsx]Sheet1'!$B$1:$B$3</c:f>
              <c:numCache>
                <c:formatCode>General</c:formatCode>
                <c:ptCount val="3"/>
                <c:pt idx="1" c:formatCode="#,##0.00">
                  <c:v>1232.84</c:v>
                </c:pt>
                <c:pt idx="2">
                  <c:v>49.48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5285240-a89b-4b64-9316-71577cdb627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a:t>
            </a:r>
          </a:p>
        </c:rich>
      </c:tx>
      <c:layout>
        <c:manualLayout>
          <c:xMode val="edge"/>
          <c:yMode val="edge"/>
          <c:x val="0.360277777777778"/>
          <c:y val="0.031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'[新建 XLSX 工作表.xlsx]Sheet1'!$A$1:$A$3</c:f>
              <c:strCache>
                <c:ptCount val="3"/>
                <c:pt idx="0">
                  <c:v>支出决算结构图</c:v>
                </c:pt>
                <c:pt idx="1">
                  <c:v>基本支出</c:v>
                </c:pt>
                <c:pt idx="2">
                  <c:v>项目支出</c:v>
                </c:pt>
              </c:strCache>
            </c:strRef>
          </c:cat>
          <c:val>
            <c:numRef>
              <c:f>'[新建 XLSX 工作表.xlsx]Sheet1'!$B$1:$B$3</c:f>
              <c:numCache>
                <c:formatCode>General</c:formatCode>
                <c:ptCount val="3"/>
                <c:pt idx="1" c:formatCode="#,##0.00">
                  <c:v>1008.65</c:v>
                </c:pt>
                <c:pt idx="2">
                  <c:v>273.68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9dad3f1-2384-4c28-8844-17fef0e7aef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财政拨款收、支决算总计变动情况</a:t>
            </a:r>
          </a:p>
        </c:rich>
      </c:tx>
      <c:layout/>
      <c:overlay val="0"/>
      <c:spPr>
        <a:noFill/>
        <a:ln>
          <a:noFill/>
        </a:ln>
        <a:effectLst/>
      </c:spPr>
    </c:title>
    <c:autoTitleDeleted val="0"/>
    <c:plotArea>
      <c:layout>
        <c:manualLayout>
          <c:layoutTarget val="inner"/>
          <c:xMode val="edge"/>
          <c:yMode val="edge"/>
          <c:x val="0.0988333333333333"/>
          <c:y val="0.270531400966184"/>
          <c:w val="0.844222222222222"/>
          <c:h val="0.646035805626598"/>
        </c:manualLayout>
      </c:layout>
      <c:barChart>
        <c:barDir val="col"/>
        <c:grouping val="stacked"/>
        <c:varyColors val="0"/>
        <c:ser>
          <c:idx val="0"/>
          <c:order val="0"/>
          <c:spPr>
            <a:solidFill>
              <a:schemeClr val="accent1"/>
            </a:solidFill>
            <a:ln>
              <a:noFill/>
            </a:ln>
            <a:effectLst/>
          </c:spPr>
          <c:invertIfNegative val="0"/>
          <c:dLbls>
            <c:delete val="1"/>
          </c:dLbls>
          <c:cat>
            <c:strRef>
              <c:f>'[新建 XLSX 工作表.xlsx]Sheet1'!$A$3:$A$4</c:f>
              <c:strCache>
                <c:ptCount val="2"/>
                <c:pt idx="0">
                  <c:v>2022年</c:v>
                </c:pt>
                <c:pt idx="1">
                  <c:v>2023年</c:v>
                </c:pt>
              </c:strCache>
            </c:strRef>
          </c:cat>
          <c:val>
            <c:numRef>
              <c:f>'[新建 XLSX 工作表.xlsx]Sheet1'!$B$3:$B$4</c:f>
              <c:numCache>
                <c:formatCode>#,##0.00</c:formatCode>
                <c:ptCount val="2"/>
                <c:pt idx="0">
                  <c:v>1257.59</c:v>
                </c:pt>
                <c:pt idx="1">
                  <c:v>1282.33</c:v>
                </c:pt>
              </c:numCache>
            </c:numRef>
          </c:val>
        </c:ser>
        <c:dLbls>
          <c:showLegendKey val="0"/>
          <c:showVal val="0"/>
          <c:showCatName val="0"/>
          <c:showSerName val="0"/>
          <c:showPercent val="0"/>
          <c:showBubbleSize val="0"/>
        </c:dLbls>
        <c:gapWidth val="150"/>
        <c:overlap val="100"/>
        <c:axId val="606483024"/>
        <c:axId val="776869039"/>
      </c:barChart>
      <c:catAx>
        <c:axId val="6064830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6869039"/>
        <c:crosses val="autoZero"/>
        <c:auto val="1"/>
        <c:lblAlgn val="ctr"/>
        <c:lblOffset val="100"/>
        <c:noMultiLvlLbl val="0"/>
      </c:catAx>
      <c:valAx>
        <c:axId val="7768690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483024"/>
        <c:crosses val="autoZero"/>
        <c:crossBetween val="between"/>
      </c:valAx>
      <c:spPr>
        <a:noFill/>
        <a:ln>
          <a:noFill/>
        </a:ln>
        <a:effectLst/>
      </c:spPr>
    </c:plotArea>
    <c:plotVisOnly val="1"/>
    <c:dispBlanksAs val="gap"/>
    <c:showDLblsOverMax val="0"/>
    <c:extLst>
      <c:ext uri="{0b15fc19-7d7d-44ad-8c2d-2c3a37ce22c3}">
        <chartProps xmlns="https://web.wps.cn/et/2018/main" chartId="{f1c3fe53-3105-4f04-811d-cd52d68e30b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Lbls>
            <c:delete val="1"/>
          </c:dLbls>
          <c:cat>
            <c:strRef>
              <c:f>'[新建 XLSX 工作表.xlsx]Sheet1'!$A$2:$A$3</c:f>
              <c:strCache>
                <c:ptCount val="2"/>
                <c:pt idx="0">
                  <c:v>2022年</c:v>
                </c:pt>
                <c:pt idx="1">
                  <c:v>2023年</c:v>
                </c:pt>
              </c:strCache>
            </c:strRef>
          </c:cat>
          <c:val>
            <c:numRef>
              <c:f>'[新建 XLSX 工作表.xlsx]Sheet1'!$B$2:$B$3</c:f>
              <c:numCache>
                <c:formatCode>#,##0.00</c:formatCode>
                <c:ptCount val="2"/>
                <c:pt idx="0">
                  <c:v>1169.7</c:v>
                </c:pt>
                <c:pt idx="1">
                  <c:v>1232.84</c:v>
                </c:pt>
              </c:numCache>
            </c:numRef>
          </c:val>
        </c:ser>
        <c:dLbls>
          <c:showLegendKey val="0"/>
          <c:showVal val="0"/>
          <c:showCatName val="0"/>
          <c:showSerName val="0"/>
          <c:showPercent val="0"/>
          <c:showBubbleSize val="0"/>
        </c:dLbls>
        <c:gapWidth val="150"/>
        <c:overlap val="100"/>
        <c:axId val="606483024"/>
        <c:axId val="776869039"/>
      </c:barChart>
      <c:catAx>
        <c:axId val="6064830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6869039"/>
        <c:crosses val="autoZero"/>
        <c:auto val="1"/>
        <c:lblAlgn val="ctr"/>
        <c:lblOffset val="100"/>
        <c:noMultiLvlLbl val="0"/>
      </c:catAx>
      <c:valAx>
        <c:axId val="7768690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6483024"/>
        <c:crosses val="autoZero"/>
        <c:crossBetween val="between"/>
      </c:valAx>
      <c:spPr>
        <a:noFill/>
        <a:ln>
          <a:noFill/>
        </a:ln>
        <a:effectLst/>
      </c:spPr>
    </c:plotArea>
    <c:plotVisOnly val="1"/>
    <c:dispBlanksAs val="gap"/>
    <c:showDLblsOverMax val="0"/>
    <c:extLst>
      <c:ext uri="{0b15fc19-7d7d-44ad-8c2d-2c3a37ce22c3}">
        <chartProps xmlns="https://web.wps.cn/et/2018/main" chartId="{fd2f8718-01fb-4c1a-be4a-14548051e97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elete val="1"/>
          </c:dLbls>
          <c:cat>
            <c:strRef>
              <c:f>'[新建 XLSX 工作表.xlsx]Sheet1'!$A$2:$A$10</c:f>
              <c:strCache>
                <c:ptCount val="9"/>
                <c:pt idx="0">
                  <c:v>一般公共服务支出</c:v>
                </c:pt>
                <c:pt idx="1">
                  <c:v>教育支出</c:v>
                </c:pt>
                <c:pt idx="2">
                  <c:v>科学技术支出</c:v>
                </c:pt>
                <c:pt idx="3">
                  <c:v>文化旅游体育与传媒支出</c:v>
                </c:pt>
                <c:pt idx="4">
                  <c:v>社会保障和就业支出</c:v>
                </c:pt>
                <c:pt idx="5">
                  <c:v>卫生健康支出</c:v>
                </c:pt>
                <c:pt idx="6">
                  <c:v>农林水支出</c:v>
                </c:pt>
                <c:pt idx="7">
                  <c:v>自然资源海洋气象等支出</c:v>
                </c:pt>
                <c:pt idx="8">
                  <c:v>住房保障支出</c:v>
                </c:pt>
              </c:strCache>
            </c:strRef>
          </c:cat>
          <c:val>
            <c:numRef>
              <c:f>'[新建 XLSX 工作表.xlsx]Sheet1'!$B$2:$B$10</c:f>
              <c:numCache>
                <c:formatCode>#,##0.00</c:formatCode>
                <c:ptCount val="9"/>
                <c:pt idx="0">
                  <c:v>641.05</c:v>
                </c:pt>
                <c:pt idx="1">
                  <c:v>0</c:v>
                </c:pt>
                <c:pt idx="2" c:formatCode="General">
                  <c:v>0</c:v>
                </c:pt>
                <c:pt idx="3" c:formatCode="General">
                  <c:v>0</c:v>
                </c:pt>
                <c:pt idx="4" c:formatCode="General">
                  <c:v>135</c:v>
                </c:pt>
                <c:pt idx="5" c:formatCode="General">
                  <c:v>21.37</c:v>
                </c:pt>
                <c:pt idx="6" c:formatCode="General">
                  <c:v>375.32</c:v>
                </c:pt>
                <c:pt idx="7" c:formatCode="General">
                  <c:v>4.5</c:v>
                </c:pt>
                <c:pt idx="8" c:formatCode="General">
                  <c:v>55.6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ee510e8-7702-481c-9b5f-22ead52b223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“三公”经费财政拨款支出结构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'[新建 XLSX 工作表.xlsx]Sheet1'!$A$15:$A$17</c:f>
              <c:strCache>
                <c:ptCount val="3"/>
                <c:pt idx="0">
                  <c:v>因公出国（境）费支出决算</c:v>
                </c:pt>
                <c:pt idx="1">
                  <c:v>公务用车购置及运行维护费支出决算</c:v>
                </c:pt>
                <c:pt idx="2">
                  <c:v>公务接待费支出决算</c:v>
                </c:pt>
              </c:strCache>
            </c:strRef>
          </c:cat>
          <c:val>
            <c:numRef>
              <c:f>'[新建 XLSX 工作表.xlsx]Sheet1'!$B$15:$B$17</c:f>
              <c:numCache>
                <c:formatCode>General</c:formatCode>
                <c:ptCount val="3"/>
                <c:pt idx="0">
                  <c:v>0</c:v>
                </c:pt>
                <c:pt idx="1">
                  <c:v>54.96</c:v>
                </c:pt>
                <c:pt idx="2">
                  <c:v>3.32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12fdb22-28e3-4e0c-a4c0-31c78fcfccf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60</Pages>
  <Words>1695</Words>
  <Characters>1706</Characters>
  <Lines>72</Lines>
  <Paragraphs>20</Paragraphs>
  <TotalTime>5</TotalTime>
  <ScaleCrop>false</ScaleCrop>
  <LinksUpToDate>false</LinksUpToDate>
  <CharactersWithSpaces>1715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2024-08-05T07:12:00Z</dcterms:created>
  <dc:creator>曹颖</dc:creator>
  <cp:lastModifiedBy>碧云天</cp:lastModifiedBy>
  <cp:lastPrinted>2023-08-03T10:35:00Z</cp:lastPrinted>
  <dcterms:modified xsi:type="dcterms:W3CDTF">2024-11-01T06:19:24Z</dcterms:modified>
  <dc:title>四川省***</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8F027EA87DA749F5AC178F9D62B77FB2_12</vt:lpwstr>
  </property>
</Properties>
</file>