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（乡镇安全管理相关经费）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zh-CN"/>
        </w:rPr>
        <w:t>主要宣传贯彻、执行党和政府有关交通的方针、政策、法规以及上级交通主管部门的决定和指示；拟订乡镇交通建设发展规划和年度工作计划，并按程序和要求组织实施；管理乡镇水路、陆路运输市场；对辖区内各种经济成分的运输车、船主和从业人员进行宣传教育（含安全教育和规章制度的学习）；负责乡镇运输船舶、渡口以及小河直流的安全管理；建立健全各种运输工具和收费台帐，做好交通统计报表工作；在户外协助路面执勤，维持交通秩序，可以对各类交通违法违例现象依法进行纠正、劝导及教导；健全水上交通安全监管长效机制，有效预防和控制水上重特大交通事故的发生。</w:t>
      </w: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县资金到位10.2万元.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lang w:val="en-US" w:eastAsia="zh-CN"/>
        </w:rPr>
        <w:t>10.2万元。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en-US" w:eastAsia="zh-CN"/>
        </w:rPr>
        <w:t>具体由五渡镇安办、交管站负责具体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每月定期对此项目进行自评及审核上报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en-US" w:eastAsia="zh-CN"/>
        </w:rPr>
        <w:t>具体由五渡镇安办、交管站负责具体</w:t>
      </w:r>
      <w:r>
        <w:rPr>
          <w:rFonts w:hint="eastAsia" w:ascii="仿宋_GB2312" w:hAnsi="宋体"/>
          <w:lang w:val="zh-CN" w:eastAsia="zh-CN"/>
        </w:rPr>
        <w:t>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，于2023年12月底前完成了项目实施，并由镇财政所审核上报，及时完成了10.2万元的补贴发放，无结余资金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通过项目的实施，提升辖区内交通秩序，降低事故发生率。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通过项目的实施，通过提升辖区内交通秩序，降低事故发生率，提升群众满意度。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满意度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通过项目的实施，通过提升辖区内交通秩序，降低事故发生率，提升群众满意度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42585C"/>
    <w:multiLevelType w:val="singleLevel"/>
    <w:tmpl w:val="874258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0F056DEA"/>
    <w:rsid w:val="13722809"/>
    <w:rsid w:val="19B536B9"/>
    <w:rsid w:val="1E0A5785"/>
    <w:rsid w:val="291C455A"/>
    <w:rsid w:val="2A502512"/>
    <w:rsid w:val="36926D0C"/>
    <w:rsid w:val="414A628B"/>
    <w:rsid w:val="474B6607"/>
    <w:rsid w:val="475320F4"/>
    <w:rsid w:val="539454CB"/>
    <w:rsid w:val="65A17798"/>
    <w:rsid w:val="673E27F9"/>
    <w:rsid w:val="69F9685D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2024-07-31T02:37:22Z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