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五渡镇2020年度“大鹏房”问题专项清理整治项目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按照政府批示</w:t>
      </w:r>
      <w:r>
        <w:rPr>
          <w:rFonts w:hint="eastAsia" w:ascii="仿宋_GB2312" w:hAnsi="宋体"/>
          <w:lang w:val="en-US" w:eastAsia="zh-CN"/>
        </w:rPr>
        <w:t>[2020]27号文件精神，制定五渡镇2020年度“大鹏房”问题专项清理整治项目预算资金10万元。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整治辖区内</w:t>
      </w:r>
      <w:r>
        <w:rPr>
          <w:rFonts w:hint="eastAsia" w:ascii="仿宋_GB2312" w:hAnsi="宋体"/>
          <w:lang w:val="en-US" w:eastAsia="zh-CN"/>
        </w:rPr>
        <w:t>5处“大棚房”，全部拆除现有房屋，到达复耕的目的。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720" w:firstLineChars="225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按照“大棚房”拆除具体实施内容</w:t>
      </w:r>
      <w:r>
        <w:rPr>
          <w:rFonts w:hint="eastAsia" w:ascii="仿宋_GB2312" w:hAnsi="宋体"/>
          <w:lang w:val="zh-CN" w:eastAsia="zh-CN"/>
        </w:rPr>
        <w:t>细化并申报项目，达到</w:t>
      </w:r>
      <w:r>
        <w:rPr>
          <w:rFonts w:hint="eastAsia" w:ascii="仿宋_GB2312" w:hAnsi="宋体"/>
          <w:lang w:val="en-US" w:eastAsia="zh-CN"/>
        </w:rPr>
        <w:t>99%的相符性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“大棚房”问题专项清理整治资金</w:t>
      </w:r>
      <w:r>
        <w:rPr>
          <w:rFonts w:hint="eastAsia" w:ascii="仿宋_GB2312" w:hAnsi="宋体"/>
          <w:lang w:val="en-US" w:eastAsia="zh-CN"/>
        </w:rPr>
        <w:t>10万元，财政安排10万元。截止2021年12月31日，资金全部拨付到位。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en-US" w:eastAsia="zh-CN"/>
        </w:rPr>
        <w:t>截止2021年12月31日，</w:t>
      </w:r>
      <w:r>
        <w:rPr>
          <w:rFonts w:hint="eastAsia" w:ascii="仿宋_GB2312" w:hAnsi="宋体"/>
          <w:lang w:val="zh-CN"/>
        </w:rPr>
        <w:t>“大棚房”问题专项清理整治资金</w:t>
      </w:r>
      <w:r>
        <w:rPr>
          <w:rFonts w:hint="eastAsia" w:ascii="仿宋_GB2312" w:hAnsi="宋体"/>
          <w:lang w:val="en-US" w:eastAsia="zh-CN"/>
        </w:rPr>
        <w:t>10万元全部拨付使用，使用率100%。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为加强专项资金的管理和监督，规范专项资金使用，提高资金使用效率，制定了经费管理制度,制度对专项资金的分配和使用进行了规范，要求专项资金严格按照项目内容使用，做到专款专用，使用专项资金时，要全部通过直接支付方式使用，严禁虚报、挤占、挪用。项目过程中全部按照管理办法执行,无违反规定的行为发生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lang w:val="en-US" w:eastAsia="zh-CN"/>
        </w:rPr>
        <w:t>我镇领导高度重视</w:t>
      </w:r>
      <w:r>
        <w:rPr>
          <w:rFonts w:hint="eastAsia" w:ascii="仿宋_GB2312" w:hAnsi="仿宋_GB2312" w:cs="仿宋_GB2312"/>
          <w:b w:val="0"/>
          <w:bCs/>
          <w:color w:val="auto"/>
          <w:lang w:val="en-US" w:eastAsia="zh-CN"/>
        </w:rPr>
        <w:t>“大棚房”问题专项清理整治项目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en-US" w:eastAsia="zh-CN"/>
        </w:rPr>
        <w:t>运行，</w:t>
      </w:r>
      <w:r>
        <w:rPr>
          <w:rFonts w:hint="eastAsia" w:ascii="仿宋_GB2312" w:hAnsi="仿宋_GB2312" w:cs="仿宋_GB2312"/>
          <w:b w:val="0"/>
          <w:bCs/>
          <w:color w:val="auto"/>
          <w:lang w:val="en-US" w:eastAsia="zh-CN"/>
        </w:rPr>
        <w:t>成立专班专门推进此项工作，迅速在一个月内将辖区内的五处“大棚房”拆除并复耕。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  <w:lang w:val="en-US" w:eastAsia="zh-CN"/>
        </w:rPr>
        <w:t>2021年12月31日，全镇5个“大棚房”拆除工作圆满完成，资金拨付10万元，资金拨付率达100%。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640" w:firstLineChars="200"/>
        <w:rPr>
          <w:rFonts w:hint="eastAsia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zh-CN"/>
        </w:rPr>
        <w:t>该项目的实施有效的宣传了保护耕地保护基本农田的方针政策，起到很好的警示作用，保护了生态环境。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98DF"/>
    <w:multiLevelType w:val="singleLevel"/>
    <w:tmpl w:val="C24698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55C68F3"/>
    <w:multiLevelType w:val="singleLevel"/>
    <w:tmpl w:val="455C68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20A2E43"/>
    <w:rsid w:val="0BCE3D54"/>
    <w:rsid w:val="0EDB478C"/>
    <w:rsid w:val="291C455A"/>
    <w:rsid w:val="36926D0C"/>
    <w:rsid w:val="4DAF2BCF"/>
    <w:rsid w:val="4DDB6F66"/>
    <w:rsid w:val="551952E3"/>
    <w:rsid w:val="5F2F3CEE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2022-08-18T03:23:53Z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