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6AE90">
      <w:pPr>
        <w:rPr>
          <w:rFonts w:ascii="Times New Roman" w:hAnsi="Times New Roman"/>
        </w:rPr>
      </w:pPr>
      <w:bookmarkStart w:id="0" w:name="_Toc15306267"/>
      <w:bookmarkStart w:id="1" w:name="_Toc15396597"/>
      <w:bookmarkStart w:id="2" w:name="_Toc15378441"/>
      <w:bookmarkStart w:id="3" w:name="_Toc15377193"/>
      <w:bookmarkStart w:id="4" w:name="_Toc15377425"/>
      <w:bookmarkStart w:id="5" w:name="_Toc15396475"/>
    </w:p>
    <w:bookmarkEnd w:id="0"/>
    <w:bookmarkEnd w:id="1"/>
    <w:bookmarkEnd w:id="2"/>
    <w:bookmarkEnd w:id="3"/>
    <w:bookmarkEnd w:id="4"/>
    <w:bookmarkEnd w:id="5"/>
    <w:p w14:paraId="71E019A3">
      <w:pPr>
        <w:pStyle w:val="10"/>
        <w:jc w:val="both"/>
        <w:rPr>
          <w:rFonts w:hint="eastAsia" w:ascii="方正小标宋简体" w:hAnsi="宋体" w:eastAsia="方正小标宋简体" w:cs="Times New Roman"/>
          <w:color w:val="auto"/>
          <w:kern w:val="2"/>
          <w:sz w:val="44"/>
          <w:szCs w:val="44"/>
          <w:highlight w:val="none"/>
          <w:lang w:val="en-US" w:eastAsia="zh-CN" w:bidi="ar-SA"/>
        </w:rPr>
      </w:pPr>
    </w:p>
    <w:p w14:paraId="0376089B">
      <w:pPr>
        <w:pStyle w:val="10"/>
        <w:jc w:val="center"/>
        <w:rPr>
          <w:rFonts w:hint="eastAsia" w:ascii="方正小标宋简体" w:hAnsi="宋体" w:eastAsia="方正小标宋简体" w:cs="Times New Roman"/>
          <w:color w:val="auto"/>
          <w:kern w:val="2"/>
          <w:sz w:val="44"/>
          <w:szCs w:val="44"/>
          <w:highlight w:val="none"/>
          <w:lang w:val="en-US" w:eastAsia="zh-CN" w:bidi="ar-SA"/>
        </w:rPr>
      </w:pPr>
    </w:p>
    <w:p w14:paraId="33B0EC92">
      <w:pPr>
        <w:pStyle w:val="10"/>
        <w:jc w:val="center"/>
        <w:rPr>
          <w:rFonts w:hint="eastAsia" w:ascii="方正小标宋简体" w:hAnsi="宋体" w:eastAsia="方正小标宋简体" w:cs="Times New Roman"/>
          <w:color w:val="auto"/>
          <w:kern w:val="2"/>
          <w:sz w:val="44"/>
          <w:szCs w:val="44"/>
          <w:highlight w:val="none"/>
          <w:lang w:val="en-US" w:eastAsia="zh-CN" w:bidi="ar-SA"/>
        </w:rPr>
      </w:pPr>
    </w:p>
    <w:p w14:paraId="49790EE4">
      <w:pPr>
        <w:pStyle w:val="10"/>
        <w:jc w:val="center"/>
        <w:rPr>
          <w:rFonts w:hint="eastAsia" w:ascii="方正小标宋简体" w:hAnsi="宋体" w:eastAsia="方正小标宋简体" w:cs="Times New Roman"/>
          <w:color w:val="auto"/>
          <w:kern w:val="2"/>
          <w:sz w:val="44"/>
          <w:szCs w:val="44"/>
          <w:highlight w:val="none"/>
          <w:lang w:val="en-US" w:eastAsia="zh-CN" w:bidi="ar-SA"/>
        </w:rPr>
      </w:pPr>
    </w:p>
    <w:p w14:paraId="4F04D6B2">
      <w:pPr>
        <w:pStyle w:val="10"/>
        <w:jc w:val="center"/>
        <w:rPr>
          <w:rFonts w:hint="eastAsia" w:ascii="方正小标宋简体" w:hAnsi="宋体" w:eastAsia="方正小标宋简体" w:cs="Times New Roman"/>
          <w:color w:val="auto"/>
          <w:kern w:val="2"/>
          <w:sz w:val="44"/>
          <w:szCs w:val="44"/>
          <w:highlight w:val="none"/>
          <w:lang w:val="en-US" w:eastAsia="zh-CN" w:bidi="ar-SA"/>
        </w:rPr>
      </w:pPr>
    </w:p>
    <w:p w14:paraId="6B9827C5">
      <w:pPr>
        <w:pStyle w:val="10"/>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77426"/>
      <w:bookmarkStart w:id="7" w:name="_Toc15396598"/>
      <w:bookmarkStart w:id="8" w:name="_Toc15396476"/>
      <w:bookmarkStart w:id="9" w:name="_Toc15377194"/>
      <w:bookmarkStart w:id="10" w:name="_Toc15378442"/>
    </w:p>
    <w:p w14:paraId="63172656">
      <w:pPr>
        <w:pStyle w:val="10"/>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沙坪镇部门决算</w:t>
      </w:r>
      <w:bookmarkEnd w:id="6"/>
      <w:bookmarkEnd w:id="7"/>
      <w:bookmarkEnd w:id="8"/>
      <w:bookmarkEnd w:id="9"/>
      <w:bookmarkEnd w:id="10"/>
      <w:bookmarkEnd w:id="11"/>
    </w:p>
    <w:p w14:paraId="53B94B97">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44DAB1EF">
      <w:pPr>
        <w:widowControl/>
        <w:jc w:val="center"/>
        <w:rPr>
          <w:rFonts w:ascii="Times New Roman" w:hAnsi="Times New Roman" w:eastAsia="黑体" w:cstheme="minorBidi"/>
          <w:color w:val="auto"/>
          <w:sz w:val="28"/>
          <w:szCs w:val="28"/>
          <w:highlight w:val="none"/>
        </w:rPr>
      </w:pPr>
    </w:p>
    <w:p w14:paraId="7B047E80">
      <w:pPr>
        <w:pStyle w:val="1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日</w:t>
      </w:r>
    </w:p>
    <w:p w14:paraId="0EFD1C01">
      <w:pPr>
        <w:rPr>
          <w:rFonts w:ascii="Times New Roman" w:hAnsi="Times New Roman"/>
          <w:color w:val="auto"/>
          <w:highlight w:val="none"/>
        </w:rPr>
      </w:pPr>
    </w:p>
    <w:p w14:paraId="175E6EC7">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r>
        <w:tab/>
      </w:r>
      <w:r>
        <w:rPr>
          <w:rFonts w:hint="eastAsia"/>
          <w:sz w:val="24"/>
          <w:szCs w:val="24"/>
          <w:lang w:val="en-US" w:eastAsia="zh-CN"/>
        </w:rPr>
        <w:t>4</w:t>
      </w:r>
    </w:p>
    <w:p w14:paraId="2C9669B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tab/>
      </w:r>
      <w:r>
        <w:rPr>
          <w:rFonts w:hint="eastAsia"/>
          <w:sz w:val="24"/>
          <w:szCs w:val="24"/>
          <w:lang w:val="en-US" w:eastAsia="zh-CN"/>
        </w:rPr>
        <w:t>4</w:t>
      </w:r>
    </w:p>
    <w:p w14:paraId="1417890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tab/>
      </w:r>
      <w:r>
        <w:rPr>
          <w:rFonts w:hint="eastAsia"/>
          <w:sz w:val="24"/>
          <w:szCs w:val="24"/>
          <w:lang w:val="en-US" w:eastAsia="zh-CN"/>
        </w:rPr>
        <w:t>6</w:t>
      </w:r>
    </w:p>
    <w:p w14:paraId="63AD75B6">
      <w:pPr>
        <w:rPr>
          <w:rFonts w:hint="eastAsia"/>
        </w:rPr>
      </w:pPr>
    </w:p>
    <w:p w14:paraId="3D3FCD7D">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tab/>
      </w:r>
      <w:r>
        <w:rPr>
          <w:rFonts w:hint="eastAsia"/>
          <w:sz w:val="24"/>
          <w:szCs w:val="24"/>
          <w:lang w:val="en-US" w:eastAsia="zh-CN"/>
        </w:rPr>
        <w:t>6</w:t>
      </w:r>
    </w:p>
    <w:p w14:paraId="28682CF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tab/>
      </w:r>
      <w:r>
        <w:rPr>
          <w:rFonts w:hint="eastAsia"/>
          <w:lang w:val="en-US" w:eastAsia="zh-CN"/>
        </w:rPr>
        <w:t>6</w:t>
      </w:r>
    </w:p>
    <w:p w14:paraId="2CA1C87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tab/>
      </w:r>
      <w:r>
        <w:rPr>
          <w:rFonts w:hint="eastAsia"/>
          <w:lang w:val="en-US" w:eastAsia="zh-CN"/>
        </w:rPr>
        <w:t>7</w:t>
      </w:r>
    </w:p>
    <w:p w14:paraId="4678D8F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tab/>
      </w:r>
      <w:r>
        <w:rPr>
          <w:rFonts w:hint="eastAsia"/>
          <w:lang w:val="en-US" w:eastAsia="zh-CN"/>
        </w:rPr>
        <w:t>8</w:t>
      </w:r>
    </w:p>
    <w:p w14:paraId="490F874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tab/>
      </w:r>
      <w:r>
        <w:rPr>
          <w:rFonts w:hint="eastAsia"/>
          <w:lang w:val="en-US" w:eastAsia="zh-CN"/>
        </w:rPr>
        <w:t>9</w:t>
      </w:r>
    </w:p>
    <w:p w14:paraId="7A6CF4D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tab/>
      </w:r>
      <w:r>
        <w:rPr>
          <w:rFonts w:hint="eastAsia"/>
          <w:lang w:val="en-US" w:eastAsia="zh-CN"/>
        </w:rPr>
        <w:t>10</w:t>
      </w:r>
    </w:p>
    <w:p w14:paraId="2962BB7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tab/>
      </w:r>
      <w:r>
        <w:rPr>
          <w:rFonts w:hint="eastAsia"/>
          <w:lang w:val="en-US" w:eastAsia="zh-CN"/>
        </w:rPr>
        <w:t>12</w:t>
      </w:r>
    </w:p>
    <w:p w14:paraId="632ECC8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tab/>
      </w:r>
      <w:r>
        <w:rPr>
          <w:rFonts w:hint="eastAsia"/>
          <w:lang w:val="en-US" w:eastAsia="zh-CN"/>
        </w:rPr>
        <w:t>13</w:t>
      </w:r>
    </w:p>
    <w:p w14:paraId="6AF1440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tab/>
      </w:r>
      <w:r>
        <w:rPr>
          <w:rFonts w:hint="eastAsia"/>
          <w:lang w:val="en-US" w:eastAsia="zh-CN"/>
        </w:rPr>
        <w:t>15</w:t>
      </w:r>
    </w:p>
    <w:p w14:paraId="742AD06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tab/>
      </w:r>
      <w:r>
        <w:rPr>
          <w:rFonts w:hint="eastAsia"/>
          <w:lang w:val="en-US" w:eastAsia="zh-CN"/>
        </w:rPr>
        <w:t>15</w:t>
      </w:r>
    </w:p>
    <w:p w14:paraId="77A3008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tab/>
      </w:r>
      <w:r>
        <w:rPr>
          <w:rFonts w:hint="eastAsia"/>
          <w:lang w:val="en-US" w:eastAsia="zh-CN"/>
        </w:rPr>
        <w:t>15</w:t>
      </w:r>
    </w:p>
    <w:p w14:paraId="6C248169">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lang w:val="en-US" w:eastAsia="zh-CN"/>
        </w:rPr>
      </w:pPr>
      <w:r>
        <w:rPr>
          <w:rFonts w:hint="eastAsia" w:ascii="Times New Roman" w:hAnsi="Times New Roman" w:eastAsia="黑体" w:cs="黑体"/>
          <w:color w:val="auto"/>
          <w:sz w:val="32"/>
          <w:szCs w:val="32"/>
          <w:highlight w:val="none"/>
        </w:rPr>
        <w:t>第三部分 名词解释</w:t>
      </w:r>
      <w:r>
        <w:tab/>
      </w:r>
      <w:r>
        <w:rPr>
          <w:rFonts w:hint="eastAsia"/>
          <w:lang w:val="en-US" w:eastAsia="zh-CN"/>
        </w:rPr>
        <w:t>16</w:t>
      </w:r>
    </w:p>
    <w:p w14:paraId="521FCB32">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lang w:val="en-US" w:eastAsia="zh-CN"/>
        </w:rPr>
      </w:pPr>
      <w:r>
        <w:rPr>
          <w:rFonts w:hint="eastAsia" w:ascii="Times New Roman" w:hAnsi="Times New Roman" w:eastAsia="黑体" w:cs="黑体"/>
          <w:color w:val="auto"/>
          <w:sz w:val="32"/>
          <w:szCs w:val="32"/>
          <w:highlight w:val="none"/>
        </w:rPr>
        <w:t>第四部分 附件</w:t>
      </w:r>
      <w:r>
        <w:tab/>
      </w:r>
      <w:r>
        <w:rPr>
          <w:rFonts w:hint="eastAsia"/>
          <w:lang w:val="en-US" w:eastAsia="zh-CN"/>
        </w:rPr>
        <w:t>21</w:t>
      </w:r>
    </w:p>
    <w:p w14:paraId="00D798EB">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tab/>
      </w:r>
      <w:r>
        <w:rPr>
          <w:rFonts w:hint="eastAsia"/>
          <w:sz w:val="24"/>
          <w:szCs w:val="24"/>
          <w:lang w:val="en-US" w:eastAsia="zh-CN"/>
        </w:rPr>
        <w:t>53</w:t>
      </w:r>
    </w:p>
    <w:p w14:paraId="4BDDE58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tab/>
      </w:r>
      <w:r>
        <w:rPr>
          <w:rFonts w:hint="eastAsia"/>
          <w:lang w:val="en-US" w:eastAsia="zh-CN"/>
        </w:rPr>
        <w:t>53</w:t>
      </w:r>
    </w:p>
    <w:p w14:paraId="74D7A6E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tab/>
      </w:r>
      <w:r>
        <w:rPr>
          <w:rFonts w:hint="eastAsia"/>
          <w:lang w:val="en-US" w:eastAsia="zh-CN"/>
        </w:rPr>
        <w:t>53</w:t>
      </w:r>
    </w:p>
    <w:p w14:paraId="0F9C56D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tab/>
      </w:r>
      <w:r>
        <w:rPr>
          <w:rFonts w:hint="eastAsia"/>
          <w:lang w:val="en-US" w:eastAsia="zh-CN"/>
        </w:rPr>
        <w:t>53</w:t>
      </w:r>
    </w:p>
    <w:p w14:paraId="061CE25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tab/>
      </w:r>
      <w:r>
        <w:rPr>
          <w:rFonts w:hint="eastAsia"/>
          <w:lang w:val="en-US" w:eastAsia="zh-CN"/>
        </w:rPr>
        <w:t>53</w:t>
      </w:r>
    </w:p>
    <w:p w14:paraId="4F2915B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tab/>
      </w:r>
      <w:r>
        <w:rPr>
          <w:rFonts w:hint="eastAsia"/>
          <w:lang w:val="en-US" w:eastAsia="zh-CN"/>
        </w:rPr>
        <w:t>53</w:t>
      </w:r>
    </w:p>
    <w:p w14:paraId="1FE24AA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lang w:val="en-US" w:eastAsia="zh-CN"/>
        </w:rPr>
      </w:pPr>
      <w:r>
        <w:rPr>
          <w:rFonts w:hint="eastAsia" w:ascii="Times New Roman" w:hAnsi="Times New Roman" w:eastAsia="仿宋_GB2312" w:cs="仿宋_GB2312"/>
          <w:color w:val="auto"/>
          <w:sz w:val="32"/>
          <w:szCs w:val="32"/>
          <w:highlight w:val="none"/>
        </w:rPr>
        <w:t>六、一般公共预算财政拨款支出决算表</w:t>
      </w:r>
      <w:r>
        <w:tab/>
      </w:r>
      <w:r>
        <w:rPr>
          <w:rFonts w:hint="eastAsia"/>
          <w:lang w:val="en-US" w:eastAsia="zh-CN"/>
        </w:rPr>
        <w:t>53</w:t>
      </w:r>
    </w:p>
    <w:p w14:paraId="67FC325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tab/>
      </w:r>
      <w:r>
        <w:rPr>
          <w:rFonts w:hint="eastAsia"/>
          <w:lang w:val="en-US" w:eastAsia="zh-CN"/>
        </w:rPr>
        <w:t>53</w:t>
      </w:r>
    </w:p>
    <w:p w14:paraId="6EDA56C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tab/>
      </w:r>
      <w:r>
        <w:rPr>
          <w:rFonts w:hint="eastAsia"/>
          <w:lang w:val="en-US" w:eastAsia="zh-CN"/>
        </w:rPr>
        <w:t>53</w:t>
      </w:r>
    </w:p>
    <w:p w14:paraId="48D7F15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tab/>
      </w:r>
      <w:r>
        <w:rPr>
          <w:rFonts w:hint="eastAsia"/>
          <w:lang w:val="en-US" w:eastAsia="zh-CN"/>
        </w:rPr>
        <w:t>53</w:t>
      </w:r>
    </w:p>
    <w:p w14:paraId="14ADCDF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tab/>
      </w:r>
      <w:r>
        <w:rPr>
          <w:rFonts w:hint="eastAsia"/>
          <w:lang w:val="en-US" w:eastAsia="zh-CN"/>
        </w:rPr>
        <w:t>53</w:t>
      </w:r>
    </w:p>
    <w:p w14:paraId="127DE5E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tab/>
      </w:r>
      <w:r>
        <w:rPr>
          <w:rFonts w:hint="eastAsia"/>
          <w:lang w:val="en-US" w:eastAsia="zh-CN"/>
        </w:rPr>
        <w:t>53</w:t>
      </w:r>
    </w:p>
    <w:p w14:paraId="532F50D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tab/>
      </w:r>
      <w:r>
        <w:rPr>
          <w:rFonts w:hint="eastAsia"/>
          <w:lang w:val="en-US" w:eastAsia="zh-CN"/>
        </w:rPr>
        <w:t>53</w:t>
      </w:r>
    </w:p>
    <w:p w14:paraId="55EA063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tab/>
      </w:r>
      <w:r>
        <w:rPr>
          <w:rFonts w:hint="eastAsia"/>
          <w:lang w:val="en-US" w:eastAsia="zh-CN"/>
        </w:rPr>
        <w:t>53</w:t>
      </w:r>
    </w:p>
    <w:p w14:paraId="2287F849">
      <w:pPr>
        <w:pStyle w:val="5"/>
        <w:jc w:val="center"/>
        <w:rPr>
          <w:rFonts w:hint="eastAsia" w:ascii="Times New Roman" w:hAnsi="Times New Roman" w:eastAsia="方正小标宋简体" w:cs="方正小标宋简体"/>
          <w:b w:val="0"/>
          <w:color w:val="auto"/>
          <w:highlight w:val="none"/>
        </w:rPr>
      </w:pPr>
      <w:bookmarkStart w:id="12" w:name="_Toc15396599"/>
      <w:bookmarkStart w:id="13" w:name="_Toc15377196"/>
    </w:p>
    <w:p w14:paraId="4BDD25C0">
      <w:pPr>
        <w:rPr>
          <w:rFonts w:hint="eastAsia"/>
        </w:rPr>
      </w:pPr>
    </w:p>
    <w:p w14:paraId="01BEEF27">
      <w:pPr>
        <w:pStyle w:val="5"/>
        <w:jc w:val="center"/>
        <w:rPr>
          <w:rFonts w:hint="eastAsia" w:ascii="Times New Roman" w:hAnsi="Times New Roman" w:eastAsia="方正小标宋简体" w:cs="方正小标宋简体"/>
          <w:b w:val="0"/>
          <w:color w:val="auto"/>
          <w:highlight w:val="none"/>
        </w:rPr>
      </w:pPr>
    </w:p>
    <w:p w14:paraId="6B8CE0B7">
      <w:pPr>
        <w:pStyle w:val="5"/>
        <w:jc w:val="both"/>
        <w:rPr>
          <w:rFonts w:hint="eastAsia" w:ascii="Times New Roman" w:hAnsi="Times New Roman" w:eastAsia="方正小标宋简体" w:cs="方正小标宋简体"/>
          <w:b w:val="0"/>
          <w:color w:val="auto"/>
          <w:highlight w:val="none"/>
        </w:rPr>
      </w:pPr>
    </w:p>
    <w:p w14:paraId="578B76F3">
      <w:pPr>
        <w:rPr>
          <w:rFonts w:hint="eastAsia"/>
        </w:rPr>
      </w:pPr>
    </w:p>
    <w:p w14:paraId="44AFB45F">
      <w:pPr>
        <w:pStyle w:val="5"/>
        <w:jc w:val="both"/>
        <w:rPr>
          <w:rFonts w:hint="eastAsia" w:ascii="Times New Roman" w:hAnsi="Times New Roman" w:eastAsia="方正小标宋简体" w:cs="方正小标宋简体"/>
          <w:b w:val="0"/>
          <w:color w:val="auto"/>
          <w:highlight w:val="none"/>
        </w:rPr>
      </w:pPr>
    </w:p>
    <w:p w14:paraId="2B055D27">
      <w:pPr>
        <w:rPr>
          <w:rFonts w:hint="eastAsia" w:ascii="Times New Roman" w:hAnsi="Times New Roman" w:eastAsia="方正小标宋简体" w:cs="方正小标宋简体"/>
          <w:b w:val="0"/>
          <w:color w:val="auto"/>
          <w:highlight w:val="none"/>
        </w:rPr>
      </w:pPr>
    </w:p>
    <w:p w14:paraId="5B1AC7E9">
      <w:pPr>
        <w:pStyle w:val="2"/>
        <w:rPr>
          <w:rFonts w:hint="eastAsia" w:ascii="Times New Roman" w:hAnsi="Times New Roman" w:eastAsia="方正小标宋简体" w:cs="方正小标宋简体"/>
          <w:b w:val="0"/>
          <w:color w:val="auto"/>
          <w:highlight w:val="none"/>
        </w:rPr>
      </w:pPr>
    </w:p>
    <w:p w14:paraId="1BC7AE0B">
      <w:pPr>
        <w:pStyle w:val="3"/>
        <w:rPr>
          <w:rFonts w:hint="eastAsia"/>
        </w:rPr>
      </w:pPr>
    </w:p>
    <w:p w14:paraId="6F6A51EC">
      <w:pPr>
        <w:pStyle w:val="5"/>
        <w:ind w:firstLine="1320" w:firstLineChars="300"/>
        <w:jc w:val="both"/>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12"/>
      <w:bookmarkEnd w:id="13"/>
    </w:p>
    <w:p w14:paraId="04BEA325">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57389A8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沙坪镇党委、沙坪镇人民政府的主要职责是：</w:t>
      </w:r>
    </w:p>
    <w:p w14:paraId="758CEB9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lang w:eastAsia="zh-CN"/>
        </w:rPr>
        <w:t>（</w:t>
      </w:r>
      <w:r>
        <w:rPr>
          <w:rFonts w:hint="eastAsia" w:ascii="Times New Roman" w:hAnsi="Times New Roman" w:eastAsia="楷体_GB2312" w:cs="楷体_GB2312"/>
          <w:b/>
          <w:color w:val="auto"/>
          <w:sz w:val="32"/>
          <w:szCs w:val="32"/>
          <w:highlight w:val="none"/>
        </w:rPr>
        <w:t>一</w:t>
      </w:r>
      <w:r>
        <w:rPr>
          <w:rFonts w:hint="eastAsia" w:ascii="Times New Roman" w:hAnsi="Times New Roman" w:eastAsia="楷体_GB2312" w:cs="楷体_GB2312"/>
          <w:b/>
          <w:color w:val="auto"/>
          <w:sz w:val="32"/>
          <w:szCs w:val="32"/>
          <w:highlight w:val="none"/>
          <w:lang w:eastAsia="zh-CN"/>
        </w:rPr>
        <w:t>）</w:t>
      </w:r>
      <w:r>
        <w:rPr>
          <w:rFonts w:hint="eastAsia" w:ascii="Times New Roman" w:hAnsi="Times New Roman" w:eastAsia="楷体_GB2312" w:cs="楷体_GB2312"/>
          <w:b/>
          <w:color w:val="auto"/>
          <w:sz w:val="32"/>
          <w:szCs w:val="32"/>
          <w:highlight w:val="none"/>
        </w:rPr>
        <w:t>镇党委主要职责</w:t>
      </w:r>
    </w:p>
    <w:p w14:paraId="53DBA6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1.宣传和贯彻执行党的路线方针政策和党中央、上级党组织及本镇党员代表大会的决议。</w:t>
      </w:r>
    </w:p>
    <w:p w14:paraId="35B455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55F4A4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14:paraId="3D14E9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4.加强镇党委自身建设和村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党组织建设，以及其他隶属镇党委的党组织建设，抓好发展党员工作，加强党员队伍建设。维护和执行党的纪律，监督党员干部和其他任何工作人员严格遵守国家法律法规。</w:t>
      </w:r>
    </w:p>
    <w:p w14:paraId="1CAE3B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5.按照干部管理权限，负责干部的教育、培训、选拔、考核和监督工作。协助管理上级有关部门驻镇单位的干部。做好人才服务和引进工作。</w:t>
      </w:r>
    </w:p>
    <w:p w14:paraId="040CE9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6.领导本镇的基层治理，加强社会主义民主法治建设和精神文明建设，加强社会治安综合治理，做好生态环保、宜居宜业和美乡村建设、民生保障、民族宗教等工作。</w:t>
      </w:r>
    </w:p>
    <w:p w14:paraId="0CD05B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7.完成上级党委交办的其他任务。</w:t>
      </w:r>
    </w:p>
    <w:p w14:paraId="36491A73">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r>
        <w:rPr>
          <w:rFonts w:hint="eastAsia" w:ascii="Times New Roman" w:hAnsi="Times New Roman" w:eastAsia="楷体_GB2312" w:cs="楷体_GB2312"/>
          <w:b/>
          <w:color w:val="auto"/>
          <w:sz w:val="32"/>
          <w:szCs w:val="32"/>
          <w:highlight w:val="none"/>
          <w:lang w:eastAsia="zh-CN"/>
        </w:rPr>
        <w:t>（二）镇人民政府主要职责</w:t>
      </w:r>
    </w:p>
    <w:p w14:paraId="0ADC16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1.贯彻落实党的路线方针政策和国家法律法规以及上级党委、政府的决议、决定和命令，执行镇党委和镇人民代表大会的决议，加强农村基层政权建设，巩固党在农村的执政基础。</w:t>
      </w:r>
    </w:p>
    <w:p w14:paraId="45DB79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2.组织编制本行政区域经济社会发展规划和镇国土空间规划。负责农村基础设施和各项公益事业建设，实施乡村振兴战略，加快经济社会发展，改善群众生产生活环境。</w:t>
      </w:r>
    </w:p>
    <w:p w14:paraId="51A42F2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3.指导农村经济发展，推进农业经济结构调整，促进农村集体经济增长、农业增效、农民增收。</w:t>
      </w:r>
    </w:p>
    <w:p w14:paraId="63A20C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4.加强农村公共服务体系建设，抓好基础教育、科技、文化、体育、卫生健康、食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品安全等工作，做好民政事务、残疾、老龄、就业创业、社会保障、劳动关系协调、民族宗教、退役军人事务、统计等工作，促进农村社会事业健康发展。</w:t>
      </w:r>
    </w:p>
    <w:p w14:paraId="7D9ADB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5.负责辖区内自然资源、生态环境保护、森林防灭火、防汛抗旱、粮食安全、供销合作社等工作。</w:t>
      </w:r>
    </w:p>
    <w:p w14:paraId="596D766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6.推进基层民主法治建设，加强普法依法治理，指导村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民委员会工作，维护群众合法权益。</w:t>
      </w:r>
    </w:p>
    <w:p w14:paraId="46CE33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7.推动要素资源聚集协同、城乡功能衔接互补，一体规划建设县城功能核心区，推进城乡融合新型社区建设，提升中心城区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四社五村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发展能级和辐射带动能力。</w:t>
      </w:r>
    </w:p>
    <w:p w14:paraId="667615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8.承担辖区内基层治理、平安建设、社会治安综合治理、安全和应急管理等有关工作。负责群众来信来访，反映社情民意，化解矛盾纠纷，维护社会安全稳定。</w:t>
      </w:r>
    </w:p>
    <w:p w14:paraId="7E08A5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9.负责国防教育、兵役征集、民兵预备役等有关工作。</w:t>
      </w:r>
    </w:p>
    <w:p w14:paraId="36D579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10.承担法律法规、规章规定的其他职能和上级党委、政府交办的其他工作。</w:t>
      </w:r>
    </w:p>
    <w:p w14:paraId="4E9612E1">
      <w:pPr>
        <w:numPr>
          <w:ilvl w:val="0"/>
          <w:numId w:val="0"/>
        </w:numPr>
        <w:rPr>
          <w:rFonts w:hint="eastAsia"/>
          <w:lang w:eastAsia="zh-CN"/>
        </w:rPr>
      </w:pPr>
    </w:p>
    <w:p w14:paraId="76BC71B0">
      <w:pPr>
        <w:pStyle w:val="6"/>
        <w:numPr>
          <w:ilvl w:val="0"/>
          <w:numId w:val="1"/>
        </w:numPr>
        <w:ind w:left="0" w:leftChars="0" w:firstLine="0" w:firstLineChars="0"/>
        <w:rPr>
          <w:rStyle w:val="32"/>
          <w:rFonts w:hint="eastAsia" w:ascii="Times New Roman" w:hAnsi="Times New Roman" w:eastAsia="黑体"/>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机</w:t>
      </w:r>
      <w:r>
        <w:rPr>
          <w:rStyle w:val="32"/>
          <w:rFonts w:hint="eastAsia" w:ascii="Times New Roman" w:hAnsi="Times New Roman" w:eastAsia="黑体"/>
          <w:b w:val="0"/>
          <w:bCs w:val="0"/>
          <w:color w:val="auto"/>
          <w:highlight w:val="none"/>
        </w:rPr>
        <w:t>构设置</w:t>
      </w:r>
      <w:bookmarkEnd w:id="14"/>
      <w:bookmarkEnd w:id="15"/>
    </w:p>
    <w:p w14:paraId="07637E5C">
      <w:pPr>
        <w:pStyle w:val="6"/>
        <w:numPr>
          <w:ilvl w:val="0"/>
          <w:numId w:val="0"/>
        </w:numPr>
        <w:ind w:leftChars="0" w:firstLine="640" w:firstLineChars="200"/>
        <w:rPr>
          <w:rFonts w:hint="eastAsia" w:ascii="Times New Roman" w:hAnsi="Times New Roman"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仿宋_GB2312"/>
          <w:b w:val="0"/>
          <w:bCs w:val="0"/>
          <w:color w:val="auto"/>
          <w:kern w:val="0"/>
          <w:sz w:val="32"/>
          <w:szCs w:val="32"/>
          <w:highlight w:val="none"/>
          <w:lang w:val="en-US" w:eastAsia="zh-CN" w:bidi="ar-SA"/>
        </w:rPr>
        <w:t>峨边彝族自治县沙坪镇下属二级预算单位0个，其中行政单位0个，参照公务员法管理的事业单位0个，其他事业单位0个。</w:t>
      </w:r>
    </w:p>
    <w:p w14:paraId="002FE5EC">
      <w:pPr>
        <w:pStyle w:val="6"/>
        <w:numPr>
          <w:ilvl w:val="0"/>
          <w:numId w:val="0"/>
        </w:numPr>
        <w:ind w:leftChars="0" w:firstLine="640" w:firstLineChars="200"/>
        <w:rPr>
          <w:rFonts w:hint="eastAsia" w:ascii="Times New Roman" w:hAnsi="Times New Roman"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仿宋_GB2312"/>
          <w:b w:val="0"/>
          <w:bCs w:val="0"/>
          <w:color w:val="auto"/>
          <w:kern w:val="0"/>
          <w:sz w:val="32"/>
          <w:szCs w:val="32"/>
          <w:highlight w:val="none"/>
          <w:lang w:val="en-US" w:eastAsia="zh-CN" w:bidi="ar-SA"/>
        </w:rPr>
        <w:t>纳入峨边彝族自治县沙坪镇2024年度部门决算编制范围的二级预算单位：1个。</w:t>
      </w:r>
    </w:p>
    <w:p w14:paraId="6838773A">
      <w:pPr>
        <w:pStyle w:val="10"/>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60DB4C32">
      <w:pPr>
        <w:pStyle w:val="5"/>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235F0D3F">
      <w:pPr>
        <w:rPr>
          <w:rFonts w:ascii="Times New Roman" w:hAnsi="Times New Roman"/>
          <w:color w:val="auto"/>
          <w:highlight w:val="none"/>
        </w:rPr>
      </w:pPr>
    </w:p>
    <w:p w14:paraId="3BE3AB5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8"/>
      <w:bookmarkEnd w:id="19"/>
    </w:p>
    <w:p w14:paraId="49E7B71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3347.49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222.91</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7.13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人员经费和项目支出都增加了。</w:t>
      </w:r>
    </w:p>
    <w:p w14:paraId="4B6923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88C86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olor w:val="auto"/>
          <w:sz w:val="32"/>
          <w:szCs w:val="32"/>
          <w:highlight w:val="none"/>
          <w:lang w:eastAsia="zh-CN"/>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r>
        <w:rPr>
          <w:rFonts w:hint="eastAsia" w:ascii="仿宋" w:hAnsi="仿宋" w:eastAsia="仿宋" w:cs="Times New Roman"/>
          <w:b/>
          <w:color w:val="auto"/>
          <w:sz w:val="28"/>
          <w:szCs w:val="28"/>
          <w:highlight w:val="yellow"/>
          <w:shd w:val="clear" w:color="FFFFFF" w:fill="D9D9D9"/>
          <w:lang w:val="en-US" w:eastAsia="zh-CN"/>
        </w:rPr>
        <w:pict>
          <v:shape id="_x0000_s1029" o:spid="_x0000_s1029" o:spt="75" type="#_x0000_t75" style="position:absolute;left:0pt;margin-left:101.5pt;margin-top:0.05pt;height:222.75pt;width:220.5pt;mso-wrap-distance-bottom:0pt;mso-wrap-distance-top:0pt;z-index:251659264;mso-width-relative:page;mso-height-relative:page;" o:ole="t" filled="f" o:preferrelative="t" stroked="f" coordsize="21600,21600">
            <v:path/>
            <v:fill on="f" focussize="0,0"/>
            <v:stroke on="f"/>
            <v:imagedata r:id="rId8" o:title=""/>
            <o:lock v:ext="edit" aspectratio="t"/>
            <w10:wrap type="topAndBottom"/>
          </v:shape>
          <o:OLEObject Type="Embed" ProgID="Excel.Chart.8" ShapeID="_x0000_s1029" DrawAspect="Content" ObjectID="_1468075725" r:id="rId7">
            <o:LockedField>false</o:LockedField>
          </o:OLEObject>
        </w:pict>
      </w:r>
      <w:bookmarkStart w:id="20" w:name="_Toc15377206"/>
      <w:bookmarkStart w:id="21" w:name="_Toc15396604"/>
    </w:p>
    <w:p w14:paraId="304C505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0"/>
      <w:bookmarkEnd w:id="21"/>
    </w:p>
    <w:p w14:paraId="7F3F059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3347.49万元，其中：一般公共预算财政拨款收入3088.93</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92.28</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258.56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rPr>
        <w:t>7.72</w:t>
      </w:r>
      <w:r>
        <w:rPr>
          <w:rFonts w:hint="eastAsia" w:ascii="仿宋_GB2312" w:hAnsi="仿宋_GB2312" w:eastAsia="仿宋_GB2312" w:cs="仿宋_GB2312"/>
          <w:sz w:val="32"/>
          <w:szCs w:val="32"/>
          <w:lang w:eastAsia="zh-CN"/>
        </w:rPr>
        <w:t>%。</w:t>
      </w:r>
    </w:p>
    <w:p w14:paraId="67B35DA1">
      <w:pPr>
        <w:pStyle w:val="8"/>
        <w:ind w:left="0" w:leftChars="0"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仿宋_GB2312" w:eastAsia="仿宋_GB2312"/>
          <w:color w:val="auto"/>
          <w:sz w:val="32"/>
          <w:szCs w:val="32"/>
          <w:highlight w:val="none"/>
          <w:lang w:eastAsia="zh-CN"/>
        </w:rPr>
        <w:object>
          <v:shape id="_x0000_i1025" o:spt="75" type="#_x0000_t75" style="height:219.75pt;width:387pt;" o:ole="t" filled="f" o:preferrelative="t" stroked="f" coordsize="21600,21600">
            <v:path/>
            <v:fill on="f" focussize="0,0"/>
            <v:stroke on="f"/>
            <v:imagedata r:id="rId10" o:title=""/>
            <o:lock v:ext="edit" aspectratio="t"/>
            <w10:wrap type="none"/>
            <w10:anchorlock/>
          </v:shape>
          <o:OLEObject Type="Embed" ProgID="Excel.Chart.8" ShapeID="_x0000_i1025" DrawAspect="Content" ObjectID="_1468075726" r:id="rId9">
            <o:LockedField>false</o:LockedField>
          </o:OLEObject>
        </w:object>
      </w:r>
    </w:p>
    <w:p w14:paraId="2A78C2DD">
      <w:pPr>
        <w:ind w:firstLine="800" w:firstLineChars="250"/>
        <w:rPr>
          <w:rFonts w:hint="eastAsia" w:ascii="Times New Roman" w:hAnsi="Times New Roman" w:eastAsia="黑体"/>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bookmarkStart w:id="22" w:name="_Toc15377207"/>
      <w:bookmarkStart w:id="23" w:name="_Toc15396605"/>
    </w:p>
    <w:p w14:paraId="4C7CF3A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2"/>
      <w:bookmarkEnd w:id="23"/>
    </w:p>
    <w:p w14:paraId="169C31BE">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3347.49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2731.4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81.59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616.09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18.4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eastAsia="zh-CN"/>
        </w:rPr>
        <w:t>%。</w:t>
      </w:r>
    </w:p>
    <w:p w14:paraId="2074F7BB">
      <w:pPr>
        <w:jc w:val="center"/>
        <w:rPr>
          <w:rFonts w:hint="eastAsia" w:ascii="Times New Roman" w:hAnsi="Times New Roman" w:eastAsia="仿宋_GB2312" w:cs="仿宋_GB2312"/>
          <w:color w:val="auto"/>
          <w:sz w:val="32"/>
          <w:szCs w:val="32"/>
          <w:highlight w:val="none"/>
          <w:lang w:eastAsia="zh-CN"/>
        </w:rPr>
      </w:pPr>
      <w:r>
        <w:rPr>
          <w:rFonts w:hint="eastAsia" w:eastAsia="仿宋"/>
          <w:lang w:eastAsia="zh-CN"/>
        </w:rPr>
        <w:object>
          <v:shape id="_x0000_i1026" o:spt="75" type="#_x0000_t75" style="height:222.75pt;width:258.75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7" r:id="rId11">
            <o:LockedField>false</o:LockedField>
          </o:OLEObject>
        </w:object>
      </w:r>
    </w:p>
    <w:p w14:paraId="3DA52B0B">
      <w:pPr>
        <w:ind w:firstLine="800" w:firstLineChars="250"/>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sz w:val="32"/>
          <w:szCs w:val="32"/>
          <w:highlight w:val="none"/>
          <w:lang w:eastAsia="zh-CN"/>
        </w:rPr>
        <w:t>（图3：支出决算结构图）</w:t>
      </w:r>
      <w:bookmarkStart w:id="24" w:name="_Toc15396606"/>
      <w:bookmarkStart w:id="25" w:name="_Toc15377208"/>
    </w:p>
    <w:p w14:paraId="4FB2A61B">
      <w:pPr>
        <w:spacing w:line="600" w:lineRule="exact"/>
        <w:ind w:firstLine="640" w:firstLineChars="200"/>
        <w:outlineLvl w:val="1"/>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4"/>
      <w:bookmarkEnd w:id="25"/>
    </w:p>
    <w:p w14:paraId="503F85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3347.49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222.91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7.13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人员经费和项目支出都增加了。</w:t>
      </w:r>
    </w:p>
    <w:p w14:paraId="569A288B">
      <w:pPr>
        <w:jc w:val="center"/>
        <w:rPr>
          <w:rFonts w:hint="eastAsia" w:ascii="Times New Roman" w:hAnsi="Times New Roman" w:eastAsia="仿宋_GB2312" w:cs="仿宋_GB2312"/>
          <w:color w:val="auto"/>
          <w:kern w:val="2"/>
          <w:sz w:val="32"/>
          <w:szCs w:val="32"/>
          <w:highlight w:val="none"/>
          <w:lang w:val="en-US" w:eastAsia="zh-CN" w:bidi="ar-SA"/>
        </w:rPr>
      </w:pPr>
      <w:r>
        <w:rPr>
          <w:rFonts w:hint="eastAsia" w:eastAsia="仿宋"/>
          <w:lang w:eastAsia="zh-CN"/>
        </w:rPr>
        <w:object>
          <v:shape id="_x0000_i1027" o:spt="75" type="#_x0000_t75" style="height:222.75pt;width:204.8pt;" o:ole="t" filled="f" o:preferrelative="t" stroked="f" coordsize="21600,21600">
            <v:path/>
            <v:fill on="f" focussize="0,0"/>
            <v:stroke on="f"/>
            <v:imagedata r:id="rId14" o:title=""/>
            <o:lock v:ext="edit" aspectratio="t"/>
            <w10:wrap type="none"/>
            <w10:anchorlock/>
          </v:shape>
          <o:OLEObject Type="Embed" ProgID="Excel.Chart.8" ShapeID="_x0000_i1027" DrawAspect="Content" ObjectID="_1468075728" r:id="rId13">
            <o:LockedField>false</o:LockedField>
          </o:OLEObject>
        </w:object>
      </w:r>
    </w:p>
    <w:p w14:paraId="4DED8D4B">
      <w:pPr>
        <w:rPr>
          <w:rFonts w:hint="eastAsia"/>
          <w:lang w:val="en-US" w:eastAsia="zh-CN"/>
        </w:rPr>
      </w:pPr>
    </w:p>
    <w:p w14:paraId="605D7D3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4FA31732">
      <w:pPr>
        <w:spacing w:line="600" w:lineRule="exact"/>
        <w:ind w:firstLine="640" w:firstLineChars="200"/>
        <w:outlineLvl w:val="1"/>
        <w:rPr>
          <w:rStyle w:val="32"/>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6"/>
      <w:bookmarkEnd w:id="27"/>
    </w:p>
    <w:p w14:paraId="399E363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5ED036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3088.93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92.27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%。与2023年度相比，一般公共预算财政拨款支出增加31.69万元，增长1.04%。主要变动原因是基本支出增加。</w:t>
      </w:r>
    </w:p>
    <w:p w14:paraId="49CD3E52">
      <w:pPr>
        <w:jc w:val="center"/>
        <w:rPr>
          <w:rFonts w:hint="eastAsia"/>
          <w:lang w:val="en-US" w:eastAsia="zh-CN"/>
        </w:rPr>
      </w:pPr>
      <w:r>
        <w:rPr>
          <w:rFonts w:hint="eastAsia" w:eastAsia="仿宋"/>
          <w:lang w:eastAsia="zh-CN"/>
        </w:rPr>
        <w:object>
          <v:shape id="_x0000_i1028" o:spt="75" type="#_x0000_t75" style="height:222.75pt;width:204.75pt;" o:ole="t" filled="f" o:preferrelative="t" stroked="f" coordsize="21600,21600">
            <v:path/>
            <v:fill on="f" focussize="0,0"/>
            <v:stroke on="f"/>
            <v:imagedata r:id="rId16" o:title=""/>
            <o:lock v:ext="edit" aspectratio="t"/>
            <w10:wrap type="none"/>
            <w10:anchorlock/>
          </v:shape>
          <o:OLEObject Type="Embed" ProgID="Excel.Chart.8" ShapeID="_x0000_i1028" DrawAspect="Content" ObjectID="_1468075729" r:id="rId15">
            <o:LockedField>false</o:LockedField>
          </o:OLEObject>
        </w:object>
      </w:r>
    </w:p>
    <w:p w14:paraId="10ECA5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45E03DB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0508DF3B">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3088.93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1648.17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53.36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290.13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9.39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56.13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val="zh-CN"/>
        </w:rPr>
        <w:t>农林水支出</w:t>
      </w:r>
      <w:r>
        <w:rPr>
          <w:rFonts w:hint="eastAsia" w:ascii="仿宋_GB2312" w:hAnsi="仿宋_GB2312" w:eastAsia="仿宋_GB2312"/>
          <w:color w:val="000000"/>
          <w:kern w:val="2"/>
          <w:sz w:val="32"/>
          <w:lang w:val="en-US" w:eastAsia="zh-CN"/>
        </w:rPr>
        <w:t>950.73</w:t>
      </w:r>
      <w:r>
        <w:rPr>
          <w:rFonts w:hint="eastAsia" w:ascii="仿宋_GB2312" w:hAnsi="仿宋_GB2312" w:eastAsia="仿宋_GB2312"/>
          <w:color w:val="000000"/>
          <w:kern w:val="2"/>
          <w:sz w:val="32"/>
          <w:lang w:val="zh-CN"/>
        </w:rPr>
        <w:t>万元，占</w:t>
      </w:r>
      <w:r>
        <w:rPr>
          <w:rFonts w:hint="eastAsia" w:ascii="仿宋_GB2312" w:hAnsi="仿宋_GB2312" w:eastAsia="仿宋_GB2312"/>
          <w:color w:val="000000"/>
          <w:kern w:val="2"/>
          <w:sz w:val="32"/>
          <w:lang w:val="en-US" w:eastAsia="zh-CN"/>
        </w:rPr>
        <w:t>30.78</w:t>
      </w:r>
      <w:r>
        <w:rPr>
          <w:rFonts w:hint="eastAsia" w:ascii="仿宋_GB2312" w:hAnsi="仿宋_GB2312" w:eastAsia="仿宋_GB2312"/>
          <w:color w:val="000000"/>
          <w:kern w:val="2"/>
          <w:sz w:val="32"/>
          <w:lang w:val="zh-CN"/>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143.77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4.65</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1AFD7364">
      <w:pPr>
        <w:pStyle w:val="8"/>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object>
          <v:shape id="_x0000_i1029" o:spt="75" type="#_x0000_t75" style="height:219.5pt;width:381.35pt;" o:ole="t" filled="f" o:preferrelative="t" stroked="f" coordsize="21600,21600">
            <v:path/>
            <v:fill on="f" focussize="0,0"/>
            <v:stroke on="f"/>
            <v:imagedata r:id="rId18" o:title=""/>
            <o:lock v:ext="edit" aspectratio="t"/>
            <w10:wrap type="none"/>
            <w10:anchorlock/>
          </v:shape>
          <o:OLEObject Type="Embed" ProgID="Excel.Chart.8" ShapeID="_x0000_i1029" DrawAspect="Content" ObjectID="_1468075730" r:id="rId17">
            <o:LockedField>false</o:LockedField>
          </o:OLEObject>
        </w:object>
      </w:r>
    </w:p>
    <w:p w14:paraId="6A7FD19E">
      <w:pPr>
        <w:rPr>
          <w:rFonts w:hint="eastAsia"/>
          <w:lang w:val="en-US" w:eastAsia="zh-CN"/>
        </w:rPr>
      </w:pPr>
    </w:p>
    <w:p w14:paraId="5F0CF6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4BAAB3D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7EE01A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3088.93</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44EFF4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支出决算为982.66万元，完成预算100%，决算数与预算数持平。</w:t>
      </w:r>
    </w:p>
    <w:p w14:paraId="36C422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一般公共服务（类）政府办公厅（室）及相关机构事务（款）事业运行（项）：支出决算为665.51万元，完成预算100%，决算数与预算数持平。</w:t>
      </w:r>
    </w:p>
    <w:p w14:paraId="5D9307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支出决算为151.16万元，完成预算100%，决算与预算数持平。</w:t>
      </w:r>
    </w:p>
    <w:p w14:paraId="0463C4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支出决算为82.1万元，完成预算100%，决算与预算数持平。</w:t>
      </w:r>
    </w:p>
    <w:p w14:paraId="282963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社会保障和就业支出（类）抚恤（款）死亡抚恤（项）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支出决算为20.24万元，完成预算100%，决算与预算数持平。                    </w:t>
      </w:r>
    </w:p>
    <w:p w14:paraId="566DD7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社会保障和就业支出（类）其他社会保障和就业支出（款）其他社会保障和就业支出（项）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支出决算为36.63万元，完成预算100%，决算数与预算数持平。</w:t>
      </w:r>
    </w:p>
    <w:p w14:paraId="00BE29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7.卫生健康（类）行政事业单位医疗（款）行政单位医疗（项）：支出决算为56.13万元，完成预算100%，决算数与预算数持平。</w:t>
      </w:r>
    </w:p>
    <w:p w14:paraId="325F9F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8.农林水支出（类）巩固脱贫攻坚成果衔接乡村振兴（款）一般行政管理事务（项）：支出决算为5万元，完成预算100%，决算数与预算数持平。</w:t>
      </w:r>
    </w:p>
    <w:p w14:paraId="2E2C2B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9.农林水支出（类）巩固脱贫攻坚成果衔接乡村振兴（款）其他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衔接乡村振兴支出（项）：支出决算为35.09万元，完成预算100%，决算数与预算数持平。</w:t>
      </w:r>
    </w:p>
    <w:p w14:paraId="05E33D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10.农林水支出（类）农村综合改革（款）对村级公益事业建设的补助（项）：支出决算为6.72万元，完成预算100%，决算数与预算数持平。</w:t>
      </w:r>
    </w:p>
    <w:p w14:paraId="28573B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11.农林水支出（类）农村综合改革（款）对村民委员会和村党支部的补助（项）：支出决算为619.87万元，完成预算100%，决算数与预算数持平。</w:t>
      </w:r>
    </w:p>
    <w:p w14:paraId="70CCDD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12.农林水支出（类）农村综合改革（款）农村综合改革示范试点补助（项）：支出决算为284.05万元，完成预算100%，决算数与预算数持平。</w:t>
      </w:r>
    </w:p>
    <w:p w14:paraId="14226C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13.住房保障支出（类）住房改革支出（款）住房公积金（项）：支出决算为143.77万元，完成预算100%，决算数与预算数持平</w:t>
      </w:r>
      <w:r>
        <w:rPr>
          <w:rStyle w:val="20"/>
          <w:rFonts w:hint="eastAsia" w:ascii="仿宋_GB2312" w:hAnsi="仿宋_GB2312" w:eastAsia="仿宋_GB2312"/>
          <w:b w:val="0"/>
          <w:color w:val="auto"/>
          <w:sz w:val="32"/>
        </w:rPr>
        <w:t>。</w:t>
      </w:r>
    </w:p>
    <w:p w14:paraId="356E2A11">
      <w:pPr>
        <w:tabs>
          <w:tab w:val="right" w:pos="8306"/>
        </w:tabs>
        <w:spacing w:line="600" w:lineRule="exact"/>
        <w:ind w:firstLine="640"/>
        <w:outlineLvl w:val="1"/>
        <w:rPr>
          <w:rStyle w:val="32"/>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4"/>
      <w:bookmarkEnd w:id="35"/>
      <w:r>
        <w:rPr>
          <w:rStyle w:val="32"/>
          <w:rFonts w:ascii="Times New Roman" w:hAnsi="Times New Roman" w:eastAsia="黑体"/>
          <w:b w:val="0"/>
          <w:color w:val="auto"/>
          <w:highlight w:val="none"/>
        </w:rPr>
        <w:tab/>
      </w:r>
    </w:p>
    <w:p w14:paraId="28A02C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2731.4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7EBFAD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2439.5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291.91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元，主要包括：办公费、印刷费、水费、电费、邮电费、差旅费、维修（护）费、公务接待费、劳务费、工会经费、福利费、公务用车运行维护费、其他交通费、其他商品和服务支出等。</w:t>
      </w:r>
    </w:p>
    <w:p w14:paraId="59A016D4">
      <w:pPr>
        <w:spacing w:line="600" w:lineRule="exact"/>
        <w:ind w:firstLine="320" w:firstLineChars="100"/>
        <w:outlineLvl w:val="1"/>
        <w:rPr>
          <w:rStyle w:val="32"/>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6"/>
      <w:bookmarkEnd w:id="37"/>
    </w:p>
    <w:p w14:paraId="602F4AD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100224C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5.14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24.84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82.86</w:t>
      </w:r>
      <w:r>
        <w:rPr>
          <w:rFonts w:hint="eastAsia" w:ascii="Times New Roman" w:hAnsi="Times New Roman" w:eastAsia="仿宋_GB2312" w:cs="仿宋_GB2312"/>
          <w:color w:val="auto"/>
          <w:kern w:val="2"/>
          <w:sz w:val="32"/>
          <w:szCs w:val="32"/>
          <w:highlight w:val="none"/>
          <w:lang w:val="en-US" w:eastAsia="zh-CN" w:bidi="ar-SA"/>
        </w:rPr>
        <w:t>%。决算数小于预算数（或与预算数持平）的主要原因是</w:t>
      </w:r>
      <w:r>
        <w:rPr>
          <w:rFonts w:hint="eastAsia" w:eastAsia="仿宋_GB2312" w:cs="仿宋_GB2312"/>
          <w:color w:val="auto"/>
          <w:kern w:val="2"/>
          <w:sz w:val="32"/>
          <w:szCs w:val="32"/>
          <w:highlight w:val="none"/>
          <w:lang w:val="en-US" w:eastAsia="zh-CN" w:bidi="ar-SA"/>
        </w:rPr>
        <w:t>减少了公务用车购置费。</w:t>
      </w:r>
    </w:p>
    <w:p w14:paraId="65A6342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1F99076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eastAsia="仿宋_GB2312" w:cs="仿宋_GB2312"/>
          <w:color w:val="auto"/>
          <w:sz w:val="32"/>
          <w:szCs w:val="32"/>
          <w:highlight w:val="none"/>
          <w:lang w:val="en-US" w:eastAsia="zh-CN"/>
        </w:rPr>
        <w:t>5</w:t>
      </w:r>
      <w:r>
        <w:rPr>
          <w:rFonts w:hint="eastAsia" w:ascii="仿宋_GB2312" w:hAnsi="仿宋_GB2312" w:eastAsia="仿宋_GB2312" w:cs="仿宋_GB2312"/>
          <w:color w:val="auto"/>
          <w:kern w:val="2"/>
          <w:sz w:val="32"/>
          <w:szCs w:val="32"/>
          <w:highlight w:val="none"/>
          <w:lang w:val="en-US" w:eastAsia="zh-CN" w:bidi="ar-SA"/>
        </w:rPr>
        <w:t>万元，占97.28%；公务接待费支出决算</w:t>
      </w:r>
      <w:r>
        <w:rPr>
          <w:rFonts w:hint="eastAsia" w:eastAsia="仿宋_GB2312" w:cs="仿宋_GB2312"/>
          <w:color w:val="auto"/>
          <w:sz w:val="32"/>
          <w:szCs w:val="32"/>
          <w:highlight w:val="none"/>
          <w:lang w:val="en-US" w:eastAsia="zh-CN"/>
        </w:rPr>
        <w:t>0.14</w:t>
      </w:r>
      <w:r>
        <w:rPr>
          <w:rFonts w:hint="eastAsia" w:ascii="仿宋_GB2312" w:hAnsi="仿宋_GB2312" w:eastAsia="仿宋_GB2312" w:cs="仿宋_GB2312"/>
          <w:color w:val="auto"/>
          <w:kern w:val="2"/>
          <w:sz w:val="32"/>
          <w:szCs w:val="32"/>
          <w:highlight w:val="none"/>
          <w:lang w:val="en-US" w:eastAsia="zh-CN" w:bidi="ar-SA"/>
        </w:rPr>
        <w:t>万元，占2.72%。具体情况如下：</w:t>
      </w:r>
    </w:p>
    <w:p w14:paraId="24726F09">
      <w:pPr>
        <w:pStyle w:val="8"/>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s="Times New Roman"/>
          <w:b/>
          <w:color w:val="auto"/>
          <w:sz w:val="32"/>
          <w:szCs w:val="32"/>
          <w:highlight w:val="yellow"/>
          <w:lang w:eastAsia="zh-CN"/>
        </w:rPr>
        <w:object>
          <v:shape id="_x0000_i1030" o:spt="75" type="#_x0000_t75" style="height:222.75pt;width:369pt;" o:ole="t" filled="f" o:preferrelative="t" stroked="f" coordsize="21600,21600">
            <v:path/>
            <v:fill on="f" focussize="0,0"/>
            <v:stroke on="f"/>
            <v:imagedata r:id="rId20" o:title=""/>
            <o:lock v:ext="edit" aspectratio="t"/>
            <w10:wrap type="none"/>
            <w10:anchorlock/>
          </v:shape>
          <o:OLEObject Type="Embed" ProgID="Excel.Chart.8" ShapeID="_x0000_i1030" DrawAspect="Content" ObjectID="_1468075731" r:id="rId19">
            <o:LockedField>false</o:LockedField>
          </o:OLEObject>
        </w:object>
      </w:r>
    </w:p>
    <w:p w14:paraId="6A35C32B">
      <w:pPr>
        <w:pStyle w:val="8"/>
        <w:rPr>
          <w:rFonts w:hint="eastAsia"/>
          <w:lang w:val="en-US" w:eastAsia="zh-CN"/>
        </w:rPr>
      </w:pPr>
    </w:p>
    <w:p w14:paraId="12FF02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6A8398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。因公出国（境）支出决算比2023年增加0万元，增长0%。主要原因是没有因公出国（境）支出。</w:t>
      </w:r>
    </w:p>
    <w:p w14:paraId="13DB9AA1">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sz w:val="32"/>
          <w:szCs w:val="32"/>
          <w:highlight w:val="none"/>
          <w:lang w:val="en-US" w:eastAsia="zh-CN"/>
        </w:rPr>
        <w:t>5</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公务用车购置及运行维护费支出决算比2023年度增减少</w:t>
      </w:r>
      <w:r>
        <w:rPr>
          <w:rFonts w:hint="eastAsia" w:eastAsia="仿宋_GB2312" w:cs="仿宋_GB2312"/>
          <w:color w:val="auto"/>
          <w:kern w:val="2"/>
          <w:sz w:val="32"/>
          <w:szCs w:val="32"/>
          <w:highlight w:val="none"/>
          <w:lang w:val="en-US" w:eastAsia="zh-CN" w:bidi="ar-SA"/>
        </w:rPr>
        <w:t>24.98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83.32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减少了公务用车购置费。</w:t>
      </w:r>
    </w:p>
    <w:p w14:paraId="0D604A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。全年按规定更新购置公务用车0辆，其中：轿车0辆、金额0万元，越野车0辆、金额0万元，载客汽车0辆、金额0万元。截至2024年12月31日，单位共有公务用车3辆，其中：轿车0辆、越野车3辆、载客汽车0辆。</w:t>
      </w:r>
    </w:p>
    <w:p w14:paraId="1A53A7EF">
      <w:pPr>
        <w:spacing w:line="600" w:lineRule="exact"/>
        <w:ind w:firstLine="640"/>
        <w:rPr>
          <w:rFonts w:hint="eastAsia" w:ascii="仿宋_GB2312" w:hAnsi="仿宋_GB2312" w:eastAsia="仿宋_GB2312"/>
          <w:color w:val="000000"/>
          <w:kern w:val="2"/>
          <w:sz w:val="32"/>
          <w:lang w:val="zh-CN"/>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hAnsi="仿宋_GB2312" w:eastAsia="仿宋_GB2312"/>
          <w:color w:val="000000"/>
          <w:kern w:val="2"/>
          <w:sz w:val="32"/>
          <w:lang w:val="zh-CN"/>
        </w:rPr>
        <w:t>主要</w:t>
      </w:r>
      <w:r>
        <w:rPr>
          <w:rFonts w:hint="eastAsia" w:ascii="仿宋_GB2312" w:hAnsi="Times New Roman" w:eastAsia="仿宋_GB2312"/>
          <w:color w:val="000000"/>
          <w:sz w:val="32"/>
        </w:rPr>
        <w:t>用于</w:t>
      </w:r>
      <w:r>
        <w:rPr>
          <w:rFonts w:hint="eastAsia" w:ascii="仿宋_GB2312" w:hAnsi="Times New Roman" w:eastAsia="仿宋_GB2312"/>
          <w:color w:val="000000"/>
          <w:sz w:val="32"/>
          <w:lang w:eastAsia="zh-CN"/>
        </w:rPr>
        <w:t>执行公务、开展业务活动</w:t>
      </w:r>
      <w:r>
        <w:rPr>
          <w:rFonts w:hint="eastAsia" w:ascii="仿宋_GB2312" w:hAnsi="仿宋_GB2312" w:eastAsia="仿宋_GB2312"/>
          <w:color w:val="000000"/>
          <w:kern w:val="2"/>
          <w:sz w:val="32"/>
          <w:lang w:val="zh-CN"/>
        </w:rPr>
        <w:t>等所需的公务用车燃料费、维修费、过路过桥费、保险费等支出。</w:t>
      </w:r>
    </w:p>
    <w:p w14:paraId="58CF68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0.14</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0.14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增加了公务接待费</w:t>
      </w:r>
      <w:r>
        <w:rPr>
          <w:rFonts w:hint="eastAsia" w:ascii="Times New Roman" w:hAnsi="Times New Roman" w:eastAsia="仿宋_GB2312" w:cs="仿宋_GB2312"/>
          <w:color w:val="auto"/>
          <w:kern w:val="2"/>
          <w:sz w:val="32"/>
          <w:szCs w:val="32"/>
          <w:highlight w:val="none"/>
          <w:lang w:val="en-US" w:eastAsia="zh-CN" w:bidi="ar-SA"/>
        </w:rPr>
        <w:t>。其中：</w:t>
      </w:r>
    </w:p>
    <w:p w14:paraId="7F6B85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0.14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元，主要用于开展业务活动开支的用餐费。国内公务接待1批次</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11</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0.14</w:t>
      </w:r>
      <w:r>
        <w:rPr>
          <w:rFonts w:hint="eastAsia" w:ascii="Times New Roman" w:hAnsi="Times New Roman" w:eastAsia="仿宋_GB2312" w:cs="仿宋_GB2312"/>
          <w:color w:val="auto"/>
          <w:kern w:val="2"/>
          <w:sz w:val="32"/>
          <w:szCs w:val="32"/>
          <w:highlight w:val="none"/>
          <w:lang w:val="en-US" w:eastAsia="zh-CN" w:bidi="ar-SA"/>
        </w:rPr>
        <w:t>万元，具体内容包括：接待帮扶单位用餐费0.14万元。</w:t>
      </w:r>
    </w:p>
    <w:p w14:paraId="271BAB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bookmarkStart w:id="40" w:name="_Toc15396610"/>
      <w:bookmarkStart w:id="41" w:name="_Toc15377218"/>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0CE1F021">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0"/>
      <w:bookmarkEnd w:id="41"/>
    </w:p>
    <w:p w14:paraId="743D8A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258.56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rPr>
        <w:t>7.72</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191.22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283.96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项目资金增加了。</w:t>
      </w:r>
    </w:p>
    <w:p w14:paraId="4B3B8DAE">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2" w:name="_Toc15377219"/>
      <w:bookmarkStart w:id="43" w:name="_Toc15396611"/>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2"/>
      <w:bookmarkEnd w:id="43"/>
    </w:p>
    <w:p w14:paraId="34E3B2F6">
      <w:pPr>
        <w:numPr>
          <w:ilvl w:val="0"/>
          <w:numId w:val="0"/>
        </w:numPr>
        <w:spacing w:line="600" w:lineRule="exact"/>
        <w:ind w:left="630" w:leftChars="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2024年度国有资本经营预算财政拨款支出0万元，占本</w:t>
      </w:r>
    </w:p>
    <w:p w14:paraId="57328D7B">
      <w:pPr>
        <w:numPr>
          <w:ilvl w:val="0"/>
          <w:numId w:val="0"/>
        </w:numPr>
        <w:spacing w:line="600" w:lineRule="exact"/>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年度支出合计的</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44" w:name="_Toc15396612"/>
      <w:bookmarkStart w:id="45" w:name="_Toc15377221"/>
    </w:p>
    <w:p w14:paraId="0B6616D0">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4"/>
      <w:bookmarkEnd w:id="45"/>
    </w:p>
    <w:p w14:paraId="17486A7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648C2E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291.91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12.17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4.35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经费增加了。</w:t>
      </w:r>
    </w:p>
    <w:p w14:paraId="0480147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42690C7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峨边彝族自治县沙坪镇</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1.12</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1.12</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万元。主要用于购买办公电脑等。授予中小企业合同金额</w:t>
      </w:r>
      <w:r>
        <w:rPr>
          <w:rFonts w:hint="eastAsia" w:ascii="仿宋_GB2312" w:hAnsi="仿宋_GB2312" w:eastAsia="仿宋_GB2312" w:cs="仿宋_GB2312"/>
          <w:sz w:val="32"/>
          <w:szCs w:val="32"/>
        </w:rPr>
        <w:t>1.12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1.12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0353D69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706D19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峨边彝族自治县沙坪镇人民政府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辆，其他用车主要用于</w:t>
      </w:r>
      <w:r>
        <w:rPr>
          <w:rFonts w:hint="eastAsia" w:ascii="仿宋_GB2312" w:hAnsi="Times New Roman" w:eastAsia="仿宋_GB2312"/>
          <w:color w:val="000000"/>
          <w:sz w:val="32"/>
          <w:lang w:eastAsia="zh-CN"/>
        </w:rPr>
        <w:t>执行公务、开展业务活动</w:t>
      </w:r>
      <w:r>
        <w:rPr>
          <w:rFonts w:hint="eastAsia" w:ascii="仿宋_GB2312" w:hAnsi="仿宋_GB2312" w:eastAsia="仿宋_GB2312"/>
          <w:color w:val="000000"/>
          <w:kern w:val="2"/>
          <w:sz w:val="32"/>
          <w:lang w:val="zh-CN"/>
        </w:rPr>
        <w:t>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FB24C0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C585F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沙坪镇</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Times New Roman" w:hAnsi="Times New Roman" w:eastAsia="仿宋_GB2312" w:cs="仿宋_GB2312"/>
          <w:color w:val="auto"/>
          <w:kern w:val="2"/>
          <w:sz w:val="32"/>
          <w:szCs w:val="32"/>
          <w:highlight w:val="none"/>
          <w:lang w:val="zh-CN" w:eastAsia="zh-CN" w:bidi="ar-SA"/>
        </w:rPr>
        <w:t>乡镇交通劝导员补贴</w:t>
      </w:r>
      <w:r>
        <w:rPr>
          <w:rFonts w:hint="eastAsia" w:ascii="Times New Roman" w:hAnsi="Times New Roman" w:eastAsia="仿宋_GB2312" w:cs="仿宋_GB2312"/>
          <w:color w:val="auto"/>
          <w:kern w:val="2"/>
          <w:sz w:val="32"/>
          <w:szCs w:val="32"/>
          <w:highlight w:val="none"/>
          <w:lang w:val="en-US" w:eastAsia="zh-CN" w:bidi="ar-SA"/>
        </w:rPr>
        <w:t>9.36万元；船管员劳务费（劳务费）3万元；2024年基层组织和农村公共服务运行经费333.6万元；交通安全工作经费5万元；“山海情”柯峨教育协作帮扶建设项目配套设施建设房屋征收及青苗补偿款等相关资金176.19万元；沙坪镇2024年农村综合改革转移支付资金（农村公益事业一事一议奖补）项目）（川财农</w:t>
      </w:r>
      <w:r>
        <w:rPr>
          <w:rFonts w:hint="eastAsia" w:eastAsia="仿宋_GB2312" w:cs="仿宋_GB2312"/>
          <w:color w:val="auto"/>
          <w:kern w:val="2"/>
          <w:sz w:val="32"/>
          <w:szCs w:val="32"/>
          <w:highlight w:val="none"/>
          <w:lang w:val="en-US" w:eastAsia="zh-CN" w:bidi="ar-SA"/>
        </w:rPr>
        <w:t>〔2023〕158号</w:t>
      </w:r>
      <w:r>
        <w:rPr>
          <w:rFonts w:hint="eastAsia" w:ascii="Times New Roman" w:hAnsi="Times New Roman" w:eastAsia="仿宋_GB2312" w:cs="仿宋_GB2312"/>
          <w:color w:val="auto"/>
          <w:kern w:val="2"/>
          <w:sz w:val="32"/>
          <w:szCs w:val="32"/>
          <w:highlight w:val="none"/>
          <w:lang w:val="en-US" w:eastAsia="zh-CN" w:bidi="ar-SA"/>
        </w:rPr>
        <w:t>）6.72万元；峨边府常定</w:t>
      </w:r>
      <w:r>
        <w:rPr>
          <w:rFonts w:hint="eastAsia" w:eastAsia="仿宋_GB2312" w:cs="仿宋_GB2312"/>
          <w:color w:val="auto"/>
          <w:kern w:val="2"/>
          <w:sz w:val="32"/>
          <w:szCs w:val="32"/>
          <w:highlight w:val="none"/>
          <w:lang w:val="en-US" w:eastAsia="zh-CN" w:bidi="ar-SA"/>
        </w:rPr>
        <w:t>〔2024〕23号</w:t>
      </w:r>
      <w:r>
        <w:rPr>
          <w:rFonts w:hint="eastAsia" w:ascii="Times New Roman" w:hAnsi="Times New Roman" w:eastAsia="仿宋_GB2312" w:cs="仿宋_GB2312"/>
          <w:color w:val="auto"/>
          <w:kern w:val="2"/>
          <w:sz w:val="32"/>
          <w:szCs w:val="32"/>
          <w:highlight w:val="none"/>
          <w:lang w:val="en-US" w:eastAsia="zh-CN" w:bidi="ar-SA"/>
        </w:rPr>
        <w:t>背峰山公园主体及配套设施建设占地和地面附着物补偿资金82.37万元等</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72BD2C93">
      <w:pPr>
        <w:pStyle w:val="2"/>
        <w:rPr>
          <w:rFonts w:hint="eastAsia" w:ascii="Times New Roman" w:hAnsi="Times New Roman" w:eastAsia="仿宋_GB2312" w:cs="仿宋_GB2312"/>
          <w:color w:val="auto"/>
          <w:kern w:val="2"/>
          <w:sz w:val="32"/>
          <w:szCs w:val="32"/>
          <w:highlight w:val="none"/>
          <w:lang w:val="en-US" w:eastAsia="zh-CN" w:bidi="ar-SA"/>
        </w:rPr>
      </w:pPr>
    </w:p>
    <w:p w14:paraId="6BBD04D6">
      <w:pPr>
        <w:pStyle w:val="3"/>
        <w:rPr>
          <w:rFonts w:hint="eastAsia"/>
          <w:lang w:val="en-US" w:eastAsia="zh-CN"/>
        </w:rPr>
      </w:pPr>
    </w:p>
    <w:p w14:paraId="59651557">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476D460B">
      <w:pPr>
        <w:spacing w:line="600" w:lineRule="exact"/>
        <w:jc w:val="left"/>
        <w:rPr>
          <w:rFonts w:ascii="Times New Roman" w:hAnsi="Times New Roman"/>
          <w:b/>
          <w:color w:val="auto"/>
          <w:sz w:val="44"/>
          <w:szCs w:val="44"/>
          <w:highlight w:val="none"/>
        </w:rPr>
      </w:pPr>
    </w:p>
    <w:p w14:paraId="07CC2DA9">
      <w:pPr>
        <w:spacing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1.财政拨款收入：指单位从同级财政部门取得的财政预算资金。</w:t>
      </w:r>
    </w:p>
    <w:p w14:paraId="385A7DF5">
      <w:pPr>
        <w:spacing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2.事业收入：指事业单位开展专业业务活动及辅助活动取得的收入。</w:t>
      </w:r>
    </w:p>
    <w:p w14:paraId="1E1BE12A">
      <w:pPr>
        <w:spacing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3.经营收入：指事业单位在专业业务活动及其辅助活动之外开展非独立核算经营活动取得的收入。</w:t>
      </w:r>
    </w:p>
    <w:p w14:paraId="267105F4">
      <w:pPr>
        <w:spacing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4.其他收入：指单位取得的除上述收入以外的各项收入。</w:t>
      </w:r>
    </w:p>
    <w:p w14:paraId="67EE7DEB">
      <w:pPr>
        <w:spacing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 xml:space="preserve">5.使用非财政拨款结余：指事业单位使用以前年度积累的非财政拨款结余弥补当年收支差额的金额。 </w:t>
      </w:r>
    </w:p>
    <w:p w14:paraId="08A87061">
      <w:pPr>
        <w:spacing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 xml:space="preserve">6.年初结转和结余：指以前年度尚未完成、结转到本年按有关规定继续使用的资金。 </w:t>
      </w:r>
    </w:p>
    <w:p w14:paraId="7B26B7F9">
      <w:pPr>
        <w:spacing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7.结余分配：指事业单位按照会计制度规定缴纳的所得税、提取的专用结余以及转入非财政拨款结余的金额等。</w:t>
      </w:r>
    </w:p>
    <w:p w14:paraId="181087C6">
      <w:pPr>
        <w:spacing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8.年末结转和结余：指单位按有关规定结转到下年或以后年度继续使用的资金。</w:t>
      </w:r>
    </w:p>
    <w:p w14:paraId="6291C593">
      <w:pPr>
        <w:numPr>
          <w:ilvl w:val="0"/>
          <w:numId w:val="0"/>
        </w:numPr>
        <w:rPr>
          <w:rFonts w:hint="eastAsia" w:ascii="仿宋_GB2312" w:hAnsi="仿宋_GB2312" w:eastAsia="仿宋_GB2312"/>
          <w:color w:val="auto"/>
          <w:sz w:val="32"/>
        </w:rPr>
      </w:pPr>
      <w:r>
        <w:rPr>
          <w:rStyle w:val="20"/>
          <w:rFonts w:hint="eastAsia" w:ascii="仿宋_GB2312" w:hAnsi="仿宋_GB2312" w:eastAsia="仿宋_GB2312"/>
          <w:b w:val="0"/>
          <w:color w:val="auto"/>
          <w:sz w:val="32"/>
          <w:lang w:val="en-US" w:eastAsia="zh-CN"/>
        </w:rPr>
        <w:t xml:space="preserve">    9.</w:t>
      </w:r>
      <w:r>
        <w:rPr>
          <w:rStyle w:val="20"/>
          <w:rFonts w:hint="eastAsia" w:ascii="仿宋_GB2312" w:hAnsi="仿宋_GB2312" w:eastAsia="仿宋_GB2312"/>
          <w:b w:val="0"/>
          <w:color w:val="auto"/>
          <w:sz w:val="32"/>
        </w:rPr>
        <w:t>一般公共服务（类）政府办公厅（室）及相关机构事务（款）行政运行（项）</w:t>
      </w:r>
      <w:r>
        <w:rPr>
          <w:rStyle w:val="20"/>
          <w:rFonts w:hint="eastAsia" w:ascii="仿宋_GB2312" w:hAnsi="仿宋_GB2312" w:eastAsia="仿宋_GB2312"/>
          <w:b w:val="0"/>
          <w:color w:val="auto"/>
          <w:sz w:val="32"/>
          <w:lang w:eastAsia="zh-CN"/>
        </w:rPr>
        <w:t>：</w:t>
      </w:r>
      <w:r>
        <w:rPr>
          <w:rStyle w:val="20"/>
          <w:rFonts w:hint="eastAsia" w:ascii="仿宋_GB2312" w:hAnsi="仿宋_GB2312" w:eastAsia="仿宋_GB2312"/>
          <w:b w:val="0"/>
          <w:color w:val="auto"/>
          <w:sz w:val="32"/>
        </w:rPr>
        <w:t xml:space="preserve"> </w:t>
      </w:r>
      <w:r>
        <w:rPr>
          <w:rStyle w:val="19"/>
          <w:rFonts w:hint="eastAsia" w:ascii="仿宋_GB2312" w:hAnsi="仿宋_GB2312" w:eastAsia="仿宋_GB2312"/>
          <w:color w:val="auto"/>
          <w:sz w:val="32"/>
        </w:rPr>
        <w:t xml:space="preserve"> </w:t>
      </w:r>
      <w:r>
        <w:rPr>
          <w:rFonts w:hint="eastAsia" w:ascii="仿宋_GB2312" w:hAnsi="仿宋_GB2312" w:eastAsia="仿宋_GB2312"/>
          <w:color w:val="auto"/>
          <w:sz w:val="32"/>
        </w:rPr>
        <w:t>指</w:t>
      </w:r>
      <w:r>
        <w:rPr>
          <w:rFonts w:hint="eastAsia" w:ascii="仿宋_GB2312" w:hAnsi="仿宋_GB2312" w:eastAsia="仿宋_GB2312"/>
          <w:color w:val="auto"/>
          <w:sz w:val="32"/>
          <w:lang w:eastAsia="zh-CN"/>
        </w:rPr>
        <w:t>反映行政单位（包括实行公务员管理的事业单位）的基本支出</w:t>
      </w:r>
      <w:r>
        <w:rPr>
          <w:rFonts w:hint="eastAsia" w:ascii="仿宋_GB2312" w:hAnsi="仿宋_GB2312" w:eastAsia="仿宋_GB2312"/>
          <w:color w:val="auto"/>
          <w:sz w:val="32"/>
        </w:rPr>
        <w:t>。</w:t>
      </w:r>
    </w:p>
    <w:p w14:paraId="54ED0255">
      <w:pPr>
        <w:pStyle w:val="29"/>
        <w:numPr>
          <w:ilvl w:val="0"/>
          <w:numId w:val="0"/>
        </w:numPr>
        <w:spacing w:line="560" w:lineRule="exact"/>
        <w:ind w:firstLine="640" w:firstLineChars="200"/>
        <w:rPr>
          <w:rStyle w:val="19"/>
          <w:rFonts w:hint="eastAsia" w:ascii="仿宋_GB2312" w:hAnsi="仿宋_GB2312" w:eastAsia="仿宋_GB2312"/>
          <w:color w:val="auto"/>
          <w:sz w:val="32"/>
        </w:rPr>
      </w:pPr>
      <w:r>
        <w:rPr>
          <w:rFonts w:hint="eastAsia" w:ascii="仿宋_GB2312" w:hAnsi="仿宋_GB2312" w:eastAsia="仿宋_GB2312"/>
          <w:color w:val="auto"/>
          <w:sz w:val="32"/>
          <w:lang w:eastAsia="zh-CN"/>
        </w:rPr>
        <w:t>10.</w:t>
      </w:r>
      <w:r>
        <w:rPr>
          <w:rStyle w:val="19"/>
          <w:rFonts w:hint="eastAsia" w:ascii="仿宋_GB2312" w:hAnsi="仿宋_GB2312" w:eastAsia="仿宋_GB2312"/>
          <w:color w:val="auto"/>
          <w:sz w:val="32"/>
        </w:rPr>
        <w:t>一般公共服务（类）政府办公厅（室）及相关机构事务（款）事业运行（项）</w:t>
      </w:r>
      <w:r>
        <w:rPr>
          <w:rStyle w:val="19"/>
          <w:rFonts w:hint="eastAsia" w:ascii="仿宋_GB2312" w:hAnsi="仿宋_GB2312" w:eastAsia="仿宋_GB2312"/>
          <w:color w:val="auto"/>
          <w:sz w:val="32"/>
          <w:lang w:eastAsia="zh-CN"/>
        </w:rPr>
        <w:t>：</w:t>
      </w:r>
      <w:r>
        <w:rPr>
          <w:rFonts w:hint="eastAsia" w:ascii="仿宋_GB2312" w:hAnsi="仿宋_GB2312" w:eastAsia="仿宋_GB2312"/>
          <w:color w:val="auto"/>
          <w:sz w:val="32"/>
        </w:rPr>
        <w:t>指反映事业单位的基本支出，不包括行政单位（包括实行公务员管理的事业单位）后勤服务中心、医务室等附属事业单位。</w:t>
      </w:r>
    </w:p>
    <w:p w14:paraId="784432C5">
      <w:pPr>
        <w:spacing w:line="600" w:lineRule="exact"/>
        <w:ind w:firstLine="640" w:firstLineChars="200"/>
        <w:rPr>
          <w:rStyle w:val="19"/>
          <w:rFonts w:hint="eastAsia" w:ascii="仿宋_GB2312" w:hAnsi="仿宋_GB2312" w:eastAsia="仿宋_GB2312"/>
          <w:color w:val="auto"/>
          <w:sz w:val="32"/>
        </w:rPr>
      </w:pPr>
      <w:r>
        <w:rPr>
          <w:rStyle w:val="19"/>
          <w:rFonts w:hint="eastAsia" w:ascii="仿宋_GB2312" w:hAnsi="仿宋_GB2312" w:eastAsia="仿宋_GB2312"/>
          <w:color w:val="auto"/>
          <w:sz w:val="32"/>
          <w:lang w:val="en-US" w:eastAsia="zh-CN"/>
        </w:rPr>
        <w:t>11.</w:t>
      </w:r>
      <w:r>
        <w:rPr>
          <w:rStyle w:val="20"/>
          <w:rFonts w:hint="eastAsia" w:ascii="仿宋_GB2312" w:hAnsi="仿宋_GB2312" w:eastAsia="仿宋_GB2312"/>
          <w:b w:val="0"/>
          <w:color w:val="auto"/>
          <w:sz w:val="32"/>
        </w:rPr>
        <w:t>社会保障和就业</w:t>
      </w:r>
      <w:r>
        <w:rPr>
          <w:rStyle w:val="20"/>
          <w:rFonts w:hint="eastAsia" w:ascii="仿宋_GB2312" w:hAnsi="仿宋_GB2312" w:eastAsia="仿宋_GB2312"/>
          <w:b w:val="0"/>
          <w:color w:val="auto"/>
          <w:sz w:val="32"/>
          <w:lang w:eastAsia="zh-CN"/>
        </w:rPr>
        <w:t>支出</w:t>
      </w:r>
      <w:r>
        <w:rPr>
          <w:rStyle w:val="20"/>
          <w:rFonts w:hint="eastAsia" w:ascii="仿宋_GB2312" w:hAnsi="仿宋_GB2312" w:eastAsia="仿宋_GB2312"/>
          <w:b w:val="0"/>
          <w:color w:val="auto"/>
          <w:sz w:val="32"/>
        </w:rPr>
        <w:t>（类）</w:t>
      </w:r>
      <w:r>
        <w:rPr>
          <w:rStyle w:val="20"/>
          <w:rFonts w:hint="eastAsia" w:ascii="仿宋_GB2312" w:hAnsi="仿宋_GB2312" w:eastAsia="仿宋_GB2312"/>
          <w:b w:val="0"/>
          <w:color w:val="auto"/>
          <w:sz w:val="32"/>
          <w:lang w:eastAsia="zh-CN"/>
        </w:rPr>
        <w:t>行政事业单位离退休</w:t>
      </w:r>
      <w:r>
        <w:rPr>
          <w:rStyle w:val="20"/>
          <w:rFonts w:hint="eastAsia" w:ascii="仿宋_GB2312" w:hAnsi="仿宋_GB2312" w:eastAsia="仿宋_GB2312"/>
          <w:b w:val="0"/>
          <w:color w:val="auto"/>
          <w:sz w:val="32"/>
        </w:rPr>
        <w:t>（款）</w:t>
      </w:r>
      <w:r>
        <w:rPr>
          <w:rStyle w:val="20"/>
          <w:rFonts w:hint="eastAsia" w:ascii="仿宋_GB2312" w:hAnsi="仿宋_GB2312" w:eastAsia="仿宋_GB2312"/>
          <w:b w:val="0"/>
          <w:color w:val="auto"/>
          <w:sz w:val="32"/>
          <w:lang w:eastAsia="zh-CN"/>
        </w:rPr>
        <w:t>机关事业单位基本养老保险缴费支出</w:t>
      </w:r>
      <w:r>
        <w:rPr>
          <w:rStyle w:val="20"/>
          <w:rFonts w:hint="eastAsia" w:ascii="仿宋_GB2312" w:hAnsi="仿宋_GB2312" w:eastAsia="仿宋_GB2312"/>
          <w:b w:val="0"/>
          <w:color w:val="auto"/>
          <w:sz w:val="32"/>
        </w:rPr>
        <w:t>（项）</w:t>
      </w:r>
      <w:r>
        <w:rPr>
          <w:rStyle w:val="20"/>
          <w:rFonts w:hint="eastAsia" w:ascii="仿宋_GB2312" w:hAnsi="仿宋_GB2312" w:eastAsia="仿宋_GB2312"/>
          <w:b w:val="0"/>
          <w:color w:val="auto"/>
          <w:sz w:val="32"/>
          <w:lang w:eastAsia="zh-CN"/>
        </w:rPr>
        <w:t>：</w:t>
      </w:r>
      <w:r>
        <w:rPr>
          <w:rStyle w:val="20"/>
          <w:rFonts w:hint="eastAsia" w:ascii="仿宋_GB2312" w:hAnsi="仿宋_GB2312" w:eastAsia="仿宋_GB2312"/>
          <w:b w:val="0"/>
          <w:color w:val="auto"/>
          <w:sz w:val="32"/>
        </w:rPr>
        <w:t xml:space="preserve"> </w:t>
      </w:r>
      <w:r>
        <w:rPr>
          <w:rStyle w:val="20"/>
          <w:rFonts w:hint="eastAsia" w:ascii="仿宋_GB2312" w:hAnsi="仿宋_GB2312" w:eastAsia="仿宋_GB2312"/>
          <w:b w:val="0"/>
          <w:color w:val="auto"/>
          <w:sz w:val="32"/>
          <w:lang w:eastAsia="zh-CN"/>
        </w:rPr>
        <w:t>指反映机关事业单位实施养老保险制度由单位缴纳的基本养老保险费支出。</w:t>
      </w:r>
    </w:p>
    <w:p w14:paraId="497E27E9">
      <w:pPr>
        <w:spacing w:line="600" w:lineRule="exact"/>
        <w:ind w:firstLine="640" w:firstLineChars="200"/>
        <w:rPr>
          <w:rStyle w:val="20"/>
          <w:rFonts w:hint="eastAsia" w:ascii="仿宋_GB2312" w:hAnsi="仿宋_GB2312" w:eastAsia="仿宋_GB2312"/>
          <w:b w:val="0"/>
          <w:color w:val="auto"/>
          <w:sz w:val="32"/>
          <w:lang w:eastAsia="zh-CN"/>
        </w:rPr>
      </w:pPr>
      <w:r>
        <w:rPr>
          <w:rStyle w:val="20"/>
          <w:rFonts w:hint="eastAsia" w:ascii="仿宋_GB2312" w:hAnsi="仿宋_GB2312" w:eastAsia="仿宋_GB2312"/>
          <w:b w:val="0"/>
          <w:color w:val="auto"/>
          <w:sz w:val="32"/>
          <w:lang w:val="en-US" w:eastAsia="zh-CN"/>
        </w:rPr>
        <w:t>12.</w:t>
      </w:r>
      <w:r>
        <w:rPr>
          <w:rStyle w:val="20"/>
          <w:rFonts w:hint="eastAsia" w:ascii="仿宋_GB2312" w:hAnsi="仿宋_GB2312" w:eastAsia="仿宋_GB2312"/>
          <w:b w:val="0"/>
          <w:color w:val="auto"/>
          <w:sz w:val="32"/>
        </w:rPr>
        <w:t>社会保障和就业</w:t>
      </w:r>
      <w:r>
        <w:rPr>
          <w:rStyle w:val="20"/>
          <w:rFonts w:hint="eastAsia" w:ascii="仿宋_GB2312" w:hAnsi="仿宋_GB2312" w:eastAsia="仿宋_GB2312"/>
          <w:b w:val="0"/>
          <w:color w:val="auto"/>
          <w:sz w:val="32"/>
          <w:lang w:eastAsia="zh-CN"/>
        </w:rPr>
        <w:t>支出</w:t>
      </w:r>
      <w:r>
        <w:rPr>
          <w:rStyle w:val="20"/>
          <w:rFonts w:hint="eastAsia" w:ascii="仿宋_GB2312" w:hAnsi="仿宋_GB2312" w:eastAsia="仿宋_GB2312"/>
          <w:b w:val="0"/>
          <w:color w:val="auto"/>
          <w:sz w:val="32"/>
        </w:rPr>
        <w:t>（类）</w:t>
      </w:r>
      <w:r>
        <w:rPr>
          <w:rStyle w:val="20"/>
          <w:rFonts w:hint="eastAsia" w:ascii="仿宋_GB2312" w:hAnsi="仿宋_GB2312" w:eastAsia="仿宋_GB2312"/>
          <w:b w:val="0"/>
          <w:color w:val="auto"/>
          <w:sz w:val="32"/>
          <w:lang w:eastAsia="zh-CN"/>
        </w:rPr>
        <w:t>行政事业单位离退休</w:t>
      </w:r>
      <w:r>
        <w:rPr>
          <w:rStyle w:val="20"/>
          <w:rFonts w:hint="eastAsia" w:ascii="仿宋_GB2312" w:hAnsi="仿宋_GB2312" w:eastAsia="仿宋_GB2312"/>
          <w:b w:val="0"/>
          <w:color w:val="auto"/>
          <w:sz w:val="32"/>
        </w:rPr>
        <w:t>（款）</w:t>
      </w:r>
      <w:r>
        <w:rPr>
          <w:rStyle w:val="20"/>
          <w:rFonts w:hint="eastAsia" w:ascii="仿宋_GB2312" w:hAnsi="仿宋_GB2312" w:eastAsia="仿宋_GB2312"/>
          <w:b w:val="0"/>
          <w:color w:val="auto"/>
          <w:sz w:val="32"/>
          <w:lang w:eastAsia="zh-CN"/>
        </w:rPr>
        <w:t>机关事业单位职业年金缴费支出</w:t>
      </w:r>
      <w:r>
        <w:rPr>
          <w:rStyle w:val="20"/>
          <w:rFonts w:hint="eastAsia" w:ascii="仿宋_GB2312" w:hAnsi="仿宋_GB2312" w:eastAsia="仿宋_GB2312"/>
          <w:b w:val="0"/>
          <w:color w:val="auto"/>
          <w:sz w:val="32"/>
        </w:rPr>
        <w:t>（项）</w:t>
      </w:r>
      <w:r>
        <w:rPr>
          <w:rStyle w:val="20"/>
          <w:rFonts w:hint="eastAsia" w:ascii="仿宋_GB2312" w:hAnsi="仿宋_GB2312" w:eastAsia="仿宋_GB2312"/>
          <w:b w:val="0"/>
          <w:color w:val="auto"/>
          <w:sz w:val="32"/>
          <w:lang w:eastAsia="zh-CN"/>
        </w:rPr>
        <w:t>：</w:t>
      </w:r>
      <w:r>
        <w:rPr>
          <w:rStyle w:val="20"/>
          <w:rFonts w:hint="eastAsia" w:ascii="仿宋_GB2312" w:hAnsi="仿宋_GB2312" w:eastAsia="仿宋_GB2312"/>
          <w:b w:val="0"/>
          <w:color w:val="auto"/>
          <w:sz w:val="32"/>
        </w:rPr>
        <w:t xml:space="preserve"> </w:t>
      </w:r>
      <w:r>
        <w:rPr>
          <w:rStyle w:val="20"/>
          <w:rFonts w:hint="eastAsia" w:ascii="仿宋_GB2312" w:hAnsi="仿宋_GB2312" w:eastAsia="仿宋_GB2312"/>
          <w:b w:val="0"/>
          <w:color w:val="auto"/>
          <w:sz w:val="32"/>
          <w:lang w:eastAsia="zh-CN"/>
        </w:rPr>
        <w:t>指反映机关事业单位实施养老保险制度由单位实际缴纳的职业年金支出。</w:t>
      </w:r>
    </w:p>
    <w:p w14:paraId="2780274E">
      <w:pPr>
        <w:pStyle w:val="17"/>
        <w:jc w:val="both"/>
        <w:rPr>
          <w:rFonts w:hint="eastAsia" w:eastAsia="仿宋_GB2312"/>
          <w:sz w:val="24"/>
          <w:lang w:val="en-US" w:eastAsia="zh-CN"/>
        </w:rPr>
      </w:pPr>
      <w:r>
        <w:rPr>
          <w:rStyle w:val="20"/>
          <w:rFonts w:hint="eastAsia" w:ascii="仿宋_GB2312" w:hAnsi="仿宋_GB2312" w:eastAsia="仿宋_GB2312"/>
          <w:b w:val="0"/>
          <w:color w:val="auto"/>
          <w:sz w:val="32"/>
          <w:lang w:val="en-US" w:eastAsia="zh-CN"/>
        </w:rPr>
        <w:t xml:space="preserve">    13.</w:t>
      </w:r>
      <w:r>
        <w:rPr>
          <w:rStyle w:val="20"/>
          <w:rFonts w:hint="eastAsia" w:ascii="仿宋_GB2312" w:hAnsi="仿宋_GB2312" w:eastAsia="仿宋_GB2312"/>
          <w:b w:val="0"/>
          <w:color w:val="auto"/>
          <w:sz w:val="32"/>
        </w:rPr>
        <w:t>社会保障和就业</w:t>
      </w:r>
      <w:r>
        <w:rPr>
          <w:rStyle w:val="20"/>
          <w:rFonts w:hint="eastAsia" w:ascii="仿宋_GB2312" w:hAnsi="仿宋_GB2312" w:eastAsia="仿宋_GB2312"/>
          <w:b w:val="0"/>
          <w:color w:val="auto"/>
          <w:sz w:val="32"/>
          <w:lang w:eastAsia="zh-CN"/>
        </w:rPr>
        <w:t>支出</w:t>
      </w:r>
      <w:r>
        <w:rPr>
          <w:rStyle w:val="20"/>
          <w:rFonts w:hint="eastAsia" w:ascii="仿宋_GB2312" w:hAnsi="仿宋_GB2312" w:eastAsia="仿宋_GB2312"/>
          <w:b w:val="0"/>
          <w:color w:val="auto"/>
          <w:sz w:val="32"/>
        </w:rPr>
        <w:t>（类）</w:t>
      </w:r>
      <w:r>
        <w:rPr>
          <w:rStyle w:val="20"/>
          <w:rFonts w:hint="eastAsia" w:ascii="仿宋_GB2312" w:hAnsi="仿宋_GB2312" w:eastAsia="仿宋_GB2312"/>
          <w:b w:val="0"/>
          <w:color w:val="auto"/>
          <w:sz w:val="32"/>
          <w:lang w:eastAsia="zh-CN"/>
        </w:rPr>
        <w:t>抚恤</w:t>
      </w:r>
      <w:r>
        <w:rPr>
          <w:rStyle w:val="20"/>
          <w:rFonts w:hint="eastAsia" w:ascii="仿宋_GB2312" w:hAnsi="仿宋_GB2312" w:eastAsia="仿宋_GB2312"/>
          <w:b w:val="0"/>
          <w:color w:val="auto"/>
          <w:sz w:val="32"/>
        </w:rPr>
        <w:t>（款）</w:t>
      </w:r>
      <w:r>
        <w:rPr>
          <w:rStyle w:val="20"/>
          <w:rFonts w:hint="eastAsia" w:ascii="仿宋_GB2312" w:hAnsi="仿宋_GB2312" w:eastAsia="仿宋_GB2312"/>
          <w:b w:val="0"/>
          <w:color w:val="auto"/>
          <w:sz w:val="32"/>
          <w:lang w:eastAsia="zh-CN"/>
        </w:rPr>
        <w:t>死亡抚恤</w:t>
      </w:r>
      <w:r>
        <w:rPr>
          <w:rStyle w:val="20"/>
          <w:rFonts w:hint="eastAsia" w:ascii="仿宋_GB2312" w:hAnsi="仿宋_GB2312" w:eastAsia="仿宋_GB2312"/>
          <w:b w:val="0"/>
          <w:color w:val="auto"/>
          <w:sz w:val="32"/>
        </w:rPr>
        <w:t>（项）</w:t>
      </w:r>
      <w:r>
        <w:rPr>
          <w:rStyle w:val="20"/>
          <w:rFonts w:hint="eastAsia" w:ascii="仿宋_GB2312" w:hAnsi="仿宋_GB2312" w:eastAsia="仿宋_GB2312"/>
          <w:b w:val="0"/>
          <w:color w:val="auto"/>
          <w:sz w:val="32"/>
          <w:lang w:eastAsia="zh-CN"/>
        </w:rPr>
        <w:t>：指反映按规定用于烈士和牺牲、病故人员家属的一次性和定期抚恤金、丧葬补助费以及烈士褒扬金。</w:t>
      </w:r>
    </w:p>
    <w:p w14:paraId="1EBAAE4D">
      <w:pPr>
        <w:numPr>
          <w:ilvl w:val="0"/>
          <w:numId w:val="0"/>
        </w:numPr>
        <w:spacing w:line="600" w:lineRule="exact"/>
        <w:ind w:firstLine="640" w:firstLineChars="200"/>
        <w:rPr>
          <w:rFonts w:hint="eastAsia" w:eastAsia="仿宋_GB2312"/>
          <w:sz w:val="24"/>
          <w:lang w:val="en-US" w:eastAsia="zh-CN"/>
        </w:rPr>
      </w:pPr>
      <w:r>
        <w:rPr>
          <w:rStyle w:val="20"/>
          <w:rFonts w:hint="eastAsia" w:ascii="仿宋_GB2312" w:hAnsi="仿宋_GB2312" w:eastAsia="仿宋_GB2312"/>
          <w:b w:val="0"/>
          <w:color w:val="auto"/>
          <w:sz w:val="32"/>
          <w:lang w:val="en-US" w:eastAsia="zh-CN"/>
        </w:rPr>
        <w:t>14.</w:t>
      </w:r>
      <w:r>
        <w:rPr>
          <w:rStyle w:val="20"/>
          <w:rFonts w:hint="eastAsia" w:ascii="仿宋_GB2312" w:hAnsi="仿宋_GB2312" w:eastAsia="仿宋_GB2312"/>
          <w:b w:val="0"/>
          <w:color w:val="auto"/>
          <w:sz w:val="32"/>
        </w:rPr>
        <w:t>社会保障和就业</w:t>
      </w:r>
      <w:r>
        <w:rPr>
          <w:rStyle w:val="20"/>
          <w:rFonts w:hint="eastAsia" w:ascii="仿宋_GB2312" w:hAnsi="仿宋_GB2312" w:eastAsia="仿宋_GB2312"/>
          <w:b w:val="0"/>
          <w:color w:val="auto"/>
          <w:sz w:val="32"/>
          <w:lang w:eastAsia="zh-CN"/>
        </w:rPr>
        <w:t>支出</w:t>
      </w:r>
      <w:r>
        <w:rPr>
          <w:rStyle w:val="20"/>
          <w:rFonts w:hint="eastAsia" w:ascii="仿宋_GB2312" w:hAnsi="仿宋_GB2312" w:eastAsia="仿宋_GB2312"/>
          <w:b w:val="0"/>
          <w:color w:val="auto"/>
          <w:sz w:val="32"/>
        </w:rPr>
        <w:t>（类）</w:t>
      </w:r>
      <w:r>
        <w:rPr>
          <w:rStyle w:val="20"/>
          <w:rFonts w:hint="eastAsia" w:ascii="仿宋_GB2312" w:hAnsi="仿宋_GB2312" w:eastAsia="仿宋_GB2312"/>
          <w:b w:val="0"/>
          <w:color w:val="auto"/>
          <w:sz w:val="32"/>
          <w:lang w:eastAsia="zh-CN"/>
        </w:rPr>
        <w:t>其他社会保障和就业支出</w:t>
      </w:r>
      <w:r>
        <w:rPr>
          <w:rStyle w:val="20"/>
          <w:rFonts w:hint="eastAsia" w:ascii="仿宋_GB2312" w:hAnsi="仿宋_GB2312" w:eastAsia="仿宋_GB2312"/>
          <w:b w:val="0"/>
          <w:color w:val="auto"/>
          <w:sz w:val="32"/>
        </w:rPr>
        <w:t>（款）</w:t>
      </w:r>
      <w:r>
        <w:rPr>
          <w:rStyle w:val="20"/>
          <w:rFonts w:hint="eastAsia" w:ascii="仿宋_GB2312" w:hAnsi="仿宋_GB2312" w:eastAsia="仿宋_GB2312"/>
          <w:b w:val="0"/>
          <w:color w:val="auto"/>
          <w:sz w:val="32"/>
          <w:lang w:eastAsia="zh-CN"/>
        </w:rPr>
        <w:t>其他社会保障和就业支出</w:t>
      </w:r>
      <w:r>
        <w:rPr>
          <w:rStyle w:val="20"/>
          <w:rFonts w:hint="eastAsia" w:ascii="仿宋_GB2312" w:hAnsi="仿宋_GB2312" w:eastAsia="仿宋_GB2312"/>
          <w:b w:val="0"/>
          <w:color w:val="auto"/>
          <w:sz w:val="32"/>
        </w:rPr>
        <w:t>（项）</w:t>
      </w:r>
      <w:r>
        <w:rPr>
          <w:rStyle w:val="20"/>
          <w:rFonts w:hint="eastAsia" w:ascii="仿宋_GB2312" w:hAnsi="仿宋_GB2312" w:eastAsia="仿宋_GB2312"/>
          <w:b w:val="0"/>
          <w:color w:val="auto"/>
          <w:sz w:val="32"/>
          <w:lang w:eastAsia="zh-CN"/>
        </w:rPr>
        <w:t>：</w:t>
      </w:r>
      <w:r>
        <w:rPr>
          <w:rStyle w:val="20"/>
          <w:rFonts w:hint="eastAsia" w:ascii="仿宋_GB2312" w:hAnsi="仿宋_GB2312" w:eastAsia="仿宋_GB2312"/>
          <w:b w:val="0"/>
          <w:color w:val="auto"/>
          <w:sz w:val="32"/>
        </w:rPr>
        <w:t xml:space="preserve"> </w:t>
      </w:r>
      <w:r>
        <w:rPr>
          <w:rStyle w:val="20"/>
          <w:rFonts w:hint="eastAsia" w:ascii="仿宋_GB2312" w:hAnsi="仿宋_GB2312" w:eastAsia="仿宋_GB2312"/>
          <w:b w:val="0"/>
          <w:color w:val="auto"/>
          <w:sz w:val="32"/>
          <w:lang w:eastAsia="zh-CN"/>
        </w:rPr>
        <w:t>指反映其他用于社会保障和就业方面的支出。</w:t>
      </w:r>
    </w:p>
    <w:p w14:paraId="1C64E958">
      <w:pPr>
        <w:numPr>
          <w:ilvl w:val="0"/>
          <w:numId w:val="0"/>
        </w:numPr>
        <w:spacing w:line="600" w:lineRule="exact"/>
        <w:ind w:firstLine="640" w:firstLineChars="200"/>
        <w:rPr>
          <w:rStyle w:val="20"/>
          <w:rFonts w:hint="eastAsia" w:ascii="仿宋_GB2312" w:hAnsi="仿宋_GB2312" w:eastAsia="仿宋_GB2312"/>
          <w:b w:val="0"/>
          <w:color w:val="auto"/>
          <w:sz w:val="32"/>
          <w:lang w:eastAsia="zh-CN"/>
        </w:rPr>
      </w:pPr>
      <w:r>
        <w:rPr>
          <w:rStyle w:val="20"/>
          <w:rFonts w:hint="eastAsia" w:ascii="仿宋_GB2312" w:hAnsi="仿宋_GB2312" w:eastAsia="仿宋_GB2312"/>
          <w:b w:val="0"/>
          <w:color w:val="auto"/>
          <w:sz w:val="32"/>
          <w:lang w:val="en-US" w:eastAsia="zh-CN"/>
        </w:rPr>
        <w:t>15.卫生健康支出</w:t>
      </w:r>
      <w:r>
        <w:rPr>
          <w:rStyle w:val="20"/>
          <w:rFonts w:hint="eastAsia" w:ascii="仿宋_GB2312" w:hAnsi="仿宋_GB2312" w:eastAsia="仿宋_GB2312"/>
          <w:b w:val="0"/>
          <w:color w:val="auto"/>
          <w:sz w:val="32"/>
        </w:rPr>
        <w:t>（类</w:t>
      </w:r>
      <w:r>
        <w:rPr>
          <w:rStyle w:val="20"/>
          <w:rFonts w:hint="eastAsia" w:ascii="仿宋_GB2312" w:hAnsi="仿宋_GB2312" w:eastAsia="仿宋_GB2312"/>
          <w:b w:val="0"/>
          <w:color w:val="auto"/>
          <w:sz w:val="32"/>
          <w:lang w:eastAsia="zh-CN"/>
        </w:rPr>
        <w:t>）行政事业单位医疗</w:t>
      </w:r>
      <w:r>
        <w:rPr>
          <w:rStyle w:val="20"/>
          <w:rFonts w:hint="eastAsia" w:ascii="仿宋_GB2312" w:hAnsi="仿宋_GB2312" w:eastAsia="仿宋_GB2312"/>
          <w:b w:val="0"/>
          <w:color w:val="auto"/>
          <w:sz w:val="32"/>
        </w:rPr>
        <w:t>（款）</w:t>
      </w:r>
      <w:r>
        <w:rPr>
          <w:rStyle w:val="20"/>
          <w:rFonts w:hint="eastAsia" w:ascii="仿宋_GB2312" w:hAnsi="仿宋_GB2312" w:eastAsia="仿宋_GB2312"/>
          <w:b w:val="0"/>
          <w:color w:val="auto"/>
          <w:sz w:val="32"/>
          <w:lang w:eastAsia="zh-CN"/>
        </w:rPr>
        <w:t>行政单位医疗</w:t>
      </w:r>
      <w:r>
        <w:rPr>
          <w:rStyle w:val="20"/>
          <w:rFonts w:hint="eastAsia" w:ascii="仿宋_GB2312" w:hAnsi="仿宋_GB2312" w:eastAsia="仿宋_GB2312"/>
          <w:b w:val="0"/>
          <w:color w:val="auto"/>
          <w:sz w:val="32"/>
        </w:rPr>
        <w:t>（项）</w:t>
      </w:r>
      <w:r>
        <w:rPr>
          <w:rStyle w:val="20"/>
          <w:rFonts w:hint="eastAsia" w:ascii="仿宋_GB2312" w:hAnsi="仿宋_GB2312" w:eastAsia="仿宋_GB2312"/>
          <w:b w:val="0"/>
          <w:color w:val="auto"/>
          <w:sz w:val="32"/>
          <w:lang w:eastAsia="zh-CN"/>
        </w:rPr>
        <w:t>：</w:t>
      </w:r>
      <w:r>
        <w:rPr>
          <w:rStyle w:val="20"/>
          <w:rFonts w:hint="eastAsia" w:ascii="仿宋_GB2312" w:hAnsi="仿宋_GB2312" w:eastAsia="仿宋_GB2312"/>
          <w:b w:val="0"/>
          <w:color w:val="auto"/>
          <w:sz w:val="32"/>
        </w:rPr>
        <w:t xml:space="preserve"> </w:t>
      </w:r>
      <w:r>
        <w:rPr>
          <w:rStyle w:val="20"/>
          <w:rFonts w:hint="eastAsia" w:ascii="仿宋_GB2312" w:hAnsi="仿宋_GB2312" w:eastAsia="仿宋_GB2312"/>
          <w:b w:val="0"/>
          <w:color w:val="auto"/>
          <w:sz w:val="32"/>
          <w:lang w:eastAsia="zh-CN"/>
        </w:rPr>
        <w:t>指反映财政部门安排的行政单位（包括实行公务员管理的事业单位）基本医疗保险缴费经费，未参加医疗保险的行政单位的公费医疗经费，按国家规定享受离休人员、红军老战士待遇的医疗经费。</w:t>
      </w:r>
    </w:p>
    <w:p w14:paraId="15164939">
      <w:pPr>
        <w:numPr>
          <w:ilvl w:val="0"/>
          <w:numId w:val="0"/>
        </w:numPr>
        <w:spacing w:line="600" w:lineRule="exact"/>
        <w:ind w:firstLine="640" w:firstLineChars="200"/>
        <w:rPr>
          <w:rFonts w:hint="eastAsia" w:ascii="仿宋_GB2312" w:hAnsi="仿宋_GB2312" w:eastAsia="仿宋_GB2312"/>
          <w:color w:val="auto"/>
          <w:sz w:val="32"/>
          <w:lang w:eastAsia="zh-CN"/>
        </w:rPr>
      </w:pPr>
      <w:r>
        <w:rPr>
          <w:rStyle w:val="20"/>
          <w:rFonts w:hint="eastAsia" w:ascii="仿宋_GB2312" w:hAnsi="仿宋_GB2312" w:eastAsia="仿宋_GB2312"/>
          <w:b w:val="0"/>
          <w:color w:val="auto"/>
          <w:sz w:val="32"/>
          <w:lang w:val="en-US" w:eastAsia="zh-CN"/>
        </w:rPr>
        <w:t xml:space="preserve"> 16.农林水支出</w:t>
      </w:r>
      <w:r>
        <w:rPr>
          <w:rStyle w:val="20"/>
          <w:rFonts w:hint="eastAsia" w:ascii="仿宋_GB2312" w:hAnsi="仿宋_GB2312" w:eastAsia="仿宋_GB2312"/>
          <w:b w:val="0"/>
          <w:color w:val="auto"/>
          <w:sz w:val="32"/>
        </w:rPr>
        <w:t>（类）</w:t>
      </w:r>
      <w:r>
        <w:rPr>
          <w:rStyle w:val="20"/>
          <w:rFonts w:hint="eastAsia" w:ascii="仿宋_GB2312" w:hAnsi="仿宋_GB2312" w:eastAsia="仿宋_GB2312"/>
          <w:b w:val="0"/>
          <w:color w:val="auto"/>
          <w:sz w:val="32"/>
          <w:lang w:eastAsia="zh-CN"/>
        </w:rPr>
        <w:t>巩固脱贫功坚成果衔接乡村振兴</w:t>
      </w:r>
      <w:r>
        <w:rPr>
          <w:rStyle w:val="20"/>
          <w:rFonts w:hint="eastAsia" w:ascii="仿宋_GB2312" w:hAnsi="仿宋_GB2312" w:eastAsia="仿宋_GB2312"/>
          <w:b w:val="0"/>
          <w:color w:val="auto"/>
          <w:sz w:val="32"/>
        </w:rPr>
        <w:t>（款）</w:t>
      </w:r>
      <w:r>
        <w:rPr>
          <w:rStyle w:val="20"/>
          <w:rFonts w:hint="eastAsia" w:ascii="仿宋_GB2312" w:hAnsi="仿宋_GB2312" w:eastAsia="仿宋_GB2312"/>
          <w:b w:val="0"/>
          <w:color w:val="auto"/>
          <w:sz w:val="32"/>
          <w:lang w:eastAsia="zh-CN"/>
        </w:rPr>
        <w:t>一般行政管理事务</w:t>
      </w:r>
      <w:r>
        <w:rPr>
          <w:rStyle w:val="20"/>
          <w:rFonts w:hint="eastAsia" w:ascii="仿宋_GB2312" w:hAnsi="仿宋_GB2312" w:eastAsia="仿宋_GB2312"/>
          <w:b w:val="0"/>
          <w:color w:val="auto"/>
          <w:sz w:val="32"/>
        </w:rPr>
        <w:t>（项）</w:t>
      </w:r>
      <w:r>
        <w:rPr>
          <w:rStyle w:val="20"/>
          <w:rFonts w:hint="eastAsia" w:ascii="仿宋_GB2312" w:hAnsi="仿宋_GB2312" w:eastAsia="仿宋_GB2312"/>
          <w:b w:val="0"/>
          <w:color w:val="auto"/>
          <w:sz w:val="32"/>
          <w:lang w:eastAsia="zh-CN"/>
        </w:rPr>
        <w:t>：</w:t>
      </w:r>
      <w:r>
        <w:rPr>
          <w:rFonts w:hint="eastAsia" w:ascii="仿宋_GB2312" w:hAnsi="仿宋_GB2312" w:eastAsia="仿宋_GB2312"/>
          <w:color w:val="auto"/>
          <w:sz w:val="32"/>
        </w:rPr>
        <w:t>指</w:t>
      </w:r>
      <w:r>
        <w:rPr>
          <w:rFonts w:hint="eastAsia" w:ascii="仿宋_GB2312" w:hAnsi="仿宋_GB2312" w:eastAsia="仿宋_GB2312"/>
          <w:color w:val="auto"/>
          <w:sz w:val="32"/>
          <w:lang w:eastAsia="zh-CN"/>
        </w:rPr>
        <w:t>反映行政单位（包括实行公务员管理的事业单位）未单独设置项级科目的其他项目支出。</w:t>
      </w:r>
    </w:p>
    <w:p w14:paraId="1BD6AC8B">
      <w:pPr>
        <w:numPr>
          <w:ilvl w:val="0"/>
          <w:numId w:val="0"/>
        </w:numPr>
        <w:spacing w:line="600" w:lineRule="exact"/>
        <w:ind w:firstLine="640" w:firstLineChars="200"/>
        <w:rPr>
          <w:rFonts w:hint="eastAsia" w:ascii="仿宋_GB2312" w:hAnsi="仿宋_GB2312" w:eastAsia="仿宋_GB2312"/>
          <w:color w:val="auto"/>
          <w:sz w:val="32"/>
          <w:lang w:eastAsia="zh-CN"/>
        </w:rPr>
      </w:pPr>
      <w:r>
        <w:rPr>
          <w:rStyle w:val="20"/>
          <w:rFonts w:hint="eastAsia" w:ascii="仿宋_GB2312" w:hAnsi="仿宋_GB2312" w:eastAsia="仿宋_GB2312"/>
          <w:b w:val="0"/>
          <w:color w:val="auto"/>
          <w:sz w:val="32"/>
          <w:lang w:val="en-US" w:eastAsia="zh-CN"/>
        </w:rPr>
        <w:t>17.农林水支出</w:t>
      </w:r>
      <w:r>
        <w:rPr>
          <w:rStyle w:val="20"/>
          <w:rFonts w:hint="eastAsia" w:ascii="仿宋_GB2312" w:hAnsi="仿宋_GB2312" w:eastAsia="仿宋_GB2312"/>
          <w:b w:val="0"/>
          <w:color w:val="auto"/>
          <w:sz w:val="32"/>
        </w:rPr>
        <w:t>（类）</w:t>
      </w:r>
      <w:r>
        <w:rPr>
          <w:rStyle w:val="20"/>
          <w:rFonts w:hint="eastAsia" w:ascii="仿宋_GB2312" w:hAnsi="仿宋_GB2312" w:eastAsia="仿宋_GB2312"/>
          <w:b w:val="0"/>
          <w:color w:val="auto"/>
          <w:sz w:val="32"/>
          <w:lang w:eastAsia="zh-CN"/>
        </w:rPr>
        <w:t>巩固脱贫功坚成果衔接乡村振兴</w:t>
      </w:r>
      <w:r>
        <w:rPr>
          <w:rStyle w:val="20"/>
          <w:rFonts w:hint="eastAsia" w:ascii="仿宋_GB2312" w:hAnsi="仿宋_GB2312" w:eastAsia="仿宋_GB2312"/>
          <w:b w:val="0"/>
          <w:color w:val="auto"/>
          <w:sz w:val="32"/>
        </w:rPr>
        <w:t>（款）</w:t>
      </w:r>
      <w:r>
        <w:rPr>
          <w:rStyle w:val="20"/>
          <w:rFonts w:hint="eastAsia" w:ascii="仿宋_GB2312" w:hAnsi="仿宋_GB2312" w:eastAsia="仿宋_GB2312"/>
          <w:b w:val="0"/>
          <w:color w:val="auto"/>
          <w:sz w:val="32"/>
          <w:lang w:eastAsia="zh-CN"/>
        </w:rPr>
        <w:t>其他巩固拓展脱贫攻坚成果衔接乡村振兴支出</w:t>
      </w:r>
      <w:r>
        <w:rPr>
          <w:rStyle w:val="20"/>
          <w:rFonts w:hint="eastAsia" w:ascii="仿宋_GB2312" w:hAnsi="仿宋_GB2312" w:eastAsia="仿宋_GB2312"/>
          <w:b w:val="0"/>
          <w:color w:val="auto"/>
          <w:sz w:val="32"/>
        </w:rPr>
        <w:t>（项）</w:t>
      </w:r>
      <w:r>
        <w:rPr>
          <w:rStyle w:val="20"/>
          <w:rFonts w:hint="eastAsia" w:ascii="仿宋_GB2312" w:hAnsi="仿宋_GB2312" w:eastAsia="仿宋_GB2312"/>
          <w:b w:val="0"/>
          <w:color w:val="auto"/>
          <w:sz w:val="32"/>
          <w:lang w:eastAsia="zh-CN"/>
        </w:rPr>
        <w:t>：</w:t>
      </w:r>
      <w:r>
        <w:rPr>
          <w:rFonts w:hint="eastAsia" w:ascii="仿宋_GB2312" w:hAnsi="仿宋_GB2312" w:eastAsia="仿宋_GB2312"/>
          <w:color w:val="auto"/>
          <w:sz w:val="32"/>
        </w:rPr>
        <w:t>指</w:t>
      </w:r>
      <w:r>
        <w:rPr>
          <w:rFonts w:hint="eastAsia" w:ascii="仿宋_GB2312" w:hAnsi="仿宋_GB2312" w:eastAsia="仿宋_GB2312"/>
          <w:color w:val="auto"/>
          <w:sz w:val="32"/>
          <w:lang w:eastAsia="zh-CN"/>
        </w:rPr>
        <w:t>反映除农林水支出其他项目以外其他用于巩固拓展脱贫攻坚成果同乡村振兴有效衔接方面的支出。</w:t>
      </w:r>
    </w:p>
    <w:p w14:paraId="4F53C631">
      <w:pPr>
        <w:numPr>
          <w:ilvl w:val="0"/>
          <w:numId w:val="0"/>
        </w:numPr>
        <w:spacing w:line="600" w:lineRule="exact"/>
        <w:ind w:firstLine="640" w:firstLineChars="200"/>
        <w:rPr>
          <w:rFonts w:hint="eastAsia" w:ascii="仿宋_GB2312" w:hAnsi="仿宋_GB2312" w:eastAsia="仿宋_GB2312"/>
          <w:color w:val="auto"/>
          <w:sz w:val="32"/>
          <w:lang w:eastAsia="zh-CN"/>
        </w:rPr>
      </w:pPr>
      <w:r>
        <w:rPr>
          <w:rFonts w:hint="eastAsia" w:ascii="仿宋_GB2312" w:hAnsi="仿宋_GB2312" w:eastAsia="仿宋_GB2312"/>
          <w:color w:val="auto"/>
          <w:sz w:val="32"/>
          <w:lang w:val="en-US" w:eastAsia="zh-CN"/>
        </w:rPr>
        <w:t xml:space="preserve"> 18.</w:t>
      </w:r>
      <w:r>
        <w:rPr>
          <w:rStyle w:val="20"/>
          <w:rFonts w:hint="eastAsia" w:ascii="仿宋_GB2312" w:hAnsi="仿宋_GB2312" w:eastAsia="仿宋_GB2312"/>
          <w:b w:val="0"/>
          <w:color w:val="auto"/>
          <w:sz w:val="32"/>
          <w:lang w:val="en-US" w:eastAsia="zh-CN"/>
        </w:rPr>
        <w:t>农林水支出</w:t>
      </w:r>
      <w:r>
        <w:rPr>
          <w:rStyle w:val="20"/>
          <w:rFonts w:hint="eastAsia" w:ascii="仿宋_GB2312" w:hAnsi="仿宋_GB2312" w:eastAsia="仿宋_GB2312"/>
          <w:b w:val="0"/>
          <w:color w:val="auto"/>
          <w:sz w:val="32"/>
        </w:rPr>
        <w:t>（类）</w:t>
      </w:r>
      <w:r>
        <w:rPr>
          <w:rStyle w:val="20"/>
          <w:rFonts w:hint="eastAsia" w:ascii="仿宋_GB2312" w:hAnsi="仿宋_GB2312" w:eastAsia="仿宋_GB2312"/>
          <w:b w:val="0"/>
          <w:color w:val="auto"/>
          <w:sz w:val="32"/>
          <w:lang w:eastAsia="zh-CN"/>
        </w:rPr>
        <w:t>农村综合改革</w:t>
      </w:r>
      <w:r>
        <w:rPr>
          <w:rStyle w:val="20"/>
          <w:rFonts w:hint="eastAsia" w:ascii="仿宋_GB2312" w:hAnsi="仿宋_GB2312" w:eastAsia="仿宋_GB2312"/>
          <w:b w:val="0"/>
          <w:color w:val="auto"/>
          <w:sz w:val="32"/>
        </w:rPr>
        <w:t>（款）</w:t>
      </w:r>
      <w:r>
        <w:rPr>
          <w:rStyle w:val="20"/>
          <w:rFonts w:hint="eastAsia" w:ascii="仿宋_GB2312" w:hAnsi="仿宋_GB2312" w:eastAsia="仿宋_GB2312"/>
          <w:b w:val="0"/>
          <w:color w:val="auto"/>
          <w:sz w:val="32"/>
          <w:lang w:eastAsia="zh-CN"/>
        </w:rPr>
        <w:t>对村级公益事业建设的补助</w:t>
      </w:r>
      <w:r>
        <w:rPr>
          <w:rStyle w:val="20"/>
          <w:rFonts w:hint="eastAsia" w:ascii="仿宋_GB2312" w:hAnsi="仿宋_GB2312" w:eastAsia="仿宋_GB2312"/>
          <w:b w:val="0"/>
          <w:color w:val="auto"/>
          <w:sz w:val="32"/>
        </w:rPr>
        <w:t>（项）</w:t>
      </w:r>
      <w:r>
        <w:rPr>
          <w:rStyle w:val="20"/>
          <w:rFonts w:hint="eastAsia" w:ascii="仿宋_GB2312" w:hAnsi="仿宋_GB2312" w:eastAsia="仿宋_GB2312"/>
          <w:b w:val="0"/>
          <w:color w:val="auto"/>
          <w:sz w:val="32"/>
          <w:lang w:eastAsia="zh-CN"/>
        </w:rPr>
        <w:t>：</w:t>
      </w:r>
      <w:r>
        <w:rPr>
          <w:rFonts w:hint="eastAsia" w:ascii="仿宋_GB2312" w:hAnsi="仿宋_GB2312" w:eastAsia="仿宋_GB2312"/>
          <w:color w:val="auto"/>
          <w:sz w:val="32"/>
        </w:rPr>
        <w:t>指</w:t>
      </w:r>
      <w:r>
        <w:rPr>
          <w:rFonts w:hint="eastAsia" w:ascii="仿宋_GB2312" w:hAnsi="仿宋_GB2312" w:eastAsia="仿宋_GB2312"/>
          <w:color w:val="auto"/>
          <w:sz w:val="32"/>
          <w:lang w:eastAsia="zh-CN"/>
        </w:rPr>
        <w:t>反映农村税费改革后对村级公益事业建设的补助支出。</w:t>
      </w:r>
    </w:p>
    <w:p w14:paraId="17453B4A">
      <w:pPr>
        <w:numPr>
          <w:ilvl w:val="0"/>
          <w:numId w:val="0"/>
        </w:numPr>
        <w:spacing w:line="600" w:lineRule="exact"/>
        <w:ind w:firstLine="640" w:firstLineChars="200"/>
        <w:rPr>
          <w:rFonts w:hint="eastAsia" w:ascii="仿宋_GB2312" w:hAnsi="仿宋_GB2312" w:eastAsia="仿宋_GB2312"/>
          <w:color w:val="auto"/>
          <w:sz w:val="32"/>
          <w:lang w:eastAsia="zh-CN"/>
        </w:rPr>
      </w:pPr>
      <w:r>
        <w:rPr>
          <w:rFonts w:hint="eastAsia" w:ascii="仿宋_GB2312" w:hAnsi="仿宋_GB2312" w:eastAsia="仿宋_GB2312"/>
          <w:color w:val="auto"/>
          <w:sz w:val="32"/>
          <w:lang w:val="en-US" w:eastAsia="zh-CN"/>
        </w:rPr>
        <w:t>19.</w:t>
      </w:r>
      <w:r>
        <w:rPr>
          <w:rStyle w:val="20"/>
          <w:rFonts w:hint="eastAsia" w:ascii="仿宋_GB2312" w:hAnsi="仿宋_GB2312" w:eastAsia="仿宋_GB2312"/>
          <w:b w:val="0"/>
          <w:color w:val="auto"/>
          <w:sz w:val="32"/>
          <w:lang w:val="en-US" w:eastAsia="zh-CN"/>
        </w:rPr>
        <w:t>农林水支出</w:t>
      </w:r>
      <w:r>
        <w:rPr>
          <w:rStyle w:val="20"/>
          <w:rFonts w:hint="eastAsia" w:ascii="仿宋_GB2312" w:hAnsi="仿宋_GB2312" w:eastAsia="仿宋_GB2312"/>
          <w:b w:val="0"/>
          <w:color w:val="auto"/>
          <w:sz w:val="32"/>
        </w:rPr>
        <w:t>（类）</w:t>
      </w:r>
      <w:r>
        <w:rPr>
          <w:rStyle w:val="20"/>
          <w:rFonts w:hint="eastAsia" w:ascii="仿宋_GB2312" w:hAnsi="仿宋_GB2312" w:eastAsia="仿宋_GB2312"/>
          <w:b w:val="0"/>
          <w:color w:val="auto"/>
          <w:sz w:val="32"/>
          <w:lang w:eastAsia="zh-CN"/>
        </w:rPr>
        <w:t>农村综合改革</w:t>
      </w:r>
      <w:r>
        <w:rPr>
          <w:rStyle w:val="20"/>
          <w:rFonts w:hint="eastAsia" w:ascii="仿宋_GB2312" w:hAnsi="仿宋_GB2312" w:eastAsia="仿宋_GB2312"/>
          <w:b w:val="0"/>
          <w:color w:val="auto"/>
          <w:sz w:val="32"/>
        </w:rPr>
        <w:t>（款）</w:t>
      </w:r>
      <w:r>
        <w:rPr>
          <w:rStyle w:val="20"/>
          <w:rFonts w:hint="eastAsia" w:ascii="仿宋_GB2312" w:hAnsi="仿宋_GB2312" w:eastAsia="仿宋_GB2312"/>
          <w:b w:val="0"/>
          <w:color w:val="auto"/>
          <w:sz w:val="32"/>
          <w:lang w:eastAsia="zh-CN"/>
        </w:rPr>
        <w:t>农村综合改革示范试点补助</w:t>
      </w:r>
      <w:r>
        <w:rPr>
          <w:rStyle w:val="20"/>
          <w:rFonts w:hint="eastAsia" w:ascii="仿宋_GB2312" w:hAnsi="仿宋_GB2312" w:eastAsia="仿宋_GB2312"/>
          <w:b w:val="0"/>
          <w:color w:val="auto"/>
          <w:sz w:val="32"/>
        </w:rPr>
        <w:t>（项）</w:t>
      </w:r>
      <w:r>
        <w:rPr>
          <w:rStyle w:val="20"/>
          <w:rFonts w:hint="eastAsia" w:ascii="仿宋_GB2312" w:hAnsi="仿宋_GB2312" w:eastAsia="仿宋_GB2312"/>
          <w:b w:val="0"/>
          <w:color w:val="auto"/>
          <w:sz w:val="32"/>
          <w:lang w:eastAsia="zh-CN"/>
        </w:rPr>
        <w:t>：</w:t>
      </w:r>
      <w:r>
        <w:rPr>
          <w:rFonts w:hint="eastAsia" w:ascii="仿宋_GB2312" w:hAnsi="仿宋_GB2312" w:eastAsia="仿宋_GB2312"/>
          <w:color w:val="auto"/>
          <w:sz w:val="32"/>
        </w:rPr>
        <w:t>指</w:t>
      </w:r>
      <w:r>
        <w:rPr>
          <w:rFonts w:hint="eastAsia" w:ascii="仿宋_GB2312" w:hAnsi="仿宋_GB2312" w:eastAsia="仿宋_GB2312"/>
          <w:color w:val="auto"/>
          <w:sz w:val="32"/>
          <w:lang w:eastAsia="zh-CN"/>
        </w:rPr>
        <w:t>反映各级财政对农村综合改革示范试点、新型农业社会化服务体系建设等补助支出。</w:t>
      </w:r>
    </w:p>
    <w:p w14:paraId="32A05455">
      <w:pPr>
        <w:spacing w:line="600" w:lineRule="exact"/>
        <w:ind w:firstLine="640" w:firstLineChars="200"/>
        <w:rPr>
          <w:rFonts w:hint="eastAsia"/>
          <w:sz w:val="24"/>
        </w:rPr>
      </w:pPr>
      <w:r>
        <w:rPr>
          <w:rStyle w:val="20"/>
          <w:rFonts w:hint="eastAsia" w:ascii="仿宋_GB2312" w:hAnsi="仿宋_GB2312" w:eastAsia="仿宋_GB2312"/>
          <w:b w:val="0"/>
          <w:color w:val="auto"/>
          <w:sz w:val="32"/>
          <w:lang w:val="en-US" w:eastAsia="zh-CN"/>
        </w:rPr>
        <w:t>20.农林水支出</w:t>
      </w:r>
      <w:r>
        <w:rPr>
          <w:rStyle w:val="20"/>
          <w:rFonts w:hint="eastAsia" w:ascii="仿宋_GB2312" w:hAnsi="仿宋_GB2312" w:eastAsia="仿宋_GB2312"/>
          <w:b w:val="0"/>
          <w:color w:val="auto"/>
          <w:sz w:val="32"/>
        </w:rPr>
        <w:t>（类）</w:t>
      </w:r>
      <w:r>
        <w:rPr>
          <w:rStyle w:val="20"/>
          <w:rFonts w:hint="eastAsia" w:ascii="仿宋_GB2312" w:hAnsi="仿宋_GB2312" w:eastAsia="仿宋_GB2312"/>
          <w:b w:val="0"/>
          <w:color w:val="auto"/>
          <w:sz w:val="32"/>
          <w:lang w:eastAsia="zh-CN"/>
        </w:rPr>
        <w:t>农村综合改革</w:t>
      </w:r>
      <w:r>
        <w:rPr>
          <w:rStyle w:val="20"/>
          <w:rFonts w:hint="eastAsia" w:ascii="仿宋_GB2312" w:hAnsi="仿宋_GB2312" w:eastAsia="仿宋_GB2312"/>
          <w:b w:val="0"/>
          <w:color w:val="auto"/>
          <w:sz w:val="32"/>
        </w:rPr>
        <w:t>（款）</w:t>
      </w:r>
      <w:r>
        <w:rPr>
          <w:rStyle w:val="20"/>
          <w:rFonts w:hint="eastAsia" w:ascii="仿宋_GB2312" w:hAnsi="仿宋_GB2312" w:eastAsia="仿宋_GB2312"/>
          <w:b w:val="0"/>
          <w:color w:val="auto"/>
          <w:sz w:val="32"/>
          <w:lang w:eastAsia="zh-CN"/>
        </w:rPr>
        <w:t>对村民委员会和村党支部的补助</w:t>
      </w:r>
      <w:r>
        <w:rPr>
          <w:rStyle w:val="20"/>
          <w:rFonts w:hint="eastAsia" w:ascii="仿宋_GB2312" w:hAnsi="仿宋_GB2312" w:eastAsia="仿宋_GB2312"/>
          <w:b w:val="0"/>
          <w:color w:val="auto"/>
          <w:sz w:val="32"/>
        </w:rPr>
        <w:t>（项）</w:t>
      </w:r>
      <w:r>
        <w:rPr>
          <w:rStyle w:val="20"/>
          <w:rFonts w:hint="eastAsia" w:ascii="仿宋_GB2312" w:hAnsi="仿宋_GB2312" w:eastAsia="仿宋_GB2312"/>
          <w:b w:val="0"/>
          <w:color w:val="auto"/>
          <w:sz w:val="32"/>
          <w:lang w:eastAsia="zh-CN"/>
        </w:rPr>
        <w:t>：</w:t>
      </w:r>
      <w:r>
        <w:rPr>
          <w:rFonts w:hint="eastAsia" w:ascii="仿宋_GB2312" w:hAnsi="仿宋_GB2312" w:eastAsia="仿宋_GB2312"/>
          <w:color w:val="auto"/>
          <w:sz w:val="32"/>
        </w:rPr>
        <w:t>指</w:t>
      </w:r>
      <w:r>
        <w:rPr>
          <w:rFonts w:hint="eastAsia" w:ascii="仿宋_GB2312" w:hAnsi="仿宋_GB2312" w:eastAsia="仿宋_GB2312"/>
          <w:color w:val="auto"/>
          <w:sz w:val="32"/>
          <w:lang w:eastAsia="zh-CN"/>
        </w:rPr>
        <w:t>反映各级财政对村民委员会和村党支部的补助支出，以及支持建立县级基本财力保障机制安排的村级组织运转奖补资金</w:t>
      </w:r>
      <w:r>
        <w:rPr>
          <w:rFonts w:hint="eastAsia" w:ascii="仿宋_GB2312" w:hAnsi="仿宋_GB2312" w:eastAsia="仿宋_GB2312"/>
          <w:color w:val="auto"/>
          <w:sz w:val="32"/>
        </w:rPr>
        <w:t>。</w:t>
      </w:r>
    </w:p>
    <w:p w14:paraId="30AD0DC1">
      <w:pPr>
        <w:pStyle w:val="29"/>
        <w:spacing w:line="560" w:lineRule="exact"/>
        <w:ind w:firstLine="640" w:firstLineChars="200"/>
        <w:rPr>
          <w:rStyle w:val="19"/>
          <w:rFonts w:hint="eastAsia" w:ascii="仿宋_GB2312" w:hAnsi="仿宋_GB2312" w:eastAsia="仿宋_GB2312"/>
          <w:color w:val="auto"/>
          <w:sz w:val="32"/>
        </w:rPr>
      </w:pPr>
      <w:r>
        <w:rPr>
          <w:rStyle w:val="20"/>
          <w:rFonts w:hint="eastAsia" w:ascii="仿宋_GB2312" w:hAnsi="仿宋_GB2312" w:eastAsia="仿宋_GB2312"/>
          <w:b w:val="0"/>
          <w:color w:val="auto"/>
          <w:sz w:val="32"/>
          <w:lang w:val="en-US" w:eastAsia="zh-CN"/>
        </w:rPr>
        <w:t>21.</w:t>
      </w:r>
      <w:r>
        <w:rPr>
          <w:rStyle w:val="20"/>
          <w:rFonts w:hint="eastAsia" w:ascii="仿宋_GB2312" w:hAnsi="仿宋_GB2312" w:eastAsia="仿宋_GB2312"/>
          <w:b w:val="0"/>
          <w:color w:val="auto"/>
          <w:sz w:val="32"/>
        </w:rPr>
        <w:t>住房保障支出（类）住房改革支出（款）住房公积金（项）</w:t>
      </w:r>
      <w:r>
        <w:rPr>
          <w:rStyle w:val="20"/>
          <w:rFonts w:hint="eastAsia" w:ascii="仿宋_GB2312" w:hAnsi="仿宋_GB2312" w:eastAsia="仿宋_GB2312"/>
          <w:b w:val="0"/>
          <w:color w:val="auto"/>
          <w:sz w:val="32"/>
          <w:lang w:eastAsia="zh-CN"/>
        </w:rPr>
        <w:t>：</w:t>
      </w:r>
      <w:r>
        <w:rPr>
          <w:rFonts w:hint="eastAsia" w:ascii="仿宋_GB2312" w:hAnsi="仿宋_GB2312" w:eastAsia="仿宋_GB2312"/>
          <w:color w:val="auto"/>
          <w:sz w:val="32"/>
        </w:rPr>
        <w:t>指反映行政事业单位按人力资源和社会保障部、财政部规定的基本工资和津贴补贴以及规定比例为职工缴纳的住房公积金。</w:t>
      </w:r>
    </w:p>
    <w:p w14:paraId="23D5E1F8">
      <w:pPr>
        <w:ind w:firstLine="640" w:firstLineChars="200"/>
        <w:rPr>
          <w:rFonts w:hint="eastAsia" w:ascii="仿宋_GB2312" w:hAnsi="Times New Roman" w:eastAsia="仿宋_GB2312"/>
          <w:color w:val="000000"/>
          <w:sz w:val="32"/>
        </w:rPr>
      </w:pPr>
      <w:r>
        <w:rPr>
          <w:rFonts w:hint="eastAsia" w:ascii="仿宋_GB2312" w:eastAsia="仿宋_GB2312"/>
          <w:color w:val="000000"/>
          <w:sz w:val="32"/>
          <w:lang w:val="en-US" w:eastAsia="zh-CN"/>
        </w:rPr>
        <w:t>22</w:t>
      </w:r>
      <w:r>
        <w:rPr>
          <w:rFonts w:hint="eastAsia" w:ascii="仿宋_GB2312" w:hAnsi="Times New Roman" w:eastAsia="仿宋_GB2312"/>
          <w:color w:val="000000"/>
          <w:sz w:val="32"/>
        </w:rPr>
        <w:t>.基本支出：指为保障机构正常运转、完成日常工作任务而发生的人员支出和公用支出。</w:t>
      </w:r>
    </w:p>
    <w:p w14:paraId="0748D5F2">
      <w:pPr>
        <w:ind w:firstLine="640" w:firstLineChars="200"/>
        <w:rPr>
          <w:rFonts w:hint="eastAsia" w:ascii="仿宋_GB2312" w:hAnsi="Times New Roman" w:eastAsia="仿宋_GB2312"/>
          <w:color w:val="000000"/>
          <w:sz w:val="32"/>
        </w:rPr>
      </w:pPr>
      <w:r>
        <w:rPr>
          <w:rFonts w:hint="eastAsia" w:ascii="仿宋_GB2312" w:eastAsia="仿宋_GB2312"/>
          <w:color w:val="000000"/>
          <w:sz w:val="32"/>
          <w:lang w:val="en-US" w:eastAsia="zh-CN"/>
        </w:rPr>
        <w:t>23</w:t>
      </w:r>
      <w:r>
        <w:rPr>
          <w:rFonts w:hint="eastAsia" w:ascii="仿宋_GB2312" w:hAnsi="Times New Roman" w:eastAsia="仿宋_GB2312"/>
          <w:color w:val="000000"/>
          <w:sz w:val="32"/>
        </w:rPr>
        <w:t xml:space="preserve">.项目支出：指在基本支出之外为完成特定行政任务和事业发展目标所发生的支出。 </w:t>
      </w:r>
    </w:p>
    <w:p w14:paraId="595AECE2">
      <w:pPr>
        <w:ind w:firstLine="640" w:firstLineChars="200"/>
        <w:rPr>
          <w:rFonts w:hint="eastAsia" w:ascii="仿宋_GB2312" w:hAnsi="Times New Roman" w:eastAsia="仿宋_GB2312"/>
          <w:color w:val="000000"/>
          <w:sz w:val="32"/>
        </w:rPr>
      </w:pPr>
      <w:r>
        <w:rPr>
          <w:rFonts w:hint="eastAsia" w:ascii="仿宋_GB2312" w:eastAsia="仿宋_GB2312"/>
          <w:color w:val="000000"/>
          <w:sz w:val="32"/>
          <w:lang w:val="en-US" w:eastAsia="zh-CN"/>
        </w:rPr>
        <w:t>24</w:t>
      </w:r>
      <w:r>
        <w:rPr>
          <w:rFonts w:hint="eastAsia" w:ascii="仿宋_GB2312" w:hAnsi="Times New Roman" w:eastAsia="仿宋_GB2312"/>
          <w:color w:val="000000"/>
          <w:sz w:val="32"/>
        </w:rPr>
        <w:t>.经营支出：指事业单位在专业业务活动及其辅助活动之外开展非独立核算经营活动发生的支出。</w:t>
      </w:r>
    </w:p>
    <w:p w14:paraId="0B83D2EF">
      <w:pPr>
        <w:pStyle w:val="29"/>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25</w:t>
      </w:r>
      <w:r>
        <w:rPr>
          <w:rFonts w:hint="eastAsia" w:ascii="仿宋_GB2312" w:eastAsia="仿宋_GB2312"/>
          <w:sz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70B82C">
      <w:pPr>
        <w:spacing w:line="600" w:lineRule="exact"/>
        <w:jc w:val="center"/>
        <w:rPr>
          <w:rFonts w:hint="eastAsia" w:ascii="仿宋_GB2312" w:eastAsia="仿宋_GB2312"/>
          <w:sz w:val="32"/>
        </w:rPr>
      </w:pPr>
      <w:r>
        <w:rPr>
          <w:rFonts w:hint="eastAsia" w:ascii="仿宋_GB2312" w:eastAsia="仿宋_GB2312"/>
          <w:sz w:val="32"/>
          <w:lang w:val="en-US" w:eastAsia="zh-CN"/>
        </w:rPr>
        <w:t xml:space="preserve">  26</w:t>
      </w:r>
      <w:r>
        <w:rPr>
          <w:rFonts w:hint="eastAsia" w:ascii="仿宋_GB2312" w:eastAsia="仿宋_GB2312"/>
          <w:sz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w:t>
      </w:r>
    </w:p>
    <w:p w14:paraId="6E336522">
      <w:pPr>
        <w:spacing w:line="600" w:lineRule="exact"/>
        <w:jc w:val="both"/>
        <w:rPr>
          <w:rFonts w:hint="eastAsia" w:ascii="仿宋_GB2312" w:eastAsia="仿宋_GB2312"/>
          <w:sz w:val="32"/>
        </w:rPr>
      </w:pPr>
      <w:r>
        <w:rPr>
          <w:rFonts w:hint="eastAsia" w:ascii="仿宋_GB2312" w:eastAsia="仿宋_GB2312"/>
          <w:sz w:val="32"/>
        </w:rPr>
        <w:t>及其他费用。</w:t>
      </w:r>
      <w:bookmarkStart w:id="51" w:name="_Toc15396614"/>
      <w:bookmarkStart w:id="52" w:name="_Toc15377226"/>
    </w:p>
    <w:p w14:paraId="25576EE0">
      <w:pPr>
        <w:pStyle w:val="2"/>
        <w:rPr>
          <w:rFonts w:hint="eastAsia" w:ascii="仿宋_GB2312" w:eastAsia="仿宋_GB2312"/>
          <w:sz w:val="32"/>
        </w:rPr>
      </w:pPr>
    </w:p>
    <w:p w14:paraId="2333B55F">
      <w:pPr>
        <w:pStyle w:val="3"/>
        <w:rPr>
          <w:rFonts w:hint="eastAsia" w:ascii="仿宋_GB2312" w:eastAsia="仿宋_GB2312"/>
          <w:sz w:val="32"/>
        </w:rPr>
      </w:pPr>
    </w:p>
    <w:p w14:paraId="47D4D8CB">
      <w:pPr>
        <w:pStyle w:val="3"/>
        <w:rPr>
          <w:rFonts w:hint="eastAsia" w:ascii="仿宋_GB2312" w:eastAsia="仿宋_GB2312"/>
          <w:sz w:val="32"/>
        </w:rPr>
      </w:pPr>
    </w:p>
    <w:p w14:paraId="71E1A166">
      <w:pPr>
        <w:pStyle w:val="3"/>
        <w:rPr>
          <w:rFonts w:hint="eastAsia" w:ascii="仿宋_GB2312" w:eastAsia="仿宋_GB2312"/>
          <w:sz w:val="32"/>
        </w:rPr>
      </w:pPr>
    </w:p>
    <w:p w14:paraId="1C4A30CD">
      <w:pPr>
        <w:pStyle w:val="3"/>
        <w:rPr>
          <w:rFonts w:hint="eastAsia" w:ascii="仿宋_GB2312" w:eastAsia="仿宋_GB2312"/>
          <w:sz w:val="32"/>
        </w:rPr>
      </w:pPr>
    </w:p>
    <w:p w14:paraId="11353695">
      <w:pPr>
        <w:pStyle w:val="3"/>
        <w:rPr>
          <w:rFonts w:hint="eastAsia" w:ascii="仿宋_GB2312" w:eastAsia="仿宋_GB2312"/>
          <w:sz w:val="32"/>
        </w:rPr>
      </w:pPr>
    </w:p>
    <w:p w14:paraId="17036B17">
      <w:pPr>
        <w:pStyle w:val="3"/>
        <w:rPr>
          <w:rFonts w:hint="eastAsia" w:ascii="仿宋_GB2312" w:eastAsia="仿宋_GB2312"/>
          <w:sz w:val="32"/>
        </w:rPr>
      </w:pPr>
    </w:p>
    <w:p w14:paraId="4BBDB052">
      <w:pPr>
        <w:pStyle w:val="3"/>
        <w:rPr>
          <w:rFonts w:hint="eastAsia" w:ascii="仿宋_GB2312" w:eastAsia="仿宋_GB2312"/>
          <w:sz w:val="32"/>
        </w:rPr>
      </w:pPr>
    </w:p>
    <w:p w14:paraId="61E2EC82">
      <w:pPr>
        <w:pStyle w:val="3"/>
        <w:rPr>
          <w:rFonts w:hint="eastAsia" w:ascii="仿宋_GB2312" w:eastAsia="仿宋_GB2312"/>
          <w:sz w:val="32"/>
        </w:rPr>
      </w:pPr>
    </w:p>
    <w:p w14:paraId="1D64A7EA">
      <w:pPr>
        <w:spacing w:line="600" w:lineRule="exact"/>
        <w:jc w:val="center"/>
        <w:rPr>
          <w:rFonts w:hint="eastAsia" w:ascii="Times New Roman" w:hAnsi="Times New Roman" w:eastAsia="黑体"/>
          <w:color w:val="auto"/>
          <w:sz w:val="44"/>
          <w:szCs w:val="44"/>
          <w:highlight w:val="none"/>
        </w:rPr>
      </w:pPr>
    </w:p>
    <w:p w14:paraId="3574B04D">
      <w:pPr>
        <w:spacing w:line="600" w:lineRule="exact"/>
        <w:jc w:val="center"/>
        <w:rPr>
          <w:rStyle w:val="31"/>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1"/>
    </w:p>
    <w:p w14:paraId="490BDED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151136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129712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F122E2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5106E5A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6CB5439F">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DD7F41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一、部门基本情况</w:t>
      </w:r>
    </w:p>
    <w:p w14:paraId="4E5510A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（一）机构组成。</w:t>
      </w:r>
    </w:p>
    <w:p w14:paraId="0A2E71BA">
      <w:pPr>
        <w:spacing w:line="600" w:lineRule="exact"/>
        <w:ind w:firstLine="64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eastAsia="zh-CN"/>
        </w:rPr>
        <w:t>沙坪镇</w:t>
      </w:r>
      <w:r>
        <w:rPr>
          <w:rFonts w:hint="eastAsia" w:ascii="仿宋_GB2312" w:hAnsi="Times New Roman" w:eastAsia="仿宋_GB2312" w:cs="Times New Roman"/>
          <w:sz w:val="32"/>
        </w:rPr>
        <w:t>人民政府属行政单位，内设</w:t>
      </w:r>
      <w:r>
        <w:rPr>
          <w:rFonts w:hint="eastAsia" w:ascii="仿宋_GB2312" w:hAnsi="Times New Roman" w:eastAsia="仿宋_GB2312" w:cs="Times New Roman"/>
          <w:sz w:val="32"/>
          <w:lang w:eastAsia="zh-CN"/>
        </w:rPr>
        <w:t>九</w:t>
      </w:r>
      <w:r>
        <w:rPr>
          <w:rFonts w:hint="eastAsia" w:ascii="仿宋_GB2312" w:hAnsi="Times New Roman" w:eastAsia="仿宋_GB2312" w:cs="Times New Roman"/>
          <w:sz w:val="32"/>
        </w:rPr>
        <w:t>办</w:t>
      </w:r>
      <w:r>
        <w:rPr>
          <w:rFonts w:hint="eastAsia" w:ascii="仿宋_GB2312" w:hAnsi="Times New Roman" w:eastAsia="仿宋_GB2312" w:cs="Times New Roman"/>
          <w:sz w:val="32"/>
          <w:lang w:eastAsia="zh-CN"/>
        </w:rPr>
        <w:t>五</w:t>
      </w:r>
      <w:r>
        <w:rPr>
          <w:rFonts w:hint="eastAsia" w:ascii="仿宋_GB2312" w:hAnsi="Times New Roman" w:eastAsia="仿宋_GB2312" w:cs="Times New Roman"/>
          <w:sz w:val="32"/>
        </w:rPr>
        <w:t>中心。包括党政办</w:t>
      </w:r>
      <w:r>
        <w:rPr>
          <w:rFonts w:hint="eastAsia" w:ascii="仿宋_GB2312" w:hAnsi="Times New Roman" w:eastAsia="仿宋_GB2312" w:cs="Times New Roman"/>
          <w:sz w:val="32"/>
          <w:lang w:eastAsia="zh-CN"/>
        </w:rPr>
        <w:t>公室</w:t>
      </w:r>
      <w:r>
        <w:rPr>
          <w:rFonts w:hint="eastAsia" w:ascii="仿宋_GB2312" w:hAnsi="Times New Roman" w:eastAsia="仿宋_GB2312" w:cs="Times New Roman"/>
          <w:sz w:val="32"/>
        </w:rPr>
        <w:t>、党建工作办公室、社会事务和社会治理办公室、规划建设办公室、综合执法办公室、应急管理办公室</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经济发展办公室</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沙坪镇便民服务中心、沙坪镇农业综合服务中心、沙坪镇城区治理中心</w:t>
      </w:r>
      <w:r>
        <w:rPr>
          <w:rFonts w:hint="eastAsia" w:ascii="仿宋_GB2312" w:hAnsi="Times New Roman" w:eastAsia="仿宋_GB2312" w:cs="Times New Roman"/>
          <w:sz w:val="32"/>
          <w:lang w:eastAsia="zh-CN"/>
        </w:rPr>
        <w:t>。</w:t>
      </w:r>
    </w:p>
    <w:p w14:paraId="53BA70C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（二）机构职能和人员概况。</w:t>
      </w:r>
    </w:p>
    <w:p w14:paraId="7BC5737E">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val="en-US" w:eastAsia="zh-CN"/>
        </w:rPr>
        <w:t xml:space="preserve"> </w:t>
      </w:r>
      <w:r>
        <w:rPr>
          <w:rFonts w:hint="eastAsia" w:ascii="仿宋_GB2312" w:hAnsi="Times New Roman" w:eastAsia="仿宋_GB2312" w:cs="Times New Roman"/>
          <w:sz w:val="32"/>
        </w:rPr>
        <w:t>沙坪镇党委、沙坪镇人民政府的主要职责是：</w:t>
      </w:r>
    </w:p>
    <w:p w14:paraId="697C0184">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val="en-US" w:eastAsia="zh-CN"/>
        </w:rPr>
        <w:t>1.</w:t>
      </w:r>
      <w:r>
        <w:rPr>
          <w:rFonts w:hint="eastAsia" w:ascii="仿宋_GB2312" w:hAnsi="Times New Roman" w:eastAsia="仿宋_GB2312" w:cs="Times New Roman"/>
          <w:sz w:val="32"/>
        </w:rPr>
        <w:t>镇党委主要职责</w:t>
      </w:r>
    </w:p>
    <w:p w14:paraId="228B0650">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1）</w:t>
      </w:r>
      <w:r>
        <w:rPr>
          <w:rFonts w:hint="eastAsia" w:ascii="仿宋_GB2312" w:hAnsi="Times New Roman" w:eastAsia="仿宋_GB2312" w:cs="Times New Roman"/>
          <w:sz w:val="32"/>
        </w:rPr>
        <w:t>宣传和贯彻执行党的路线方针政策和党中央、上级党组织及本镇党员代表大会的决议。</w:t>
      </w:r>
    </w:p>
    <w:p w14:paraId="1801E35A">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2）</w:t>
      </w:r>
      <w:r>
        <w:rPr>
          <w:rFonts w:hint="eastAsia" w:ascii="仿宋_GB2312" w:hAnsi="Times New Roman" w:eastAsia="仿宋_GB2312" w:cs="Times New Roman"/>
          <w:sz w:val="32"/>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772CBF35">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3</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领导镇政权机关、群团组织和其他各类组织，加强指导和规范，支持和保证这些机关和组织依照国家法律法规以及各自章程履行职责。</w:t>
      </w:r>
    </w:p>
    <w:p w14:paraId="3927AA08">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4</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加强镇党委自身建设和村</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社区</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党组织建设，以及其他隶属镇党委的党组织建设，抓好发展党员工作，加强党员队伍建设。维护和执行党的纪律，监督党员干部和其他任何工作人员严格遵守国家法律法规。</w:t>
      </w:r>
    </w:p>
    <w:p w14:paraId="0E9C7B1B">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5</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按照干部管理权限，负责干部的教育、培训、选拔、考核和监督工作。协助管理上级有关部门驻镇单位的干部。做好人才服务和引进工作。</w:t>
      </w:r>
    </w:p>
    <w:p w14:paraId="4F2EF67C">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6</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领导本镇的基层治理，加强社会主义民主法治建设和精神文明建设，加强社会治安综合治理，做好生态环保、宜居宜业和美乡村建设、民生保障、民族宗教等工作。</w:t>
      </w:r>
    </w:p>
    <w:p w14:paraId="3AD53F15">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7</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完成上级党委交办的其他任务。</w:t>
      </w:r>
    </w:p>
    <w:p w14:paraId="69CC6528">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val="en-US" w:eastAsia="zh-CN"/>
        </w:rPr>
        <w:t>2.</w:t>
      </w:r>
      <w:r>
        <w:rPr>
          <w:rFonts w:hint="eastAsia" w:ascii="仿宋_GB2312" w:hAnsi="Times New Roman" w:eastAsia="仿宋_GB2312" w:cs="Times New Roman"/>
          <w:sz w:val="32"/>
        </w:rPr>
        <w:t>镇人民政府主要职责</w:t>
      </w:r>
    </w:p>
    <w:p w14:paraId="38A77CD4">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1</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贯彻落实党的路线方针政策和国家法律法规以及上级党委、政府的决议、决定和命令，执行镇党委和镇人民代表大会的决议，加强农村基层政权建设，巩固党在农村的执政基础。</w:t>
      </w:r>
    </w:p>
    <w:p w14:paraId="3961A832">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2</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组织编制本行政区域经济社会发展规划和镇国土空间规划。负责农村基础设施和各项公益事业建设，实施乡村振兴战略，加快经济社会发展，改善群众生产生活环境。</w:t>
      </w:r>
    </w:p>
    <w:p w14:paraId="3CA63647">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3</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指导农村经济发展，推进农业经济结构调整，促进农村集体经济增长、农业增效、农民增收。</w:t>
      </w:r>
    </w:p>
    <w:p w14:paraId="6DC7D74F">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4</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加强农村公共服务体系建设，抓好基础教育、科技、文化、体育、卫生健康、食</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药</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品安全等工作，做好民政事务、残疾、老龄、就业创业、社会保障、劳动关系协调、民族宗教、退役军人事务、统计等工作，促进农村社会事业健康发展。</w:t>
      </w:r>
    </w:p>
    <w:p w14:paraId="2964CCCF">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5</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负责辖区内自然资源、生态环境保护、森林防灭火、防汛抗旱、粮食安全、供销合作社等工作。</w:t>
      </w:r>
    </w:p>
    <w:p w14:paraId="2F3A4C07">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6</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推进基层民主法治建设，加强普法依法治理，指导村</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居</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民委员会工作，维护群众合法权益。</w:t>
      </w:r>
    </w:p>
    <w:p w14:paraId="2A675A25">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7</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推动要素资源聚集协同、城乡功能衔接互补，一体规划建设县城功能核心区，推进城乡融合新型社区建设，提升中心城区</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四社五村</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发展能级和辐射带动能力。</w:t>
      </w:r>
    </w:p>
    <w:p w14:paraId="21DE3BE3">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8</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承担辖区内基层治理、平安建设、社会治安综合治理、安全和应急管理等有关工作。负责群众来信来访，反映社情民意，化解矛盾纠纷，维护社会安全稳定。</w:t>
      </w:r>
    </w:p>
    <w:p w14:paraId="18E839CE">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9</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负责国防教育、兵役征集、民兵预备役等有关工作。</w:t>
      </w:r>
    </w:p>
    <w:p w14:paraId="7D42C6D6">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10</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承担法律法规、规章规定的其他职能和上级党委、政府交办的其他工作。</w:t>
      </w:r>
    </w:p>
    <w:p w14:paraId="68C82CA4">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val="en-US" w:eastAsia="zh-CN"/>
        </w:rPr>
        <w:t>3.</w:t>
      </w:r>
      <w:r>
        <w:rPr>
          <w:rFonts w:hint="eastAsia" w:ascii="仿宋_GB2312" w:hAnsi="Times New Roman" w:eastAsia="仿宋_GB2312" w:cs="Times New Roman"/>
          <w:sz w:val="32"/>
        </w:rPr>
        <w:t>沙坪镇机关设下列内设机构：</w:t>
      </w:r>
    </w:p>
    <w:p w14:paraId="59FF6A31">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1</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公开、督促检查、绩效管理等工作；负责文电会务、保密机要、印章管理、档案管理及后勤保障服务等工作；负责财政领域各项方针政策、法律法规规章的贯彻落实；负责编制和执行本级预算、决算草案和预算绩效管理工作；负责本级财政资金收支管理及行政事业单位会计核算工作；负责资金监管工作；负责政府采购工作；负</w:t>
      </w:r>
      <w:r>
        <w:rPr>
          <w:rFonts w:hint="eastAsia" w:ascii="仿宋_GB2312" w:eastAsia="仿宋_GB2312" w:cs="Times New Roman"/>
          <w:sz w:val="32"/>
          <w:lang w:eastAsia="zh-CN"/>
        </w:rPr>
        <w:t>责乡</w:t>
      </w:r>
      <w:r>
        <w:rPr>
          <w:rFonts w:hint="eastAsia" w:ascii="仿宋_GB2312" w:hAnsi="Times New Roman" w:eastAsia="仿宋_GB2312" w:cs="Times New Roman"/>
          <w:sz w:val="32"/>
        </w:rPr>
        <w:t>镇财务管理，代管村</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社区</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财务；指导农村集体“三资”管理等工作；负责国有资产管理工作；负责落实兑现各级财政惠农惠民补贴资金；负责财务管理的培训、指导、监督；负责做好财务档案管理工作；完成镇党委、政府交办的其他工作。</w:t>
      </w:r>
    </w:p>
    <w:p w14:paraId="6D7FEC84">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2</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党建工作办公室。负责基层党的建设，制定并实施基层党组织建设规划，指导基层党组织党建工作；负责组织开展党的思想建设、组织建设、作风建设、制度建设等各项活动，统筹村</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社区</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党建、单位党建、行业党建工作；负责区域内村级班子建设；负责机关及直属事业单位干部人事、机构编制、职称评聘、教育培训及退休人员管理服务等人事工作；负责人才开发引进、农民工回引等工作；配合做好驻村帮扶相关工作；承担镇人大主席团日常事务；承担纪检监察、政法、宣传、统战、民族宗教、老干部、精神文明等工作；承担工会、共青团、妇联、残联等群团工作；完成镇党委、政府交办的其他工作。</w:t>
      </w:r>
    </w:p>
    <w:p w14:paraId="0339F35B">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3</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社会事务和社会治理办公室。主要承担指导推进公共事务和综合管理等职责；负责编制并组织实施社会发展规划和年度计划；负责组织实施各项公共服务工作；负责教育、民政、劳动就业、社会保障、农村道路、卫生健康、人居环境、乡村风貌、残疾人事业等工作；承担公益事业和社会服务事业相关工作；会同便民服务中心根据法定职能或受委托承担辖区内行政审批、证照办理、政策咨询、劳动就业、社会保障、劳动关系调整、科技信息服务等事项。负责基层治理相关工作；指导村</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居</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民委员会工作，健全完善自治、法治、德治相结合的基层治理体系；负责基层治理信息收集、分析研判、调度指挥、反馈督办、绩效评估等工作；牵头负责辖区内网格化管理体系建设；负责社会治安综合治理、平安建设、信访稳定、法治宣传教育、多元化解、司法调解、法律援助、外来人口管理以及综治工作平台建设和日常管理协调工作；承担基层社会治安综合防控体系建设工作和社会治理综合信息平台运行的管理保障；完成镇党委、政府交办的其他工作。</w:t>
      </w:r>
    </w:p>
    <w:p w14:paraId="2DFD7602">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4</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规划建设办公室。负责城乡建设、空间规划等领域各项方针政策、法律法规规章的贯彻落实；负责协助重点项目的征地、拆迁、安置等工作；负责宅基地管理、农业设施用地管理等工作；协助做好国土空间、交通、旅游等规划的编制和实施，并负责监督、管理。协调交通运输、电力、通讯、水利等基础建设工作；完成镇党委、政府交办的其他工作。</w:t>
      </w:r>
    </w:p>
    <w:p w14:paraId="69EFD65F">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5</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综合执法办公室。根据有关法律法规和赋权等，承担本行政区域内的综合行政执法工作；负责开展日常巡查和有关执法检查；负责统一指挥协调县级部门派驻镇的行政执法力量；负责支持、配合县级相关部门的执法工作；负责生态环境保护和城乡环境综合治理等工作；完成镇党委、政府交办的其他工作。</w:t>
      </w:r>
    </w:p>
    <w:p w14:paraId="68889ABB">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6</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应急管理办公室。负责应急管理、安全生产等领域各项方针政策、法律法规规章的贯彻落实；负责辖区内安全生产、抗震救灾、防汛抗旱、地质灾害、消防安全、森林防灭火、道路交通安全、生态环境事件、公共卫生事件、食品药品安全事件、动</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植</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物疫情事件及各类突发事件应急处置工作。完成镇党委、政府交办的其他工作。</w:t>
      </w:r>
    </w:p>
    <w:p w14:paraId="1272867A">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7</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经济发展办公室。负责项目推进、科技创新、数据开发共享、价格、节能、能源、粮食流通、工业、信息化、招商引资、商务经济合作、统计调查分析、国民经济核算等工作；负责拟定农业、工业、三产服务业等经济发展规划和政策措施，负责协调第</w:t>
      </w:r>
      <w:r>
        <w:rPr>
          <w:rFonts w:hint="eastAsia" w:ascii="仿宋_GB2312" w:eastAsia="仿宋_GB2312" w:cs="Times New Roman"/>
          <w:sz w:val="32"/>
          <w:lang w:eastAsia="zh-CN"/>
        </w:rPr>
        <w:t>一二三产业</w:t>
      </w:r>
      <w:r>
        <w:rPr>
          <w:rFonts w:hint="eastAsia" w:ascii="仿宋_GB2312" w:hAnsi="Times New Roman" w:eastAsia="仿宋_GB2312" w:cs="Times New Roman"/>
          <w:sz w:val="32"/>
        </w:rPr>
        <w:t>发展的重大问题；负责做好工业、农业、投资、商贸服务业、基本单位名录库记忆住户收支调查等统计工作；负责自然资源和生态环境保护领域各项方针政策、法律法规规章的贯彻落实；负责项目建设的规划和组织实施工作；负责辖区内水库移民后期扶持工作；完成镇党委、政府交办的其他工作。</w:t>
      </w:r>
    </w:p>
    <w:p w14:paraId="04186C1E">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val="en-US" w:eastAsia="zh-CN"/>
        </w:rPr>
        <w:t xml:space="preserve">4. </w:t>
      </w:r>
      <w:r>
        <w:rPr>
          <w:rFonts w:hint="eastAsia" w:ascii="仿宋_GB2312" w:hAnsi="Times New Roman" w:eastAsia="仿宋_GB2312" w:cs="Times New Roman"/>
          <w:sz w:val="32"/>
        </w:rPr>
        <w:t>沙坪镇机关核定行政编制38名。核定领导职数12名，其中党委书记1名，镇长</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副书记</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1名，人大主席1名，专职副书记1名、副镇长4名、武装部长1名</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由党委委员兼任</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、纪委书记1名、组织委员1名</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兼任统战委员</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、宣传委员1名</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兼任人大副主席</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、政法委员1名。设中层职数7名。</w:t>
      </w:r>
    </w:p>
    <w:p w14:paraId="5D8911A8">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val="en-US" w:eastAsia="zh-CN"/>
        </w:rPr>
        <w:t>5.</w:t>
      </w:r>
      <w:r>
        <w:rPr>
          <w:rFonts w:hint="eastAsia" w:ascii="仿宋_GB2312" w:hAnsi="Times New Roman" w:eastAsia="仿宋_GB2312" w:cs="Times New Roman"/>
          <w:sz w:val="32"/>
        </w:rPr>
        <w:t>核定沙坪镇事业编制33名，沙坪镇设下列直属公益一类事业机构：</w:t>
      </w:r>
    </w:p>
    <w:p w14:paraId="4D2C117E">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1</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沙坪镇便民服务中心</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挂新时代文明实践站、退役军人服务站牌子</w:t>
      </w:r>
      <w:r>
        <w:rPr>
          <w:rFonts w:hint="eastAsia" w:ascii="仿宋_GB2312" w:hAnsi="Times New Roman" w:eastAsia="仿宋_GB2312" w:cs="Times New Roman"/>
          <w:sz w:val="32"/>
          <w:lang w:eastAsia="zh-CN"/>
        </w:rPr>
        <w:t>）</w:t>
      </w:r>
    </w:p>
    <w:p w14:paraId="64E49BC2">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rPr>
        <w:t>负责推进政府服务标准化建设工作；负责集中受理涉及经济发展、公共管理以及与群众密切相关的政务服务、公共服务、便民服务事项；负责指导本镇便民服务站、村</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社区</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便民服务代办点工作；接受县行政审批和数据局和相关职能部门的业务指导；负责政务服务相关事项的公开公示。负责农民工就业创业、社会保险、医疗保障、民政救助、劳动保障等服务性工作；做好农村劳动力实名制登记管理，加强对外劳务协作和劳务输出，促进农村劳动力转移就业、农民工回引和返乡农民工就业创业；贯彻执行各级退役军人服务保障的政策法规，负责退役军人服务保障工作，负责退役军人就业和社会保障政策咨询、就业和再就业服务、劳动关系协调、劳动者权益维护等工作；负责新时代文明实践所、退役军人服务站建设相关工作。完成镇党委、政府交办的其他工作。</w:t>
      </w:r>
    </w:p>
    <w:p w14:paraId="06DF1EA4">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rPr>
        <w:t>核定事业编制16名，设主任1名</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副科级</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副主任2名</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股级</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w:t>
      </w:r>
    </w:p>
    <w:p w14:paraId="5CF6601B">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2</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沙坪镇农业综合服务中心</w:t>
      </w:r>
    </w:p>
    <w:p w14:paraId="2AE2F588">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rPr>
        <w:t>负责制定乡村振兴发展规划并组织实施。负责农业产业发展和乡村振兴平台建设工作。负责农业、林业、水利、畜牧等方面的技术推广工作。负责辖区内农村集体经济组织管理和农村人才开发引进工作。负责村容村貌和人居环境整治。负责农作物病虫</w:t>
      </w:r>
    </w:p>
    <w:p w14:paraId="759E90A2">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rPr>
        <w:t>害监测与防治、野生动植物保护、护林防火、防汛抗旱、农田水利建设、农产品质量安全监测等服务性工作。负责小型水库和水利工程设施的安全监管和运行维护工作，承担春灌、水旱灾害防御、农村安全饮水和河长制等事务性工作。负责农业综合统计工作。负责动物防疫检疫和动物重大疫病监测与防控工作。受委托负责对动物产品质量安全以及兽药、饲料质量进行监督和管理。完成镇党委、政府交办的其他工作。</w:t>
      </w:r>
    </w:p>
    <w:p w14:paraId="2D91720C">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rPr>
        <w:t>核定事业编制12名，设主任1名</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副科级</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、副主任1名</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股级</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w:t>
      </w:r>
    </w:p>
    <w:p w14:paraId="10E7AA08">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lang w:val="en-US" w:eastAsia="zh-CN"/>
        </w:rPr>
        <w:t>3</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沙坪镇城区治理中心</w:t>
      </w:r>
    </w:p>
    <w:p w14:paraId="78340F1F">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rPr>
        <w:t>负责矛盾纠纷多元化解工作。推动网格化服务管理工作的落实，依托网格化信息系统对群众反映的问题进行办理。推进社会治安防控体系建设，协调推动实有人口、特殊群体的服务管理以及预防青少年违法犯罪、校园及周边治安整治等综治专项工作。协助开展平安建设工作，提升干部群众平安法治意识和群防群治参与意识，协助开展基层平安和行业平安创建活动，形成全民参与平安建设的良好氛围；负责指导沙坪镇中心城区</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四社五村</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城乡群众自治组织建设，推动要素资源聚集协同、城乡功能衔接互补，推进城乡融合新型社区建设，提升中心城区</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四社五村</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发展能级和辐射带动能力；协调推进辖区社会公共服务体系建设；负责中心城区</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四社五村</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管理与服务工作；负责辖区社区工作者队伍的指导、教育和培训工作；组织开展中心城区</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四社五村</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社区建设，繁荣社区文化，发展社区教育、体育等事业；负责社会组织建设和社会志愿者队伍建设；按照有关规定，负责本辖区物业管理活动的指导工作，负责业主大会的筹备组织以及业委会的备案服务工作。完成镇党委、政府交办的其他工作。</w:t>
      </w:r>
    </w:p>
    <w:p w14:paraId="38D3E33C">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rPr>
        <w:t>核定事业编制5名，设主任1名</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股级</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w:t>
      </w:r>
    </w:p>
    <w:p w14:paraId="5348C17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（三）年度主要工作任务。</w:t>
      </w:r>
    </w:p>
    <w:p w14:paraId="0BADB59D">
      <w:pPr>
        <w:spacing w:line="600" w:lineRule="exact"/>
        <w:ind w:firstLine="640"/>
        <w:rPr>
          <w:rFonts w:hint="default"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1.</w:t>
      </w:r>
      <w:r>
        <w:rPr>
          <w:rFonts w:hint="default" w:ascii="仿宋_GB2312" w:hAnsi="Times New Roman" w:eastAsia="仿宋_GB2312" w:cs="Times New Roman"/>
          <w:sz w:val="32"/>
          <w:lang w:val="en-US" w:eastAsia="zh-CN"/>
        </w:rPr>
        <w:t>在党建引领上持续发力。一是持之以恒抓好思想政治教育。坚持以习近平新时代中国特色社会主义思想为指导，深入学习领会党的二十届三中全会精神，深刻</w:t>
      </w:r>
      <w:r>
        <w:rPr>
          <w:rFonts w:hint="eastAsia" w:ascii="仿宋_GB2312" w:eastAsia="仿宋_GB2312" w:cs="Times New Roman"/>
          <w:sz w:val="32"/>
          <w:lang w:val="en-US" w:eastAsia="zh-CN"/>
        </w:rPr>
        <w:t>领悟“两个确立”的决定性意义，</w:t>
      </w:r>
      <w:r>
        <w:rPr>
          <w:rFonts w:hint="default" w:ascii="仿宋_GB2312" w:hAnsi="Times New Roman" w:eastAsia="仿宋_GB2312" w:cs="Times New Roman"/>
          <w:sz w:val="32"/>
          <w:lang w:val="en-US" w:eastAsia="zh-CN"/>
        </w:rPr>
        <w:t>不断增强“四个意识”、</w:t>
      </w:r>
      <w:r>
        <w:rPr>
          <w:rFonts w:hint="eastAsia" w:ascii="仿宋_GB2312" w:eastAsia="仿宋_GB2312" w:cs="Times New Roman"/>
          <w:sz w:val="32"/>
          <w:lang w:val="en-US" w:eastAsia="zh-CN"/>
        </w:rPr>
        <w:t>坚定“四个自信”、</w:t>
      </w:r>
      <w:r>
        <w:rPr>
          <w:rFonts w:hint="default" w:ascii="仿宋_GB2312" w:hAnsi="Times New Roman" w:eastAsia="仿宋_GB2312" w:cs="Times New Roman"/>
          <w:sz w:val="32"/>
          <w:lang w:val="en-US" w:eastAsia="zh-CN"/>
        </w:rPr>
        <w:t>深入贯彻落实省委、市委、县委决策部署，切实发挥基层党组织战斗堡垒作用。二是加强党员干部队伍建设。深入推进“节奏更快、效率更高、质量更优”主题实践活动，坚持以“三实两提”为标准，推动干部作风转变，加强干部培训，提升干部履职能力。三是加大党建示范点培育力度，总结提炼经验，以先进支部示范带动推动后进支部提升，努力促进党建工作提质增效。四是持之以恒抓好党风廉政建设，持续探索镇纪委综合实施“党内监督+社会监督+专项监督”监督模式，努力营造</w:t>
      </w:r>
      <w:r>
        <w:rPr>
          <w:rFonts w:hint="eastAsia" w:ascii="仿宋_GB2312" w:eastAsia="仿宋_GB2312" w:cs="Times New Roman"/>
          <w:sz w:val="32"/>
          <w:lang w:val="en-US" w:eastAsia="zh-CN"/>
        </w:rPr>
        <w:t>风清气正的政治生态</w:t>
      </w:r>
      <w:r>
        <w:rPr>
          <w:rFonts w:hint="default" w:ascii="仿宋_GB2312" w:hAnsi="Times New Roman" w:eastAsia="仿宋_GB2312" w:cs="Times New Roman"/>
          <w:sz w:val="32"/>
          <w:lang w:val="en-US" w:eastAsia="zh-CN"/>
        </w:rPr>
        <w:t>。</w:t>
      </w:r>
    </w:p>
    <w:p w14:paraId="276D4F7F">
      <w:pPr>
        <w:spacing w:line="600" w:lineRule="exact"/>
        <w:ind w:firstLine="640"/>
        <w:rPr>
          <w:rFonts w:hint="default"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2.</w:t>
      </w:r>
      <w:r>
        <w:rPr>
          <w:rFonts w:hint="default" w:ascii="仿宋_GB2312" w:hAnsi="Times New Roman" w:eastAsia="仿宋_GB2312" w:cs="Times New Roman"/>
          <w:sz w:val="32"/>
          <w:lang w:val="en-US" w:eastAsia="zh-CN"/>
        </w:rPr>
        <w:t>在推动社会事业发展上持续发力。一是持续开展防止返贫动态监测排查，持续抓好产业发展、政策兜底和稳岗就业等方面帮扶工作，认真落实社会保障政策，落实困难人群兜底保障措施，坚决</w:t>
      </w:r>
      <w:r>
        <w:rPr>
          <w:rFonts w:hint="eastAsia" w:ascii="仿宋_GB2312" w:eastAsia="仿宋_GB2312" w:cs="Times New Roman"/>
          <w:sz w:val="32"/>
          <w:lang w:val="en-US" w:eastAsia="zh-CN"/>
        </w:rPr>
        <w:t>守住不发生规模性返贫底线</w:t>
      </w:r>
      <w:r>
        <w:rPr>
          <w:rFonts w:hint="default" w:ascii="仿宋_GB2312" w:hAnsi="Times New Roman" w:eastAsia="仿宋_GB2312" w:cs="Times New Roman"/>
          <w:sz w:val="32"/>
          <w:lang w:val="en-US" w:eastAsia="zh-CN"/>
        </w:rPr>
        <w:t>。二是严格落实粮食安全党政同责要求，持续对“非粮化”“非农化”图斑进行整治，进一步夯实粮食安全根基。三是在</w:t>
      </w:r>
      <w:r>
        <w:rPr>
          <w:rFonts w:hint="eastAsia" w:ascii="仿宋_GB2312" w:eastAsia="仿宋_GB2312" w:cs="Times New Roman"/>
          <w:sz w:val="32"/>
          <w:lang w:val="en-US" w:eastAsia="zh-CN"/>
        </w:rPr>
        <w:t>增进民生福祉</w:t>
      </w:r>
      <w:r>
        <w:rPr>
          <w:rFonts w:hint="default" w:ascii="仿宋_GB2312" w:hAnsi="Times New Roman" w:eastAsia="仿宋_GB2312" w:cs="Times New Roman"/>
          <w:sz w:val="32"/>
          <w:lang w:val="en-US" w:eastAsia="zh-CN"/>
        </w:rPr>
        <w:t>上持续加力，做好低保提标扩面、社会救助、社会福利、优抚安置等工作，切实保障群众权益。四是完善巩固村集体经济发展基础，积极探索新发展模式，推动集体经济带动群众增收。</w:t>
      </w:r>
    </w:p>
    <w:p w14:paraId="20D18275">
      <w:pPr>
        <w:spacing w:line="600" w:lineRule="exact"/>
        <w:ind w:firstLine="640"/>
        <w:rPr>
          <w:rFonts w:hint="default"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3.</w:t>
      </w:r>
      <w:r>
        <w:rPr>
          <w:rFonts w:hint="default" w:ascii="仿宋_GB2312" w:hAnsi="Times New Roman" w:eastAsia="仿宋_GB2312" w:cs="Times New Roman"/>
          <w:sz w:val="32"/>
          <w:lang w:val="en-US" w:eastAsia="zh-CN"/>
        </w:rPr>
        <w:t>推动乡村治理持续发力。一是守牢安全底线。坚持安全第一、预防为主，统筹抓好道路交通、防汛减灾、森林防火等重点领域隐患排查治理。健全应急管理体系，提升防灾减灾能力。持续加强食品药品安全监管，全面落实食品安全“两个责任”。二是维护社会稳定。坚持和发展新时代“枫桥经验”，完善社会矛盾纠纷多元预防调处化解机制，依法解决群众合理诉求。三是强化社会治理。常态化推进群防群治和禁毒工作，坚决防范和打击各类违法犯罪。</w:t>
      </w:r>
    </w:p>
    <w:p w14:paraId="5FEBDC0D">
      <w:pPr>
        <w:spacing w:line="600" w:lineRule="exact"/>
        <w:ind w:firstLine="640"/>
        <w:rPr>
          <w:rFonts w:hint="default" w:ascii="仿宋_GB2312" w:hAnsi="Times New Roman" w:eastAsia="仿宋_GB2312" w:cs="Times New Roman"/>
          <w:sz w:val="32"/>
          <w:lang w:val="en" w:eastAsia="zh-CN"/>
        </w:rPr>
      </w:pPr>
      <w:r>
        <w:rPr>
          <w:rFonts w:hint="eastAsia" w:ascii="仿宋_GB2312" w:hAnsi="Times New Roman" w:eastAsia="仿宋_GB2312" w:cs="Times New Roman"/>
          <w:sz w:val="32"/>
          <w:lang w:val="en-US" w:eastAsia="zh-CN"/>
        </w:rPr>
        <w:t>4.</w:t>
      </w:r>
      <w:r>
        <w:rPr>
          <w:rFonts w:hint="default" w:ascii="仿宋_GB2312" w:hAnsi="Times New Roman" w:eastAsia="仿宋_GB2312" w:cs="Times New Roman"/>
          <w:sz w:val="32"/>
          <w:lang w:val="en-US" w:eastAsia="zh-CN"/>
        </w:rPr>
        <w:t>在推动项目落地上持续发力。一是积极谋划争取项目。</w:t>
      </w:r>
      <w:r>
        <w:rPr>
          <w:rFonts w:hint="default" w:ascii="仿宋_GB2312" w:hAnsi="Times New Roman" w:eastAsia="仿宋_GB2312" w:cs="Times New Roman"/>
          <w:sz w:val="32"/>
          <w:lang w:val="en" w:eastAsia="zh-CN"/>
        </w:rPr>
        <w:t>绕县委</w:t>
      </w:r>
      <w:r>
        <w:rPr>
          <w:rFonts w:hint="default" w:ascii="仿宋_GB2312" w:hAnsi="Times New Roman" w:eastAsia="仿宋_GB2312" w:cs="Times New Roman"/>
          <w:sz w:val="32"/>
          <w:lang w:val="en-US" w:eastAsia="zh-CN"/>
        </w:rPr>
        <w:t>“党建引领、三区联动、城乡融合、全面振兴”发展思路，</w:t>
      </w:r>
      <w:r>
        <w:rPr>
          <w:rFonts w:hint="default" w:ascii="仿宋_GB2312" w:hAnsi="Times New Roman" w:eastAsia="仿宋_GB2312" w:cs="Times New Roman"/>
          <w:sz w:val="32"/>
          <w:lang w:val="en" w:eastAsia="zh-CN"/>
        </w:rPr>
        <w:t>精心谋划“城区”发展项目。积极争取各级资金支持，谋划、开工、投产、储备一批大项目、好项目，推动项目尽快投产达效，形成更多实物量和增长点。</w:t>
      </w:r>
      <w:r>
        <w:rPr>
          <w:rFonts w:hint="default" w:ascii="仿宋_GB2312" w:hAnsi="Times New Roman" w:eastAsia="仿宋_GB2312" w:cs="Times New Roman"/>
          <w:sz w:val="32"/>
          <w:lang w:val="en-US" w:eastAsia="zh-CN"/>
        </w:rPr>
        <w:t>二是推进重大项目落地。</w:t>
      </w:r>
      <w:r>
        <w:rPr>
          <w:rFonts w:hint="default" w:ascii="仿宋_GB2312" w:hAnsi="Times New Roman" w:eastAsia="仿宋_GB2312" w:cs="Times New Roman"/>
          <w:sz w:val="32"/>
          <w:lang w:val="en" w:eastAsia="zh-CN"/>
        </w:rPr>
        <w:t>加</w:t>
      </w:r>
      <w:r>
        <w:rPr>
          <w:rFonts w:hint="default" w:ascii="仿宋_GB2312" w:hAnsi="Times New Roman" w:eastAsia="仿宋_GB2312" w:cs="Times New Roman"/>
          <w:sz w:val="32"/>
          <w:lang w:val="en-US" w:eastAsia="zh-CN"/>
        </w:rPr>
        <w:t>强</w:t>
      </w:r>
      <w:r>
        <w:rPr>
          <w:rFonts w:hint="default" w:ascii="仿宋_GB2312" w:hAnsi="Times New Roman" w:eastAsia="仿宋_GB2312" w:cs="Times New Roman"/>
          <w:sz w:val="32"/>
          <w:lang w:val="en" w:eastAsia="zh-CN"/>
        </w:rPr>
        <w:t>重大工程、重点项目建设协调力度，</w:t>
      </w:r>
      <w:r>
        <w:rPr>
          <w:rFonts w:hint="default" w:ascii="仿宋_GB2312" w:hAnsi="Times New Roman" w:eastAsia="仿宋_GB2312" w:cs="Times New Roman"/>
          <w:sz w:val="32"/>
          <w:lang w:val="en-US" w:eastAsia="zh-CN"/>
        </w:rPr>
        <w:t>做好相关政策宣传解释，</w:t>
      </w:r>
      <w:r>
        <w:rPr>
          <w:rFonts w:hint="default" w:ascii="仿宋_GB2312" w:hAnsi="Times New Roman" w:eastAsia="仿宋_GB2312" w:cs="Times New Roman"/>
          <w:sz w:val="32"/>
          <w:lang w:val="en" w:eastAsia="zh-CN"/>
        </w:rPr>
        <w:t>全力以赴做好红星九年一贯制学校、</w:t>
      </w:r>
      <w:r>
        <w:rPr>
          <w:rFonts w:hint="default" w:ascii="仿宋_GB2312" w:hAnsi="Times New Roman" w:eastAsia="仿宋_GB2312" w:cs="Times New Roman"/>
          <w:sz w:val="32"/>
          <w:lang w:val="en-US" w:eastAsia="zh-CN"/>
        </w:rPr>
        <w:t>站站通道及马嘶溪大桥等重点项目的工作协调和落地保障</w:t>
      </w:r>
      <w:r>
        <w:rPr>
          <w:rFonts w:hint="default" w:ascii="仿宋_GB2312" w:hAnsi="Times New Roman" w:eastAsia="仿宋_GB2312" w:cs="Times New Roman"/>
          <w:sz w:val="32"/>
          <w:lang w:val="en" w:eastAsia="zh-CN"/>
        </w:rPr>
        <w:t>。</w:t>
      </w:r>
      <w:r>
        <w:rPr>
          <w:rFonts w:hint="default" w:ascii="仿宋_GB2312" w:hAnsi="Times New Roman" w:eastAsia="仿宋_GB2312" w:cs="Times New Roman"/>
          <w:sz w:val="32"/>
          <w:lang w:val="en-US" w:eastAsia="zh-CN"/>
        </w:rPr>
        <w:t>三是推进民生项目建设。聚焦人民群众最关心的事项，把实事办好把好事办实，推进城市老旧小区改造、村级公路改造提升、农村生产生活用水补短提升、人居环境整治等项目建设，</w:t>
      </w:r>
      <w:r>
        <w:rPr>
          <w:rFonts w:hint="default" w:ascii="仿宋_GB2312" w:hAnsi="Times New Roman" w:eastAsia="仿宋_GB2312" w:cs="Times New Roman"/>
          <w:sz w:val="32"/>
        </w:rPr>
        <w:t>不断提高群众的获得感、幸福感。</w:t>
      </w:r>
    </w:p>
    <w:p w14:paraId="76E9A73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二、部门财政资金收支情况</w:t>
      </w:r>
    </w:p>
    <w:p w14:paraId="7A3CF4D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（一）部门财政资金收入情况。</w:t>
      </w:r>
    </w:p>
    <w:p w14:paraId="0BAE1C24">
      <w:pPr>
        <w:spacing w:line="600" w:lineRule="exact"/>
        <w:ind w:firstLine="640"/>
        <w:rPr>
          <w:rFonts w:hint="eastAsia" w:ascii="仿宋_GB2312" w:hAnsi="Times New Roman" w:eastAsia="仿宋_GB2312" w:cs="Times New Roman"/>
          <w:sz w:val="32"/>
          <w:lang w:val="zh-CN"/>
        </w:rPr>
      </w:pPr>
      <w:r>
        <w:rPr>
          <w:rFonts w:hint="eastAsia" w:ascii="仿宋_GB2312" w:hAnsi="Times New Roman" w:eastAsia="仿宋_GB2312" w:cs="Times New Roman"/>
          <w:sz w:val="32"/>
        </w:rPr>
        <w:t>202</w:t>
      </w:r>
      <w:r>
        <w:rPr>
          <w:rFonts w:hint="eastAsia" w:ascii="仿宋_GB2312" w:hAnsi="Times New Roman" w:eastAsia="仿宋_GB2312" w:cs="Times New Roman"/>
          <w:sz w:val="32"/>
          <w:lang w:val="en-US" w:eastAsia="zh-CN"/>
        </w:rPr>
        <w:t>4</w:t>
      </w:r>
      <w:r>
        <w:rPr>
          <w:rFonts w:hint="eastAsia" w:ascii="仿宋_GB2312" w:hAnsi="Times New Roman" w:eastAsia="仿宋_GB2312" w:cs="Times New Roman"/>
          <w:sz w:val="32"/>
        </w:rPr>
        <w:t>年度部门收入总额</w:t>
      </w:r>
      <w:r>
        <w:rPr>
          <w:rFonts w:hint="eastAsia" w:ascii="仿宋_GB2312" w:hAnsi="Times New Roman" w:eastAsia="仿宋_GB2312" w:cs="Times New Roman"/>
          <w:sz w:val="32"/>
          <w:lang w:val="en-US" w:eastAsia="zh-CN"/>
        </w:rPr>
        <w:t>3347.49</w:t>
      </w:r>
      <w:r>
        <w:rPr>
          <w:rFonts w:hint="eastAsia" w:ascii="仿宋_GB2312" w:hAnsi="Times New Roman" w:eastAsia="仿宋_GB2312" w:cs="Times New Roman"/>
          <w:sz w:val="32"/>
        </w:rPr>
        <w:t>万元</w:t>
      </w:r>
    </w:p>
    <w:p w14:paraId="6181AEE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（二）部门财政资金支出情况。</w:t>
      </w:r>
    </w:p>
    <w:p w14:paraId="624AEB02">
      <w:pPr>
        <w:spacing w:line="600" w:lineRule="exact"/>
        <w:ind w:firstLine="640"/>
        <w:rPr>
          <w:rFonts w:hint="eastAsia" w:ascii="仿宋_GB2312" w:hAnsi="Times New Roman" w:eastAsia="仿宋_GB2312" w:cs="Times New Roman"/>
          <w:sz w:val="32"/>
          <w:lang w:val="zh-CN"/>
        </w:rPr>
      </w:pPr>
      <w:r>
        <w:rPr>
          <w:rFonts w:hint="eastAsia" w:ascii="仿宋_GB2312" w:hAnsi="Times New Roman" w:eastAsia="仿宋_GB2312" w:cs="Times New Roman"/>
          <w:sz w:val="32"/>
        </w:rPr>
        <w:t>2022年度部门支出总额</w:t>
      </w:r>
      <w:r>
        <w:rPr>
          <w:rFonts w:hint="eastAsia" w:ascii="仿宋_GB2312" w:hAnsi="Times New Roman" w:eastAsia="仿宋_GB2312" w:cs="Times New Roman"/>
          <w:sz w:val="32"/>
          <w:lang w:val="en-US" w:eastAsia="zh-CN"/>
        </w:rPr>
        <w:t>3347.49</w:t>
      </w:r>
      <w:r>
        <w:rPr>
          <w:rFonts w:hint="eastAsia" w:ascii="仿宋_GB2312" w:hAnsi="Times New Roman" w:eastAsia="仿宋_GB2312" w:cs="Times New Roman"/>
          <w:sz w:val="32"/>
        </w:rPr>
        <w:t>万元</w:t>
      </w:r>
    </w:p>
    <w:p w14:paraId="63F3B8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（三）部门财政资金结转结余情况。</w:t>
      </w:r>
    </w:p>
    <w:p w14:paraId="3E08D26E">
      <w:pPr>
        <w:spacing w:line="600" w:lineRule="exact"/>
        <w:ind w:firstLine="640"/>
        <w:rPr>
          <w:rFonts w:hint="eastAsia" w:ascii="仿宋_GB2312" w:hAnsi="Times New Roman" w:eastAsia="仿宋_GB2312" w:cs="Times New Roman"/>
          <w:sz w:val="32"/>
          <w:lang w:val="zh-CN"/>
        </w:rPr>
      </w:pPr>
      <w:r>
        <w:rPr>
          <w:rFonts w:hint="eastAsia" w:ascii="仿宋_GB2312" w:hAnsi="Times New Roman" w:eastAsia="仿宋_GB2312" w:cs="Times New Roman"/>
          <w:sz w:val="32"/>
          <w:lang w:val="zh-CN"/>
        </w:rPr>
        <w:t xml:space="preserve"> </w:t>
      </w:r>
      <w:r>
        <w:rPr>
          <w:rFonts w:hint="eastAsia" w:ascii="仿宋_GB2312" w:hAnsi="Times New Roman" w:eastAsia="仿宋_GB2312" w:cs="Times New Roman"/>
          <w:sz w:val="32"/>
        </w:rPr>
        <w:t>无结转结余</w:t>
      </w:r>
    </w:p>
    <w:p w14:paraId="0496FB8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三、部门整体绩效管理情况</w:t>
      </w:r>
    </w:p>
    <w:p w14:paraId="145079F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（一）部门整体履职绩效分析。</w:t>
      </w:r>
    </w:p>
    <w:p w14:paraId="4A971F11">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val="zh-CN"/>
        </w:rPr>
        <w:t>预算管理方面，编制内在职人员控制率小于100%，支出总额控制在预算总额以内。制度执行总体较为有效，但仍需进一步强化，资金使用管理需进一步加强。</w:t>
      </w:r>
      <w:r>
        <w:rPr>
          <w:rFonts w:hint="eastAsia" w:ascii="仿宋_GB2312" w:hAnsi="Times New Roman" w:eastAsia="仿宋_GB2312" w:cs="Times New Roman"/>
          <w:sz w:val="32"/>
        </w:rPr>
        <w:t>单位内部控制制度需进一步健全，内控制度执行还需进一步规范。</w:t>
      </w:r>
    </w:p>
    <w:p w14:paraId="19CE23B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（二）特定目标类项目绩效分析。</w:t>
      </w:r>
    </w:p>
    <w:p w14:paraId="1315E862">
      <w:pPr>
        <w:spacing w:line="600" w:lineRule="exact"/>
        <w:ind w:firstLine="640"/>
        <w:rPr>
          <w:rFonts w:hint="eastAsia" w:ascii="仿宋_GB2312" w:hAnsi="Times New Roman" w:eastAsia="仿宋_GB2312" w:cs="Times New Roman"/>
          <w:sz w:val="32"/>
        </w:rPr>
      </w:pPr>
      <w:r>
        <w:rPr>
          <w:rFonts w:hint="eastAsia" w:ascii="仿宋_GB2312" w:hAnsi="Times New Roman" w:eastAsia="仿宋_GB2312" w:cs="Times New Roman"/>
          <w:sz w:val="32"/>
          <w:lang w:val="en-US" w:eastAsia="zh-CN"/>
        </w:rPr>
        <w:t>1.</w:t>
      </w:r>
      <w:r>
        <w:rPr>
          <w:rFonts w:hint="eastAsia" w:ascii="仿宋_GB2312" w:hAnsi="Times New Roman" w:eastAsia="仿宋_GB2312" w:cs="Times New Roman"/>
          <w:sz w:val="32"/>
          <w:lang w:val="zh-CN"/>
        </w:rPr>
        <w:t>沙坪镇人民政府绩效目标按要求向社会公开，部门整体绩效自评情况和自行组织的评价情况向社会公开，及时整改了绩效管理发现问题，向财政部门反馈结果应用情况。资金主要投乡镇交通劝导员补贴</w:t>
      </w:r>
      <w:r>
        <w:rPr>
          <w:rFonts w:hint="eastAsia" w:ascii="仿宋_GB2312" w:hAnsi="Times New Roman" w:eastAsia="仿宋_GB2312" w:cs="Times New Roman"/>
          <w:sz w:val="32"/>
          <w:lang w:val="en-US" w:eastAsia="zh-CN"/>
        </w:rPr>
        <w:t>9.36万元；船管员劳务费（劳务费）3万元；2024年基层组织和农村公共服务运行经费333.6万元；交通安全工作经费5万元；“山海情”柯峨教育协作帮扶建设项目配套设施建设房屋征收及青苗补偿款等相关资金176.19万元；沙坪镇2024年农村综合改革转移支付资金（农村公益事业一事一议奖补）项目）（川财农</w:t>
      </w:r>
      <w:r>
        <w:rPr>
          <w:rFonts w:hint="eastAsia" w:ascii="仿宋_GB2312" w:eastAsia="仿宋_GB2312" w:cs="Times New Roman"/>
          <w:sz w:val="32"/>
          <w:lang w:val="en-US" w:eastAsia="zh-CN"/>
        </w:rPr>
        <w:t>〔2023〕158号</w:t>
      </w:r>
      <w:r>
        <w:rPr>
          <w:rFonts w:hint="eastAsia" w:ascii="仿宋_GB2312" w:hAnsi="Times New Roman" w:eastAsia="仿宋_GB2312" w:cs="Times New Roman"/>
          <w:sz w:val="32"/>
          <w:lang w:val="en-US" w:eastAsia="zh-CN"/>
        </w:rPr>
        <w:t>）6.72万元；峨边府常定</w:t>
      </w:r>
      <w:r>
        <w:rPr>
          <w:rFonts w:hint="eastAsia" w:ascii="仿宋_GB2312" w:eastAsia="仿宋_GB2312" w:cs="Times New Roman"/>
          <w:sz w:val="32"/>
          <w:lang w:val="en-US" w:eastAsia="zh-CN"/>
        </w:rPr>
        <w:t>〔2024〕23号</w:t>
      </w:r>
      <w:r>
        <w:rPr>
          <w:rFonts w:hint="eastAsia" w:ascii="仿宋_GB2312" w:hAnsi="Times New Roman" w:eastAsia="仿宋_GB2312" w:cs="Times New Roman"/>
          <w:sz w:val="32"/>
          <w:lang w:val="en-US" w:eastAsia="zh-CN"/>
        </w:rPr>
        <w:t>背峰山公园主体及配套设施建设占地和地面附着物补偿资金82.37万元</w:t>
      </w:r>
      <w:r>
        <w:rPr>
          <w:rFonts w:hint="eastAsia" w:ascii="仿宋_GB2312" w:hAnsi="Times New Roman" w:eastAsia="仿宋_GB2312" w:cs="Times New Roman"/>
          <w:sz w:val="32"/>
          <w:lang w:val="zh-CN"/>
        </w:rPr>
        <w:t>。</w:t>
      </w:r>
      <w:r>
        <w:rPr>
          <w:rFonts w:hint="eastAsia" w:ascii="仿宋_GB2312" w:hAnsi="Times New Roman" w:eastAsia="仿宋_GB2312" w:cs="Times New Roman"/>
          <w:sz w:val="32"/>
          <w:lang w:val="en-US" w:eastAsia="zh-CN"/>
        </w:rPr>
        <w:t>7个项目都100%完成。</w:t>
      </w:r>
      <w:r>
        <w:rPr>
          <w:rFonts w:hint="eastAsia" w:ascii="仿宋_GB2312" w:hAnsi="Times New Roman" w:eastAsia="仿宋_GB2312" w:cs="Times New Roman"/>
          <w:sz w:val="32"/>
          <w:lang w:val="zh-CN"/>
        </w:rPr>
        <w:t>通过统计分析获取了人民群众对生态环境的健康度、居住生活的舒适度、工作出行的便捷度、居住生活的安全度各方面的良好评价。</w:t>
      </w:r>
    </w:p>
    <w:p w14:paraId="0F5D7CF5">
      <w:pPr>
        <w:spacing w:line="600" w:lineRule="exact"/>
        <w:ind w:firstLine="640"/>
        <w:rPr>
          <w:rFonts w:hint="eastAsia" w:ascii="仿宋_GB2312" w:hAnsi="Times New Roman" w:eastAsia="仿宋_GB2312" w:cs="Times New Roman"/>
          <w:sz w:val="32"/>
          <w:lang w:val="zh-CN"/>
        </w:rPr>
      </w:pPr>
      <w:r>
        <w:rPr>
          <w:rFonts w:hint="eastAsia" w:ascii="仿宋_GB2312" w:hAnsi="Times New Roman" w:eastAsia="仿宋_GB2312" w:cs="Times New Roman"/>
          <w:sz w:val="32"/>
          <w:lang w:val="zh-CN"/>
        </w:rPr>
        <w:t>2.100万以上项目：无</w:t>
      </w:r>
    </w:p>
    <w:p w14:paraId="193272E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（三）结果应用情况。</w:t>
      </w:r>
    </w:p>
    <w:p w14:paraId="19A5E349">
      <w:pPr>
        <w:spacing w:line="600" w:lineRule="exact"/>
        <w:ind w:firstLine="640"/>
        <w:rPr>
          <w:rFonts w:hint="eastAsia" w:ascii="仿宋_GB2312" w:hAnsi="Times New Roman" w:eastAsia="仿宋_GB2312" w:cs="Times New Roman"/>
          <w:sz w:val="32"/>
          <w:lang w:val="zh-CN"/>
        </w:rPr>
      </w:pPr>
      <w:r>
        <w:rPr>
          <w:rFonts w:hint="eastAsia" w:ascii="仿宋_GB2312" w:hAnsi="Times New Roman" w:eastAsia="仿宋_GB2312" w:cs="Times New Roman"/>
          <w:sz w:val="32"/>
          <w:lang w:val="zh-CN"/>
        </w:rPr>
        <w:t>本单位按照财政局下达的预算指标，严格执行预算内开支，保障了单位正常运转。本部门的预决算编制均按照县财政局下达的相关文件指标进行了编制，按时完成经、编制工作，决算报表和说明均在峨边彝族自治县政府门户网站公开。绩效目标也按照有关文件如实进行了填报</w:t>
      </w:r>
      <w:r>
        <w:rPr>
          <w:rFonts w:hint="eastAsia" w:ascii="仿宋_GB2312" w:eastAsia="仿宋_GB2312" w:cs="Times New Roman"/>
          <w:sz w:val="32"/>
          <w:lang w:val="zh-CN"/>
        </w:rPr>
        <w:t>。</w:t>
      </w:r>
    </w:p>
    <w:p w14:paraId="33AEBBA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四、评价结论及建议</w:t>
      </w:r>
    </w:p>
    <w:p w14:paraId="18CEF21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（一）评价结论。</w:t>
      </w:r>
    </w:p>
    <w:p w14:paraId="36E9EEED">
      <w:pPr>
        <w:spacing w:line="600" w:lineRule="exact"/>
        <w:ind w:firstLine="640"/>
        <w:rPr>
          <w:rFonts w:hint="eastAsia" w:ascii="仿宋_GB2312" w:hAnsi="Times New Roman" w:eastAsia="仿宋_GB2312" w:cs="Times New Roman"/>
          <w:sz w:val="32"/>
          <w:lang w:val="zh-CN"/>
        </w:rPr>
      </w:pPr>
      <w:r>
        <w:rPr>
          <w:rFonts w:hint="eastAsia" w:ascii="仿宋_GB2312" w:hAnsi="Times New Roman" w:eastAsia="仿宋_GB2312" w:cs="Times New Roman"/>
          <w:sz w:val="32"/>
          <w:lang w:val="zh-CN"/>
        </w:rPr>
        <w:t>根据《峨边彝族自治县财政局 关于开展20</w:t>
      </w:r>
      <w:r>
        <w:rPr>
          <w:rFonts w:hint="eastAsia" w:ascii="仿宋_GB2312" w:hAnsi="Times New Roman" w:eastAsia="仿宋_GB2312" w:cs="Times New Roman"/>
          <w:sz w:val="32"/>
        </w:rPr>
        <w:t>2</w:t>
      </w:r>
      <w:r>
        <w:rPr>
          <w:rFonts w:hint="eastAsia" w:ascii="仿宋_GB2312" w:hAnsi="Times New Roman" w:eastAsia="仿宋_GB2312" w:cs="Times New Roman"/>
          <w:sz w:val="32"/>
          <w:lang w:val="en-US" w:eastAsia="zh-CN"/>
        </w:rPr>
        <w:t>4</w:t>
      </w:r>
      <w:r>
        <w:rPr>
          <w:rFonts w:hint="eastAsia" w:ascii="仿宋_GB2312" w:hAnsi="Times New Roman" w:eastAsia="仿宋_GB2312" w:cs="Times New Roman"/>
          <w:sz w:val="32"/>
          <w:lang w:val="zh-CN"/>
        </w:rPr>
        <w:t>年度县级部门预算绩效自评工作的通知》文件精神，沙坪镇人民政府</w:t>
      </w:r>
      <w:r>
        <w:rPr>
          <w:rFonts w:hint="eastAsia" w:ascii="仿宋_GB2312" w:hAnsi="Times New Roman" w:eastAsia="仿宋_GB2312" w:cs="Times New Roman"/>
          <w:sz w:val="32"/>
        </w:rPr>
        <w:t>认真组织开展了部门整体支出绩效评价工作，绩效评价</w:t>
      </w:r>
      <w:r>
        <w:rPr>
          <w:rFonts w:hint="eastAsia" w:ascii="仿宋_GB2312" w:hAnsi="Times New Roman" w:eastAsia="仿宋_GB2312" w:cs="Times New Roman"/>
          <w:sz w:val="32"/>
          <w:lang w:val="zh-CN"/>
        </w:rPr>
        <w:t>得分：</w:t>
      </w:r>
      <w:r>
        <w:rPr>
          <w:rFonts w:hint="eastAsia" w:ascii="仿宋_GB2312" w:hAnsi="Times New Roman" w:eastAsia="仿宋_GB2312" w:cs="Times New Roman"/>
          <w:sz w:val="32"/>
          <w:lang w:val="en-US" w:eastAsia="zh-CN"/>
        </w:rPr>
        <w:t>100</w:t>
      </w:r>
      <w:r>
        <w:rPr>
          <w:rFonts w:hint="eastAsia" w:ascii="仿宋_GB2312" w:hAnsi="Times New Roman" w:eastAsia="仿宋_GB2312" w:cs="Times New Roman"/>
          <w:sz w:val="32"/>
        </w:rPr>
        <w:t xml:space="preserve"> </w:t>
      </w:r>
      <w:r>
        <w:rPr>
          <w:rFonts w:hint="eastAsia" w:ascii="仿宋_GB2312" w:hAnsi="Times New Roman" w:eastAsia="仿宋_GB2312" w:cs="Times New Roman"/>
          <w:sz w:val="32"/>
          <w:lang w:val="zh-CN"/>
        </w:rPr>
        <w:t>分。</w:t>
      </w:r>
    </w:p>
    <w:p w14:paraId="058649E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（二）存在问题。</w:t>
      </w:r>
    </w:p>
    <w:p w14:paraId="3D77AF28">
      <w:pPr>
        <w:spacing w:line="600" w:lineRule="exact"/>
        <w:ind w:firstLine="640"/>
        <w:rPr>
          <w:rFonts w:hint="eastAsia" w:ascii="仿宋_GB2312" w:hAnsi="Times New Roman" w:eastAsia="仿宋_GB2312" w:cs="Times New Roman"/>
          <w:sz w:val="32"/>
          <w:lang w:val="zh-CN" w:eastAsia="zh-CN"/>
        </w:rPr>
      </w:pPr>
      <w:r>
        <w:rPr>
          <w:rFonts w:hint="eastAsia" w:ascii="仿宋_GB2312" w:hAnsi="Times New Roman" w:eastAsia="仿宋_GB2312" w:cs="Times New Roman"/>
          <w:sz w:val="32"/>
          <w:lang w:val="zh-CN" w:eastAsia="zh-CN"/>
        </w:rPr>
        <w:t>无。</w:t>
      </w:r>
    </w:p>
    <w:p w14:paraId="6CFE63BD">
      <w:pPr>
        <w:pStyle w:val="2"/>
        <w:rPr>
          <w:rFonts w:hint="eastAsia" w:ascii="仿宋_GB2312" w:hAnsi="Times New Roman" w:eastAsia="仿宋_GB2312" w:cs="Times New Roman"/>
          <w:sz w:val="32"/>
          <w:lang w:val="zh-CN" w:eastAsia="zh-CN"/>
        </w:rPr>
      </w:pPr>
    </w:p>
    <w:p w14:paraId="2CB2CDAF">
      <w:pPr>
        <w:pStyle w:val="3"/>
        <w:rPr>
          <w:rFonts w:hint="eastAsia"/>
          <w:lang w:val="zh-CN" w:eastAsia="zh-CN"/>
        </w:rPr>
      </w:pPr>
    </w:p>
    <w:p w14:paraId="0D7E5146">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部门预算项目支出绩效自评表（2024年度）</w:t>
      </w:r>
    </w:p>
    <w:tbl>
      <w:tblPr>
        <w:tblStyle w:val="18"/>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2"/>
        <w:gridCol w:w="1272"/>
        <w:gridCol w:w="1109"/>
        <w:gridCol w:w="1415"/>
        <w:gridCol w:w="426"/>
        <w:gridCol w:w="1053"/>
        <w:gridCol w:w="1001"/>
        <w:gridCol w:w="711"/>
        <w:gridCol w:w="326"/>
        <w:gridCol w:w="300"/>
        <w:gridCol w:w="1605"/>
      </w:tblGrid>
      <w:tr w14:paraId="037B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7" w:hRule="atLeast"/>
        </w:trPr>
        <w:tc>
          <w:tcPr>
            <w:tcW w:w="9660" w:type="dxa"/>
            <w:gridSpan w:val="11"/>
            <w:tcBorders>
              <w:top w:val="single" w:color="000000" w:sz="4" w:space="0"/>
              <w:left w:val="single" w:color="000000" w:sz="4" w:space="0"/>
              <w:bottom w:val="single" w:color="000000" w:sz="4" w:space="0"/>
              <w:right w:val="single" w:color="000000" w:sz="4" w:space="0"/>
            </w:tcBorders>
            <w:noWrap w:val="0"/>
            <w:vAlign w:val="center"/>
          </w:tcPr>
          <w:p w14:paraId="2F55C81D">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0D8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5A1C8A5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4266829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51113222T000000263213-船管员劳务费（劳务费）</w:t>
            </w:r>
          </w:p>
        </w:tc>
      </w:tr>
      <w:tr w14:paraId="057C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6"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1D5B88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35F1EE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峨边彝族自治县沙坪镇人民政府本级</w:t>
            </w:r>
          </w:p>
        </w:tc>
        <w:tc>
          <w:tcPr>
            <w:tcW w:w="711" w:type="dxa"/>
            <w:noWrap w:val="0"/>
            <w:vAlign w:val="center"/>
          </w:tcPr>
          <w:p w14:paraId="2F915BD0">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31" w:type="dxa"/>
            <w:gridSpan w:val="3"/>
            <w:tcBorders>
              <w:top w:val="single" w:color="000000" w:sz="4" w:space="0"/>
              <w:left w:val="single" w:color="000000" w:sz="4" w:space="0"/>
              <w:bottom w:val="single" w:color="000000" w:sz="4" w:space="0"/>
              <w:right w:val="single" w:color="000000" w:sz="4" w:space="0"/>
            </w:tcBorders>
            <w:noWrap w:val="0"/>
            <w:vAlign w:val="center"/>
          </w:tcPr>
          <w:p w14:paraId="3E68AB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w:t>
            </w:r>
          </w:p>
        </w:tc>
      </w:tr>
      <w:tr w14:paraId="0639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02AB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FDE2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511935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3A78DF2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681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9"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664BB">
            <w:pP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BA48A">
            <w:pPr>
              <w:rPr>
                <w:rFonts w:hint="eastAsia" w:ascii="宋体" w:hAnsi="宋体" w:eastAsia="宋体" w:cs="宋体"/>
                <w:i w:val="0"/>
                <w:color w:val="000000"/>
                <w:sz w:val="18"/>
                <w:szCs w:val="18"/>
                <w:u w:val="none"/>
              </w:rPr>
            </w:pP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7322E4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保障原共和乡村民过河方便，保障3名船管员有补助，2名签单员每人每年补助1.08万元；1名船管员每年补助0.84万元。</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779D03D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76AB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249CB">
            <w:pP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111CE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588B69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保障了原共和乡村民过河方便，保障1名船管员2名签单员的补助，2名签单员每人每年补助1.08万元；1名船管员每年补助0.84万元。</w:t>
            </w:r>
          </w:p>
        </w:tc>
      </w:tr>
      <w:tr w14:paraId="491B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C61F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56DC1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32DD9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05110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11AFBD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1A2FD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681A43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BF32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F549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E09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3AB3A">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CC5C2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7B342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384AF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0EB327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0099F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17D92C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E507F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E8BB2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466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E33A2">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29CE0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57103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A2EEE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5CD070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084E11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05005C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50791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DC10E">
            <w:pPr>
              <w:rPr>
                <w:rFonts w:hint="eastAsia" w:ascii="黑体" w:hAnsi="黑体" w:eastAsia="黑体" w:cs="黑体"/>
                <w:i/>
                <w:color w:val="000000"/>
                <w:sz w:val="18"/>
                <w:szCs w:val="18"/>
                <w:u w:val="none"/>
              </w:rPr>
            </w:pPr>
          </w:p>
        </w:tc>
      </w:tr>
      <w:tr w14:paraId="3854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BF8DF">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F7391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B55A6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A55AF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7EA8B3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007417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078DD5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A2D7C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F73EA">
            <w:pPr>
              <w:rPr>
                <w:rFonts w:hint="eastAsia" w:ascii="黑体" w:hAnsi="黑体" w:eastAsia="黑体" w:cs="黑体"/>
                <w:i/>
                <w:color w:val="000000"/>
                <w:sz w:val="18"/>
                <w:szCs w:val="18"/>
                <w:u w:val="none"/>
              </w:rPr>
            </w:pPr>
          </w:p>
        </w:tc>
      </w:tr>
      <w:tr w14:paraId="56FF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31FFE">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78A69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58317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03E79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712BD9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57A8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4067E7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73148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071EF">
            <w:pPr>
              <w:rPr>
                <w:rFonts w:hint="eastAsia" w:ascii="黑体" w:hAnsi="黑体" w:eastAsia="黑体" w:cs="黑体"/>
                <w:i/>
                <w:color w:val="000000"/>
                <w:sz w:val="18"/>
                <w:szCs w:val="18"/>
                <w:u w:val="none"/>
              </w:rPr>
            </w:pPr>
          </w:p>
        </w:tc>
      </w:tr>
      <w:tr w14:paraId="5BB86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0"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2384D">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766C9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4B548B6">
            <w:pPr>
              <w:jc w:val="center"/>
              <w:rPr>
                <w:rFonts w:hint="eastAsia" w:ascii="微软雅黑" w:hAnsi="微软雅黑" w:eastAsia="微软雅黑" w:cs="微软雅黑"/>
                <w:i/>
                <w:color w:val="000000"/>
                <w:sz w:val="16"/>
                <w:szCs w:val="16"/>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B9C74A4">
            <w:pPr>
              <w:jc w:val="center"/>
              <w:rPr>
                <w:rFonts w:hint="eastAsia" w:ascii="微软雅黑" w:hAnsi="微软雅黑" w:eastAsia="微软雅黑" w:cs="微软雅黑"/>
                <w:i/>
                <w:color w:val="000000"/>
                <w:sz w:val="16"/>
                <w:szCs w:val="16"/>
                <w:u w:val="none"/>
              </w:rPr>
            </w:pP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4FCA2760">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711B328">
            <w:pPr>
              <w:jc w:val="center"/>
              <w:rPr>
                <w:rFonts w:hint="eastAsia" w:ascii="微软雅黑" w:hAnsi="微软雅黑" w:eastAsia="微软雅黑" w:cs="微软雅黑"/>
                <w:i/>
                <w:color w:val="000000"/>
                <w:sz w:val="16"/>
                <w:szCs w:val="16"/>
                <w:u w:val="none"/>
              </w:rPr>
            </w:pP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4DD19C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B0D39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15710">
            <w:pPr>
              <w:rPr>
                <w:rFonts w:hint="eastAsia" w:ascii="黑体" w:hAnsi="黑体" w:eastAsia="黑体" w:cs="黑体"/>
                <w:i/>
                <w:color w:val="000000"/>
                <w:sz w:val="18"/>
                <w:szCs w:val="18"/>
                <w:u w:val="none"/>
              </w:rPr>
            </w:pPr>
          </w:p>
        </w:tc>
      </w:tr>
      <w:tr w14:paraId="2A18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7"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EED1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CAEDA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4C49B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25DCF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3FEF2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89FBE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1DAE9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535D9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706856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CBB93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E790A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15A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86F9E">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4999F0C">
            <w:pPr>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6108CDF">
            <w:pPr>
              <w:jc w:val="center"/>
              <w:rPr>
                <w:rFonts w:hint="eastAsia" w:ascii="宋体" w:hAnsi="宋体" w:eastAsia="宋体" w:cs="宋体"/>
                <w:i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4662627">
            <w:pPr>
              <w:jc w:val="center"/>
              <w:rPr>
                <w:rFonts w:hint="eastAsia" w:ascii="宋体" w:hAnsi="宋体" w:eastAsia="宋体" w:cs="宋体"/>
                <w:i w:val="0"/>
                <w:color w:val="000000"/>
                <w:sz w:val="18"/>
                <w:szCs w:val="18"/>
                <w:u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02D9142">
            <w:pPr>
              <w:jc w:val="center"/>
              <w:rPr>
                <w:rFonts w:hint="eastAsia" w:ascii="宋体" w:hAnsi="宋体" w:eastAsia="宋体" w:cs="宋体"/>
                <w:i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96A90C2">
            <w:pPr>
              <w:jc w:val="center"/>
              <w:rPr>
                <w:rFonts w:hint="eastAsia" w:ascii="宋体" w:hAnsi="宋体" w:eastAsia="宋体" w:cs="宋体"/>
                <w:i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84F7AB5">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AE8026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29B664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930C6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1E2CD3F">
            <w:pPr>
              <w:jc w:val="center"/>
              <w:rPr>
                <w:rFonts w:hint="eastAsia" w:ascii="微软雅黑" w:hAnsi="微软雅黑" w:eastAsia="微软雅黑" w:cs="微软雅黑"/>
                <w:i/>
                <w:color w:val="000000"/>
                <w:sz w:val="16"/>
                <w:szCs w:val="16"/>
                <w:u w:val="none"/>
              </w:rPr>
            </w:pPr>
          </w:p>
        </w:tc>
      </w:tr>
      <w:tr w14:paraId="17D7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 w:hRule="atLeast"/>
        </w:trPr>
        <w:tc>
          <w:tcPr>
            <w:tcW w:w="7429" w:type="dxa"/>
            <w:gridSpan w:val="8"/>
            <w:tcBorders>
              <w:top w:val="single" w:color="000000" w:sz="4" w:space="0"/>
              <w:left w:val="single" w:color="000000" w:sz="4" w:space="0"/>
              <w:bottom w:val="single" w:color="000000" w:sz="4" w:space="0"/>
              <w:right w:val="single" w:color="000000" w:sz="4" w:space="0"/>
            </w:tcBorders>
            <w:noWrap w:val="0"/>
            <w:vAlign w:val="center"/>
          </w:tcPr>
          <w:p w14:paraId="36D0A1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73E4F6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1E748F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52D5A55">
            <w:pPr>
              <w:rPr>
                <w:rFonts w:hint="eastAsia" w:ascii="宋体" w:hAnsi="宋体" w:eastAsia="宋体" w:cs="宋体"/>
                <w:i w:val="0"/>
                <w:color w:val="000000"/>
                <w:sz w:val="18"/>
                <w:szCs w:val="18"/>
                <w:u w:val="none"/>
              </w:rPr>
            </w:pPr>
          </w:p>
        </w:tc>
      </w:tr>
      <w:tr w14:paraId="144A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3EE298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2AAB527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项目自评总分为100分，保障了原共和乡村民过河方便，保障1名船管员2名签单员的补助。</w:t>
            </w:r>
          </w:p>
        </w:tc>
      </w:tr>
      <w:tr w14:paraId="3644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051789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3E24DEC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22E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4"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6A72C5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3C07EFFF">
            <w:pPr>
              <w:rPr>
                <w:rFonts w:hint="eastAsia" w:ascii="微软雅黑" w:hAnsi="微软雅黑" w:eastAsia="微软雅黑" w:cs="微软雅黑"/>
                <w:i/>
                <w:color w:val="000000"/>
                <w:sz w:val="16"/>
                <w:szCs w:val="16"/>
                <w:u w:val="none"/>
              </w:rPr>
            </w:pPr>
          </w:p>
        </w:tc>
      </w:tr>
      <w:tr w14:paraId="54E5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664" w:type="dxa"/>
            <w:gridSpan w:val="5"/>
            <w:tcBorders>
              <w:top w:val="single" w:color="000000" w:sz="4" w:space="0"/>
              <w:left w:val="single" w:color="000000" w:sz="4" w:space="0"/>
              <w:bottom w:val="single" w:color="000000" w:sz="4" w:space="0"/>
              <w:right w:val="single" w:color="000000" w:sz="4" w:space="0"/>
            </w:tcBorders>
            <w:noWrap w:val="0"/>
            <w:vAlign w:val="center"/>
          </w:tcPr>
          <w:p w14:paraId="322FACF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996" w:type="dxa"/>
            <w:gridSpan w:val="6"/>
            <w:tcBorders>
              <w:top w:val="single" w:color="000000" w:sz="4" w:space="0"/>
              <w:left w:val="single" w:color="000000" w:sz="4" w:space="0"/>
              <w:bottom w:val="single" w:color="000000" w:sz="4" w:space="0"/>
              <w:right w:val="single" w:color="000000" w:sz="4" w:space="0"/>
            </w:tcBorders>
            <w:noWrap w:val="0"/>
            <w:vAlign w:val="center"/>
          </w:tcPr>
          <w:p w14:paraId="1702EED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1C9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3" w:hRule="atLeast"/>
        </w:trPr>
        <w:tc>
          <w:tcPr>
            <w:tcW w:w="9660" w:type="dxa"/>
            <w:gridSpan w:val="11"/>
            <w:tcBorders>
              <w:top w:val="single" w:color="000000" w:sz="4" w:space="0"/>
              <w:left w:val="single" w:color="000000" w:sz="4" w:space="0"/>
              <w:bottom w:val="single" w:color="000000" w:sz="4" w:space="0"/>
              <w:right w:val="single" w:color="000000" w:sz="4" w:space="0"/>
            </w:tcBorders>
            <w:noWrap w:val="0"/>
            <w:vAlign w:val="center"/>
          </w:tcPr>
          <w:p w14:paraId="1BB7256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F43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758FFC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667EDE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51113222T000004968844-乡镇交通劝导员补贴</w:t>
            </w:r>
          </w:p>
        </w:tc>
      </w:tr>
      <w:tr w14:paraId="6F44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4764B4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43B8C29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峨边彝族自治县沙坪镇人民政府本级</w:t>
            </w:r>
          </w:p>
        </w:tc>
        <w:tc>
          <w:tcPr>
            <w:tcW w:w="711" w:type="dxa"/>
            <w:noWrap w:val="0"/>
            <w:vAlign w:val="center"/>
          </w:tcPr>
          <w:p w14:paraId="2D484BA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31" w:type="dxa"/>
            <w:gridSpan w:val="3"/>
            <w:tcBorders>
              <w:top w:val="single" w:color="000000" w:sz="4" w:space="0"/>
              <w:left w:val="single" w:color="000000" w:sz="4" w:space="0"/>
              <w:bottom w:val="single" w:color="000000" w:sz="4" w:space="0"/>
              <w:right w:val="single" w:color="000000" w:sz="4" w:space="0"/>
            </w:tcBorders>
            <w:noWrap w:val="0"/>
            <w:vAlign w:val="center"/>
          </w:tcPr>
          <w:p w14:paraId="601138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w:t>
            </w:r>
          </w:p>
        </w:tc>
      </w:tr>
      <w:tr w14:paraId="099D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EC4B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A030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414671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0AD102A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400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CF970">
            <w:pP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61E8B">
            <w:pPr>
              <w:rPr>
                <w:rFonts w:hint="eastAsia" w:ascii="宋体" w:hAnsi="宋体" w:eastAsia="宋体" w:cs="宋体"/>
                <w:i w:val="0"/>
                <w:color w:val="000000"/>
                <w:sz w:val="18"/>
                <w:szCs w:val="18"/>
                <w:u w:val="none"/>
              </w:rPr>
            </w:pP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0F59F9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保障沙坪镇交管站交通安全工作经费；26人交通劝导员每人每月300元的补助和船管员劳务费。使交通安全工作有序开展，减少交通安全事故的发生。</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1533AFB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629B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D37B5">
            <w:pP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5AE6C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4A9D03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保障了沙坪镇交管站交通安全工作经费；26人交通劝导员每人每月300元的补助。使交通安全工作有序开展，减少交通安全事故的发生。</w:t>
            </w:r>
          </w:p>
        </w:tc>
      </w:tr>
      <w:tr w14:paraId="4B1B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018ED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50295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7C16C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9F57D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1AA354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512CF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5D55F2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B1D6C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4EA3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6E6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2A7A4">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63601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25F20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DE5F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9.36</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7A1F5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9.36</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884E4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4B2B5F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850FD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352F20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88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6"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FD5CD">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5CE09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350D2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DB849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9.36</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39E383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9.36</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C4AA2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6F58F1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B4BE3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4479D">
            <w:pPr>
              <w:rPr>
                <w:rFonts w:hint="eastAsia" w:ascii="黑体" w:hAnsi="黑体" w:eastAsia="黑体" w:cs="黑体"/>
                <w:i/>
                <w:color w:val="000000"/>
                <w:sz w:val="18"/>
                <w:szCs w:val="18"/>
                <w:u w:val="none"/>
              </w:rPr>
            </w:pPr>
          </w:p>
        </w:tc>
      </w:tr>
      <w:tr w14:paraId="5762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81772">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E6CA3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B9A5F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768EF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7EA936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CCC08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279761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4E660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F0180">
            <w:pPr>
              <w:rPr>
                <w:rFonts w:hint="eastAsia" w:ascii="黑体" w:hAnsi="黑体" w:eastAsia="黑体" w:cs="黑体"/>
                <w:i/>
                <w:color w:val="000000"/>
                <w:sz w:val="18"/>
                <w:szCs w:val="18"/>
                <w:u w:val="none"/>
              </w:rPr>
            </w:pPr>
          </w:p>
        </w:tc>
      </w:tr>
      <w:tr w14:paraId="06F8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4DE22">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A2C48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BA70F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12C04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207794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D06B9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40BBF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2ED3F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953D6">
            <w:pPr>
              <w:rPr>
                <w:rFonts w:hint="eastAsia" w:ascii="黑体" w:hAnsi="黑体" w:eastAsia="黑体" w:cs="黑体"/>
                <w:i/>
                <w:color w:val="000000"/>
                <w:sz w:val="18"/>
                <w:szCs w:val="18"/>
                <w:u w:val="none"/>
              </w:rPr>
            </w:pPr>
          </w:p>
        </w:tc>
      </w:tr>
      <w:tr w14:paraId="2CFA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7"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DDB8D">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6AB81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B475B8A">
            <w:pPr>
              <w:jc w:val="center"/>
              <w:rPr>
                <w:rFonts w:hint="eastAsia" w:ascii="微软雅黑" w:hAnsi="微软雅黑" w:eastAsia="微软雅黑" w:cs="微软雅黑"/>
                <w:i/>
                <w:color w:val="000000"/>
                <w:sz w:val="16"/>
                <w:szCs w:val="16"/>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B6DF00E">
            <w:pPr>
              <w:jc w:val="center"/>
              <w:rPr>
                <w:rFonts w:hint="eastAsia" w:ascii="微软雅黑" w:hAnsi="微软雅黑" w:eastAsia="微软雅黑" w:cs="微软雅黑"/>
                <w:i/>
                <w:color w:val="000000"/>
                <w:sz w:val="16"/>
                <w:szCs w:val="16"/>
                <w:u w:val="none"/>
              </w:rPr>
            </w:pP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3E80CCDC">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8E0B015">
            <w:pPr>
              <w:jc w:val="center"/>
              <w:rPr>
                <w:rFonts w:hint="eastAsia" w:ascii="微软雅黑" w:hAnsi="微软雅黑" w:eastAsia="微软雅黑" w:cs="微软雅黑"/>
                <w:i/>
                <w:color w:val="000000"/>
                <w:sz w:val="16"/>
                <w:szCs w:val="16"/>
                <w:u w:val="none"/>
              </w:rPr>
            </w:pP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5E02FB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318BC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FC354">
            <w:pPr>
              <w:rPr>
                <w:rFonts w:hint="eastAsia" w:ascii="黑体" w:hAnsi="黑体" w:eastAsia="黑体" w:cs="黑体"/>
                <w:i/>
                <w:color w:val="000000"/>
                <w:sz w:val="18"/>
                <w:szCs w:val="18"/>
                <w:u w:val="none"/>
              </w:rPr>
            </w:pPr>
          </w:p>
        </w:tc>
      </w:tr>
      <w:tr w14:paraId="2EB8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9A98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F4904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3200E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C63BB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0C600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491A6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A083E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6000A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57DDC1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4CF02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1F7C1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0C0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EB6F2">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7E62ECF">
            <w:pPr>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C895191">
            <w:pPr>
              <w:jc w:val="center"/>
              <w:rPr>
                <w:rFonts w:hint="eastAsia" w:ascii="宋体" w:hAnsi="宋体" w:eastAsia="宋体" w:cs="宋体"/>
                <w:i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75D86A8">
            <w:pPr>
              <w:jc w:val="center"/>
              <w:rPr>
                <w:rFonts w:hint="eastAsia" w:ascii="宋体" w:hAnsi="宋体" w:eastAsia="宋体" w:cs="宋体"/>
                <w:i w:val="0"/>
                <w:color w:val="000000"/>
                <w:sz w:val="18"/>
                <w:szCs w:val="18"/>
                <w:u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2060287">
            <w:pPr>
              <w:jc w:val="center"/>
              <w:rPr>
                <w:rFonts w:hint="eastAsia" w:ascii="宋体" w:hAnsi="宋体" w:eastAsia="宋体" w:cs="宋体"/>
                <w:i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7BD9A32">
            <w:pPr>
              <w:jc w:val="center"/>
              <w:rPr>
                <w:rFonts w:hint="eastAsia" w:ascii="宋体" w:hAnsi="宋体" w:eastAsia="宋体" w:cs="宋体"/>
                <w:i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EAE3C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15CDD5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2D6FA4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7A5F1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8FBC6DB">
            <w:pPr>
              <w:jc w:val="center"/>
              <w:rPr>
                <w:rFonts w:hint="eastAsia" w:ascii="微软雅黑" w:hAnsi="微软雅黑" w:eastAsia="微软雅黑" w:cs="微软雅黑"/>
                <w:i/>
                <w:color w:val="000000"/>
                <w:sz w:val="16"/>
                <w:szCs w:val="16"/>
                <w:u w:val="none"/>
              </w:rPr>
            </w:pPr>
          </w:p>
        </w:tc>
      </w:tr>
      <w:tr w14:paraId="7B95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7429" w:type="dxa"/>
            <w:gridSpan w:val="8"/>
            <w:tcBorders>
              <w:top w:val="single" w:color="000000" w:sz="4" w:space="0"/>
              <w:left w:val="single" w:color="000000" w:sz="4" w:space="0"/>
              <w:bottom w:val="single" w:color="000000" w:sz="4" w:space="0"/>
              <w:right w:val="single" w:color="000000" w:sz="4" w:space="0"/>
            </w:tcBorders>
            <w:noWrap w:val="0"/>
            <w:vAlign w:val="center"/>
          </w:tcPr>
          <w:p w14:paraId="289A8E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D01BE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E3485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4125FEA">
            <w:pPr>
              <w:rPr>
                <w:rFonts w:hint="eastAsia" w:ascii="宋体" w:hAnsi="宋体" w:eastAsia="宋体" w:cs="宋体"/>
                <w:i w:val="0"/>
                <w:color w:val="000000"/>
                <w:sz w:val="18"/>
                <w:szCs w:val="18"/>
                <w:u w:val="none"/>
              </w:rPr>
            </w:pPr>
          </w:p>
        </w:tc>
      </w:tr>
      <w:tr w14:paraId="121C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646AFD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780755D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项目自评总分为100分，保障了沙坪镇交管站交通安全工作经费；26人交通劝导员每人每月300元的补助。使交通安全工作有序开展，减少交通安全事故的发生。</w:t>
            </w:r>
          </w:p>
        </w:tc>
      </w:tr>
      <w:tr w14:paraId="7BC9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4ECD22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651F32E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608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7"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4D85A0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3B74D37B">
            <w:pPr>
              <w:rPr>
                <w:rFonts w:hint="eastAsia" w:ascii="微软雅黑" w:hAnsi="微软雅黑" w:eastAsia="微软雅黑" w:cs="微软雅黑"/>
                <w:i/>
                <w:color w:val="000000"/>
                <w:sz w:val="16"/>
                <w:szCs w:val="16"/>
                <w:u w:val="none"/>
              </w:rPr>
            </w:pPr>
          </w:p>
        </w:tc>
      </w:tr>
      <w:tr w14:paraId="1583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664" w:type="dxa"/>
            <w:gridSpan w:val="5"/>
            <w:tcBorders>
              <w:top w:val="single" w:color="000000" w:sz="4" w:space="0"/>
              <w:left w:val="single" w:color="000000" w:sz="4" w:space="0"/>
              <w:bottom w:val="single" w:color="000000" w:sz="4" w:space="0"/>
              <w:right w:val="single" w:color="000000" w:sz="4" w:space="0"/>
            </w:tcBorders>
            <w:noWrap w:val="0"/>
            <w:vAlign w:val="center"/>
          </w:tcPr>
          <w:p w14:paraId="43C6C77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996" w:type="dxa"/>
            <w:gridSpan w:val="6"/>
            <w:tcBorders>
              <w:top w:val="single" w:color="000000" w:sz="4" w:space="0"/>
              <w:left w:val="single" w:color="000000" w:sz="4" w:space="0"/>
              <w:bottom w:val="single" w:color="000000" w:sz="4" w:space="0"/>
              <w:right w:val="single" w:color="000000" w:sz="4" w:space="0"/>
            </w:tcBorders>
            <w:noWrap w:val="0"/>
            <w:vAlign w:val="center"/>
          </w:tcPr>
          <w:p w14:paraId="453CA79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D55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9660" w:type="dxa"/>
            <w:gridSpan w:val="11"/>
            <w:tcBorders>
              <w:top w:val="single" w:color="000000" w:sz="4" w:space="0"/>
              <w:left w:val="single" w:color="000000" w:sz="4" w:space="0"/>
              <w:bottom w:val="single" w:color="000000" w:sz="4" w:space="0"/>
              <w:right w:val="single" w:color="000000" w:sz="4" w:space="0"/>
            </w:tcBorders>
            <w:noWrap w:val="0"/>
            <w:vAlign w:val="center"/>
          </w:tcPr>
          <w:p w14:paraId="3E9078D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852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474E8C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7A3471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51113224T000011415539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交通安全工作经费</w:t>
            </w:r>
          </w:p>
        </w:tc>
      </w:tr>
      <w:tr w14:paraId="411D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0AECFD8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640CFF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峨边彝族自治县沙坪镇人民政府本级</w:t>
            </w:r>
          </w:p>
        </w:tc>
        <w:tc>
          <w:tcPr>
            <w:tcW w:w="711" w:type="dxa"/>
            <w:noWrap w:val="0"/>
            <w:vAlign w:val="center"/>
          </w:tcPr>
          <w:p w14:paraId="0C1756D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31" w:type="dxa"/>
            <w:gridSpan w:val="3"/>
            <w:tcBorders>
              <w:top w:val="single" w:color="000000" w:sz="4" w:space="0"/>
              <w:left w:val="single" w:color="000000" w:sz="4" w:space="0"/>
              <w:bottom w:val="single" w:color="000000" w:sz="4" w:space="0"/>
              <w:right w:val="single" w:color="000000" w:sz="4" w:space="0"/>
            </w:tcBorders>
            <w:noWrap w:val="0"/>
            <w:vAlign w:val="center"/>
          </w:tcPr>
          <w:p w14:paraId="116E44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w:t>
            </w:r>
          </w:p>
        </w:tc>
      </w:tr>
      <w:tr w14:paraId="33FE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282D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D1B5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7259DE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6B3A049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8D4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9"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A0CC7">
            <w:pP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B6851">
            <w:pPr>
              <w:rPr>
                <w:rFonts w:hint="eastAsia" w:ascii="宋体" w:hAnsi="宋体" w:eastAsia="宋体" w:cs="宋体"/>
                <w:i w:val="0"/>
                <w:color w:val="000000"/>
                <w:sz w:val="18"/>
                <w:szCs w:val="18"/>
                <w:u w:val="none"/>
              </w:rPr>
            </w:pP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19329FE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保障沙坪镇交管站交通安全工作经费；26人交通劝导员每人每月300元的补助和船管员劳务费。使交通安全工作有序开展，减少交通安全事故的发生。</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6D5D13C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6A37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3C554">
            <w:pP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98928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75A0C7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保障了沙坪镇交管站交通安全工作经费。使交通安全工作有序开展，减少交通安全事故的发生。</w:t>
            </w:r>
          </w:p>
        </w:tc>
      </w:tr>
      <w:tr w14:paraId="2B6F4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1"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9346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996E2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BE4D2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A9BD0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24CEBD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A24A9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4D1373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55C7D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3217E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A32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6FEEF">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18154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3276F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F8F21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3A932E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80653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1C1BFD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31E50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83883">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B95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0B676">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7D0F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7803F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41354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688532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4F0CE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5AE699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8B034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CC1B2">
            <w:pPr>
              <w:rPr>
                <w:rFonts w:hint="eastAsia" w:ascii="黑体" w:hAnsi="黑体" w:eastAsia="黑体" w:cs="黑体"/>
                <w:i/>
                <w:color w:val="000000"/>
                <w:sz w:val="18"/>
                <w:szCs w:val="18"/>
                <w:u w:val="none"/>
              </w:rPr>
            </w:pPr>
          </w:p>
        </w:tc>
      </w:tr>
      <w:tr w14:paraId="1AA4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0B03E">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F8A76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E53EF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D50BF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151D2E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1E9FA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0C0976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7F768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48F34">
            <w:pPr>
              <w:rPr>
                <w:rFonts w:hint="eastAsia" w:ascii="黑体" w:hAnsi="黑体" w:eastAsia="黑体" w:cs="黑体"/>
                <w:i/>
                <w:color w:val="000000"/>
                <w:sz w:val="18"/>
                <w:szCs w:val="18"/>
                <w:u w:val="none"/>
              </w:rPr>
            </w:pPr>
          </w:p>
        </w:tc>
      </w:tr>
      <w:tr w14:paraId="4E66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DCB52">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EEE65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31AF9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4CCFA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292B41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145CD1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52D4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D6F2F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8930D">
            <w:pPr>
              <w:rPr>
                <w:rFonts w:hint="eastAsia" w:ascii="黑体" w:hAnsi="黑体" w:eastAsia="黑体" w:cs="黑体"/>
                <w:i/>
                <w:color w:val="000000"/>
                <w:sz w:val="18"/>
                <w:szCs w:val="18"/>
                <w:u w:val="none"/>
              </w:rPr>
            </w:pPr>
          </w:p>
        </w:tc>
      </w:tr>
      <w:tr w14:paraId="25C2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48232">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00119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D69340B">
            <w:pPr>
              <w:jc w:val="center"/>
              <w:rPr>
                <w:rFonts w:hint="eastAsia" w:ascii="微软雅黑" w:hAnsi="微软雅黑" w:eastAsia="微软雅黑" w:cs="微软雅黑"/>
                <w:i/>
                <w:color w:val="000000"/>
                <w:sz w:val="16"/>
                <w:szCs w:val="16"/>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76F03C0">
            <w:pPr>
              <w:jc w:val="center"/>
              <w:rPr>
                <w:rFonts w:hint="eastAsia" w:ascii="微软雅黑" w:hAnsi="微软雅黑" w:eastAsia="微软雅黑" w:cs="微软雅黑"/>
                <w:i/>
                <w:color w:val="000000"/>
                <w:sz w:val="16"/>
                <w:szCs w:val="16"/>
                <w:u w:val="none"/>
              </w:rPr>
            </w:pP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0F746DE5">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706B6A3">
            <w:pPr>
              <w:jc w:val="center"/>
              <w:rPr>
                <w:rFonts w:hint="eastAsia" w:ascii="微软雅黑" w:hAnsi="微软雅黑" w:eastAsia="微软雅黑" w:cs="微软雅黑"/>
                <w:i/>
                <w:color w:val="000000"/>
                <w:sz w:val="16"/>
                <w:szCs w:val="16"/>
                <w:u w:val="none"/>
              </w:rPr>
            </w:pP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54D568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77353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D22B4">
            <w:pPr>
              <w:rPr>
                <w:rFonts w:hint="eastAsia" w:ascii="黑体" w:hAnsi="黑体" w:eastAsia="黑体" w:cs="黑体"/>
                <w:i/>
                <w:color w:val="000000"/>
                <w:sz w:val="18"/>
                <w:szCs w:val="18"/>
                <w:u w:val="none"/>
              </w:rPr>
            </w:pPr>
          </w:p>
        </w:tc>
      </w:tr>
      <w:tr w14:paraId="36EC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012D8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B4420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EE020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C6A3A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06393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6D2AF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EFBA6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B399C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21968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BD12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8243D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1B2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8FA4F">
            <w:pPr>
              <w:jc w:val="center"/>
              <w:rPr>
                <w:rFonts w:hint="eastAsia" w:ascii="宋体" w:hAnsi="宋体" w:eastAsia="宋体" w:cs="宋体"/>
                <w:i w:val="0"/>
                <w:color w:val="000000"/>
                <w:sz w:val="18"/>
                <w:szCs w:val="18"/>
                <w:u w:val="none"/>
              </w:rPr>
            </w:pP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C96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2AF28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582DC5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BB1E9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3ACCE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B3C23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8DD131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26</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172B2A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008FA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C00BB74">
            <w:pPr>
              <w:jc w:val="center"/>
              <w:rPr>
                <w:rFonts w:hint="eastAsia" w:ascii="微软雅黑" w:hAnsi="微软雅黑" w:eastAsia="微软雅黑" w:cs="微软雅黑"/>
                <w:i/>
                <w:color w:val="000000"/>
                <w:sz w:val="16"/>
                <w:szCs w:val="16"/>
                <w:u w:val="none"/>
              </w:rPr>
            </w:pPr>
          </w:p>
        </w:tc>
      </w:tr>
      <w:tr w14:paraId="4BA5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6"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31DE7">
            <w:pPr>
              <w:jc w:val="cente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8DDF9">
            <w:pPr>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1FFE5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F338F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每月上路检查劝导不少于16天</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D2DFB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9AD37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607D1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1FC9E63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16</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75CA9F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7424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C12F520">
            <w:pPr>
              <w:jc w:val="center"/>
              <w:rPr>
                <w:rFonts w:hint="eastAsia" w:ascii="微软雅黑" w:hAnsi="微软雅黑" w:eastAsia="微软雅黑" w:cs="微软雅黑"/>
                <w:i/>
                <w:color w:val="000000"/>
                <w:sz w:val="16"/>
                <w:szCs w:val="16"/>
                <w:u w:val="none"/>
              </w:rPr>
            </w:pPr>
          </w:p>
        </w:tc>
      </w:tr>
      <w:tr w14:paraId="7AB3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B4F60">
            <w:pPr>
              <w:jc w:val="cente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C3BDC">
            <w:pPr>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EB896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27E46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2024年12月31日前完成</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38B27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4B946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9D432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A4B73A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29011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ECF86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1095B18">
            <w:pPr>
              <w:jc w:val="center"/>
              <w:rPr>
                <w:rFonts w:hint="eastAsia" w:ascii="微软雅黑" w:hAnsi="微软雅黑" w:eastAsia="微软雅黑" w:cs="微软雅黑"/>
                <w:i/>
                <w:color w:val="000000"/>
                <w:sz w:val="16"/>
                <w:szCs w:val="16"/>
                <w:u w:val="none"/>
              </w:rPr>
            </w:pPr>
          </w:p>
        </w:tc>
      </w:tr>
      <w:tr w14:paraId="5040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005E0">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4E98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C086A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41CAB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交通事故发生率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AE71F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2DA26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低</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1165710">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3AC730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低</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690E9F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BC67A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0E40C8B">
            <w:pPr>
              <w:jc w:val="center"/>
              <w:rPr>
                <w:rFonts w:hint="eastAsia" w:ascii="微软雅黑" w:hAnsi="微软雅黑" w:eastAsia="微软雅黑" w:cs="微软雅黑"/>
                <w:i/>
                <w:color w:val="000000"/>
                <w:sz w:val="16"/>
                <w:szCs w:val="16"/>
                <w:u w:val="none"/>
              </w:rPr>
            </w:pPr>
          </w:p>
        </w:tc>
      </w:tr>
      <w:tr w14:paraId="58CF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190BF">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C8186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21DED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BFC76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95%以上</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30CC7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0AEAA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EE18D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1C897C7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C272C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DA22E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7CA378F">
            <w:pPr>
              <w:jc w:val="center"/>
              <w:rPr>
                <w:rFonts w:hint="eastAsia" w:ascii="微软雅黑" w:hAnsi="微软雅黑" w:eastAsia="微软雅黑" w:cs="微软雅黑"/>
                <w:i/>
                <w:color w:val="000000"/>
                <w:sz w:val="16"/>
                <w:szCs w:val="16"/>
                <w:u w:val="none"/>
              </w:rPr>
            </w:pPr>
          </w:p>
        </w:tc>
      </w:tr>
      <w:tr w14:paraId="4397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1"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FE331">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0A9A3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F689A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590017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成本控制在19.36万元内</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BAD34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58AA9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6185F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8F3B03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19.36</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3EECB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80914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84E6F75">
            <w:pPr>
              <w:jc w:val="center"/>
              <w:rPr>
                <w:rFonts w:hint="eastAsia" w:ascii="微软雅黑" w:hAnsi="微软雅黑" w:eastAsia="微软雅黑" w:cs="微软雅黑"/>
                <w:i/>
                <w:color w:val="000000"/>
                <w:sz w:val="16"/>
                <w:szCs w:val="16"/>
                <w:u w:val="none"/>
              </w:rPr>
            </w:pPr>
          </w:p>
        </w:tc>
      </w:tr>
      <w:tr w14:paraId="609F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7429" w:type="dxa"/>
            <w:gridSpan w:val="8"/>
            <w:tcBorders>
              <w:top w:val="single" w:color="000000" w:sz="4" w:space="0"/>
              <w:left w:val="single" w:color="000000" w:sz="4" w:space="0"/>
              <w:bottom w:val="single" w:color="000000" w:sz="4" w:space="0"/>
              <w:right w:val="single" w:color="000000" w:sz="4" w:space="0"/>
            </w:tcBorders>
            <w:noWrap w:val="0"/>
            <w:vAlign w:val="center"/>
          </w:tcPr>
          <w:p w14:paraId="5A4E25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458585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1C088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26ECCC6">
            <w:pPr>
              <w:rPr>
                <w:rFonts w:hint="eastAsia" w:ascii="宋体" w:hAnsi="宋体" w:eastAsia="宋体" w:cs="宋体"/>
                <w:i w:val="0"/>
                <w:color w:val="000000"/>
                <w:sz w:val="18"/>
                <w:szCs w:val="18"/>
                <w:u w:val="none"/>
              </w:rPr>
            </w:pPr>
          </w:p>
        </w:tc>
      </w:tr>
      <w:tr w14:paraId="0067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7"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109FEE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22A789E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项目自评总分为100分，保障了沙坪镇交管站交通安全工作经费。使交通安全工作有序开展，减少交通安全事故的发生。</w:t>
            </w:r>
          </w:p>
        </w:tc>
      </w:tr>
      <w:tr w14:paraId="03E8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69D67A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2F682A1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BB6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29324C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72F3930E">
            <w:pPr>
              <w:rPr>
                <w:rFonts w:hint="eastAsia" w:ascii="微软雅黑" w:hAnsi="微软雅黑" w:eastAsia="微软雅黑" w:cs="微软雅黑"/>
                <w:i/>
                <w:color w:val="000000"/>
                <w:sz w:val="16"/>
                <w:szCs w:val="16"/>
                <w:u w:val="none"/>
              </w:rPr>
            </w:pPr>
          </w:p>
        </w:tc>
      </w:tr>
      <w:tr w14:paraId="64C7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664" w:type="dxa"/>
            <w:gridSpan w:val="5"/>
            <w:tcBorders>
              <w:top w:val="single" w:color="000000" w:sz="4" w:space="0"/>
              <w:left w:val="single" w:color="000000" w:sz="4" w:space="0"/>
              <w:bottom w:val="single" w:color="000000" w:sz="4" w:space="0"/>
              <w:right w:val="single" w:color="000000" w:sz="4" w:space="0"/>
            </w:tcBorders>
            <w:noWrap w:val="0"/>
            <w:vAlign w:val="center"/>
          </w:tcPr>
          <w:p w14:paraId="08742DC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996" w:type="dxa"/>
            <w:gridSpan w:val="6"/>
            <w:tcBorders>
              <w:top w:val="single" w:color="000000" w:sz="4" w:space="0"/>
              <w:left w:val="single" w:color="000000" w:sz="4" w:space="0"/>
              <w:bottom w:val="single" w:color="000000" w:sz="4" w:space="0"/>
              <w:right w:val="single" w:color="000000" w:sz="4" w:space="0"/>
            </w:tcBorders>
            <w:noWrap w:val="0"/>
            <w:vAlign w:val="center"/>
          </w:tcPr>
          <w:p w14:paraId="0981986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515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noWrap w:val="0"/>
            <w:vAlign w:val="center"/>
          </w:tcPr>
          <w:p w14:paraId="28ED2A56">
            <w:pPr>
              <w:rPr>
                <w:rFonts w:hint="eastAsia" w:ascii="宋体" w:hAnsi="宋体" w:eastAsia="宋体" w:cs="宋体"/>
                <w:i w:val="0"/>
                <w:color w:val="000000"/>
                <w:sz w:val="18"/>
                <w:szCs w:val="18"/>
                <w:u w:val="none"/>
              </w:rPr>
            </w:pPr>
          </w:p>
        </w:tc>
        <w:tc>
          <w:tcPr>
            <w:tcW w:w="1272" w:type="dxa"/>
            <w:noWrap w:val="0"/>
            <w:vAlign w:val="center"/>
          </w:tcPr>
          <w:p w14:paraId="1F91A388">
            <w:pPr>
              <w:rPr>
                <w:rFonts w:hint="eastAsia" w:ascii="宋体" w:hAnsi="宋体" w:eastAsia="宋体" w:cs="宋体"/>
                <w:i w:val="0"/>
                <w:color w:val="000000"/>
                <w:sz w:val="18"/>
                <w:szCs w:val="18"/>
                <w:u w:val="none"/>
              </w:rPr>
            </w:pPr>
          </w:p>
        </w:tc>
        <w:tc>
          <w:tcPr>
            <w:tcW w:w="1109" w:type="dxa"/>
            <w:noWrap w:val="0"/>
            <w:vAlign w:val="center"/>
          </w:tcPr>
          <w:p w14:paraId="0DBD5E22">
            <w:pPr>
              <w:rPr>
                <w:rFonts w:hint="eastAsia" w:ascii="宋体" w:hAnsi="宋体" w:eastAsia="宋体" w:cs="宋体"/>
                <w:i w:val="0"/>
                <w:color w:val="000000"/>
                <w:sz w:val="18"/>
                <w:szCs w:val="18"/>
                <w:u w:val="none"/>
              </w:rPr>
            </w:pPr>
          </w:p>
        </w:tc>
        <w:tc>
          <w:tcPr>
            <w:tcW w:w="1415" w:type="dxa"/>
            <w:noWrap w:val="0"/>
            <w:vAlign w:val="center"/>
          </w:tcPr>
          <w:p w14:paraId="25A4C474">
            <w:pPr>
              <w:rPr>
                <w:rFonts w:hint="eastAsia" w:ascii="宋体" w:hAnsi="宋体" w:eastAsia="宋体" w:cs="宋体"/>
                <w:i w:val="0"/>
                <w:color w:val="000000"/>
                <w:sz w:val="18"/>
                <w:szCs w:val="18"/>
                <w:u w:val="none"/>
              </w:rPr>
            </w:pPr>
          </w:p>
        </w:tc>
        <w:tc>
          <w:tcPr>
            <w:tcW w:w="426" w:type="dxa"/>
            <w:noWrap w:val="0"/>
            <w:vAlign w:val="center"/>
          </w:tcPr>
          <w:p w14:paraId="39492479">
            <w:pPr>
              <w:rPr>
                <w:rFonts w:hint="eastAsia" w:ascii="宋体" w:hAnsi="宋体" w:eastAsia="宋体" w:cs="宋体"/>
                <w:i w:val="0"/>
                <w:color w:val="000000"/>
                <w:sz w:val="18"/>
                <w:szCs w:val="18"/>
                <w:u w:val="none"/>
              </w:rPr>
            </w:pPr>
          </w:p>
        </w:tc>
        <w:tc>
          <w:tcPr>
            <w:tcW w:w="1053" w:type="dxa"/>
            <w:noWrap w:val="0"/>
            <w:vAlign w:val="center"/>
          </w:tcPr>
          <w:p w14:paraId="7A49FE9A">
            <w:pPr>
              <w:rPr>
                <w:rFonts w:hint="eastAsia" w:ascii="宋体" w:hAnsi="宋体" w:eastAsia="宋体" w:cs="宋体"/>
                <w:i w:val="0"/>
                <w:color w:val="000000"/>
                <w:sz w:val="18"/>
                <w:szCs w:val="18"/>
                <w:u w:val="none"/>
              </w:rPr>
            </w:pPr>
          </w:p>
        </w:tc>
        <w:tc>
          <w:tcPr>
            <w:tcW w:w="1001" w:type="dxa"/>
            <w:noWrap w:val="0"/>
            <w:vAlign w:val="center"/>
          </w:tcPr>
          <w:p w14:paraId="2C700F24">
            <w:pPr>
              <w:rPr>
                <w:rFonts w:hint="eastAsia" w:ascii="宋体" w:hAnsi="宋体" w:eastAsia="宋体" w:cs="宋体"/>
                <w:i w:val="0"/>
                <w:color w:val="000000"/>
                <w:sz w:val="18"/>
                <w:szCs w:val="18"/>
                <w:u w:val="none"/>
              </w:rPr>
            </w:pPr>
          </w:p>
        </w:tc>
        <w:tc>
          <w:tcPr>
            <w:tcW w:w="711" w:type="dxa"/>
            <w:noWrap w:val="0"/>
            <w:vAlign w:val="center"/>
          </w:tcPr>
          <w:p w14:paraId="28C8D782">
            <w:pPr>
              <w:rPr>
                <w:rFonts w:hint="eastAsia" w:ascii="宋体" w:hAnsi="宋体" w:eastAsia="宋体" w:cs="宋体"/>
                <w:i w:val="0"/>
                <w:color w:val="000000"/>
                <w:sz w:val="18"/>
                <w:szCs w:val="18"/>
                <w:u w:val="none"/>
              </w:rPr>
            </w:pPr>
          </w:p>
        </w:tc>
        <w:tc>
          <w:tcPr>
            <w:tcW w:w="326" w:type="dxa"/>
            <w:noWrap w:val="0"/>
            <w:vAlign w:val="center"/>
          </w:tcPr>
          <w:p w14:paraId="63B3EBAF">
            <w:pPr>
              <w:rPr>
                <w:rFonts w:hint="eastAsia" w:ascii="宋体" w:hAnsi="宋体" w:eastAsia="宋体" w:cs="宋体"/>
                <w:i w:val="0"/>
                <w:color w:val="000000"/>
                <w:sz w:val="18"/>
                <w:szCs w:val="18"/>
                <w:u w:val="none"/>
              </w:rPr>
            </w:pPr>
          </w:p>
        </w:tc>
        <w:tc>
          <w:tcPr>
            <w:tcW w:w="300" w:type="dxa"/>
            <w:noWrap w:val="0"/>
            <w:vAlign w:val="center"/>
          </w:tcPr>
          <w:p w14:paraId="3A4F26A6">
            <w:pPr>
              <w:rPr>
                <w:rFonts w:hint="eastAsia" w:ascii="宋体" w:hAnsi="宋体" w:eastAsia="宋体" w:cs="宋体"/>
                <w:i w:val="0"/>
                <w:color w:val="000000"/>
                <w:sz w:val="18"/>
                <w:szCs w:val="18"/>
                <w:u w:val="none"/>
              </w:rPr>
            </w:pPr>
          </w:p>
        </w:tc>
        <w:tc>
          <w:tcPr>
            <w:tcW w:w="1605" w:type="dxa"/>
            <w:noWrap w:val="0"/>
            <w:vAlign w:val="center"/>
          </w:tcPr>
          <w:p w14:paraId="4CE2F5BA">
            <w:pPr>
              <w:rPr>
                <w:rFonts w:hint="eastAsia" w:ascii="宋体" w:hAnsi="宋体" w:eastAsia="宋体" w:cs="宋体"/>
                <w:i w:val="0"/>
                <w:color w:val="000000"/>
                <w:sz w:val="18"/>
                <w:szCs w:val="18"/>
                <w:u w:val="none"/>
              </w:rPr>
            </w:pPr>
          </w:p>
        </w:tc>
      </w:tr>
      <w:tr w14:paraId="3D72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60" w:type="dxa"/>
            <w:gridSpan w:val="11"/>
            <w:tcBorders>
              <w:top w:val="single" w:color="000000" w:sz="4" w:space="0"/>
              <w:left w:val="single" w:color="000000" w:sz="4" w:space="0"/>
              <w:bottom w:val="single" w:color="000000" w:sz="4" w:space="0"/>
              <w:right w:val="single" w:color="000000" w:sz="4" w:space="0"/>
            </w:tcBorders>
            <w:noWrap w:val="0"/>
            <w:vAlign w:val="center"/>
          </w:tcPr>
          <w:p w14:paraId="1D40826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0C7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4ECDA1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5E40DD4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51113224T000011916150-2024年基层组织和农村公共服务运行经费（上级）</w:t>
            </w:r>
          </w:p>
        </w:tc>
      </w:tr>
      <w:tr w14:paraId="0030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75059C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101004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峨边彝族自治县沙坪镇人民政府本级</w:t>
            </w:r>
          </w:p>
        </w:tc>
        <w:tc>
          <w:tcPr>
            <w:tcW w:w="711" w:type="dxa"/>
            <w:noWrap w:val="0"/>
            <w:vAlign w:val="center"/>
          </w:tcPr>
          <w:p w14:paraId="1E5EDFB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31" w:type="dxa"/>
            <w:gridSpan w:val="3"/>
            <w:tcBorders>
              <w:top w:val="single" w:color="000000" w:sz="4" w:space="0"/>
              <w:left w:val="single" w:color="000000" w:sz="4" w:space="0"/>
              <w:bottom w:val="single" w:color="000000" w:sz="4" w:space="0"/>
              <w:right w:val="single" w:color="000000" w:sz="4" w:space="0"/>
            </w:tcBorders>
            <w:noWrap w:val="0"/>
            <w:vAlign w:val="center"/>
          </w:tcPr>
          <w:p w14:paraId="44CFAA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w:t>
            </w:r>
          </w:p>
        </w:tc>
      </w:tr>
      <w:tr w14:paraId="0BD0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209CC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0309F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111D87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696092E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72A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C235A">
            <w:pP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CE2FE">
            <w:pPr>
              <w:rPr>
                <w:rFonts w:hint="eastAsia" w:ascii="宋体" w:hAnsi="宋体" w:eastAsia="宋体" w:cs="宋体"/>
                <w:i w:val="0"/>
                <w:color w:val="000000"/>
                <w:sz w:val="18"/>
                <w:szCs w:val="18"/>
                <w:u w:val="none"/>
              </w:rPr>
            </w:pP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1B0B34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保障15个村4个社区基层组织活动、公共服务运行和日常办公运转经费，提高群众满意度。</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5660E2B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559E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4773B">
            <w:pP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B8D5A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7A7051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保障了15个村4个社区基层组织活动、公共服务运行和日常办公运转经费，提高了群众满意度。</w:t>
            </w:r>
          </w:p>
        </w:tc>
      </w:tr>
      <w:tr w14:paraId="6BA5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4773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0EEE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39FD1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E1D7D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0D0524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D6BFF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29C3A6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1D145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6F5C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33E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1CD61">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FAFBE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EFE9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A42FB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222.40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67D1A5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222.40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41DA7A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686CD0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BC23A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8E8E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9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6"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5E835">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A354E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8343E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1BA4D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222.40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07F1ED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222.40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41681C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13B3B0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DC8C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0668B">
            <w:pPr>
              <w:rPr>
                <w:rFonts w:hint="eastAsia" w:ascii="黑体" w:hAnsi="黑体" w:eastAsia="黑体" w:cs="黑体"/>
                <w:i/>
                <w:color w:val="000000"/>
                <w:sz w:val="18"/>
                <w:szCs w:val="18"/>
                <w:u w:val="none"/>
              </w:rPr>
            </w:pPr>
          </w:p>
        </w:tc>
      </w:tr>
      <w:tr w14:paraId="3923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344B5">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824EA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D27A3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E5ED2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32FD4F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08B010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669F55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A3D1C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08149">
            <w:pPr>
              <w:rPr>
                <w:rFonts w:hint="eastAsia" w:ascii="黑体" w:hAnsi="黑体" w:eastAsia="黑体" w:cs="黑体"/>
                <w:i/>
                <w:color w:val="000000"/>
                <w:sz w:val="18"/>
                <w:szCs w:val="18"/>
                <w:u w:val="none"/>
              </w:rPr>
            </w:pPr>
          </w:p>
        </w:tc>
      </w:tr>
      <w:tr w14:paraId="79F9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D0FA8">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FEFAE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7AE38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6EDB3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35D4DE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0428D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425914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7F95C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DD5A2">
            <w:pPr>
              <w:rPr>
                <w:rFonts w:hint="eastAsia" w:ascii="黑体" w:hAnsi="黑体" w:eastAsia="黑体" w:cs="黑体"/>
                <w:i/>
                <w:color w:val="000000"/>
                <w:sz w:val="18"/>
                <w:szCs w:val="18"/>
                <w:u w:val="none"/>
              </w:rPr>
            </w:pPr>
          </w:p>
        </w:tc>
      </w:tr>
      <w:tr w14:paraId="4328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4"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D93C8">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4AF9E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37EFB49">
            <w:pPr>
              <w:jc w:val="center"/>
              <w:rPr>
                <w:rFonts w:hint="eastAsia" w:ascii="微软雅黑" w:hAnsi="微软雅黑" w:eastAsia="微软雅黑" w:cs="微软雅黑"/>
                <w:i/>
                <w:color w:val="000000"/>
                <w:sz w:val="16"/>
                <w:szCs w:val="16"/>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594770EE">
            <w:pPr>
              <w:jc w:val="center"/>
              <w:rPr>
                <w:rFonts w:hint="eastAsia" w:ascii="微软雅黑" w:hAnsi="微软雅黑" w:eastAsia="微软雅黑" w:cs="微软雅黑"/>
                <w:i/>
                <w:color w:val="000000"/>
                <w:sz w:val="16"/>
                <w:szCs w:val="16"/>
                <w:u w:val="none"/>
              </w:rPr>
            </w:pP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62E774BF">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0AC18FC">
            <w:pPr>
              <w:jc w:val="center"/>
              <w:rPr>
                <w:rFonts w:hint="eastAsia" w:ascii="微软雅黑" w:hAnsi="微软雅黑" w:eastAsia="微软雅黑" w:cs="微软雅黑"/>
                <w:i/>
                <w:color w:val="000000"/>
                <w:sz w:val="16"/>
                <w:szCs w:val="16"/>
                <w:u w:val="none"/>
              </w:rPr>
            </w:pP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53DC28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73F9A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A5EA4">
            <w:pPr>
              <w:rPr>
                <w:rFonts w:hint="eastAsia" w:ascii="黑体" w:hAnsi="黑体" w:eastAsia="黑体" w:cs="黑体"/>
                <w:i/>
                <w:color w:val="000000"/>
                <w:sz w:val="18"/>
                <w:szCs w:val="18"/>
                <w:u w:val="none"/>
              </w:rPr>
            </w:pPr>
          </w:p>
        </w:tc>
      </w:tr>
      <w:tr w14:paraId="610C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9C7B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AF8F1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1155E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5FA7BD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8CFCF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61D2D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570CD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B00D6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16B703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0947A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669D1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333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EF5A7">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3A0BF11">
            <w:pPr>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BC7FB5E">
            <w:pPr>
              <w:jc w:val="center"/>
              <w:rPr>
                <w:rFonts w:hint="eastAsia" w:ascii="宋体" w:hAnsi="宋体" w:eastAsia="宋体" w:cs="宋体"/>
                <w:i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FA113D6">
            <w:pPr>
              <w:jc w:val="center"/>
              <w:rPr>
                <w:rFonts w:hint="eastAsia" w:ascii="宋体" w:hAnsi="宋体" w:eastAsia="宋体" w:cs="宋体"/>
                <w:i w:val="0"/>
                <w:color w:val="000000"/>
                <w:sz w:val="18"/>
                <w:szCs w:val="18"/>
                <w:u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361B5E7">
            <w:pPr>
              <w:jc w:val="center"/>
              <w:rPr>
                <w:rFonts w:hint="eastAsia" w:ascii="宋体" w:hAnsi="宋体" w:eastAsia="宋体" w:cs="宋体"/>
                <w:i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59BB121">
            <w:pPr>
              <w:jc w:val="center"/>
              <w:rPr>
                <w:rFonts w:hint="eastAsia" w:ascii="宋体" w:hAnsi="宋体" w:eastAsia="宋体" w:cs="宋体"/>
                <w:i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D931191">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C9BE0C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1269EB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371F3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0C3A169">
            <w:pPr>
              <w:jc w:val="center"/>
              <w:rPr>
                <w:rFonts w:hint="eastAsia" w:ascii="微软雅黑" w:hAnsi="微软雅黑" w:eastAsia="微软雅黑" w:cs="微软雅黑"/>
                <w:i/>
                <w:color w:val="000000"/>
                <w:sz w:val="16"/>
                <w:szCs w:val="16"/>
                <w:u w:val="none"/>
              </w:rPr>
            </w:pPr>
          </w:p>
        </w:tc>
      </w:tr>
      <w:tr w14:paraId="1B8D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7429" w:type="dxa"/>
            <w:gridSpan w:val="8"/>
            <w:tcBorders>
              <w:top w:val="single" w:color="000000" w:sz="4" w:space="0"/>
              <w:left w:val="single" w:color="000000" w:sz="4" w:space="0"/>
              <w:bottom w:val="single" w:color="000000" w:sz="4" w:space="0"/>
              <w:right w:val="single" w:color="000000" w:sz="4" w:space="0"/>
            </w:tcBorders>
            <w:noWrap w:val="0"/>
            <w:vAlign w:val="center"/>
          </w:tcPr>
          <w:p w14:paraId="129489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6365AB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08D5B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4BD03A6">
            <w:pPr>
              <w:rPr>
                <w:rFonts w:hint="eastAsia" w:ascii="宋体" w:hAnsi="宋体" w:eastAsia="宋体" w:cs="宋体"/>
                <w:i w:val="0"/>
                <w:color w:val="000000"/>
                <w:sz w:val="18"/>
                <w:szCs w:val="18"/>
                <w:u w:val="none"/>
              </w:rPr>
            </w:pPr>
          </w:p>
        </w:tc>
      </w:tr>
      <w:tr w14:paraId="4F76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13BAB0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0BC2702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项目自评总分为100分，保障了15个村4个社区基层组织活动、公共服务运行和日常办公运转经费，提高了群众满意度。</w:t>
            </w:r>
          </w:p>
        </w:tc>
      </w:tr>
      <w:tr w14:paraId="2A2B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42CEF1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53B41C1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454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517D9B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1BB82045">
            <w:pPr>
              <w:rPr>
                <w:rFonts w:hint="eastAsia" w:ascii="微软雅黑" w:hAnsi="微软雅黑" w:eastAsia="微软雅黑" w:cs="微软雅黑"/>
                <w:i/>
                <w:color w:val="000000"/>
                <w:sz w:val="16"/>
                <w:szCs w:val="16"/>
                <w:u w:val="none"/>
              </w:rPr>
            </w:pPr>
          </w:p>
        </w:tc>
      </w:tr>
      <w:tr w14:paraId="68B9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trPr>
        <w:tc>
          <w:tcPr>
            <w:tcW w:w="4664" w:type="dxa"/>
            <w:gridSpan w:val="5"/>
            <w:tcBorders>
              <w:top w:val="single" w:color="000000" w:sz="4" w:space="0"/>
              <w:left w:val="single" w:color="000000" w:sz="4" w:space="0"/>
              <w:bottom w:val="single" w:color="000000" w:sz="4" w:space="0"/>
              <w:right w:val="single" w:color="000000" w:sz="4" w:space="0"/>
            </w:tcBorders>
            <w:noWrap w:val="0"/>
            <w:vAlign w:val="center"/>
          </w:tcPr>
          <w:p w14:paraId="2FDB20B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996" w:type="dxa"/>
            <w:gridSpan w:val="6"/>
            <w:tcBorders>
              <w:top w:val="single" w:color="000000" w:sz="4" w:space="0"/>
              <w:left w:val="single" w:color="000000" w:sz="4" w:space="0"/>
              <w:bottom w:val="single" w:color="000000" w:sz="4" w:space="0"/>
              <w:right w:val="single" w:color="000000" w:sz="4" w:space="0"/>
            </w:tcBorders>
            <w:noWrap w:val="0"/>
            <w:vAlign w:val="center"/>
          </w:tcPr>
          <w:p w14:paraId="490D943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CD6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noWrap w:val="0"/>
            <w:vAlign w:val="center"/>
          </w:tcPr>
          <w:p w14:paraId="6C02DDB5">
            <w:pPr>
              <w:rPr>
                <w:rFonts w:hint="eastAsia" w:ascii="宋体" w:hAnsi="宋体" w:eastAsia="宋体" w:cs="宋体"/>
                <w:i w:val="0"/>
                <w:color w:val="000000"/>
                <w:sz w:val="18"/>
                <w:szCs w:val="18"/>
                <w:u w:val="none"/>
              </w:rPr>
            </w:pPr>
          </w:p>
        </w:tc>
        <w:tc>
          <w:tcPr>
            <w:tcW w:w="1272" w:type="dxa"/>
            <w:noWrap w:val="0"/>
            <w:vAlign w:val="center"/>
          </w:tcPr>
          <w:p w14:paraId="2E16EA39">
            <w:pPr>
              <w:rPr>
                <w:rFonts w:hint="eastAsia" w:ascii="宋体" w:hAnsi="宋体" w:eastAsia="宋体" w:cs="宋体"/>
                <w:i w:val="0"/>
                <w:color w:val="000000"/>
                <w:sz w:val="18"/>
                <w:szCs w:val="18"/>
                <w:u w:val="none"/>
              </w:rPr>
            </w:pPr>
          </w:p>
        </w:tc>
        <w:tc>
          <w:tcPr>
            <w:tcW w:w="1109" w:type="dxa"/>
            <w:noWrap w:val="0"/>
            <w:vAlign w:val="center"/>
          </w:tcPr>
          <w:p w14:paraId="6258F3A4">
            <w:pPr>
              <w:rPr>
                <w:rFonts w:hint="eastAsia" w:ascii="宋体" w:hAnsi="宋体" w:eastAsia="宋体" w:cs="宋体"/>
                <w:i w:val="0"/>
                <w:color w:val="000000"/>
                <w:sz w:val="18"/>
                <w:szCs w:val="18"/>
                <w:u w:val="none"/>
              </w:rPr>
            </w:pPr>
          </w:p>
        </w:tc>
        <w:tc>
          <w:tcPr>
            <w:tcW w:w="1415" w:type="dxa"/>
            <w:noWrap w:val="0"/>
            <w:vAlign w:val="center"/>
          </w:tcPr>
          <w:p w14:paraId="13856EAF">
            <w:pPr>
              <w:rPr>
                <w:rFonts w:hint="eastAsia" w:ascii="宋体" w:hAnsi="宋体" w:eastAsia="宋体" w:cs="宋体"/>
                <w:i w:val="0"/>
                <w:color w:val="000000"/>
                <w:sz w:val="18"/>
                <w:szCs w:val="18"/>
                <w:u w:val="none"/>
              </w:rPr>
            </w:pPr>
          </w:p>
        </w:tc>
        <w:tc>
          <w:tcPr>
            <w:tcW w:w="426" w:type="dxa"/>
            <w:noWrap w:val="0"/>
            <w:vAlign w:val="center"/>
          </w:tcPr>
          <w:p w14:paraId="648DC262">
            <w:pPr>
              <w:rPr>
                <w:rFonts w:hint="eastAsia" w:ascii="宋体" w:hAnsi="宋体" w:eastAsia="宋体" w:cs="宋体"/>
                <w:i w:val="0"/>
                <w:color w:val="000000"/>
                <w:sz w:val="18"/>
                <w:szCs w:val="18"/>
                <w:u w:val="none"/>
              </w:rPr>
            </w:pPr>
          </w:p>
        </w:tc>
        <w:tc>
          <w:tcPr>
            <w:tcW w:w="1053" w:type="dxa"/>
            <w:noWrap w:val="0"/>
            <w:vAlign w:val="center"/>
          </w:tcPr>
          <w:p w14:paraId="5548346C">
            <w:pPr>
              <w:rPr>
                <w:rFonts w:hint="eastAsia" w:ascii="宋体" w:hAnsi="宋体" w:eastAsia="宋体" w:cs="宋体"/>
                <w:i w:val="0"/>
                <w:color w:val="000000"/>
                <w:sz w:val="18"/>
                <w:szCs w:val="18"/>
                <w:u w:val="none"/>
              </w:rPr>
            </w:pPr>
          </w:p>
        </w:tc>
        <w:tc>
          <w:tcPr>
            <w:tcW w:w="1001" w:type="dxa"/>
            <w:noWrap w:val="0"/>
            <w:vAlign w:val="center"/>
          </w:tcPr>
          <w:p w14:paraId="1163E7EF">
            <w:pPr>
              <w:rPr>
                <w:rFonts w:hint="eastAsia" w:ascii="宋体" w:hAnsi="宋体" w:eastAsia="宋体" w:cs="宋体"/>
                <w:i w:val="0"/>
                <w:color w:val="000000"/>
                <w:sz w:val="18"/>
                <w:szCs w:val="18"/>
                <w:u w:val="none"/>
              </w:rPr>
            </w:pPr>
          </w:p>
        </w:tc>
        <w:tc>
          <w:tcPr>
            <w:tcW w:w="711" w:type="dxa"/>
            <w:noWrap w:val="0"/>
            <w:vAlign w:val="center"/>
          </w:tcPr>
          <w:p w14:paraId="41D6B209">
            <w:pPr>
              <w:rPr>
                <w:rFonts w:hint="eastAsia" w:ascii="宋体" w:hAnsi="宋体" w:eastAsia="宋体" w:cs="宋体"/>
                <w:i w:val="0"/>
                <w:color w:val="000000"/>
                <w:sz w:val="18"/>
                <w:szCs w:val="18"/>
                <w:u w:val="none"/>
              </w:rPr>
            </w:pPr>
          </w:p>
        </w:tc>
        <w:tc>
          <w:tcPr>
            <w:tcW w:w="326" w:type="dxa"/>
            <w:noWrap w:val="0"/>
            <w:vAlign w:val="center"/>
          </w:tcPr>
          <w:p w14:paraId="1875446C">
            <w:pPr>
              <w:rPr>
                <w:rFonts w:hint="eastAsia" w:ascii="宋体" w:hAnsi="宋体" w:eastAsia="宋体" w:cs="宋体"/>
                <w:i w:val="0"/>
                <w:color w:val="000000"/>
                <w:sz w:val="18"/>
                <w:szCs w:val="18"/>
                <w:u w:val="none"/>
              </w:rPr>
            </w:pPr>
          </w:p>
        </w:tc>
        <w:tc>
          <w:tcPr>
            <w:tcW w:w="300" w:type="dxa"/>
            <w:noWrap w:val="0"/>
            <w:vAlign w:val="center"/>
          </w:tcPr>
          <w:p w14:paraId="648DCF1D">
            <w:pPr>
              <w:rPr>
                <w:rFonts w:hint="eastAsia" w:ascii="宋体" w:hAnsi="宋体" w:eastAsia="宋体" w:cs="宋体"/>
                <w:i w:val="0"/>
                <w:color w:val="000000"/>
                <w:sz w:val="18"/>
                <w:szCs w:val="18"/>
                <w:u w:val="none"/>
              </w:rPr>
            </w:pPr>
          </w:p>
        </w:tc>
        <w:tc>
          <w:tcPr>
            <w:tcW w:w="1605" w:type="dxa"/>
            <w:noWrap w:val="0"/>
            <w:vAlign w:val="center"/>
          </w:tcPr>
          <w:p w14:paraId="1882429E">
            <w:pPr>
              <w:rPr>
                <w:rFonts w:hint="eastAsia" w:ascii="宋体" w:hAnsi="宋体" w:eastAsia="宋体" w:cs="宋体"/>
                <w:i w:val="0"/>
                <w:color w:val="000000"/>
                <w:sz w:val="18"/>
                <w:szCs w:val="18"/>
                <w:u w:val="none"/>
              </w:rPr>
            </w:pPr>
          </w:p>
        </w:tc>
      </w:tr>
      <w:tr w14:paraId="1B5B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3" w:hRule="atLeast"/>
        </w:trPr>
        <w:tc>
          <w:tcPr>
            <w:tcW w:w="9660" w:type="dxa"/>
            <w:gridSpan w:val="11"/>
            <w:tcBorders>
              <w:top w:val="single" w:color="000000" w:sz="4" w:space="0"/>
              <w:left w:val="single" w:color="000000" w:sz="4" w:space="0"/>
              <w:bottom w:val="single" w:color="000000" w:sz="4" w:space="0"/>
              <w:right w:val="single" w:color="000000" w:sz="4" w:space="0"/>
            </w:tcBorders>
            <w:noWrap w:val="0"/>
            <w:vAlign w:val="center"/>
          </w:tcPr>
          <w:p w14:paraId="0C0981F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0EA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11934A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6F64367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51113224T000011916169-2024年基层组织和农村公共服务运行经费（县级）</w:t>
            </w:r>
          </w:p>
        </w:tc>
      </w:tr>
      <w:tr w14:paraId="5587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7BAE20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60EA801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峨边彝族自治县沙坪镇人民政府本级</w:t>
            </w:r>
          </w:p>
        </w:tc>
        <w:tc>
          <w:tcPr>
            <w:tcW w:w="711" w:type="dxa"/>
            <w:noWrap w:val="0"/>
            <w:vAlign w:val="center"/>
          </w:tcPr>
          <w:p w14:paraId="05BF56E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31" w:type="dxa"/>
            <w:gridSpan w:val="3"/>
            <w:tcBorders>
              <w:top w:val="single" w:color="000000" w:sz="4" w:space="0"/>
              <w:left w:val="single" w:color="000000" w:sz="4" w:space="0"/>
              <w:bottom w:val="single" w:color="000000" w:sz="4" w:space="0"/>
              <w:right w:val="single" w:color="000000" w:sz="4" w:space="0"/>
            </w:tcBorders>
            <w:noWrap w:val="0"/>
            <w:vAlign w:val="center"/>
          </w:tcPr>
          <w:p w14:paraId="077CF7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w:t>
            </w:r>
          </w:p>
        </w:tc>
      </w:tr>
      <w:tr w14:paraId="4E03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92DE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5083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13A404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3BEC445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ED8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5CA32">
            <w:pP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F1905">
            <w:pPr>
              <w:rPr>
                <w:rFonts w:hint="eastAsia" w:ascii="宋体" w:hAnsi="宋体" w:eastAsia="宋体" w:cs="宋体"/>
                <w:i w:val="0"/>
                <w:color w:val="000000"/>
                <w:sz w:val="18"/>
                <w:szCs w:val="18"/>
                <w:u w:val="none"/>
              </w:rPr>
            </w:pP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75B165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保障15个村4个社区基层组织活动、公共服务运行和日常办公运转经费，提高群众满意度。</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11AFBD3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39DC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C8A50">
            <w:pP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9CB57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7D598B0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保障15个村4个社区基层组织活动、公共服务运行和日常办公运转经费，提高群众满意度。</w:t>
            </w:r>
          </w:p>
        </w:tc>
      </w:tr>
      <w:tr w14:paraId="042F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47E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C9D31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F8324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0AA88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46AF46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4F6D89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62658C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F58CC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6CD6C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EA7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419A5">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12C29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76CC6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17A2C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111.20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164D58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111.20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0550B9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6B468F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09559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5888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C4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6"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1BAA1">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CF563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FC8F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9FE2D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111.20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4C1ABE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111.20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E1C54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05AB7B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A44C4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54CCA">
            <w:pPr>
              <w:rPr>
                <w:rFonts w:hint="eastAsia" w:ascii="黑体" w:hAnsi="黑体" w:eastAsia="黑体" w:cs="黑体"/>
                <w:i/>
                <w:color w:val="000000"/>
                <w:sz w:val="18"/>
                <w:szCs w:val="18"/>
                <w:u w:val="none"/>
              </w:rPr>
            </w:pPr>
          </w:p>
        </w:tc>
      </w:tr>
      <w:tr w14:paraId="59A8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8A76C">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2E502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01607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3A58D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5FA368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4048B1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647463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BE502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6D267">
            <w:pPr>
              <w:rPr>
                <w:rFonts w:hint="eastAsia" w:ascii="黑体" w:hAnsi="黑体" w:eastAsia="黑体" w:cs="黑体"/>
                <w:i/>
                <w:color w:val="000000"/>
                <w:sz w:val="18"/>
                <w:szCs w:val="18"/>
                <w:u w:val="none"/>
              </w:rPr>
            </w:pPr>
          </w:p>
        </w:tc>
      </w:tr>
      <w:tr w14:paraId="4040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43D59">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52EDF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F02DB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E8C31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464689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01EEB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750C2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C4ECF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A06B5">
            <w:pPr>
              <w:rPr>
                <w:rFonts w:hint="eastAsia" w:ascii="黑体" w:hAnsi="黑体" w:eastAsia="黑体" w:cs="黑体"/>
                <w:i/>
                <w:color w:val="000000"/>
                <w:sz w:val="18"/>
                <w:szCs w:val="18"/>
                <w:u w:val="none"/>
              </w:rPr>
            </w:pPr>
          </w:p>
        </w:tc>
      </w:tr>
      <w:tr w14:paraId="152C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7"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8CC23">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E8D54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6B30AA3">
            <w:pPr>
              <w:jc w:val="center"/>
              <w:rPr>
                <w:rFonts w:hint="eastAsia" w:ascii="微软雅黑" w:hAnsi="微软雅黑" w:eastAsia="微软雅黑" w:cs="微软雅黑"/>
                <w:i/>
                <w:color w:val="000000"/>
                <w:sz w:val="16"/>
                <w:szCs w:val="16"/>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1F9AAB4">
            <w:pPr>
              <w:jc w:val="center"/>
              <w:rPr>
                <w:rFonts w:hint="eastAsia" w:ascii="微软雅黑" w:hAnsi="微软雅黑" w:eastAsia="微软雅黑" w:cs="微软雅黑"/>
                <w:i/>
                <w:color w:val="000000"/>
                <w:sz w:val="16"/>
                <w:szCs w:val="16"/>
                <w:u w:val="none"/>
              </w:rPr>
            </w:pP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32222733">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2988FC7">
            <w:pPr>
              <w:jc w:val="center"/>
              <w:rPr>
                <w:rFonts w:hint="eastAsia" w:ascii="微软雅黑" w:hAnsi="微软雅黑" w:eastAsia="微软雅黑" w:cs="微软雅黑"/>
                <w:i/>
                <w:color w:val="000000"/>
                <w:sz w:val="16"/>
                <w:szCs w:val="16"/>
                <w:u w:val="none"/>
              </w:rPr>
            </w:pP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75CD6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EE466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1E730">
            <w:pPr>
              <w:rPr>
                <w:rFonts w:hint="eastAsia" w:ascii="黑体" w:hAnsi="黑体" w:eastAsia="黑体" w:cs="黑体"/>
                <w:i/>
                <w:color w:val="000000"/>
                <w:sz w:val="18"/>
                <w:szCs w:val="18"/>
                <w:u w:val="none"/>
              </w:rPr>
            </w:pPr>
          </w:p>
        </w:tc>
      </w:tr>
      <w:tr w14:paraId="73B6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3FD2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DFB27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99092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6ED71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31F1B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2EE63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C862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0B2E1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5A7789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154D2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5F4F1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CCA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0F729">
            <w:pPr>
              <w:jc w:val="center"/>
              <w:rPr>
                <w:rFonts w:hint="eastAsia" w:ascii="宋体" w:hAnsi="宋体" w:eastAsia="宋体" w:cs="宋体"/>
                <w:i w:val="0"/>
                <w:color w:val="000000"/>
                <w:sz w:val="18"/>
                <w:szCs w:val="18"/>
                <w:u w:val="none"/>
              </w:rPr>
            </w:pP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BC6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646C3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36BAD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15个村4个社区。</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18D2A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14966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DB734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6AC7F6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19</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BA7FB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2B6E3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F8BE7AD">
            <w:pPr>
              <w:jc w:val="center"/>
              <w:rPr>
                <w:rFonts w:hint="eastAsia" w:ascii="微软雅黑" w:hAnsi="微软雅黑" w:eastAsia="微软雅黑" w:cs="微软雅黑"/>
                <w:i/>
                <w:color w:val="000000"/>
                <w:sz w:val="16"/>
                <w:szCs w:val="16"/>
                <w:u w:val="none"/>
              </w:rPr>
            </w:pPr>
          </w:p>
        </w:tc>
      </w:tr>
      <w:tr w14:paraId="1418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D4823">
            <w:pPr>
              <w:jc w:val="cente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ED077">
            <w:pPr>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4D1EA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B6E85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保证15个村4个社区保质保量完成。</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8217B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75C73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0EB78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17C748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19</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11D1ED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B6E8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97A16CF">
            <w:pPr>
              <w:jc w:val="center"/>
              <w:rPr>
                <w:rFonts w:hint="eastAsia" w:ascii="微软雅黑" w:hAnsi="微软雅黑" w:eastAsia="微软雅黑" w:cs="微软雅黑"/>
                <w:i/>
                <w:color w:val="000000"/>
                <w:sz w:val="16"/>
                <w:szCs w:val="16"/>
                <w:u w:val="none"/>
              </w:rPr>
            </w:pPr>
          </w:p>
        </w:tc>
      </w:tr>
      <w:tr w14:paraId="637E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346CC">
            <w:pPr>
              <w:jc w:val="cente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E4A50">
            <w:pPr>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85476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DE245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2024年12月31日前完成。</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ABF7C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5A431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0962C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F08208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12</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C592F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E2D9B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4E58B8E">
            <w:pPr>
              <w:jc w:val="center"/>
              <w:rPr>
                <w:rFonts w:hint="eastAsia" w:ascii="微软雅黑" w:hAnsi="微软雅黑" w:eastAsia="微软雅黑" w:cs="微软雅黑"/>
                <w:i/>
                <w:color w:val="000000"/>
                <w:sz w:val="16"/>
                <w:szCs w:val="16"/>
                <w:u w:val="none"/>
              </w:rPr>
            </w:pPr>
          </w:p>
        </w:tc>
      </w:tr>
      <w:tr w14:paraId="367B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3"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3612C">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C7FF3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14F4A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708A3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保障全镇15个村4个社区基层组织活动、公共服务运行和日常办公运转</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331B5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1DE81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C2EC436">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083A687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A5AB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6B391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0650D99">
            <w:pPr>
              <w:jc w:val="center"/>
              <w:rPr>
                <w:rFonts w:hint="eastAsia" w:ascii="微软雅黑" w:hAnsi="微软雅黑" w:eastAsia="微软雅黑" w:cs="微软雅黑"/>
                <w:i/>
                <w:color w:val="000000"/>
                <w:sz w:val="16"/>
                <w:szCs w:val="16"/>
                <w:u w:val="none"/>
              </w:rPr>
            </w:pPr>
          </w:p>
        </w:tc>
      </w:tr>
      <w:tr w14:paraId="7EF2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FF815">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A55C7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FB83A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B9004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满意度95%以上。</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3C90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0293C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2144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D193B0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4B95D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D1075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74DA624">
            <w:pPr>
              <w:jc w:val="center"/>
              <w:rPr>
                <w:rFonts w:hint="eastAsia" w:ascii="微软雅黑" w:hAnsi="微软雅黑" w:eastAsia="微软雅黑" w:cs="微软雅黑"/>
                <w:i/>
                <w:color w:val="000000"/>
                <w:sz w:val="16"/>
                <w:szCs w:val="16"/>
                <w:u w:val="none"/>
              </w:rPr>
            </w:pPr>
          </w:p>
        </w:tc>
      </w:tr>
      <w:tr w14:paraId="56E1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65B7A">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25F9C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6D6CE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BEE94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成本控制在111.2万元内</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64925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D5EB4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44AF6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49FBF46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111.2</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579AC2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16AA7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6531ADD">
            <w:pPr>
              <w:jc w:val="center"/>
              <w:rPr>
                <w:rFonts w:hint="eastAsia" w:ascii="微软雅黑" w:hAnsi="微软雅黑" w:eastAsia="微软雅黑" w:cs="微软雅黑"/>
                <w:i/>
                <w:color w:val="000000"/>
                <w:sz w:val="16"/>
                <w:szCs w:val="16"/>
                <w:u w:val="none"/>
              </w:rPr>
            </w:pPr>
          </w:p>
        </w:tc>
      </w:tr>
      <w:tr w14:paraId="2AB2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7429" w:type="dxa"/>
            <w:gridSpan w:val="8"/>
            <w:tcBorders>
              <w:top w:val="single" w:color="000000" w:sz="4" w:space="0"/>
              <w:left w:val="single" w:color="000000" w:sz="4" w:space="0"/>
              <w:bottom w:val="single" w:color="000000" w:sz="4" w:space="0"/>
              <w:right w:val="single" w:color="000000" w:sz="4" w:space="0"/>
            </w:tcBorders>
            <w:noWrap w:val="0"/>
            <w:vAlign w:val="center"/>
          </w:tcPr>
          <w:p w14:paraId="1DBA12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48596F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46AB8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3AC2149">
            <w:pPr>
              <w:rPr>
                <w:rFonts w:hint="eastAsia" w:ascii="宋体" w:hAnsi="宋体" w:eastAsia="宋体" w:cs="宋体"/>
                <w:i w:val="0"/>
                <w:color w:val="000000"/>
                <w:sz w:val="18"/>
                <w:szCs w:val="18"/>
                <w:u w:val="none"/>
              </w:rPr>
            </w:pPr>
          </w:p>
        </w:tc>
      </w:tr>
      <w:tr w14:paraId="610B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3F7C73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37A704D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项目自评总分为100分，保障15个村4个社区基层组织活动、公共服务运行和日常办公运转经费，提高群众满意度。</w:t>
            </w:r>
          </w:p>
        </w:tc>
      </w:tr>
      <w:tr w14:paraId="0922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485D8F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4D5C25C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907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7"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654530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663D8B48">
            <w:pPr>
              <w:rPr>
                <w:rFonts w:hint="eastAsia" w:ascii="微软雅黑" w:hAnsi="微软雅黑" w:eastAsia="微软雅黑" w:cs="微软雅黑"/>
                <w:i/>
                <w:color w:val="000000"/>
                <w:sz w:val="16"/>
                <w:szCs w:val="16"/>
                <w:u w:val="none"/>
              </w:rPr>
            </w:pPr>
          </w:p>
        </w:tc>
      </w:tr>
      <w:tr w14:paraId="17E2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664" w:type="dxa"/>
            <w:gridSpan w:val="5"/>
            <w:tcBorders>
              <w:top w:val="single" w:color="000000" w:sz="4" w:space="0"/>
              <w:left w:val="single" w:color="000000" w:sz="4" w:space="0"/>
              <w:bottom w:val="single" w:color="000000" w:sz="4" w:space="0"/>
              <w:right w:val="single" w:color="000000" w:sz="4" w:space="0"/>
            </w:tcBorders>
            <w:noWrap w:val="0"/>
            <w:vAlign w:val="center"/>
          </w:tcPr>
          <w:p w14:paraId="72A0A26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996" w:type="dxa"/>
            <w:gridSpan w:val="6"/>
            <w:tcBorders>
              <w:top w:val="single" w:color="000000" w:sz="4" w:space="0"/>
              <w:left w:val="single" w:color="000000" w:sz="4" w:space="0"/>
              <w:bottom w:val="single" w:color="000000" w:sz="4" w:space="0"/>
              <w:right w:val="single" w:color="000000" w:sz="4" w:space="0"/>
            </w:tcBorders>
            <w:noWrap w:val="0"/>
            <w:vAlign w:val="center"/>
          </w:tcPr>
          <w:p w14:paraId="0B689E7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8C4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noWrap w:val="0"/>
            <w:vAlign w:val="center"/>
          </w:tcPr>
          <w:p w14:paraId="0FE19FC2">
            <w:pPr>
              <w:rPr>
                <w:rFonts w:hint="eastAsia" w:ascii="宋体" w:hAnsi="宋体" w:eastAsia="宋体" w:cs="宋体"/>
                <w:i w:val="0"/>
                <w:color w:val="000000"/>
                <w:sz w:val="18"/>
                <w:szCs w:val="18"/>
                <w:u w:val="none"/>
              </w:rPr>
            </w:pPr>
          </w:p>
        </w:tc>
        <w:tc>
          <w:tcPr>
            <w:tcW w:w="1272" w:type="dxa"/>
            <w:noWrap w:val="0"/>
            <w:vAlign w:val="center"/>
          </w:tcPr>
          <w:p w14:paraId="2ED38D75">
            <w:pPr>
              <w:rPr>
                <w:rFonts w:hint="eastAsia" w:ascii="宋体" w:hAnsi="宋体" w:eastAsia="宋体" w:cs="宋体"/>
                <w:i w:val="0"/>
                <w:color w:val="000000"/>
                <w:sz w:val="18"/>
                <w:szCs w:val="18"/>
                <w:u w:val="none"/>
              </w:rPr>
            </w:pPr>
          </w:p>
        </w:tc>
        <w:tc>
          <w:tcPr>
            <w:tcW w:w="1109" w:type="dxa"/>
            <w:noWrap w:val="0"/>
            <w:vAlign w:val="center"/>
          </w:tcPr>
          <w:p w14:paraId="089EB563">
            <w:pPr>
              <w:rPr>
                <w:rFonts w:hint="eastAsia" w:ascii="宋体" w:hAnsi="宋体" w:eastAsia="宋体" w:cs="宋体"/>
                <w:i w:val="0"/>
                <w:color w:val="000000"/>
                <w:sz w:val="18"/>
                <w:szCs w:val="18"/>
                <w:u w:val="none"/>
              </w:rPr>
            </w:pPr>
          </w:p>
        </w:tc>
        <w:tc>
          <w:tcPr>
            <w:tcW w:w="1415" w:type="dxa"/>
            <w:noWrap w:val="0"/>
            <w:vAlign w:val="center"/>
          </w:tcPr>
          <w:p w14:paraId="7C04FECD">
            <w:pPr>
              <w:rPr>
                <w:rFonts w:hint="eastAsia" w:ascii="宋体" w:hAnsi="宋体" w:eastAsia="宋体" w:cs="宋体"/>
                <w:i w:val="0"/>
                <w:color w:val="000000"/>
                <w:sz w:val="18"/>
                <w:szCs w:val="18"/>
                <w:u w:val="none"/>
              </w:rPr>
            </w:pPr>
          </w:p>
        </w:tc>
        <w:tc>
          <w:tcPr>
            <w:tcW w:w="426" w:type="dxa"/>
            <w:noWrap w:val="0"/>
            <w:vAlign w:val="center"/>
          </w:tcPr>
          <w:p w14:paraId="32002AC0">
            <w:pPr>
              <w:rPr>
                <w:rFonts w:hint="eastAsia" w:ascii="宋体" w:hAnsi="宋体" w:eastAsia="宋体" w:cs="宋体"/>
                <w:i w:val="0"/>
                <w:color w:val="000000"/>
                <w:sz w:val="18"/>
                <w:szCs w:val="18"/>
                <w:u w:val="none"/>
              </w:rPr>
            </w:pPr>
          </w:p>
        </w:tc>
        <w:tc>
          <w:tcPr>
            <w:tcW w:w="1053" w:type="dxa"/>
            <w:noWrap w:val="0"/>
            <w:vAlign w:val="center"/>
          </w:tcPr>
          <w:p w14:paraId="5A5F6188">
            <w:pPr>
              <w:rPr>
                <w:rFonts w:hint="eastAsia" w:ascii="宋体" w:hAnsi="宋体" w:eastAsia="宋体" w:cs="宋体"/>
                <w:i w:val="0"/>
                <w:color w:val="000000"/>
                <w:sz w:val="18"/>
                <w:szCs w:val="18"/>
                <w:u w:val="none"/>
              </w:rPr>
            </w:pPr>
          </w:p>
        </w:tc>
        <w:tc>
          <w:tcPr>
            <w:tcW w:w="1001" w:type="dxa"/>
            <w:noWrap w:val="0"/>
            <w:vAlign w:val="center"/>
          </w:tcPr>
          <w:p w14:paraId="41276ED8">
            <w:pPr>
              <w:rPr>
                <w:rFonts w:hint="eastAsia" w:ascii="宋体" w:hAnsi="宋体" w:eastAsia="宋体" w:cs="宋体"/>
                <w:i w:val="0"/>
                <w:color w:val="000000"/>
                <w:sz w:val="18"/>
                <w:szCs w:val="18"/>
                <w:u w:val="none"/>
              </w:rPr>
            </w:pPr>
          </w:p>
        </w:tc>
        <w:tc>
          <w:tcPr>
            <w:tcW w:w="711" w:type="dxa"/>
            <w:noWrap w:val="0"/>
            <w:vAlign w:val="center"/>
          </w:tcPr>
          <w:p w14:paraId="243A8F4B">
            <w:pPr>
              <w:rPr>
                <w:rFonts w:hint="eastAsia" w:ascii="宋体" w:hAnsi="宋体" w:eastAsia="宋体" w:cs="宋体"/>
                <w:i w:val="0"/>
                <w:color w:val="000000"/>
                <w:sz w:val="18"/>
                <w:szCs w:val="18"/>
                <w:u w:val="none"/>
              </w:rPr>
            </w:pPr>
          </w:p>
        </w:tc>
        <w:tc>
          <w:tcPr>
            <w:tcW w:w="326" w:type="dxa"/>
            <w:noWrap w:val="0"/>
            <w:vAlign w:val="center"/>
          </w:tcPr>
          <w:p w14:paraId="27F88C22">
            <w:pPr>
              <w:rPr>
                <w:rFonts w:hint="eastAsia" w:ascii="宋体" w:hAnsi="宋体" w:eastAsia="宋体" w:cs="宋体"/>
                <w:i w:val="0"/>
                <w:color w:val="000000"/>
                <w:sz w:val="18"/>
                <w:szCs w:val="18"/>
                <w:u w:val="none"/>
              </w:rPr>
            </w:pPr>
          </w:p>
        </w:tc>
        <w:tc>
          <w:tcPr>
            <w:tcW w:w="300" w:type="dxa"/>
            <w:noWrap w:val="0"/>
            <w:vAlign w:val="center"/>
          </w:tcPr>
          <w:p w14:paraId="48B33B95">
            <w:pPr>
              <w:rPr>
                <w:rFonts w:hint="eastAsia" w:ascii="宋体" w:hAnsi="宋体" w:eastAsia="宋体" w:cs="宋体"/>
                <w:i w:val="0"/>
                <w:color w:val="000000"/>
                <w:sz w:val="18"/>
                <w:szCs w:val="18"/>
                <w:u w:val="none"/>
              </w:rPr>
            </w:pPr>
          </w:p>
        </w:tc>
        <w:tc>
          <w:tcPr>
            <w:tcW w:w="1605" w:type="dxa"/>
            <w:noWrap w:val="0"/>
            <w:vAlign w:val="center"/>
          </w:tcPr>
          <w:p w14:paraId="74920F5B">
            <w:pPr>
              <w:rPr>
                <w:rFonts w:hint="eastAsia" w:ascii="宋体" w:hAnsi="宋体" w:eastAsia="宋体" w:cs="宋体"/>
                <w:i w:val="0"/>
                <w:color w:val="000000"/>
                <w:sz w:val="18"/>
                <w:szCs w:val="18"/>
                <w:u w:val="none"/>
              </w:rPr>
            </w:pPr>
          </w:p>
        </w:tc>
      </w:tr>
      <w:tr w14:paraId="0C28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3" w:hRule="atLeast"/>
        </w:trPr>
        <w:tc>
          <w:tcPr>
            <w:tcW w:w="9660" w:type="dxa"/>
            <w:gridSpan w:val="11"/>
            <w:tcBorders>
              <w:top w:val="single" w:color="000000" w:sz="4" w:space="0"/>
              <w:left w:val="single" w:color="000000" w:sz="4" w:space="0"/>
              <w:bottom w:val="single" w:color="000000" w:sz="4" w:space="0"/>
              <w:right w:val="single" w:color="000000" w:sz="4" w:space="0"/>
            </w:tcBorders>
            <w:noWrap w:val="0"/>
            <w:vAlign w:val="center"/>
          </w:tcPr>
          <w:p w14:paraId="70051DD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6B0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2C53846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7AEE51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51113224T000011953356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峨边府常定</w:t>
            </w:r>
            <w:r>
              <w:rPr>
                <w:rFonts w:hint="eastAsia" w:ascii="宋体" w:hAnsi="宋体" w:cs="宋体"/>
                <w:i w:val="0"/>
                <w:color w:val="000000"/>
                <w:kern w:val="0"/>
                <w:sz w:val="18"/>
                <w:szCs w:val="18"/>
                <w:u w:val="none"/>
                <w:lang w:val="en-US" w:eastAsia="zh-CN" w:bidi="ar"/>
              </w:rPr>
              <w:t>〔2024〕23号</w:t>
            </w:r>
            <w:r>
              <w:rPr>
                <w:rFonts w:ascii="宋体" w:hAnsi="宋体" w:eastAsia="宋体" w:cs="宋体"/>
                <w:i w:val="0"/>
                <w:color w:val="000000"/>
                <w:kern w:val="0"/>
                <w:sz w:val="18"/>
                <w:szCs w:val="18"/>
                <w:u w:val="none"/>
                <w:lang w:val="en-US" w:eastAsia="zh-CN" w:bidi="ar"/>
              </w:rPr>
              <w:t>背峰山公园主体及配套设施建设占地和地面附着物补偿资金</w:t>
            </w:r>
          </w:p>
        </w:tc>
      </w:tr>
      <w:tr w14:paraId="412F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7EEE58C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065D60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峨边彝族自治县沙坪镇人民政府本级</w:t>
            </w:r>
          </w:p>
        </w:tc>
        <w:tc>
          <w:tcPr>
            <w:tcW w:w="711" w:type="dxa"/>
            <w:noWrap w:val="0"/>
            <w:vAlign w:val="center"/>
          </w:tcPr>
          <w:p w14:paraId="7E30565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31" w:type="dxa"/>
            <w:gridSpan w:val="3"/>
            <w:tcBorders>
              <w:top w:val="single" w:color="000000" w:sz="4" w:space="0"/>
              <w:left w:val="single" w:color="000000" w:sz="4" w:space="0"/>
              <w:bottom w:val="single" w:color="000000" w:sz="4" w:space="0"/>
              <w:right w:val="single" w:color="000000" w:sz="4" w:space="0"/>
            </w:tcBorders>
            <w:noWrap w:val="0"/>
            <w:vAlign w:val="center"/>
          </w:tcPr>
          <w:p w14:paraId="744AE2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w:t>
            </w:r>
          </w:p>
        </w:tc>
      </w:tr>
      <w:tr w14:paraId="5C28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74C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EC32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1E3DE0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3385325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9C0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39AD1">
            <w:pP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59E32">
            <w:pPr>
              <w:rPr>
                <w:rFonts w:hint="eastAsia" w:ascii="宋体" w:hAnsi="宋体" w:eastAsia="宋体" w:cs="宋体"/>
                <w:i w:val="0"/>
                <w:color w:val="000000"/>
                <w:sz w:val="18"/>
                <w:szCs w:val="18"/>
                <w:u w:val="none"/>
              </w:rPr>
            </w:pP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402104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解决32户农户背风山公园岩月村占地和地面附着物补偿款，增加农户收入，提高满意度。</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777C3B9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4D58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1EC3A">
            <w:pP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362A1C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04F262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解决了32户农户背风山公园岩月村占地和地面附着物补偿款，增加了农户收入，提高了满意度。</w:t>
            </w:r>
          </w:p>
        </w:tc>
      </w:tr>
      <w:tr w14:paraId="1268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15F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D0E93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5034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0078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61FA70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9DF8D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107FBD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1227B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8CC26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688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9562B">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ACB78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51FFB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50045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82.37</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687829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82.37</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D0BAA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1C2CA2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03B8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6692266">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606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6"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5FDDB">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9C4DD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E8902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0F9CF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82.37</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222634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82.37</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99405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0FE221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9EB30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A4E5F">
            <w:pPr>
              <w:rPr>
                <w:rFonts w:hint="eastAsia" w:ascii="黑体" w:hAnsi="黑体" w:eastAsia="黑体" w:cs="黑体"/>
                <w:i/>
                <w:color w:val="000000"/>
                <w:sz w:val="18"/>
                <w:szCs w:val="18"/>
                <w:u w:val="none"/>
              </w:rPr>
            </w:pPr>
          </w:p>
        </w:tc>
      </w:tr>
      <w:tr w14:paraId="14B3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2A68E">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86A56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2D7FD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61963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58D84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7DCA0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694F54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24F70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A0554">
            <w:pPr>
              <w:rPr>
                <w:rFonts w:hint="eastAsia" w:ascii="黑体" w:hAnsi="黑体" w:eastAsia="黑体" w:cs="黑体"/>
                <w:i/>
                <w:color w:val="000000"/>
                <w:sz w:val="18"/>
                <w:szCs w:val="18"/>
                <w:u w:val="none"/>
              </w:rPr>
            </w:pPr>
          </w:p>
        </w:tc>
      </w:tr>
      <w:tr w14:paraId="4A4B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7603A">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639DD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E81B6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5B7CE5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695B4F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ED71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181769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A1EB3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4E4E2">
            <w:pPr>
              <w:rPr>
                <w:rFonts w:hint="eastAsia" w:ascii="黑体" w:hAnsi="黑体" w:eastAsia="黑体" w:cs="黑体"/>
                <w:i/>
                <w:color w:val="000000"/>
                <w:sz w:val="18"/>
                <w:szCs w:val="18"/>
                <w:u w:val="none"/>
              </w:rPr>
            </w:pPr>
          </w:p>
        </w:tc>
      </w:tr>
      <w:tr w14:paraId="0AEA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7"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C7E26">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6C81E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5C510D9">
            <w:pPr>
              <w:jc w:val="center"/>
              <w:rPr>
                <w:rFonts w:hint="eastAsia" w:ascii="微软雅黑" w:hAnsi="微软雅黑" w:eastAsia="微软雅黑" w:cs="微软雅黑"/>
                <w:i/>
                <w:color w:val="000000"/>
                <w:sz w:val="16"/>
                <w:szCs w:val="16"/>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AB7F16E">
            <w:pPr>
              <w:jc w:val="center"/>
              <w:rPr>
                <w:rFonts w:hint="eastAsia" w:ascii="微软雅黑" w:hAnsi="微软雅黑" w:eastAsia="微软雅黑" w:cs="微软雅黑"/>
                <w:i/>
                <w:color w:val="000000"/>
                <w:sz w:val="16"/>
                <w:szCs w:val="16"/>
                <w:u w:val="none"/>
              </w:rPr>
            </w:pP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437F0EF8">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C19CC77">
            <w:pPr>
              <w:jc w:val="center"/>
              <w:rPr>
                <w:rFonts w:hint="eastAsia" w:ascii="微软雅黑" w:hAnsi="微软雅黑" w:eastAsia="微软雅黑" w:cs="微软雅黑"/>
                <w:i/>
                <w:color w:val="000000"/>
                <w:sz w:val="16"/>
                <w:szCs w:val="16"/>
                <w:u w:val="none"/>
              </w:rPr>
            </w:pP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03A5EA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DC41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BF187">
            <w:pPr>
              <w:rPr>
                <w:rFonts w:hint="eastAsia" w:ascii="黑体" w:hAnsi="黑体" w:eastAsia="黑体" w:cs="黑体"/>
                <w:i/>
                <w:color w:val="000000"/>
                <w:sz w:val="18"/>
                <w:szCs w:val="18"/>
                <w:u w:val="none"/>
              </w:rPr>
            </w:pPr>
          </w:p>
        </w:tc>
      </w:tr>
      <w:tr w14:paraId="55ED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572E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6C33B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9E046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1533D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EF755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6309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9A49E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F42A3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2D2E11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B0059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873AD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815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C147F">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887B2C1">
            <w:pPr>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547362F">
            <w:pPr>
              <w:jc w:val="center"/>
              <w:rPr>
                <w:rFonts w:hint="eastAsia" w:ascii="宋体" w:hAnsi="宋体" w:eastAsia="宋体" w:cs="宋体"/>
                <w:i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7F4C126">
            <w:pPr>
              <w:jc w:val="center"/>
              <w:rPr>
                <w:rFonts w:hint="eastAsia" w:ascii="宋体" w:hAnsi="宋体" w:eastAsia="宋体" w:cs="宋体"/>
                <w:i w:val="0"/>
                <w:color w:val="000000"/>
                <w:sz w:val="18"/>
                <w:szCs w:val="18"/>
                <w:u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4C1B5BA">
            <w:pPr>
              <w:jc w:val="center"/>
              <w:rPr>
                <w:rFonts w:hint="eastAsia" w:ascii="宋体" w:hAnsi="宋体" w:eastAsia="宋体" w:cs="宋体"/>
                <w:i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464F48B">
            <w:pPr>
              <w:jc w:val="center"/>
              <w:rPr>
                <w:rFonts w:hint="eastAsia" w:ascii="宋体" w:hAnsi="宋体" w:eastAsia="宋体" w:cs="宋体"/>
                <w:i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11F8D2E">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4F2767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0FF87C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43426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FFF7EA2">
            <w:pPr>
              <w:jc w:val="center"/>
              <w:rPr>
                <w:rFonts w:hint="eastAsia" w:ascii="微软雅黑" w:hAnsi="微软雅黑" w:eastAsia="微软雅黑" w:cs="微软雅黑"/>
                <w:i/>
                <w:color w:val="000000"/>
                <w:sz w:val="16"/>
                <w:szCs w:val="16"/>
                <w:u w:val="none"/>
              </w:rPr>
            </w:pPr>
          </w:p>
        </w:tc>
      </w:tr>
      <w:tr w14:paraId="18F6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7429" w:type="dxa"/>
            <w:gridSpan w:val="8"/>
            <w:tcBorders>
              <w:top w:val="single" w:color="000000" w:sz="4" w:space="0"/>
              <w:left w:val="single" w:color="000000" w:sz="4" w:space="0"/>
              <w:bottom w:val="single" w:color="000000" w:sz="4" w:space="0"/>
              <w:right w:val="single" w:color="000000" w:sz="4" w:space="0"/>
            </w:tcBorders>
            <w:noWrap w:val="0"/>
            <w:vAlign w:val="center"/>
          </w:tcPr>
          <w:p w14:paraId="43F57F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296DD5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CC690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8E788AD">
            <w:pPr>
              <w:rPr>
                <w:rFonts w:hint="eastAsia" w:ascii="宋体" w:hAnsi="宋体" w:eastAsia="宋体" w:cs="宋体"/>
                <w:i w:val="0"/>
                <w:color w:val="000000"/>
                <w:sz w:val="18"/>
                <w:szCs w:val="18"/>
                <w:u w:val="none"/>
              </w:rPr>
            </w:pPr>
          </w:p>
        </w:tc>
      </w:tr>
      <w:tr w14:paraId="1996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4A4CED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56CE244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项目自评总分为100分，解决了32户农户背风山公园岩月村占地和地面附着物补偿款，增加了农户收入，提高了满意度。</w:t>
            </w:r>
          </w:p>
        </w:tc>
      </w:tr>
      <w:tr w14:paraId="2F01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7AFA39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2CE81E4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C48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7"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71882B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6BABCC94">
            <w:pPr>
              <w:rPr>
                <w:rFonts w:hint="eastAsia" w:ascii="微软雅黑" w:hAnsi="微软雅黑" w:eastAsia="微软雅黑" w:cs="微软雅黑"/>
                <w:i/>
                <w:color w:val="000000"/>
                <w:sz w:val="16"/>
                <w:szCs w:val="16"/>
                <w:u w:val="none"/>
              </w:rPr>
            </w:pPr>
          </w:p>
        </w:tc>
      </w:tr>
      <w:tr w14:paraId="4EBC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664" w:type="dxa"/>
            <w:gridSpan w:val="5"/>
            <w:tcBorders>
              <w:top w:val="single" w:color="000000" w:sz="4" w:space="0"/>
              <w:left w:val="single" w:color="000000" w:sz="4" w:space="0"/>
              <w:bottom w:val="single" w:color="000000" w:sz="4" w:space="0"/>
              <w:right w:val="single" w:color="000000" w:sz="4" w:space="0"/>
            </w:tcBorders>
            <w:noWrap w:val="0"/>
            <w:vAlign w:val="center"/>
          </w:tcPr>
          <w:p w14:paraId="766C36E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996" w:type="dxa"/>
            <w:gridSpan w:val="6"/>
            <w:tcBorders>
              <w:top w:val="single" w:color="000000" w:sz="4" w:space="0"/>
              <w:left w:val="single" w:color="000000" w:sz="4" w:space="0"/>
              <w:bottom w:val="single" w:color="000000" w:sz="4" w:space="0"/>
              <w:right w:val="single" w:color="000000" w:sz="4" w:space="0"/>
            </w:tcBorders>
            <w:noWrap w:val="0"/>
            <w:vAlign w:val="center"/>
          </w:tcPr>
          <w:p w14:paraId="204D766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89A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noWrap w:val="0"/>
            <w:vAlign w:val="center"/>
          </w:tcPr>
          <w:p w14:paraId="09A75AA1">
            <w:pPr>
              <w:rPr>
                <w:rFonts w:hint="eastAsia" w:ascii="宋体" w:hAnsi="宋体" w:eastAsia="宋体" w:cs="宋体"/>
                <w:i w:val="0"/>
                <w:color w:val="000000"/>
                <w:sz w:val="18"/>
                <w:szCs w:val="18"/>
                <w:u w:val="none"/>
              </w:rPr>
            </w:pPr>
          </w:p>
        </w:tc>
        <w:tc>
          <w:tcPr>
            <w:tcW w:w="1272" w:type="dxa"/>
            <w:noWrap w:val="0"/>
            <w:vAlign w:val="center"/>
          </w:tcPr>
          <w:p w14:paraId="6168CE44">
            <w:pPr>
              <w:rPr>
                <w:rFonts w:hint="eastAsia" w:ascii="宋体" w:hAnsi="宋体" w:eastAsia="宋体" w:cs="宋体"/>
                <w:i w:val="0"/>
                <w:color w:val="000000"/>
                <w:sz w:val="18"/>
                <w:szCs w:val="18"/>
                <w:u w:val="none"/>
              </w:rPr>
            </w:pPr>
          </w:p>
        </w:tc>
        <w:tc>
          <w:tcPr>
            <w:tcW w:w="1109" w:type="dxa"/>
            <w:noWrap w:val="0"/>
            <w:vAlign w:val="center"/>
          </w:tcPr>
          <w:p w14:paraId="2F2D9BED">
            <w:pPr>
              <w:rPr>
                <w:rFonts w:hint="eastAsia" w:ascii="宋体" w:hAnsi="宋体" w:eastAsia="宋体" w:cs="宋体"/>
                <w:i w:val="0"/>
                <w:color w:val="000000"/>
                <w:sz w:val="18"/>
                <w:szCs w:val="18"/>
                <w:u w:val="none"/>
              </w:rPr>
            </w:pPr>
          </w:p>
        </w:tc>
        <w:tc>
          <w:tcPr>
            <w:tcW w:w="1415" w:type="dxa"/>
            <w:noWrap w:val="0"/>
            <w:vAlign w:val="center"/>
          </w:tcPr>
          <w:p w14:paraId="60A8F94E">
            <w:pPr>
              <w:rPr>
                <w:rFonts w:hint="eastAsia" w:ascii="宋体" w:hAnsi="宋体" w:eastAsia="宋体" w:cs="宋体"/>
                <w:i w:val="0"/>
                <w:color w:val="000000"/>
                <w:sz w:val="18"/>
                <w:szCs w:val="18"/>
                <w:u w:val="none"/>
              </w:rPr>
            </w:pPr>
          </w:p>
        </w:tc>
        <w:tc>
          <w:tcPr>
            <w:tcW w:w="426" w:type="dxa"/>
            <w:noWrap w:val="0"/>
            <w:vAlign w:val="center"/>
          </w:tcPr>
          <w:p w14:paraId="4CF398A1">
            <w:pPr>
              <w:rPr>
                <w:rFonts w:hint="eastAsia" w:ascii="宋体" w:hAnsi="宋体" w:eastAsia="宋体" w:cs="宋体"/>
                <w:i w:val="0"/>
                <w:color w:val="000000"/>
                <w:sz w:val="18"/>
                <w:szCs w:val="18"/>
                <w:u w:val="none"/>
              </w:rPr>
            </w:pPr>
          </w:p>
        </w:tc>
        <w:tc>
          <w:tcPr>
            <w:tcW w:w="1053" w:type="dxa"/>
            <w:noWrap w:val="0"/>
            <w:vAlign w:val="center"/>
          </w:tcPr>
          <w:p w14:paraId="60D7084A">
            <w:pPr>
              <w:rPr>
                <w:rFonts w:hint="eastAsia" w:ascii="宋体" w:hAnsi="宋体" w:eastAsia="宋体" w:cs="宋体"/>
                <w:i w:val="0"/>
                <w:color w:val="000000"/>
                <w:sz w:val="18"/>
                <w:szCs w:val="18"/>
                <w:u w:val="none"/>
              </w:rPr>
            </w:pPr>
          </w:p>
        </w:tc>
        <w:tc>
          <w:tcPr>
            <w:tcW w:w="1001" w:type="dxa"/>
            <w:noWrap w:val="0"/>
            <w:vAlign w:val="center"/>
          </w:tcPr>
          <w:p w14:paraId="3445BA54">
            <w:pPr>
              <w:rPr>
                <w:rFonts w:hint="eastAsia" w:ascii="宋体" w:hAnsi="宋体" w:eastAsia="宋体" w:cs="宋体"/>
                <w:i w:val="0"/>
                <w:color w:val="000000"/>
                <w:sz w:val="18"/>
                <w:szCs w:val="18"/>
                <w:u w:val="none"/>
              </w:rPr>
            </w:pPr>
          </w:p>
        </w:tc>
        <w:tc>
          <w:tcPr>
            <w:tcW w:w="711" w:type="dxa"/>
            <w:noWrap w:val="0"/>
            <w:vAlign w:val="center"/>
          </w:tcPr>
          <w:p w14:paraId="21FA0B47">
            <w:pPr>
              <w:rPr>
                <w:rFonts w:hint="eastAsia" w:ascii="宋体" w:hAnsi="宋体" w:eastAsia="宋体" w:cs="宋体"/>
                <w:i w:val="0"/>
                <w:color w:val="000000"/>
                <w:sz w:val="18"/>
                <w:szCs w:val="18"/>
                <w:u w:val="none"/>
              </w:rPr>
            </w:pPr>
          </w:p>
        </w:tc>
        <w:tc>
          <w:tcPr>
            <w:tcW w:w="326" w:type="dxa"/>
            <w:noWrap w:val="0"/>
            <w:vAlign w:val="center"/>
          </w:tcPr>
          <w:p w14:paraId="0BB7B81B">
            <w:pPr>
              <w:rPr>
                <w:rFonts w:hint="eastAsia" w:ascii="宋体" w:hAnsi="宋体" w:eastAsia="宋体" w:cs="宋体"/>
                <w:i w:val="0"/>
                <w:color w:val="000000"/>
                <w:sz w:val="18"/>
                <w:szCs w:val="18"/>
                <w:u w:val="none"/>
              </w:rPr>
            </w:pPr>
          </w:p>
        </w:tc>
        <w:tc>
          <w:tcPr>
            <w:tcW w:w="300" w:type="dxa"/>
            <w:noWrap w:val="0"/>
            <w:vAlign w:val="center"/>
          </w:tcPr>
          <w:p w14:paraId="789B4ADD">
            <w:pPr>
              <w:rPr>
                <w:rFonts w:hint="eastAsia" w:ascii="宋体" w:hAnsi="宋体" w:eastAsia="宋体" w:cs="宋体"/>
                <w:i w:val="0"/>
                <w:color w:val="000000"/>
                <w:sz w:val="18"/>
                <w:szCs w:val="18"/>
                <w:u w:val="none"/>
              </w:rPr>
            </w:pPr>
          </w:p>
        </w:tc>
        <w:tc>
          <w:tcPr>
            <w:tcW w:w="1605" w:type="dxa"/>
            <w:noWrap w:val="0"/>
            <w:vAlign w:val="center"/>
          </w:tcPr>
          <w:p w14:paraId="223F1A77">
            <w:pPr>
              <w:rPr>
                <w:rFonts w:hint="eastAsia" w:ascii="宋体" w:hAnsi="宋体" w:eastAsia="宋体" w:cs="宋体"/>
                <w:i w:val="0"/>
                <w:color w:val="000000"/>
                <w:sz w:val="18"/>
                <w:szCs w:val="18"/>
                <w:u w:val="none"/>
              </w:rPr>
            </w:pPr>
          </w:p>
        </w:tc>
      </w:tr>
      <w:tr w14:paraId="076A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3" w:hRule="atLeast"/>
        </w:trPr>
        <w:tc>
          <w:tcPr>
            <w:tcW w:w="9660" w:type="dxa"/>
            <w:gridSpan w:val="11"/>
            <w:tcBorders>
              <w:top w:val="single" w:color="000000" w:sz="4" w:space="0"/>
              <w:left w:val="single" w:color="000000" w:sz="4" w:space="0"/>
              <w:bottom w:val="single" w:color="000000" w:sz="4" w:space="0"/>
              <w:right w:val="single" w:color="000000" w:sz="4" w:space="0"/>
            </w:tcBorders>
            <w:noWrap w:val="0"/>
            <w:vAlign w:val="center"/>
          </w:tcPr>
          <w:p w14:paraId="2907ED5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F31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4430B6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5B1A71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51113224T000012082925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沙坪镇2024年农村综合改革转移支付资金（农村公益事业一事一议奖补）项目）（川财农</w:t>
            </w:r>
            <w:r>
              <w:rPr>
                <w:rFonts w:hint="eastAsia" w:ascii="宋体" w:hAnsi="宋体" w:cs="宋体"/>
                <w:i w:val="0"/>
                <w:color w:val="000000"/>
                <w:kern w:val="0"/>
                <w:sz w:val="18"/>
                <w:szCs w:val="18"/>
                <w:u w:val="none"/>
                <w:lang w:val="en-US" w:eastAsia="zh-CN" w:bidi="ar"/>
              </w:rPr>
              <w:t>〔2023〕158号</w:t>
            </w:r>
            <w:r>
              <w:rPr>
                <w:rFonts w:ascii="宋体" w:hAnsi="宋体" w:eastAsia="宋体" w:cs="宋体"/>
                <w:i w:val="0"/>
                <w:color w:val="000000"/>
                <w:kern w:val="0"/>
                <w:sz w:val="18"/>
                <w:szCs w:val="18"/>
                <w:u w:val="none"/>
                <w:lang w:val="en-US" w:eastAsia="zh-CN" w:bidi="ar"/>
              </w:rPr>
              <w:t>）</w:t>
            </w:r>
          </w:p>
        </w:tc>
      </w:tr>
      <w:tr w14:paraId="0211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122078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2A8DA0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峨边彝族自治县沙坪镇人民政府本级</w:t>
            </w:r>
          </w:p>
        </w:tc>
        <w:tc>
          <w:tcPr>
            <w:tcW w:w="711" w:type="dxa"/>
            <w:noWrap w:val="0"/>
            <w:vAlign w:val="center"/>
          </w:tcPr>
          <w:p w14:paraId="507CE41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31" w:type="dxa"/>
            <w:gridSpan w:val="3"/>
            <w:tcBorders>
              <w:top w:val="single" w:color="000000" w:sz="4" w:space="0"/>
              <w:left w:val="single" w:color="000000" w:sz="4" w:space="0"/>
              <w:bottom w:val="single" w:color="000000" w:sz="4" w:space="0"/>
              <w:right w:val="single" w:color="000000" w:sz="4" w:space="0"/>
            </w:tcBorders>
            <w:noWrap w:val="0"/>
            <w:vAlign w:val="center"/>
          </w:tcPr>
          <w:p w14:paraId="74E75D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w:t>
            </w:r>
          </w:p>
        </w:tc>
      </w:tr>
      <w:tr w14:paraId="1333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4D4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7B21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044DD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4152CB6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F50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81A87">
            <w:pP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7ED4A">
            <w:pPr>
              <w:rPr>
                <w:rFonts w:hint="eastAsia" w:ascii="宋体" w:hAnsi="宋体" w:eastAsia="宋体" w:cs="宋体"/>
                <w:i w:val="0"/>
                <w:color w:val="000000"/>
                <w:sz w:val="18"/>
                <w:szCs w:val="18"/>
                <w:u w:val="none"/>
              </w:rPr>
            </w:pP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79E7C2E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保障沙坪镇六丰村二组排水沟延伸段工程项目资金。建设内容：新建排水沟延伸段50米，安排资金6.72万元。让污水顺利排放，卫生更整洁。</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5CD573A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05B7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AB349">
            <w:pP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98124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429004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保障了沙坪镇六丰村二组排水沟延伸段工程项目资金。建设内容：新建排水沟延伸段50米，安排资金6.72万元。让污水顺利排放，卫生更整洁。</w:t>
            </w:r>
          </w:p>
        </w:tc>
      </w:tr>
      <w:tr w14:paraId="66A0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2FEC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606DE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5D94F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A33E0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7230C3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D87E3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55A412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76B21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B3E9F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48F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3E6B0">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E4236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219EF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33AE8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6.72</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48891E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6.72</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5C5A7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E4B09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1CE49F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22ECF7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438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6"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72C9B">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12D76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D6912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E3D07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6.72</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1772F2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6.72</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125559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8D566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338F9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D25EF">
            <w:pPr>
              <w:rPr>
                <w:rFonts w:hint="eastAsia" w:ascii="黑体" w:hAnsi="黑体" w:eastAsia="黑体" w:cs="黑体"/>
                <w:i/>
                <w:color w:val="000000"/>
                <w:sz w:val="18"/>
                <w:szCs w:val="18"/>
                <w:u w:val="none"/>
              </w:rPr>
            </w:pPr>
          </w:p>
        </w:tc>
      </w:tr>
      <w:tr w14:paraId="0FE0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B3ACE">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0896F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EFFE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4B349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6434CC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903F6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445AF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122D9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33BAF">
            <w:pPr>
              <w:rPr>
                <w:rFonts w:hint="eastAsia" w:ascii="黑体" w:hAnsi="黑体" w:eastAsia="黑体" w:cs="黑体"/>
                <w:i/>
                <w:color w:val="000000"/>
                <w:sz w:val="18"/>
                <w:szCs w:val="18"/>
                <w:u w:val="none"/>
              </w:rPr>
            </w:pPr>
          </w:p>
        </w:tc>
      </w:tr>
      <w:tr w14:paraId="31D4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60031">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D1EC7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7169C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810B4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5CF474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1F4A43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2C61C3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34801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A3F40">
            <w:pPr>
              <w:rPr>
                <w:rFonts w:hint="eastAsia" w:ascii="黑体" w:hAnsi="黑体" w:eastAsia="黑体" w:cs="黑体"/>
                <w:i/>
                <w:color w:val="000000"/>
                <w:sz w:val="18"/>
                <w:szCs w:val="18"/>
                <w:u w:val="none"/>
              </w:rPr>
            </w:pPr>
          </w:p>
        </w:tc>
      </w:tr>
      <w:tr w14:paraId="7FD4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7"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7A1A6">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BF6A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C37D066">
            <w:pPr>
              <w:jc w:val="center"/>
              <w:rPr>
                <w:rFonts w:hint="eastAsia" w:ascii="微软雅黑" w:hAnsi="微软雅黑" w:eastAsia="微软雅黑" w:cs="微软雅黑"/>
                <w:i/>
                <w:color w:val="000000"/>
                <w:sz w:val="16"/>
                <w:szCs w:val="16"/>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7749CD8">
            <w:pPr>
              <w:jc w:val="center"/>
              <w:rPr>
                <w:rFonts w:hint="eastAsia" w:ascii="微软雅黑" w:hAnsi="微软雅黑" w:eastAsia="微软雅黑" w:cs="微软雅黑"/>
                <w:i/>
                <w:color w:val="000000"/>
                <w:sz w:val="16"/>
                <w:szCs w:val="16"/>
                <w:u w:val="none"/>
              </w:rPr>
            </w:pP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16233061">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562C042">
            <w:pPr>
              <w:jc w:val="center"/>
              <w:rPr>
                <w:rFonts w:hint="eastAsia" w:ascii="微软雅黑" w:hAnsi="微软雅黑" w:eastAsia="微软雅黑" w:cs="微软雅黑"/>
                <w:i/>
                <w:color w:val="000000"/>
                <w:sz w:val="16"/>
                <w:szCs w:val="16"/>
                <w:u w:val="none"/>
              </w:rPr>
            </w:pP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560E46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1907B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9A524">
            <w:pPr>
              <w:rPr>
                <w:rFonts w:hint="eastAsia" w:ascii="黑体" w:hAnsi="黑体" w:eastAsia="黑体" w:cs="黑体"/>
                <w:i/>
                <w:color w:val="000000"/>
                <w:sz w:val="18"/>
                <w:szCs w:val="18"/>
                <w:u w:val="none"/>
              </w:rPr>
            </w:pPr>
          </w:p>
        </w:tc>
      </w:tr>
      <w:tr w14:paraId="13C0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B92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AE2B5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C57A0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DF285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E651F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DBBD9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8B1D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473E6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1399F2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8D279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668E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695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AA50C">
            <w:pPr>
              <w:jc w:val="center"/>
              <w:rPr>
                <w:rFonts w:hint="eastAsia" w:ascii="宋体" w:hAnsi="宋体" w:eastAsia="宋体" w:cs="宋体"/>
                <w:i w:val="0"/>
                <w:color w:val="000000"/>
                <w:sz w:val="18"/>
                <w:szCs w:val="18"/>
                <w:u w:val="none"/>
              </w:rPr>
            </w:pP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5FF7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EA453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76306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新建排水沟延伸段50米</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1E675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7AD90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ABAF3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94AC14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47B3D9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FDF95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3534400">
            <w:pPr>
              <w:jc w:val="center"/>
              <w:rPr>
                <w:rFonts w:hint="eastAsia" w:ascii="微软雅黑" w:hAnsi="微软雅黑" w:eastAsia="微软雅黑" w:cs="微软雅黑"/>
                <w:i/>
                <w:color w:val="000000"/>
                <w:sz w:val="16"/>
                <w:szCs w:val="16"/>
                <w:u w:val="none"/>
              </w:rPr>
            </w:pPr>
          </w:p>
        </w:tc>
      </w:tr>
      <w:tr w14:paraId="21AB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0BAB4">
            <w:pPr>
              <w:jc w:val="cente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150D0">
            <w:pPr>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916C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FE915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污水顺利排放</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D356E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BD2CF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22AA5D0">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2C8CCC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8A180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6C15F0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2819D6F">
            <w:pPr>
              <w:jc w:val="center"/>
              <w:rPr>
                <w:rFonts w:hint="eastAsia" w:ascii="微软雅黑" w:hAnsi="微软雅黑" w:eastAsia="微软雅黑" w:cs="微软雅黑"/>
                <w:i/>
                <w:color w:val="000000"/>
                <w:sz w:val="16"/>
                <w:szCs w:val="16"/>
                <w:u w:val="none"/>
              </w:rPr>
            </w:pPr>
          </w:p>
        </w:tc>
      </w:tr>
      <w:tr w14:paraId="5197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EC61A">
            <w:pPr>
              <w:jc w:val="cente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9D2C7">
            <w:pPr>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F21AC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C5013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2024年12月31日前完成</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7A2C5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775F8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0124D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B19200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6</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772585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AC66B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0FCD5D6">
            <w:pPr>
              <w:jc w:val="center"/>
              <w:rPr>
                <w:rFonts w:hint="eastAsia" w:ascii="微软雅黑" w:hAnsi="微软雅黑" w:eastAsia="微软雅黑" w:cs="微软雅黑"/>
                <w:i/>
                <w:color w:val="000000"/>
                <w:sz w:val="16"/>
                <w:szCs w:val="16"/>
                <w:u w:val="none"/>
              </w:rPr>
            </w:pPr>
          </w:p>
        </w:tc>
      </w:tr>
      <w:tr w14:paraId="4A26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86409">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2A4E7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D73FD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ABB92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污水顺利排放，环境卫生得到提高。</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829F2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E884D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DB3ACF6">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F78F47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0A5C96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7695F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62806A9">
            <w:pPr>
              <w:jc w:val="center"/>
              <w:rPr>
                <w:rFonts w:hint="eastAsia" w:ascii="微软雅黑" w:hAnsi="微软雅黑" w:eastAsia="微软雅黑" w:cs="微软雅黑"/>
                <w:i/>
                <w:color w:val="000000"/>
                <w:sz w:val="16"/>
                <w:szCs w:val="16"/>
                <w:u w:val="none"/>
              </w:rPr>
            </w:pPr>
          </w:p>
        </w:tc>
      </w:tr>
      <w:tr w14:paraId="4110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76FC0">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5106E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DC643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18650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5DFF8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61770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260AC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46D89A3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549A71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283384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E2C7A07">
            <w:pPr>
              <w:jc w:val="center"/>
              <w:rPr>
                <w:rFonts w:hint="eastAsia" w:ascii="微软雅黑" w:hAnsi="微软雅黑" w:eastAsia="微软雅黑" w:cs="微软雅黑"/>
                <w:i/>
                <w:color w:val="000000"/>
                <w:sz w:val="16"/>
                <w:szCs w:val="16"/>
                <w:u w:val="none"/>
              </w:rPr>
            </w:pPr>
          </w:p>
        </w:tc>
      </w:tr>
      <w:tr w14:paraId="3957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39E08">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14CBB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A5BB0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556A46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成本控制在67200元内。</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1905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D49FD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67200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8FCCF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8C6ED0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67200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4A7FEA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09C7B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CD38EB9">
            <w:pPr>
              <w:jc w:val="center"/>
              <w:rPr>
                <w:rFonts w:hint="eastAsia" w:ascii="微软雅黑" w:hAnsi="微软雅黑" w:eastAsia="微软雅黑" w:cs="微软雅黑"/>
                <w:i/>
                <w:color w:val="000000"/>
                <w:sz w:val="16"/>
                <w:szCs w:val="16"/>
                <w:u w:val="none"/>
              </w:rPr>
            </w:pPr>
          </w:p>
        </w:tc>
      </w:tr>
      <w:tr w14:paraId="7AAA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7429" w:type="dxa"/>
            <w:gridSpan w:val="8"/>
            <w:tcBorders>
              <w:top w:val="single" w:color="000000" w:sz="4" w:space="0"/>
              <w:left w:val="single" w:color="000000" w:sz="4" w:space="0"/>
              <w:bottom w:val="single" w:color="000000" w:sz="4" w:space="0"/>
              <w:right w:val="single" w:color="000000" w:sz="4" w:space="0"/>
            </w:tcBorders>
            <w:noWrap w:val="0"/>
            <w:vAlign w:val="center"/>
          </w:tcPr>
          <w:p w14:paraId="4EFA9E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42D80C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75C28F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4FD68AB">
            <w:pPr>
              <w:rPr>
                <w:rFonts w:hint="eastAsia" w:ascii="宋体" w:hAnsi="宋体" w:eastAsia="宋体" w:cs="宋体"/>
                <w:i w:val="0"/>
                <w:color w:val="000000"/>
                <w:sz w:val="18"/>
                <w:szCs w:val="18"/>
                <w:u w:val="none"/>
              </w:rPr>
            </w:pPr>
          </w:p>
        </w:tc>
      </w:tr>
      <w:tr w14:paraId="7911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58A85F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0EC92FC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项目自评总分为100分，保障了沙坪镇六丰村二组排水沟延伸段工程项目资金。建设内容：新建排水沟延伸段50米，安排资金6.72万元。让污水顺利排放，卫生更整洁。</w:t>
            </w:r>
          </w:p>
        </w:tc>
      </w:tr>
      <w:tr w14:paraId="01B0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7DB878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0481A88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A3B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7"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300600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3B2A8DEA">
            <w:pPr>
              <w:rPr>
                <w:rFonts w:hint="eastAsia" w:ascii="微软雅黑" w:hAnsi="微软雅黑" w:eastAsia="微软雅黑" w:cs="微软雅黑"/>
                <w:i/>
                <w:color w:val="000000"/>
                <w:sz w:val="16"/>
                <w:szCs w:val="16"/>
                <w:u w:val="none"/>
              </w:rPr>
            </w:pPr>
          </w:p>
        </w:tc>
      </w:tr>
      <w:tr w14:paraId="4F519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664" w:type="dxa"/>
            <w:gridSpan w:val="5"/>
            <w:tcBorders>
              <w:top w:val="single" w:color="000000" w:sz="4" w:space="0"/>
              <w:left w:val="single" w:color="000000" w:sz="4" w:space="0"/>
              <w:bottom w:val="single" w:color="000000" w:sz="4" w:space="0"/>
              <w:right w:val="single" w:color="000000" w:sz="4" w:space="0"/>
            </w:tcBorders>
            <w:noWrap w:val="0"/>
            <w:vAlign w:val="center"/>
          </w:tcPr>
          <w:p w14:paraId="50CA10B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996" w:type="dxa"/>
            <w:gridSpan w:val="6"/>
            <w:tcBorders>
              <w:top w:val="single" w:color="000000" w:sz="4" w:space="0"/>
              <w:left w:val="single" w:color="000000" w:sz="4" w:space="0"/>
              <w:bottom w:val="single" w:color="000000" w:sz="4" w:space="0"/>
              <w:right w:val="single" w:color="000000" w:sz="4" w:space="0"/>
            </w:tcBorders>
            <w:noWrap w:val="0"/>
            <w:vAlign w:val="center"/>
          </w:tcPr>
          <w:p w14:paraId="6E0B391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EA1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noWrap w:val="0"/>
            <w:vAlign w:val="center"/>
          </w:tcPr>
          <w:p w14:paraId="2F074C93">
            <w:pPr>
              <w:rPr>
                <w:rFonts w:hint="eastAsia" w:ascii="宋体" w:hAnsi="宋体" w:eastAsia="宋体" w:cs="宋体"/>
                <w:i w:val="0"/>
                <w:color w:val="000000"/>
                <w:sz w:val="18"/>
                <w:szCs w:val="18"/>
                <w:u w:val="none"/>
              </w:rPr>
            </w:pPr>
          </w:p>
        </w:tc>
        <w:tc>
          <w:tcPr>
            <w:tcW w:w="1272" w:type="dxa"/>
            <w:noWrap w:val="0"/>
            <w:vAlign w:val="center"/>
          </w:tcPr>
          <w:p w14:paraId="506E2D11">
            <w:pPr>
              <w:rPr>
                <w:rFonts w:hint="eastAsia" w:ascii="宋体" w:hAnsi="宋体" w:eastAsia="宋体" w:cs="宋体"/>
                <w:i w:val="0"/>
                <w:color w:val="000000"/>
                <w:sz w:val="18"/>
                <w:szCs w:val="18"/>
                <w:u w:val="none"/>
              </w:rPr>
            </w:pPr>
          </w:p>
        </w:tc>
        <w:tc>
          <w:tcPr>
            <w:tcW w:w="1109" w:type="dxa"/>
            <w:noWrap w:val="0"/>
            <w:vAlign w:val="center"/>
          </w:tcPr>
          <w:p w14:paraId="7263BD91">
            <w:pPr>
              <w:rPr>
                <w:rFonts w:hint="eastAsia" w:ascii="宋体" w:hAnsi="宋体" w:eastAsia="宋体" w:cs="宋体"/>
                <w:i w:val="0"/>
                <w:color w:val="000000"/>
                <w:sz w:val="18"/>
                <w:szCs w:val="18"/>
                <w:u w:val="none"/>
              </w:rPr>
            </w:pPr>
          </w:p>
        </w:tc>
        <w:tc>
          <w:tcPr>
            <w:tcW w:w="1415" w:type="dxa"/>
            <w:noWrap w:val="0"/>
            <w:vAlign w:val="center"/>
          </w:tcPr>
          <w:p w14:paraId="720B6D96">
            <w:pPr>
              <w:rPr>
                <w:rFonts w:hint="eastAsia" w:ascii="宋体" w:hAnsi="宋体" w:eastAsia="宋体" w:cs="宋体"/>
                <w:i w:val="0"/>
                <w:color w:val="000000"/>
                <w:sz w:val="18"/>
                <w:szCs w:val="18"/>
                <w:u w:val="none"/>
              </w:rPr>
            </w:pPr>
          </w:p>
        </w:tc>
        <w:tc>
          <w:tcPr>
            <w:tcW w:w="426" w:type="dxa"/>
            <w:noWrap w:val="0"/>
            <w:vAlign w:val="center"/>
          </w:tcPr>
          <w:p w14:paraId="2B6E8095">
            <w:pPr>
              <w:rPr>
                <w:rFonts w:hint="eastAsia" w:ascii="宋体" w:hAnsi="宋体" w:eastAsia="宋体" w:cs="宋体"/>
                <w:i w:val="0"/>
                <w:color w:val="000000"/>
                <w:sz w:val="18"/>
                <w:szCs w:val="18"/>
                <w:u w:val="none"/>
              </w:rPr>
            </w:pPr>
          </w:p>
        </w:tc>
        <w:tc>
          <w:tcPr>
            <w:tcW w:w="1053" w:type="dxa"/>
            <w:noWrap w:val="0"/>
            <w:vAlign w:val="center"/>
          </w:tcPr>
          <w:p w14:paraId="75EA9BFF">
            <w:pPr>
              <w:rPr>
                <w:rFonts w:hint="eastAsia" w:ascii="宋体" w:hAnsi="宋体" w:eastAsia="宋体" w:cs="宋体"/>
                <w:i w:val="0"/>
                <w:color w:val="000000"/>
                <w:sz w:val="18"/>
                <w:szCs w:val="18"/>
                <w:u w:val="none"/>
              </w:rPr>
            </w:pPr>
          </w:p>
        </w:tc>
        <w:tc>
          <w:tcPr>
            <w:tcW w:w="1001" w:type="dxa"/>
            <w:noWrap w:val="0"/>
            <w:vAlign w:val="center"/>
          </w:tcPr>
          <w:p w14:paraId="01BAF876">
            <w:pPr>
              <w:rPr>
                <w:rFonts w:hint="eastAsia" w:ascii="宋体" w:hAnsi="宋体" w:eastAsia="宋体" w:cs="宋体"/>
                <w:i w:val="0"/>
                <w:color w:val="000000"/>
                <w:sz w:val="18"/>
                <w:szCs w:val="18"/>
                <w:u w:val="none"/>
              </w:rPr>
            </w:pPr>
          </w:p>
        </w:tc>
        <w:tc>
          <w:tcPr>
            <w:tcW w:w="711" w:type="dxa"/>
            <w:noWrap w:val="0"/>
            <w:vAlign w:val="center"/>
          </w:tcPr>
          <w:p w14:paraId="12A733E8">
            <w:pPr>
              <w:rPr>
                <w:rFonts w:hint="eastAsia" w:ascii="宋体" w:hAnsi="宋体" w:eastAsia="宋体" w:cs="宋体"/>
                <w:i w:val="0"/>
                <w:color w:val="000000"/>
                <w:sz w:val="18"/>
                <w:szCs w:val="18"/>
                <w:u w:val="none"/>
              </w:rPr>
            </w:pPr>
          </w:p>
        </w:tc>
        <w:tc>
          <w:tcPr>
            <w:tcW w:w="326" w:type="dxa"/>
            <w:noWrap w:val="0"/>
            <w:vAlign w:val="center"/>
          </w:tcPr>
          <w:p w14:paraId="2B980E34">
            <w:pPr>
              <w:rPr>
                <w:rFonts w:hint="eastAsia" w:ascii="宋体" w:hAnsi="宋体" w:eastAsia="宋体" w:cs="宋体"/>
                <w:i w:val="0"/>
                <w:color w:val="000000"/>
                <w:sz w:val="18"/>
                <w:szCs w:val="18"/>
                <w:u w:val="none"/>
              </w:rPr>
            </w:pPr>
          </w:p>
        </w:tc>
        <w:tc>
          <w:tcPr>
            <w:tcW w:w="300" w:type="dxa"/>
            <w:noWrap w:val="0"/>
            <w:vAlign w:val="center"/>
          </w:tcPr>
          <w:p w14:paraId="329E2F6C">
            <w:pPr>
              <w:rPr>
                <w:rFonts w:hint="eastAsia" w:ascii="宋体" w:hAnsi="宋体" w:eastAsia="宋体" w:cs="宋体"/>
                <w:i w:val="0"/>
                <w:color w:val="000000"/>
                <w:sz w:val="18"/>
                <w:szCs w:val="18"/>
                <w:u w:val="none"/>
              </w:rPr>
            </w:pPr>
          </w:p>
        </w:tc>
        <w:tc>
          <w:tcPr>
            <w:tcW w:w="1605" w:type="dxa"/>
            <w:noWrap w:val="0"/>
            <w:vAlign w:val="center"/>
          </w:tcPr>
          <w:p w14:paraId="0434582D">
            <w:pPr>
              <w:rPr>
                <w:rFonts w:hint="eastAsia" w:ascii="宋体" w:hAnsi="宋体" w:eastAsia="宋体" w:cs="宋体"/>
                <w:i w:val="0"/>
                <w:color w:val="000000"/>
                <w:sz w:val="18"/>
                <w:szCs w:val="18"/>
                <w:u w:val="none"/>
              </w:rPr>
            </w:pPr>
          </w:p>
        </w:tc>
      </w:tr>
      <w:tr w14:paraId="66C9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3" w:hRule="atLeast"/>
        </w:trPr>
        <w:tc>
          <w:tcPr>
            <w:tcW w:w="9660" w:type="dxa"/>
            <w:gridSpan w:val="11"/>
            <w:tcBorders>
              <w:top w:val="single" w:color="000000" w:sz="4" w:space="0"/>
              <w:left w:val="single" w:color="000000" w:sz="4" w:space="0"/>
              <w:bottom w:val="single" w:color="000000" w:sz="4" w:space="0"/>
              <w:right w:val="single" w:color="000000" w:sz="4" w:space="0"/>
            </w:tcBorders>
            <w:noWrap w:val="0"/>
            <w:vAlign w:val="center"/>
          </w:tcPr>
          <w:p w14:paraId="2EDADFE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ECC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0F7FD9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5D93FC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51113225T000012315927-“山海情”柯峨教育协作帮扶建设项目配套设施建设房屋征收及青苗补偿款等相关资金</w:t>
            </w:r>
          </w:p>
        </w:tc>
      </w:tr>
      <w:tr w14:paraId="10EE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301A1F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40A9B0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峨边彝族自治县沙坪镇人民政府本级</w:t>
            </w:r>
          </w:p>
        </w:tc>
        <w:tc>
          <w:tcPr>
            <w:tcW w:w="711" w:type="dxa"/>
            <w:noWrap w:val="0"/>
            <w:vAlign w:val="center"/>
          </w:tcPr>
          <w:p w14:paraId="3F6BBC7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31" w:type="dxa"/>
            <w:gridSpan w:val="3"/>
            <w:tcBorders>
              <w:top w:val="single" w:color="000000" w:sz="4" w:space="0"/>
              <w:left w:val="single" w:color="000000" w:sz="4" w:space="0"/>
              <w:bottom w:val="single" w:color="000000" w:sz="4" w:space="0"/>
              <w:right w:val="single" w:color="000000" w:sz="4" w:space="0"/>
            </w:tcBorders>
            <w:noWrap w:val="0"/>
            <w:vAlign w:val="center"/>
          </w:tcPr>
          <w:p w14:paraId="308C5E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峨边彝族自治县沙坪镇人民政府</w:t>
            </w:r>
          </w:p>
        </w:tc>
      </w:tr>
      <w:tr w14:paraId="6F3A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20D62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A4E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5C50DA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7AC7DA0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FD7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3"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D1D73">
            <w:pPr>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21F95">
            <w:pPr>
              <w:rPr>
                <w:rFonts w:hint="eastAsia" w:ascii="宋体" w:hAnsi="宋体" w:eastAsia="宋体" w:cs="宋体"/>
                <w:i w:val="0"/>
                <w:color w:val="000000"/>
                <w:sz w:val="18"/>
                <w:szCs w:val="18"/>
                <w:u w:val="none"/>
              </w:rPr>
            </w:pPr>
          </w:p>
        </w:tc>
        <w:tc>
          <w:tcPr>
            <w:tcW w:w="5004" w:type="dxa"/>
            <w:gridSpan w:val="5"/>
            <w:tcBorders>
              <w:top w:val="single" w:color="000000" w:sz="4" w:space="0"/>
              <w:left w:val="single" w:color="000000" w:sz="4" w:space="0"/>
              <w:bottom w:val="single" w:color="000000" w:sz="4" w:space="0"/>
              <w:right w:val="single" w:color="000000" w:sz="4" w:space="0"/>
            </w:tcBorders>
            <w:noWrap w:val="0"/>
            <w:vAlign w:val="center"/>
          </w:tcPr>
          <w:p w14:paraId="4A9368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山海情”柯峨教育协作帮扶建设项目配套设施建设房屋征收及青苗补偿款资金等相关资金，使“山海情”柯峨教育协作帮扶建设项目顺利完成。该项目有利于调整峨边教育布局，优化资源配置，将为师生提供良好的教学环境，提高满意度。</w:t>
            </w:r>
          </w:p>
        </w:tc>
        <w:tc>
          <w:tcPr>
            <w:tcW w:w="2942" w:type="dxa"/>
            <w:gridSpan w:val="4"/>
            <w:tcBorders>
              <w:top w:val="single" w:color="000000" w:sz="4" w:space="0"/>
              <w:left w:val="single" w:color="000000" w:sz="4" w:space="0"/>
              <w:bottom w:val="single" w:color="000000" w:sz="4" w:space="0"/>
              <w:right w:val="single" w:color="000000" w:sz="4" w:space="0"/>
            </w:tcBorders>
            <w:noWrap w:val="0"/>
            <w:vAlign w:val="center"/>
          </w:tcPr>
          <w:p w14:paraId="4A95211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346D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7887C">
            <w:pP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D53768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46" w:type="dxa"/>
            <w:gridSpan w:val="9"/>
            <w:tcBorders>
              <w:top w:val="single" w:color="000000" w:sz="4" w:space="0"/>
              <w:left w:val="single" w:color="000000" w:sz="4" w:space="0"/>
              <w:bottom w:val="single" w:color="000000" w:sz="4" w:space="0"/>
              <w:right w:val="single" w:color="000000" w:sz="4" w:space="0"/>
            </w:tcBorders>
            <w:noWrap w:val="0"/>
            <w:vAlign w:val="center"/>
          </w:tcPr>
          <w:p w14:paraId="0C49C6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了“山海情”柯峨教育协作帮扶建设项目配套设施建设房屋征收及青苗补偿款资金等相关资金，使“山海情”柯峨教育协作帮扶建设项目顺利完成。该项目有利于调整峨边教育布局，优化资源配置，将为师生提供良好的教学环境，提高了满意度。</w:t>
            </w:r>
          </w:p>
        </w:tc>
      </w:tr>
      <w:tr w14:paraId="261D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C6F6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5542A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6BB60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87419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0BBB48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6D96E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26756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FCFE3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F0CCF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03E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90D09">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9D1BA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1247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3EA69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176.19</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38B783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176.19</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668A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09E523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FE156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872B5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C7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6"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E690D">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D1270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02A89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3C059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176.19</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068A47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176.19</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0C7D2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206497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0BE86B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1CF80">
            <w:pPr>
              <w:rPr>
                <w:rFonts w:hint="eastAsia" w:ascii="黑体" w:hAnsi="黑体" w:eastAsia="黑体" w:cs="黑体"/>
                <w:i/>
                <w:color w:val="000000"/>
                <w:sz w:val="18"/>
                <w:szCs w:val="18"/>
                <w:u w:val="none"/>
              </w:rPr>
            </w:pPr>
          </w:p>
        </w:tc>
      </w:tr>
      <w:tr w14:paraId="4AC4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828F6">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47547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28487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2AE60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05CF95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1861B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57BC93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99019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E87B5">
            <w:pPr>
              <w:rPr>
                <w:rFonts w:hint="eastAsia" w:ascii="黑体" w:hAnsi="黑体" w:eastAsia="黑体" w:cs="黑体"/>
                <w:i/>
                <w:color w:val="000000"/>
                <w:sz w:val="18"/>
                <w:szCs w:val="18"/>
                <w:u w:val="none"/>
              </w:rPr>
            </w:pPr>
          </w:p>
        </w:tc>
      </w:tr>
      <w:tr w14:paraId="57C8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E83AD">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07D0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B3502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4372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1EEB02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5514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7698BA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58697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0B967">
            <w:pPr>
              <w:rPr>
                <w:rFonts w:hint="eastAsia" w:ascii="黑体" w:hAnsi="黑体" w:eastAsia="黑体" w:cs="黑体"/>
                <w:i/>
                <w:color w:val="000000"/>
                <w:sz w:val="18"/>
                <w:szCs w:val="18"/>
                <w:u w:val="none"/>
              </w:rPr>
            </w:pPr>
          </w:p>
        </w:tc>
      </w:tr>
      <w:tr w14:paraId="340C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7"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19E38">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8ED79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458D767">
            <w:pPr>
              <w:jc w:val="center"/>
              <w:rPr>
                <w:rFonts w:hint="eastAsia" w:ascii="微软雅黑" w:hAnsi="微软雅黑" w:eastAsia="微软雅黑" w:cs="微软雅黑"/>
                <w:i/>
                <w:color w:val="000000"/>
                <w:sz w:val="16"/>
                <w:szCs w:val="16"/>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93BDEC1">
            <w:pPr>
              <w:jc w:val="center"/>
              <w:rPr>
                <w:rFonts w:hint="eastAsia" w:ascii="微软雅黑" w:hAnsi="微软雅黑" w:eastAsia="微软雅黑" w:cs="微软雅黑"/>
                <w:i/>
                <w:color w:val="000000"/>
                <w:sz w:val="16"/>
                <w:szCs w:val="16"/>
                <w:u w:val="none"/>
              </w:rPr>
            </w:pPr>
          </w:p>
        </w:tc>
        <w:tc>
          <w:tcPr>
            <w:tcW w:w="2480" w:type="dxa"/>
            <w:gridSpan w:val="3"/>
            <w:tcBorders>
              <w:top w:val="single" w:color="000000" w:sz="4" w:space="0"/>
              <w:left w:val="single" w:color="000000" w:sz="4" w:space="0"/>
              <w:bottom w:val="single" w:color="000000" w:sz="4" w:space="0"/>
              <w:right w:val="single" w:color="000000" w:sz="4" w:space="0"/>
            </w:tcBorders>
            <w:noWrap w:val="0"/>
            <w:vAlign w:val="center"/>
          </w:tcPr>
          <w:p w14:paraId="7BABA629">
            <w:pPr>
              <w:jc w:val="center"/>
              <w:rPr>
                <w:rFonts w:hint="eastAsia" w:ascii="微软雅黑" w:hAnsi="微软雅黑" w:eastAsia="微软雅黑" w:cs="微软雅黑"/>
                <w:i/>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096D4302">
            <w:pPr>
              <w:jc w:val="center"/>
              <w:rPr>
                <w:rFonts w:hint="eastAsia" w:ascii="微软雅黑" w:hAnsi="微软雅黑" w:eastAsia="微软雅黑" w:cs="微软雅黑"/>
                <w:i/>
                <w:color w:val="000000"/>
                <w:sz w:val="16"/>
                <w:szCs w:val="16"/>
                <w:u w:val="none"/>
              </w:rPr>
            </w:pP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28AFF3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A05D4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B39D6">
            <w:pPr>
              <w:rPr>
                <w:rFonts w:hint="eastAsia" w:ascii="黑体" w:hAnsi="黑体" w:eastAsia="黑体" w:cs="黑体"/>
                <w:i/>
                <w:color w:val="000000"/>
                <w:sz w:val="18"/>
                <w:szCs w:val="18"/>
                <w:u w:val="none"/>
              </w:rPr>
            </w:pPr>
          </w:p>
        </w:tc>
      </w:tr>
      <w:tr w14:paraId="1E98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84A5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570DD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A9E54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DDD6C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56494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3DCF5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0C3D5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7BC53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2C6CE9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3144D8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4DBD1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AAA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8E752">
            <w:pPr>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E40955C">
            <w:pPr>
              <w:jc w:val="center"/>
              <w:rPr>
                <w:rFonts w:hint="eastAsia" w:ascii="宋体" w:hAnsi="宋体" w:eastAsia="宋体" w:cs="宋体"/>
                <w:i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38CE36E">
            <w:pPr>
              <w:jc w:val="center"/>
              <w:rPr>
                <w:rFonts w:hint="eastAsia" w:ascii="宋体" w:hAnsi="宋体" w:eastAsia="宋体" w:cs="宋体"/>
                <w:i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2A8A531">
            <w:pPr>
              <w:jc w:val="center"/>
              <w:rPr>
                <w:rFonts w:hint="eastAsia" w:ascii="宋体" w:hAnsi="宋体" w:eastAsia="宋体" w:cs="宋体"/>
                <w:i w:val="0"/>
                <w:color w:val="000000"/>
                <w:sz w:val="18"/>
                <w:szCs w:val="18"/>
                <w:u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1A90E1C">
            <w:pPr>
              <w:jc w:val="center"/>
              <w:rPr>
                <w:rFonts w:hint="eastAsia" w:ascii="宋体" w:hAnsi="宋体" w:eastAsia="宋体" w:cs="宋体"/>
                <w:i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28B0DDA">
            <w:pPr>
              <w:jc w:val="center"/>
              <w:rPr>
                <w:rFonts w:hint="eastAsia" w:ascii="宋体" w:hAnsi="宋体" w:eastAsia="宋体" w:cs="宋体"/>
                <w:i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EF43713">
            <w:pPr>
              <w:jc w:val="center"/>
              <w:rPr>
                <w:rFonts w:hint="eastAsia" w:ascii="宋体" w:hAnsi="宋体" w:eastAsia="宋体" w:cs="宋体"/>
                <w:i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9F2730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24B3E2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5334D7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59BBCD4">
            <w:pPr>
              <w:jc w:val="center"/>
              <w:rPr>
                <w:rFonts w:hint="eastAsia" w:ascii="微软雅黑" w:hAnsi="微软雅黑" w:eastAsia="微软雅黑" w:cs="微软雅黑"/>
                <w:i/>
                <w:color w:val="000000"/>
                <w:sz w:val="16"/>
                <w:szCs w:val="16"/>
                <w:u w:val="none"/>
              </w:rPr>
            </w:pPr>
          </w:p>
        </w:tc>
      </w:tr>
      <w:tr w14:paraId="6D6F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7429" w:type="dxa"/>
            <w:gridSpan w:val="8"/>
            <w:tcBorders>
              <w:top w:val="single" w:color="000000" w:sz="4" w:space="0"/>
              <w:left w:val="single" w:color="000000" w:sz="4" w:space="0"/>
              <w:bottom w:val="single" w:color="000000" w:sz="4" w:space="0"/>
              <w:right w:val="single" w:color="000000" w:sz="4" w:space="0"/>
            </w:tcBorders>
            <w:noWrap w:val="0"/>
            <w:vAlign w:val="center"/>
          </w:tcPr>
          <w:p w14:paraId="2068AD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6" w:type="dxa"/>
            <w:tcBorders>
              <w:top w:val="single" w:color="000000" w:sz="4" w:space="0"/>
              <w:left w:val="single" w:color="000000" w:sz="4" w:space="0"/>
              <w:bottom w:val="single" w:color="000000" w:sz="4" w:space="0"/>
              <w:right w:val="single" w:color="000000" w:sz="4" w:space="0"/>
            </w:tcBorders>
            <w:noWrap w:val="0"/>
            <w:vAlign w:val="center"/>
          </w:tcPr>
          <w:p w14:paraId="3026DF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14:paraId="4F99C7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9034B7C">
            <w:pPr>
              <w:rPr>
                <w:rFonts w:hint="eastAsia" w:ascii="宋体" w:hAnsi="宋体" w:eastAsia="宋体" w:cs="宋体"/>
                <w:i w:val="0"/>
                <w:color w:val="000000"/>
                <w:sz w:val="18"/>
                <w:szCs w:val="18"/>
                <w:u w:val="none"/>
              </w:rPr>
            </w:pPr>
          </w:p>
        </w:tc>
      </w:tr>
      <w:tr w14:paraId="4D2FC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6559A6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42909BC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总分为100分，保障了“山海情”柯峨教育协作帮扶建设项目配套设施建设房屋征收及青苗补偿款资金等相关资金，使“山海情”柯峨教育协作帮扶建设项目顺利完成。该项目有利于调整峨边教育布局，优化资源配置，将为师生提供良好的教学环境，提高了满意度。</w:t>
            </w:r>
          </w:p>
        </w:tc>
      </w:tr>
      <w:tr w14:paraId="445A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3F0B40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2164E29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FDE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7"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16BEF6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18" w:type="dxa"/>
            <w:gridSpan w:val="10"/>
            <w:tcBorders>
              <w:top w:val="single" w:color="000000" w:sz="4" w:space="0"/>
              <w:left w:val="single" w:color="000000" w:sz="4" w:space="0"/>
              <w:bottom w:val="single" w:color="000000" w:sz="4" w:space="0"/>
              <w:right w:val="single" w:color="000000" w:sz="4" w:space="0"/>
            </w:tcBorders>
            <w:noWrap w:val="0"/>
            <w:vAlign w:val="center"/>
          </w:tcPr>
          <w:p w14:paraId="04BF0B77">
            <w:pPr>
              <w:rPr>
                <w:rFonts w:hint="eastAsia" w:ascii="微软雅黑" w:hAnsi="微软雅黑" w:eastAsia="微软雅黑" w:cs="微软雅黑"/>
                <w:i/>
                <w:color w:val="000000"/>
                <w:sz w:val="16"/>
                <w:szCs w:val="16"/>
                <w:u w:val="none"/>
              </w:rPr>
            </w:pPr>
          </w:p>
        </w:tc>
      </w:tr>
      <w:tr w14:paraId="05AF2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664" w:type="dxa"/>
            <w:gridSpan w:val="5"/>
            <w:tcBorders>
              <w:top w:val="single" w:color="000000" w:sz="4" w:space="0"/>
              <w:left w:val="single" w:color="000000" w:sz="4" w:space="0"/>
              <w:bottom w:val="single" w:color="000000" w:sz="4" w:space="0"/>
              <w:right w:val="single" w:color="000000" w:sz="4" w:space="0"/>
            </w:tcBorders>
            <w:noWrap w:val="0"/>
            <w:vAlign w:val="center"/>
          </w:tcPr>
          <w:p w14:paraId="7DA2317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996" w:type="dxa"/>
            <w:gridSpan w:val="6"/>
            <w:tcBorders>
              <w:top w:val="single" w:color="000000" w:sz="4" w:space="0"/>
              <w:left w:val="single" w:color="000000" w:sz="4" w:space="0"/>
              <w:bottom w:val="single" w:color="000000" w:sz="4" w:space="0"/>
              <w:right w:val="single" w:color="000000" w:sz="4" w:space="0"/>
            </w:tcBorders>
            <w:noWrap w:val="0"/>
            <w:vAlign w:val="center"/>
          </w:tcPr>
          <w:p w14:paraId="0E7AE9B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8D8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42" w:type="dxa"/>
            <w:noWrap w:val="0"/>
            <w:vAlign w:val="center"/>
          </w:tcPr>
          <w:p w14:paraId="51945E07">
            <w:pPr>
              <w:rPr>
                <w:rFonts w:hint="eastAsia" w:ascii="宋体" w:hAnsi="宋体" w:eastAsia="宋体" w:cs="宋体"/>
                <w:i w:val="0"/>
                <w:color w:val="000000"/>
                <w:sz w:val="18"/>
                <w:szCs w:val="18"/>
                <w:u w:val="none"/>
              </w:rPr>
            </w:pPr>
          </w:p>
        </w:tc>
        <w:tc>
          <w:tcPr>
            <w:tcW w:w="1272" w:type="dxa"/>
            <w:noWrap w:val="0"/>
            <w:vAlign w:val="center"/>
          </w:tcPr>
          <w:p w14:paraId="5BBC3B32">
            <w:pPr>
              <w:rPr>
                <w:rFonts w:hint="eastAsia" w:ascii="宋体" w:hAnsi="宋体" w:eastAsia="宋体" w:cs="宋体"/>
                <w:i w:val="0"/>
                <w:color w:val="000000"/>
                <w:sz w:val="18"/>
                <w:szCs w:val="18"/>
                <w:u w:val="none"/>
              </w:rPr>
            </w:pPr>
          </w:p>
        </w:tc>
        <w:tc>
          <w:tcPr>
            <w:tcW w:w="1109" w:type="dxa"/>
            <w:noWrap w:val="0"/>
            <w:vAlign w:val="center"/>
          </w:tcPr>
          <w:p w14:paraId="0E38E6B5">
            <w:pPr>
              <w:rPr>
                <w:rFonts w:hint="eastAsia" w:ascii="宋体" w:hAnsi="宋体" w:eastAsia="宋体" w:cs="宋体"/>
                <w:i w:val="0"/>
                <w:color w:val="000000"/>
                <w:sz w:val="18"/>
                <w:szCs w:val="18"/>
                <w:u w:val="none"/>
              </w:rPr>
            </w:pPr>
          </w:p>
        </w:tc>
        <w:tc>
          <w:tcPr>
            <w:tcW w:w="1415" w:type="dxa"/>
            <w:noWrap w:val="0"/>
            <w:vAlign w:val="center"/>
          </w:tcPr>
          <w:p w14:paraId="53BB73F8">
            <w:pPr>
              <w:rPr>
                <w:rFonts w:hint="eastAsia" w:ascii="宋体" w:hAnsi="宋体" w:eastAsia="宋体" w:cs="宋体"/>
                <w:i w:val="0"/>
                <w:color w:val="000000"/>
                <w:sz w:val="18"/>
                <w:szCs w:val="18"/>
                <w:u w:val="none"/>
              </w:rPr>
            </w:pPr>
          </w:p>
        </w:tc>
        <w:tc>
          <w:tcPr>
            <w:tcW w:w="426" w:type="dxa"/>
            <w:noWrap w:val="0"/>
            <w:vAlign w:val="center"/>
          </w:tcPr>
          <w:p w14:paraId="23C201A6">
            <w:pPr>
              <w:rPr>
                <w:rFonts w:hint="eastAsia" w:ascii="宋体" w:hAnsi="宋体" w:eastAsia="宋体" w:cs="宋体"/>
                <w:i w:val="0"/>
                <w:color w:val="000000"/>
                <w:sz w:val="18"/>
                <w:szCs w:val="18"/>
                <w:u w:val="none"/>
              </w:rPr>
            </w:pPr>
          </w:p>
        </w:tc>
        <w:tc>
          <w:tcPr>
            <w:tcW w:w="1053" w:type="dxa"/>
            <w:noWrap w:val="0"/>
            <w:vAlign w:val="center"/>
          </w:tcPr>
          <w:p w14:paraId="4F50567F">
            <w:pPr>
              <w:rPr>
                <w:rFonts w:hint="eastAsia" w:ascii="宋体" w:hAnsi="宋体" w:eastAsia="宋体" w:cs="宋体"/>
                <w:i w:val="0"/>
                <w:color w:val="000000"/>
                <w:sz w:val="18"/>
                <w:szCs w:val="18"/>
                <w:u w:val="none"/>
              </w:rPr>
            </w:pPr>
          </w:p>
        </w:tc>
        <w:tc>
          <w:tcPr>
            <w:tcW w:w="1001" w:type="dxa"/>
            <w:noWrap w:val="0"/>
            <w:vAlign w:val="center"/>
          </w:tcPr>
          <w:p w14:paraId="51523841">
            <w:pPr>
              <w:rPr>
                <w:rFonts w:hint="eastAsia" w:ascii="宋体" w:hAnsi="宋体" w:eastAsia="宋体" w:cs="宋体"/>
                <w:i w:val="0"/>
                <w:color w:val="000000"/>
                <w:sz w:val="18"/>
                <w:szCs w:val="18"/>
                <w:u w:val="none"/>
              </w:rPr>
            </w:pPr>
          </w:p>
        </w:tc>
        <w:tc>
          <w:tcPr>
            <w:tcW w:w="711" w:type="dxa"/>
            <w:noWrap w:val="0"/>
            <w:vAlign w:val="center"/>
          </w:tcPr>
          <w:p w14:paraId="5576698D">
            <w:pPr>
              <w:rPr>
                <w:rFonts w:hint="eastAsia" w:ascii="宋体" w:hAnsi="宋体" w:eastAsia="宋体" w:cs="宋体"/>
                <w:i w:val="0"/>
                <w:color w:val="000000"/>
                <w:sz w:val="18"/>
                <w:szCs w:val="18"/>
                <w:u w:val="none"/>
              </w:rPr>
            </w:pPr>
          </w:p>
        </w:tc>
        <w:tc>
          <w:tcPr>
            <w:tcW w:w="326" w:type="dxa"/>
            <w:noWrap w:val="0"/>
            <w:vAlign w:val="center"/>
          </w:tcPr>
          <w:p w14:paraId="661754ED">
            <w:pPr>
              <w:rPr>
                <w:rFonts w:hint="eastAsia" w:ascii="宋体" w:hAnsi="宋体" w:eastAsia="宋体" w:cs="宋体"/>
                <w:i w:val="0"/>
                <w:color w:val="000000"/>
                <w:sz w:val="18"/>
                <w:szCs w:val="18"/>
                <w:u w:val="none"/>
              </w:rPr>
            </w:pPr>
          </w:p>
        </w:tc>
        <w:tc>
          <w:tcPr>
            <w:tcW w:w="300" w:type="dxa"/>
            <w:noWrap w:val="0"/>
            <w:vAlign w:val="center"/>
          </w:tcPr>
          <w:p w14:paraId="2FB232A8">
            <w:pPr>
              <w:rPr>
                <w:rFonts w:hint="eastAsia" w:ascii="宋体" w:hAnsi="宋体" w:eastAsia="宋体" w:cs="宋体"/>
                <w:i w:val="0"/>
                <w:color w:val="000000"/>
                <w:sz w:val="18"/>
                <w:szCs w:val="18"/>
                <w:u w:val="none"/>
              </w:rPr>
            </w:pPr>
          </w:p>
        </w:tc>
        <w:tc>
          <w:tcPr>
            <w:tcW w:w="1605" w:type="dxa"/>
            <w:noWrap w:val="0"/>
            <w:vAlign w:val="center"/>
          </w:tcPr>
          <w:p w14:paraId="5AE9FA24">
            <w:pPr>
              <w:rPr>
                <w:rFonts w:hint="eastAsia" w:ascii="宋体" w:hAnsi="宋体" w:eastAsia="宋体" w:cs="宋体"/>
                <w:i w:val="0"/>
                <w:color w:val="000000"/>
                <w:sz w:val="18"/>
                <w:szCs w:val="18"/>
                <w:u w:val="none"/>
              </w:rPr>
            </w:pPr>
          </w:p>
        </w:tc>
      </w:tr>
      <w:tr w14:paraId="35D8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9660" w:type="dxa"/>
            <w:gridSpan w:val="11"/>
            <w:noWrap w:val="0"/>
            <w:vAlign w:val="center"/>
          </w:tcPr>
          <w:p w14:paraId="10002854">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ascii="宋体" w:hAnsi="宋体" w:eastAsia="宋体" w:cs="宋体"/>
                <w:i w:val="0"/>
                <w:color w:val="000000"/>
                <w:kern w:val="0"/>
                <w:sz w:val="18"/>
                <w:szCs w:val="18"/>
                <w:u w:val="none"/>
                <w:lang w:val="en-US" w:eastAsia="zh-CN" w:bidi="ar"/>
              </w:rPr>
              <w:t>报表说明</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该报表查询项目信息、绩效目标信息、预算及执行情况，用于预算单位查询导出开展项目自评。</w:t>
            </w:r>
          </w:p>
        </w:tc>
      </w:tr>
      <w:tr w14:paraId="0367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9660" w:type="dxa"/>
            <w:gridSpan w:val="11"/>
            <w:noWrap w:val="0"/>
            <w:vAlign w:val="center"/>
          </w:tcPr>
          <w:p w14:paraId="55928F29">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r>
              <w:rPr>
                <w:rFonts w:ascii="宋体" w:hAnsi="宋体" w:eastAsia="宋体" w:cs="宋体"/>
                <w:i w:val="0"/>
                <w:color w:val="000000"/>
                <w:kern w:val="0"/>
                <w:sz w:val="18"/>
                <w:szCs w:val="18"/>
                <w:u w:val="none"/>
                <w:lang w:val="en-US" w:eastAsia="zh-CN" w:bidi="ar"/>
              </w:rPr>
              <w:t>取数口径：部门项目绩效目标表信息，包括年初预算、追加预算、结转预算和调整预算的绩效目标（以项目的最终绩效目标为准）。</w:t>
            </w:r>
          </w:p>
        </w:tc>
      </w:tr>
      <w:tr w14:paraId="39C6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9660" w:type="dxa"/>
            <w:gridSpan w:val="11"/>
            <w:noWrap w:val="0"/>
            <w:vAlign w:val="center"/>
          </w:tcPr>
          <w:p w14:paraId="3BADA4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适用地区：全省范围</w:t>
            </w:r>
          </w:p>
        </w:tc>
      </w:tr>
      <w:tr w14:paraId="7DA3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9660" w:type="dxa"/>
            <w:gridSpan w:val="11"/>
            <w:noWrap w:val="0"/>
            <w:vAlign w:val="center"/>
          </w:tcPr>
          <w:p w14:paraId="1C5943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适用用户：部门用户、单位用户</w:t>
            </w:r>
          </w:p>
        </w:tc>
      </w:tr>
    </w:tbl>
    <w:p w14:paraId="2D02DC54">
      <w:pPr>
        <w:rPr>
          <w:rFonts w:hint="eastAsia" w:ascii="Times New Roman" w:hAnsi="Times New Roman" w:eastAsia="黑体" w:cs="黑体"/>
          <w:color w:val="auto"/>
          <w:kern w:val="0"/>
          <w:sz w:val="32"/>
          <w:szCs w:val="32"/>
          <w:highlight w:val="none"/>
          <w:shd w:val="clear" w:color="auto" w:fill="FFFFFF"/>
          <w:lang w:val="zh-CN"/>
        </w:rPr>
      </w:pPr>
    </w:p>
    <w:p w14:paraId="61F2BD3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5401FB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3D0025D">
      <w:pPr>
        <w:pStyle w:val="2"/>
        <w:rPr>
          <w:rFonts w:hint="eastAsia" w:ascii="Times New Roman" w:hAnsi="Times New Roman" w:eastAsia="仿宋_GB2312" w:cs="仿宋_GB2312"/>
          <w:b w:val="0"/>
          <w:bCs w:val="0"/>
          <w:kern w:val="0"/>
          <w:position w:val="0"/>
          <w:sz w:val="32"/>
          <w:szCs w:val="32"/>
          <w:highlight w:val="none"/>
          <w:lang w:val="en-US" w:eastAsia="zh-CN" w:bidi="ar-SA"/>
        </w:rPr>
      </w:pPr>
    </w:p>
    <w:p w14:paraId="4F029A04">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3531C1C3">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77B2280D">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43F209D5">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7653852D">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0694DB79">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5909536D">
      <w:pPr>
        <w:pStyle w:val="10"/>
        <w:rPr>
          <w:rFonts w:hint="eastAsia" w:ascii="Times New Roman" w:hAnsi="Times New Roman" w:eastAsia="黑体" w:cs="黑体"/>
          <w:color w:val="auto"/>
          <w:kern w:val="0"/>
          <w:sz w:val="32"/>
          <w:szCs w:val="32"/>
          <w:highlight w:val="none"/>
          <w:shd w:val="clear" w:color="auto" w:fill="FFFFFF"/>
          <w:lang w:val="en-US" w:eastAsia="zh-CN"/>
        </w:rPr>
      </w:pPr>
      <w:bookmarkStart w:id="53" w:name="_Toc15396618"/>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32561329">
      <w:pPr>
        <w:pStyle w:val="37"/>
        <w:spacing w:line="600" w:lineRule="exact"/>
        <w:ind w:firstLine="883"/>
        <w:jc w:val="center"/>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5E92ECF8">
      <w:pPr>
        <w:pStyle w:val="37"/>
        <w:spacing w:line="600" w:lineRule="exact"/>
        <w:ind w:firstLine="883"/>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u w:val="single"/>
          <w:lang w:val="en-US" w:eastAsia="zh-CN"/>
        </w:rPr>
        <w:t>农村公共服务运行维护费</w:t>
      </w:r>
      <w:r>
        <w:rPr>
          <w:rFonts w:hint="eastAsia" w:ascii="仿宋_GB2312" w:hAnsi="宋体" w:eastAsia="仿宋_GB2312"/>
          <w:color w:val="auto"/>
          <w:kern w:val="2"/>
          <w:sz w:val="32"/>
          <w:szCs w:val="32"/>
        </w:rPr>
        <w:t>）</w:t>
      </w:r>
    </w:p>
    <w:p w14:paraId="6E3D5B34">
      <w:pPr>
        <w:pStyle w:val="37"/>
        <w:spacing w:line="600" w:lineRule="exact"/>
        <w:ind w:firstLine="640"/>
        <w:jc w:val="center"/>
        <w:rPr>
          <w:rFonts w:ascii="宋体" w:hAnsi="宋体"/>
          <w:color w:val="auto"/>
          <w:kern w:val="2"/>
          <w:sz w:val="32"/>
          <w:szCs w:val="32"/>
        </w:rPr>
      </w:pPr>
    </w:p>
    <w:p w14:paraId="300F57E0">
      <w:pPr>
        <w:adjustRightInd w:val="0"/>
        <w:snapToGrid w:val="0"/>
        <w:spacing w:line="600" w:lineRule="exact"/>
        <w:ind w:firstLine="720"/>
        <w:rPr>
          <w:rFonts w:hint="eastAsia" w:ascii="黑体" w:hAnsi="黑体" w:eastAsia="黑体" w:cs="Times New Roman"/>
          <w:color w:val="auto"/>
          <w:kern w:val="2"/>
          <w:sz w:val="32"/>
          <w:szCs w:val="32"/>
          <w:highlight w:val="none"/>
          <w:lang w:val="zh-CN" w:eastAsia="zh-CN" w:bidi="ar-SA"/>
        </w:rPr>
      </w:pPr>
      <w:r>
        <w:rPr>
          <w:rFonts w:hint="eastAsia" w:ascii="黑体" w:hAnsi="黑体" w:eastAsia="黑体" w:cs="Times New Roman"/>
          <w:color w:val="auto"/>
          <w:kern w:val="2"/>
          <w:sz w:val="32"/>
          <w:szCs w:val="32"/>
          <w:highlight w:val="none"/>
          <w:lang w:val="en-US" w:eastAsia="zh-CN" w:bidi="ar-SA"/>
        </w:rPr>
        <w:t>一、</w:t>
      </w:r>
      <w:r>
        <w:rPr>
          <w:rFonts w:hint="eastAsia" w:ascii="黑体" w:hAnsi="黑体" w:eastAsia="黑体" w:cs="Times New Roman"/>
          <w:color w:val="auto"/>
          <w:kern w:val="2"/>
          <w:sz w:val="32"/>
          <w:szCs w:val="32"/>
          <w:highlight w:val="none"/>
          <w:lang w:val="zh-CN" w:eastAsia="zh-CN" w:bidi="ar-SA"/>
        </w:rPr>
        <w:t>项目概况</w:t>
      </w:r>
    </w:p>
    <w:p w14:paraId="4577D13D">
      <w:pPr>
        <w:suppressAutoHyphens/>
        <w:bidi w:val="0"/>
        <w:spacing w:line="600" w:lineRule="exact"/>
        <w:ind w:firstLine="643" w:firstLineChars="200"/>
        <w:outlineLvl w:val="2"/>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（一）项目基本情况。</w:t>
      </w:r>
    </w:p>
    <w:p w14:paraId="385B087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1.沙坪镇</w:t>
      </w:r>
      <w:r>
        <w:rPr>
          <w:rFonts w:hint="eastAsia" w:ascii="仿宋_GB2312" w:hAnsi="仿宋_GB2312" w:eastAsia="仿宋_GB2312" w:cs="仿宋_GB2312"/>
          <w:color w:val="auto"/>
          <w:kern w:val="2"/>
          <w:sz w:val="32"/>
          <w:szCs w:val="32"/>
          <w:highlight w:val="none"/>
          <w:lang w:val="en-US" w:eastAsia="zh-CN" w:bidi="ar-SA"/>
        </w:rPr>
        <w:t>在该项目的实施过程中主要承担科学、合理地使用该笔经费，确保资金使用安全合理、合规职能，有效保障村级公共服务有效运行的职能。</w:t>
      </w:r>
    </w:p>
    <w:p w14:paraId="3AC447A5">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2.项目立项、资金申报的依据是根据工作实际需要参照往年申报情况进行申报。</w:t>
      </w:r>
    </w:p>
    <w:p w14:paraId="4E7B05D1">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资金管理办法制定情况，资金支持具体项目的条件、范围与支持方式概况。严格按照《中华人民共和国会计法》《中华人民共和国预算法》等财经法律法规，在资金管理制定和分配管理方面科学合理、规范有序，突出重点，符合财政资金改革方向。</w:t>
      </w:r>
    </w:p>
    <w:p w14:paraId="5ABD5014">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4.资金分配的原则及考虑因素。资金分配原则根据业务工作难度系数化及工作量化原则，考虑因素为开展工作的难度、业务工作强度、业务工作数量频次等。合理分配，突出重点，资金分配和使用方向与资金管理方法相符。</w:t>
      </w:r>
    </w:p>
    <w:p w14:paraId="0D600498">
      <w:pPr>
        <w:suppressAutoHyphens/>
        <w:bidi w:val="0"/>
        <w:spacing w:line="600" w:lineRule="exact"/>
        <w:ind w:firstLine="643" w:firstLineChars="200"/>
        <w:outlineLvl w:val="2"/>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（二）项目绩效目标。</w:t>
      </w:r>
    </w:p>
    <w:p w14:paraId="4028F231">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1.项目主要内容。该项目主要用于辖区内</w:t>
      </w:r>
      <w:r>
        <w:rPr>
          <w:rFonts w:hint="eastAsia" w:ascii="仿宋_GB2312" w:hAnsi="仿宋_GB2312" w:eastAsia="仿宋_GB2312" w:cs="仿宋_GB2312"/>
          <w:color w:val="auto"/>
          <w:kern w:val="2"/>
          <w:sz w:val="32"/>
          <w:szCs w:val="32"/>
          <w:highlight w:val="none"/>
          <w:lang w:val="en-US" w:eastAsia="zh-CN" w:bidi="ar-SA"/>
        </w:rPr>
        <w:t>15个村4个社区办公经费及公共服务运行维护费。</w:t>
      </w:r>
    </w:p>
    <w:p w14:paraId="0642217B">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2.项目应实现的具体绩效目标，包括目标的量化、细化情况以及项目实施进度计划等。按照沙坪镇20</w:t>
      </w:r>
      <w:r>
        <w:rPr>
          <w:rFonts w:hint="eastAsia" w:ascii="仿宋_GB2312" w:hAnsi="仿宋_GB2312" w:eastAsia="仿宋_GB2312" w:cs="仿宋_GB2312"/>
          <w:color w:val="auto"/>
          <w:kern w:val="2"/>
          <w:sz w:val="32"/>
          <w:szCs w:val="32"/>
          <w:highlight w:val="none"/>
          <w:lang w:val="en-US" w:eastAsia="zh-CN" w:bidi="ar-SA"/>
        </w:rPr>
        <w:t>24</w:t>
      </w:r>
      <w:r>
        <w:rPr>
          <w:rFonts w:hint="eastAsia" w:ascii="仿宋_GB2312" w:hAnsi="仿宋_GB2312" w:eastAsia="仿宋_GB2312" w:cs="仿宋_GB2312"/>
          <w:color w:val="auto"/>
          <w:kern w:val="2"/>
          <w:sz w:val="32"/>
          <w:szCs w:val="32"/>
          <w:highlight w:val="none"/>
          <w:lang w:val="zh-CN" w:eastAsia="zh-CN" w:bidi="ar-SA"/>
        </w:rPr>
        <w:t>年工作计划，完成年内项目组织管理任务，做好各类项目执行的全过程监督管理工作，确保各类项目按计划有效实施。在年度内完成各项目资金支出进度要求，保障全镇</w:t>
      </w:r>
      <w:r>
        <w:rPr>
          <w:rFonts w:hint="eastAsia" w:ascii="仿宋_GB2312" w:hAnsi="仿宋_GB2312" w:eastAsia="仿宋_GB2312" w:cs="仿宋_GB2312"/>
          <w:color w:val="auto"/>
          <w:kern w:val="2"/>
          <w:sz w:val="32"/>
          <w:szCs w:val="32"/>
          <w:highlight w:val="none"/>
          <w:lang w:val="en-US" w:eastAsia="zh-CN" w:bidi="ar-SA"/>
        </w:rPr>
        <w:t>15个村4</w:t>
      </w:r>
      <w:r>
        <w:rPr>
          <w:rFonts w:hint="eastAsia" w:ascii="仿宋_GB2312" w:hAnsi="仿宋_GB2312" w:eastAsia="仿宋_GB2312" w:cs="仿宋_GB2312"/>
          <w:color w:val="auto"/>
          <w:kern w:val="2"/>
          <w:sz w:val="32"/>
          <w:szCs w:val="32"/>
          <w:highlight w:val="none"/>
          <w:lang w:val="zh-CN" w:eastAsia="zh-CN" w:bidi="ar-SA"/>
        </w:rPr>
        <w:t>个社区各项工作顺利开展。确保资金专款专用，使用合理安全规范，保证人民群众对农村公共服务运行维护的满意度达到9</w:t>
      </w:r>
      <w:r>
        <w:rPr>
          <w:rFonts w:hint="eastAsia" w:ascii="仿宋_GB2312" w:hAnsi="仿宋_GB2312" w:eastAsia="仿宋_GB2312" w:cs="仿宋_GB2312"/>
          <w:color w:val="auto"/>
          <w:kern w:val="2"/>
          <w:sz w:val="32"/>
          <w:szCs w:val="32"/>
          <w:highlight w:val="none"/>
          <w:lang w:val="en-US" w:eastAsia="zh-CN" w:bidi="ar-SA"/>
        </w:rPr>
        <w:t>8</w:t>
      </w:r>
      <w:r>
        <w:rPr>
          <w:rFonts w:hint="eastAsia" w:ascii="仿宋_GB2312" w:hAnsi="仿宋_GB2312" w:eastAsia="仿宋_GB2312" w:cs="仿宋_GB2312"/>
          <w:color w:val="auto"/>
          <w:kern w:val="2"/>
          <w:sz w:val="32"/>
          <w:szCs w:val="32"/>
          <w:highlight w:val="none"/>
          <w:lang w:val="zh-CN" w:eastAsia="zh-CN" w:bidi="ar-SA"/>
        </w:rPr>
        <w:t>%以上。</w:t>
      </w:r>
    </w:p>
    <w:p w14:paraId="79A99D1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3.分析评价申报内容是否与实际相符，申报目标是否合理可行。申报内容与实际相符，申报目标合理可行。</w:t>
      </w:r>
    </w:p>
    <w:p w14:paraId="55249EBE">
      <w:pPr>
        <w:suppressAutoHyphens/>
        <w:bidi w:val="0"/>
        <w:spacing w:line="600" w:lineRule="exact"/>
        <w:ind w:firstLine="643" w:firstLineChars="200"/>
        <w:outlineLvl w:val="2"/>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（三）项目自评步骤及方法。</w:t>
      </w:r>
    </w:p>
    <w:p w14:paraId="1BDD34D4">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该项目绩效自评根据项目支出绩效评价指标体系内容，结合工作开展情况，逐项量化评价。</w:t>
      </w:r>
    </w:p>
    <w:p w14:paraId="3F08BC4A">
      <w:pPr>
        <w:suppressAutoHyphens/>
        <w:bidi w:val="0"/>
        <w:spacing w:line="600" w:lineRule="exact"/>
        <w:ind w:firstLine="640" w:firstLineChars="200"/>
        <w:outlineLvl w:val="1"/>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二、项目资金申报及使用情况</w:t>
      </w:r>
    </w:p>
    <w:p w14:paraId="4EC0A470">
      <w:pPr>
        <w:suppressAutoHyphens/>
        <w:bidi w:val="0"/>
        <w:spacing w:line="600" w:lineRule="exact"/>
        <w:ind w:firstLine="643" w:firstLineChars="200"/>
        <w:outlineLvl w:val="2"/>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（一）项目资金申报及批复情况。</w:t>
      </w:r>
    </w:p>
    <w:p w14:paraId="3B7F5D3B">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农村公共服务运行维护费项目，2024年预算批复资金   333.6万元。</w:t>
      </w:r>
    </w:p>
    <w:p w14:paraId="6B0FB3B5">
      <w:pPr>
        <w:suppressAutoHyphens/>
        <w:bidi w:val="0"/>
        <w:spacing w:line="600" w:lineRule="exact"/>
        <w:ind w:firstLine="643" w:firstLineChars="200"/>
        <w:outlineLvl w:val="2"/>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（二）资金计划、到位及使用情况（可用表格形式反映）。</w:t>
      </w:r>
    </w:p>
    <w:p w14:paraId="659100FB">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1.资金计划。</w:t>
      </w:r>
      <w:r>
        <w:rPr>
          <w:rFonts w:hint="eastAsia" w:ascii="仿宋_GB2312" w:hAnsi="仿宋_GB2312" w:eastAsia="仿宋_GB2312" w:cs="仿宋_GB2312"/>
          <w:color w:val="auto"/>
          <w:kern w:val="2"/>
          <w:sz w:val="32"/>
          <w:szCs w:val="32"/>
          <w:highlight w:val="none"/>
          <w:lang w:val="en-US" w:eastAsia="zh-CN" w:bidi="ar-SA"/>
        </w:rPr>
        <w:t>农村公共服务运行维护费项目在</w:t>
      </w:r>
      <w:r>
        <w:rPr>
          <w:rFonts w:hint="eastAsia" w:ascii="仿宋_GB2312" w:hAnsi="仿宋_GB2312" w:eastAsia="仿宋_GB2312" w:cs="仿宋_GB2312"/>
          <w:color w:val="auto"/>
          <w:kern w:val="2"/>
          <w:sz w:val="32"/>
          <w:szCs w:val="32"/>
          <w:highlight w:val="none"/>
          <w:lang w:val="zh-CN" w:eastAsia="zh-CN" w:bidi="ar-SA"/>
        </w:rPr>
        <w:t>资金计划的基础上，财政安排</w:t>
      </w:r>
      <w:r>
        <w:rPr>
          <w:rFonts w:hint="eastAsia" w:ascii="仿宋_GB2312" w:hAnsi="仿宋_GB2312" w:eastAsia="仿宋_GB2312" w:cs="仿宋_GB2312"/>
          <w:color w:val="auto"/>
          <w:kern w:val="2"/>
          <w:sz w:val="32"/>
          <w:szCs w:val="32"/>
          <w:highlight w:val="none"/>
          <w:lang w:val="en-US" w:eastAsia="zh-CN" w:bidi="ar-SA"/>
        </w:rPr>
        <w:t>333.6万元</w:t>
      </w:r>
      <w:r>
        <w:rPr>
          <w:rFonts w:hint="eastAsia" w:ascii="仿宋_GB2312" w:hAnsi="仿宋_GB2312" w:eastAsia="仿宋_GB2312" w:cs="仿宋_GB2312"/>
          <w:color w:val="auto"/>
          <w:kern w:val="2"/>
          <w:sz w:val="32"/>
          <w:szCs w:val="32"/>
          <w:highlight w:val="none"/>
          <w:lang w:val="zh-CN" w:eastAsia="zh-CN" w:bidi="ar-SA"/>
        </w:rPr>
        <w:t>。</w:t>
      </w:r>
    </w:p>
    <w:p w14:paraId="6F73795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2.资金到位。截至</w:t>
      </w:r>
      <w:r>
        <w:rPr>
          <w:rFonts w:hint="eastAsia" w:ascii="仿宋_GB2312" w:hAnsi="仿宋_GB2312" w:eastAsia="仿宋_GB2312" w:cs="仿宋_GB2312"/>
          <w:color w:val="auto"/>
          <w:kern w:val="2"/>
          <w:sz w:val="32"/>
          <w:szCs w:val="32"/>
          <w:highlight w:val="none"/>
          <w:lang w:val="en-US" w:eastAsia="zh-CN" w:bidi="ar-SA"/>
        </w:rPr>
        <w:t>2024年12月31日，农村公共服务运行维护费项目</w:t>
      </w:r>
      <w:r>
        <w:rPr>
          <w:rFonts w:hint="eastAsia" w:ascii="仿宋_GB2312" w:hAnsi="仿宋_GB2312" w:eastAsia="仿宋_GB2312" w:cs="仿宋_GB2312"/>
          <w:color w:val="auto"/>
          <w:kern w:val="2"/>
          <w:sz w:val="32"/>
          <w:szCs w:val="32"/>
          <w:highlight w:val="none"/>
          <w:lang w:val="zh-CN" w:eastAsia="zh-CN" w:bidi="ar-SA"/>
        </w:rPr>
        <w:t>资金到位</w:t>
      </w:r>
      <w:r>
        <w:rPr>
          <w:rFonts w:hint="eastAsia" w:ascii="仿宋_GB2312" w:hAnsi="仿宋_GB2312" w:eastAsia="仿宋_GB2312" w:cs="仿宋_GB2312"/>
          <w:color w:val="auto"/>
          <w:kern w:val="2"/>
          <w:sz w:val="32"/>
          <w:szCs w:val="32"/>
          <w:highlight w:val="none"/>
          <w:lang w:val="en-US" w:eastAsia="zh-CN" w:bidi="ar-SA"/>
        </w:rPr>
        <w:t>333.6万元</w:t>
      </w:r>
      <w:r>
        <w:rPr>
          <w:rFonts w:hint="eastAsia" w:ascii="仿宋_GB2312" w:hAnsi="仿宋_GB2312" w:eastAsia="仿宋_GB2312" w:cs="仿宋_GB2312"/>
          <w:color w:val="auto"/>
          <w:kern w:val="2"/>
          <w:sz w:val="32"/>
          <w:szCs w:val="32"/>
          <w:highlight w:val="none"/>
          <w:lang w:val="zh-CN" w:eastAsia="zh-CN" w:bidi="ar-SA"/>
        </w:rPr>
        <w:t>。资金到位情况与资金计划进行比对，到位比例</w:t>
      </w:r>
      <w:r>
        <w:rPr>
          <w:rFonts w:hint="eastAsia" w:ascii="仿宋_GB2312" w:hAnsi="仿宋_GB2312" w:eastAsia="仿宋_GB2312" w:cs="仿宋_GB2312"/>
          <w:color w:val="auto"/>
          <w:kern w:val="2"/>
          <w:sz w:val="32"/>
          <w:szCs w:val="32"/>
          <w:highlight w:val="none"/>
          <w:lang w:val="en-US" w:eastAsia="zh-CN" w:bidi="ar-SA"/>
        </w:rPr>
        <w:t>100%。</w:t>
      </w:r>
    </w:p>
    <w:p w14:paraId="06B95F2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3.资金使用。截至</w:t>
      </w:r>
      <w:r>
        <w:rPr>
          <w:rFonts w:hint="eastAsia" w:ascii="仿宋_GB2312" w:hAnsi="仿宋_GB2312" w:eastAsia="仿宋_GB2312" w:cs="仿宋_GB2312"/>
          <w:color w:val="auto"/>
          <w:kern w:val="2"/>
          <w:sz w:val="32"/>
          <w:szCs w:val="32"/>
          <w:highlight w:val="none"/>
          <w:lang w:val="en-US" w:eastAsia="zh-CN" w:bidi="ar-SA"/>
        </w:rPr>
        <w:t>2024年12月31日，农村公共服务运行维护费项目</w:t>
      </w:r>
      <w:r>
        <w:rPr>
          <w:rFonts w:hint="eastAsia" w:ascii="仿宋_GB2312" w:hAnsi="仿宋_GB2312" w:eastAsia="仿宋_GB2312" w:cs="仿宋_GB2312"/>
          <w:color w:val="auto"/>
          <w:kern w:val="2"/>
          <w:sz w:val="32"/>
          <w:szCs w:val="32"/>
          <w:highlight w:val="none"/>
          <w:lang w:val="zh-CN" w:eastAsia="zh-CN" w:bidi="ar-SA"/>
        </w:rPr>
        <w:t>资金使用</w:t>
      </w:r>
      <w:r>
        <w:rPr>
          <w:rFonts w:hint="eastAsia" w:ascii="仿宋_GB2312" w:hAnsi="仿宋_GB2312" w:eastAsia="仿宋_GB2312" w:cs="仿宋_GB2312"/>
          <w:color w:val="auto"/>
          <w:kern w:val="2"/>
          <w:sz w:val="32"/>
          <w:szCs w:val="32"/>
          <w:highlight w:val="none"/>
          <w:lang w:val="en-US" w:eastAsia="zh-CN" w:bidi="ar-SA"/>
        </w:rPr>
        <w:t>333.6万元，使用比例100%。</w:t>
      </w:r>
    </w:p>
    <w:p w14:paraId="41BFEDB0">
      <w:pPr>
        <w:suppressAutoHyphens/>
        <w:bidi w:val="0"/>
        <w:spacing w:line="600" w:lineRule="exact"/>
        <w:ind w:firstLine="643" w:firstLineChars="200"/>
        <w:outlineLvl w:val="2"/>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eastAsia="zh-CN"/>
        </w:rPr>
        <w:t>（三</w:t>
      </w:r>
      <w:r>
        <w:rPr>
          <w:rFonts w:hint="eastAsia" w:ascii="Times New Roman" w:hAnsi="Times New Roman" w:eastAsia="楷体_GB2312" w:cs="楷体_GB2312"/>
          <w:b/>
          <w:color w:val="auto"/>
          <w:sz w:val="32"/>
          <w:szCs w:val="32"/>
          <w:highlight w:val="none"/>
          <w:lang w:val="zh-CN"/>
        </w:rPr>
        <w:t>）项目财务管理情况。</w:t>
      </w:r>
    </w:p>
    <w:p w14:paraId="0B8D3E5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为加强</w:t>
      </w:r>
      <w:r>
        <w:rPr>
          <w:rFonts w:hint="eastAsia" w:ascii="仿宋_GB2312" w:hAnsi="仿宋_GB2312" w:eastAsia="仿宋_GB2312" w:cs="仿宋_GB2312"/>
          <w:color w:val="auto"/>
          <w:kern w:val="2"/>
          <w:sz w:val="32"/>
          <w:szCs w:val="32"/>
          <w:highlight w:val="none"/>
          <w:lang w:val="en-US" w:eastAsia="zh-CN" w:bidi="ar-SA"/>
        </w:rPr>
        <w:t>专项</w:t>
      </w:r>
      <w:r>
        <w:rPr>
          <w:rFonts w:hint="eastAsia" w:ascii="仿宋_GB2312" w:hAnsi="仿宋_GB2312" w:eastAsia="仿宋_GB2312" w:cs="仿宋_GB2312"/>
          <w:color w:val="auto"/>
          <w:kern w:val="2"/>
          <w:sz w:val="32"/>
          <w:szCs w:val="32"/>
          <w:highlight w:val="none"/>
          <w:lang w:val="zh-CN" w:eastAsia="zh-CN" w:bidi="ar-SA"/>
        </w:rPr>
        <w:t>资金的管理和监督，规范</w:t>
      </w:r>
      <w:r>
        <w:rPr>
          <w:rFonts w:hint="eastAsia" w:ascii="仿宋_GB2312" w:hAnsi="仿宋_GB2312" w:eastAsia="仿宋_GB2312" w:cs="仿宋_GB2312"/>
          <w:color w:val="auto"/>
          <w:kern w:val="2"/>
          <w:sz w:val="32"/>
          <w:szCs w:val="32"/>
          <w:highlight w:val="none"/>
          <w:lang w:val="en-US" w:eastAsia="zh-CN" w:bidi="ar-SA"/>
        </w:rPr>
        <w:t>专项</w:t>
      </w:r>
      <w:r>
        <w:rPr>
          <w:rFonts w:hint="eastAsia" w:ascii="仿宋_GB2312" w:hAnsi="仿宋_GB2312" w:eastAsia="仿宋_GB2312" w:cs="仿宋_GB2312"/>
          <w:color w:val="auto"/>
          <w:kern w:val="2"/>
          <w:sz w:val="32"/>
          <w:szCs w:val="32"/>
          <w:highlight w:val="none"/>
          <w:lang w:val="zh-CN" w:eastAsia="zh-CN" w:bidi="ar-SA"/>
        </w:rPr>
        <w:t>资金使用，提高资金使用效率，制定了经费管理制度，该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r>
        <w:rPr>
          <w:rFonts w:hint="eastAsia" w:ascii="仿宋_GB2312" w:hAnsi="仿宋_GB2312" w:eastAsia="仿宋_GB2312" w:cs="仿宋_GB2312"/>
          <w:color w:val="auto"/>
          <w:kern w:val="2"/>
          <w:sz w:val="32"/>
          <w:szCs w:val="32"/>
          <w:highlight w:val="none"/>
          <w:lang w:val="en-US" w:eastAsia="zh-CN" w:bidi="ar-SA"/>
        </w:rPr>
        <w:t xml:space="preserve"> </w:t>
      </w:r>
    </w:p>
    <w:p w14:paraId="610C3E3A">
      <w:pPr>
        <w:suppressAutoHyphens/>
        <w:bidi w:val="0"/>
        <w:spacing w:line="600" w:lineRule="exact"/>
        <w:ind w:firstLine="640" w:firstLineChars="200"/>
        <w:outlineLvl w:val="1"/>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三、项目实施及管理情况</w:t>
      </w:r>
    </w:p>
    <w:p w14:paraId="3A67513A">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结合项目组织实施管理办法，重点围绕以下内容进行分析评价，并对自评中发现的问题分析说明。</w:t>
      </w:r>
    </w:p>
    <w:p w14:paraId="570DCD5C">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仿宋_GB2312" w:hAnsi="仿宋_GB2312" w:eastAsia="仿宋_GB2312" w:cs="仿宋_GB2312"/>
          <w:sz w:val="32"/>
          <w:szCs w:val="32"/>
          <w:lang w:val="zh-CN" w:eastAsia="zh-CN"/>
        </w:rPr>
      </w:pPr>
      <w:r>
        <w:rPr>
          <w:rFonts w:hint="eastAsia" w:eastAsia="楷体_GB2312" w:cs="楷体_GB2312"/>
          <w:b/>
          <w:color w:val="auto"/>
          <w:sz w:val="32"/>
          <w:szCs w:val="32"/>
          <w:highlight w:val="none"/>
          <w:lang w:val="en-US" w:eastAsia="zh-CN"/>
        </w:rPr>
        <w:t>（一）</w:t>
      </w:r>
      <w:r>
        <w:rPr>
          <w:rFonts w:hint="eastAsia" w:ascii="Times New Roman" w:hAnsi="Times New Roman" w:eastAsia="楷体_GB2312" w:cs="楷体_GB2312"/>
          <w:b/>
          <w:color w:val="auto"/>
          <w:sz w:val="32"/>
          <w:szCs w:val="32"/>
          <w:highlight w:val="none"/>
          <w:lang w:val="zh-CN"/>
        </w:rPr>
        <w:t>项目组织架构及实施流程。</w:t>
      </w:r>
      <w:r>
        <w:rPr>
          <w:rFonts w:hint="eastAsia" w:ascii="仿宋_GB2312" w:hAnsi="仿宋_GB2312" w:eastAsia="仿宋_GB2312" w:cs="仿宋_GB2312"/>
          <w:sz w:val="32"/>
          <w:szCs w:val="32"/>
          <w:lang w:val="zh-CN" w:eastAsia="zh-CN"/>
        </w:rPr>
        <w:t>该项目由本单位自行组织实施，按项目进度申请用款计划，年终定期汇总全年支出情况，认真开展项目支出绩效评价。</w:t>
      </w:r>
    </w:p>
    <w:p w14:paraId="6798F286">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仿宋_GB2312" w:hAnsi="仿宋_GB2312" w:eastAsia="仿宋_GB2312" w:cs="仿宋_GB2312"/>
          <w:sz w:val="32"/>
          <w:szCs w:val="32"/>
          <w:lang w:val="en-US" w:eastAsia="zh-CN"/>
        </w:rPr>
      </w:pPr>
      <w:r>
        <w:rPr>
          <w:rFonts w:hint="eastAsia" w:ascii="Times New Roman" w:hAnsi="Times New Roman" w:eastAsia="楷体_GB2312" w:cs="楷体_GB2312"/>
          <w:b/>
          <w:color w:val="auto"/>
          <w:sz w:val="32"/>
          <w:szCs w:val="32"/>
          <w:highlight w:val="none"/>
          <w:lang w:val="zh-CN"/>
        </w:rPr>
        <w:t>（二）项目管理情况</w:t>
      </w:r>
      <w:r>
        <w:rPr>
          <w:rFonts w:hint="eastAsia" w:ascii="楷体_GB2312" w:hAnsi="宋体" w:eastAsia="楷体_GB2312"/>
          <w:b/>
          <w:lang w:val="zh-CN"/>
        </w:rPr>
        <w:t>。</w:t>
      </w:r>
      <w:r>
        <w:rPr>
          <w:rFonts w:hint="eastAsia" w:ascii="仿宋_GB2312" w:hAnsi="仿宋_GB2312" w:eastAsia="仿宋_GB2312" w:cs="仿宋_GB2312"/>
          <w:sz w:val="32"/>
          <w:szCs w:val="32"/>
          <w:lang w:val="en-US" w:eastAsia="zh-CN"/>
        </w:rPr>
        <w:t>严格按照县财政部门有关文件精神，进一步完善制度，严格财经制度，在项目资金执行过程中规范资金审批、项目公示等，使用程序，资金使用安全、规范。</w:t>
      </w:r>
    </w:p>
    <w:p w14:paraId="0D3EBECD">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仿宋_GB2312" w:hAnsi="宋体"/>
          <w:lang w:val="zh-CN"/>
        </w:rPr>
      </w:pPr>
      <w:r>
        <w:rPr>
          <w:rFonts w:hint="eastAsia" w:ascii="Times New Roman" w:hAnsi="Times New Roman" w:eastAsia="楷体_GB2312" w:cs="楷体_GB2312"/>
          <w:b/>
          <w:color w:val="auto"/>
          <w:sz w:val="32"/>
          <w:szCs w:val="32"/>
          <w:highlight w:val="none"/>
          <w:lang w:val="zh-CN"/>
        </w:rPr>
        <w:t>（三）项目监管情况。</w:t>
      </w:r>
      <w:r>
        <w:rPr>
          <w:rFonts w:hint="eastAsia" w:ascii="仿宋_GB2312" w:hAnsi="仿宋_GB2312" w:eastAsia="仿宋_GB2312" w:cs="仿宋_GB2312"/>
          <w:sz w:val="32"/>
          <w:szCs w:val="32"/>
          <w:lang w:val="en-US" w:eastAsia="zh-CN"/>
        </w:rPr>
        <w:t>我单位严格</w:t>
      </w:r>
      <w:r>
        <w:rPr>
          <w:rFonts w:hint="eastAsia" w:ascii="仿宋_GB2312" w:hAnsi="仿宋_GB2312" w:eastAsia="仿宋_GB2312" w:cs="仿宋_GB2312"/>
          <w:sz w:val="32"/>
          <w:szCs w:val="32"/>
          <w:lang w:val="zh-CN"/>
        </w:rPr>
        <w:t>项目管理</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r>
        <w:rPr>
          <w:rFonts w:hint="eastAsia" w:ascii="仿宋_GB2312" w:hAnsi="仿宋_GB2312" w:eastAsia="仿宋_GB2312" w:cs="仿宋_GB2312"/>
          <w:color w:val="000000"/>
          <w:kern w:val="0"/>
          <w:sz w:val="32"/>
          <w:szCs w:val="32"/>
          <w:highlight w:val="none"/>
        </w:rPr>
        <w:t>在实际使用中，机关财务严把审核关，对项目所列开支</w:t>
      </w:r>
      <w:r>
        <w:rPr>
          <w:rFonts w:hint="eastAsia" w:ascii="仿宋_GB2312" w:hAnsi="仿宋_GB2312" w:eastAsia="仿宋_GB2312" w:cs="仿宋_GB2312"/>
          <w:color w:val="000000"/>
          <w:kern w:val="0"/>
          <w:sz w:val="32"/>
          <w:szCs w:val="32"/>
          <w:highlight w:val="none"/>
          <w:lang w:eastAsia="zh-CN"/>
        </w:rPr>
        <w:t>的</w:t>
      </w:r>
      <w:r>
        <w:rPr>
          <w:rFonts w:hint="eastAsia" w:ascii="仿宋_GB2312" w:hAnsi="仿宋_GB2312" w:eastAsia="仿宋_GB2312" w:cs="仿宋_GB2312"/>
          <w:sz w:val="32"/>
          <w:szCs w:val="32"/>
          <w:highlight w:val="none"/>
          <w:lang w:val="zh-CN"/>
        </w:rPr>
        <w:t>范围、标准、进度、依据</w:t>
      </w:r>
      <w:r>
        <w:rPr>
          <w:rFonts w:hint="eastAsia" w:ascii="仿宋_GB2312" w:hAnsi="仿宋_GB2312" w:eastAsia="仿宋_GB2312" w:cs="仿宋_GB2312"/>
          <w:color w:val="000000"/>
          <w:kern w:val="0"/>
          <w:sz w:val="32"/>
          <w:szCs w:val="32"/>
          <w:highlight w:val="none"/>
        </w:rPr>
        <w:t>逐一进行审查，</w:t>
      </w:r>
      <w:r>
        <w:rPr>
          <w:rFonts w:hint="eastAsia" w:ascii="仿宋_GB2312" w:hAnsi="仿宋_GB2312" w:eastAsia="仿宋_GB2312" w:cs="仿宋_GB2312"/>
          <w:color w:val="000000"/>
          <w:kern w:val="0"/>
          <w:sz w:val="32"/>
          <w:szCs w:val="32"/>
          <w:highlight w:val="none"/>
          <w:lang w:eastAsia="zh-CN"/>
        </w:rPr>
        <w:t>确保资金使用</w:t>
      </w:r>
      <w:r>
        <w:rPr>
          <w:rFonts w:hint="eastAsia" w:ascii="仿宋_GB2312" w:hAnsi="仿宋_GB2312" w:eastAsia="仿宋_GB2312" w:cs="仿宋_GB2312"/>
          <w:sz w:val="32"/>
          <w:szCs w:val="32"/>
          <w:highlight w:val="none"/>
          <w:lang w:val="zh-CN"/>
        </w:rPr>
        <w:t>合规合法，与预算相符。</w:t>
      </w:r>
    </w:p>
    <w:p w14:paraId="1D1E90CE">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320" w:firstLineChars="100"/>
        <w:rPr>
          <w:rFonts w:hint="eastAsia" w:ascii="仿宋_GB2312" w:hAnsi="宋体"/>
          <w:lang w:val="zh-CN"/>
        </w:rPr>
      </w:pP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项目绩效情况</w:t>
      </w:r>
      <w:r>
        <w:rPr>
          <w:rFonts w:hint="eastAsia" w:ascii="仿宋_GB2312" w:hAnsi="宋体"/>
          <w:lang w:val="zh-CN"/>
        </w:rPr>
        <w:tab/>
      </w:r>
    </w:p>
    <w:p w14:paraId="3B17EE14">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321" w:firstLineChars="100"/>
        <w:rPr>
          <w:rFonts w:hint="eastAsia" w:ascii="Times New Roman" w:hAnsi="Times New Roman" w:eastAsia="楷体_GB2312" w:cs="楷体_GB2312"/>
          <w:b/>
          <w:color w:val="auto"/>
          <w:sz w:val="32"/>
          <w:szCs w:val="32"/>
          <w:highlight w:val="none"/>
          <w:lang w:val="zh-CN"/>
        </w:rPr>
      </w:pPr>
      <w:r>
        <w:rPr>
          <w:rFonts w:hint="eastAsia" w:eastAsia="楷体_GB2312" w:cs="楷体_GB2312"/>
          <w:b/>
          <w:color w:val="auto"/>
          <w:sz w:val="32"/>
          <w:szCs w:val="32"/>
          <w:highlight w:val="none"/>
          <w:lang w:val="zh-CN"/>
        </w:rPr>
        <w:t>（一）</w:t>
      </w:r>
      <w:r>
        <w:rPr>
          <w:rFonts w:hint="eastAsia" w:ascii="Times New Roman" w:hAnsi="Times New Roman" w:eastAsia="楷体_GB2312" w:cs="楷体_GB2312"/>
          <w:b/>
          <w:color w:val="auto"/>
          <w:sz w:val="32"/>
          <w:szCs w:val="32"/>
          <w:highlight w:val="none"/>
          <w:lang w:val="zh-CN"/>
        </w:rPr>
        <w:t>项目决策</w:t>
      </w:r>
    </w:p>
    <w:p w14:paraId="2458A6AD">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项目符合党中央、国务院和省委、省政府、市委、市政府、县委、县政府决策部署；符合当前经济社会发展需要，经过村级“四议两公开”研究制定，报镇党委研究通过实施，最终报县财政备案。</w:t>
      </w:r>
    </w:p>
    <w:p w14:paraId="6AE8070E">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Times New Roman" w:hAnsi="Times New Roman" w:eastAsia="楷体_GB2312" w:cs="楷体_GB2312"/>
          <w:b/>
          <w:color w:val="auto"/>
          <w:sz w:val="32"/>
          <w:szCs w:val="32"/>
          <w:highlight w:val="none"/>
          <w:lang w:val="en-US" w:eastAsia="zh-CN"/>
        </w:rPr>
      </w:pPr>
      <w:r>
        <w:rPr>
          <w:rFonts w:hint="eastAsia" w:eastAsia="楷体_GB2312" w:cs="楷体_GB2312"/>
          <w:b/>
          <w:color w:val="auto"/>
          <w:sz w:val="32"/>
          <w:szCs w:val="32"/>
          <w:highlight w:val="none"/>
          <w:lang w:val="en-US" w:eastAsia="zh-CN"/>
        </w:rPr>
        <w:t>（二）</w:t>
      </w:r>
      <w:r>
        <w:rPr>
          <w:rFonts w:hint="eastAsia" w:ascii="Times New Roman" w:hAnsi="Times New Roman" w:eastAsia="楷体_GB2312" w:cs="楷体_GB2312"/>
          <w:b/>
          <w:color w:val="auto"/>
          <w:sz w:val="32"/>
          <w:szCs w:val="32"/>
          <w:highlight w:val="none"/>
          <w:lang w:val="en-US" w:eastAsia="zh-CN"/>
        </w:rPr>
        <w:t>项目管理</w:t>
      </w:r>
    </w:p>
    <w:p w14:paraId="7FD6EBA8">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管理由村级主管，镇人民政府监管；资金使用严格按照《四川省财政厅关于全面建立基层组织活动和公共服务运行经费保障机制的通知》（川财基〔2016〕1号）、《四川省财政厅关于印发〈四川省基层组织活动和公共服务运行经费使用管理办法〉的通知》（川财基〔2016〕7号）、《四川省财政厅关于规范基层组织活动和公共服务运行经费使用管理的通知》（川财基函[20161]13号）等文件规定执行。</w:t>
      </w:r>
    </w:p>
    <w:p w14:paraId="30F4EBB0">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楷体_GB2312" w:hAnsi="宋体" w:eastAsia="楷体_GB2312"/>
          <w:b/>
          <w:highlight w:val="red"/>
          <w:lang w:val="en-US" w:eastAsia="zh-CN"/>
        </w:rPr>
      </w:pPr>
      <w:r>
        <w:rPr>
          <w:rFonts w:hint="eastAsia" w:ascii="Times New Roman" w:hAnsi="Times New Roman" w:eastAsia="楷体_GB2312" w:cs="楷体_GB2312"/>
          <w:b/>
          <w:color w:val="auto"/>
          <w:sz w:val="32"/>
          <w:szCs w:val="32"/>
          <w:highlight w:val="none"/>
          <w:lang w:val="en-US" w:eastAsia="zh-CN"/>
        </w:rPr>
        <w:t>（三）项目绩效</w:t>
      </w:r>
    </w:p>
    <w:p w14:paraId="486C2779">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截至</w:t>
      </w:r>
      <w:r>
        <w:rPr>
          <w:rFonts w:hint="eastAsia" w:ascii="仿宋_GB2312" w:hAnsi="仿宋_GB2312" w:eastAsia="仿宋_GB2312" w:cs="仿宋_GB2312"/>
          <w:color w:val="auto"/>
          <w:kern w:val="2"/>
          <w:sz w:val="32"/>
          <w:szCs w:val="32"/>
          <w:highlight w:val="none"/>
          <w:lang w:val="en-US" w:eastAsia="zh-CN" w:bidi="ar-SA"/>
        </w:rPr>
        <w:t>2024年12月31日，全镇15个村和4个社区圆满</w:t>
      </w:r>
      <w:r>
        <w:rPr>
          <w:rFonts w:hint="eastAsia" w:ascii="仿宋_GB2312" w:hAnsi="仿宋_GB2312" w:eastAsia="仿宋_GB2312" w:cs="仿宋_GB2312"/>
          <w:color w:val="auto"/>
          <w:kern w:val="2"/>
          <w:sz w:val="32"/>
          <w:szCs w:val="32"/>
          <w:highlight w:val="none"/>
          <w:lang w:val="zh-CN" w:eastAsia="zh-CN" w:bidi="ar-SA"/>
        </w:rPr>
        <w:t>完成目标任务，资金拨付</w:t>
      </w:r>
      <w:r>
        <w:rPr>
          <w:rFonts w:hint="eastAsia" w:ascii="仿宋_GB2312" w:hAnsi="仿宋_GB2312" w:eastAsia="仿宋_GB2312" w:cs="仿宋_GB2312"/>
          <w:color w:val="auto"/>
          <w:kern w:val="2"/>
          <w:sz w:val="32"/>
          <w:szCs w:val="32"/>
          <w:highlight w:val="none"/>
          <w:lang w:val="en-US" w:eastAsia="zh-CN" w:bidi="ar-SA"/>
        </w:rPr>
        <w:t>333.6万元，资金拨付率达到100%，经过该项目的实施，保障了村（居）民委员会的正常运转，维护了村基础设施，提高了为民办事的能力和质量，大大提升了群众的满意度。</w:t>
      </w:r>
    </w:p>
    <w:p w14:paraId="328C77C5">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评价结论及建议</w:t>
      </w:r>
    </w:p>
    <w:p w14:paraId="66910E87">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仿宋_GB2312" w:hAnsi="仿宋_GB2312" w:eastAsia="仿宋_GB2312" w:cs="仿宋_GB2312"/>
          <w:sz w:val="32"/>
          <w:szCs w:val="32"/>
          <w:lang w:val="zh-CN" w:eastAsia="zh-CN"/>
        </w:rPr>
      </w:pPr>
      <w:r>
        <w:rPr>
          <w:rFonts w:hint="eastAsia" w:ascii="Times New Roman" w:hAnsi="Times New Roman" w:eastAsia="楷体_GB2312" w:cs="楷体_GB2312"/>
          <w:b/>
          <w:color w:val="auto"/>
          <w:sz w:val="32"/>
          <w:szCs w:val="32"/>
          <w:highlight w:val="none"/>
          <w:lang w:val="zh-CN"/>
        </w:rPr>
        <w:t>（一）评价结论。</w:t>
      </w:r>
      <w:r>
        <w:rPr>
          <w:rFonts w:hint="eastAsia" w:ascii="仿宋_GB2312" w:hAnsi="仿宋_GB2312" w:eastAsia="仿宋_GB2312" w:cs="仿宋_GB2312"/>
          <w:sz w:val="32"/>
          <w:szCs w:val="32"/>
          <w:lang w:val="zh-CN" w:eastAsia="zh-CN"/>
        </w:rPr>
        <w:t>根据《峨边彝族自治县财政局关于开展20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zh-CN" w:eastAsia="zh-CN"/>
        </w:rPr>
        <w:t>年部门整体、项目和政策支出绩效评价工作的通知》文件精神，</w:t>
      </w:r>
      <w:r>
        <w:rPr>
          <w:rFonts w:hint="eastAsia" w:ascii="仿宋_GB2312" w:hAnsi="仿宋_GB2312" w:eastAsia="仿宋_GB2312" w:cs="仿宋_GB2312"/>
          <w:sz w:val="32"/>
          <w:szCs w:val="32"/>
          <w:lang w:val="en-US" w:eastAsia="zh-CN"/>
        </w:rPr>
        <w:t>我单位认真组织开展了部门整体支出绩效评价工作，绩效评价自评</w:t>
      </w:r>
      <w:r>
        <w:rPr>
          <w:rFonts w:hint="eastAsia" w:ascii="仿宋_GB2312" w:hAnsi="仿宋_GB2312" w:eastAsia="仿宋_GB2312" w:cs="仿宋_GB2312"/>
          <w:sz w:val="32"/>
          <w:szCs w:val="32"/>
          <w:lang w:val="zh-CN" w:eastAsia="zh-CN"/>
        </w:rPr>
        <w:t>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分。</w:t>
      </w:r>
    </w:p>
    <w:p w14:paraId="1D4AB10F">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仿宋_GB2312" w:hAnsi="宋体" w:cs="Times New Roman"/>
          <w:sz w:val="32"/>
          <w:szCs w:val="32"/>
          <w:lang w:val="zh-CN" w:eastAsia="zh-CN"/>
        </w:rPr>
      </w:pPr>
      <w:r>
        <w:rPr>
          <w:rFonts w:hint="eastAsia" w:ascii="Times New Roman" w:hAnsi="Times New Roman" w:eastAsia="楷体_GB2312" w:cs="楷体_GB2312"/>
          <w:b/>
          <w:color w:val="auto"/>
          <w:sz w:val="32"/>
          <w:szCs w:val="32"/>
          <w:highlight w:val="none"/>
          <w:lang w:val="zh-CN"/>
        </w:rPr>
        <w:t>（二）存在问题</w:t>
      </w:r>
      <w:r>
        <w:rPr>
          <w:rFonts w:hint="eastAsia" w:ascii="仿宋_GB2312" w:hAnsi="宋体" w:cs="宋体"/>
          <w:color w:val="000000"/>
          <w:kern w:val="0"/>
          <w:szCs w:val="32"/>
          <w:shd w:val="clear" w:color="auto" w:fill="FFFFFF"/>
          <w:lang w:val="zh-CN"/>
        </w:rPr>
        <w:t>。</w:t>
      </w:r>
      <w:r>
        <w:rPr>
          <w:rFonts w:hint="eastAsia" w:ascii="仿宋_GB2312" w:hAnsi="仿宋_GB2312" w:eastAsia="仿宋_GB2312" w:cs="仿宋_GB2312"/>
          <w:sz w:val="32"/>
          <w:szCs w:val="32"/>
          <w:lang w:val="zh-CN" w:eastAsia="zh-CN"/>
        </w:rPr>
        <w:t>资金报账进度滞后</w:t>
      </w:r>
      <w:r>
        <w:rPr>
          <w:rFonts w:hint="eastAsia" w:ascii="仿宋_GB2312" w:hAnsi="仿宋_GB2312" w:eastAsia="仿宋_GB2312" w:cs="仿宋_GB2312"/>
          <w:sz w:val="32"/>
          <w:szCs w:val="32"/>
          <w:lang w:val="zh-CN" w:eastAsia="zh-CN"/>
        </w:rPr>
        <w:tab/>
      </w:r>
      <w:r>
        <w:rPr>
          <w:rFonts w:hint="eastAsia" w:ascii="仿宋_GB2312" w:hAnsi="仿宋_GB2312" w:eastAsia="仿宋_GB2312" w:cs="仿宋_GB2312"/>
          <w:sz w:val="32"/>
          <w:szCs w:val="32"/>
          <w:lang w:val="zh-CN" w:eastAsia="zh-CN"/>
        </w:rPr>
        <w:t>，村级报账员都存在年底一次性报账的固定思维。</w:t>
      </w:r>
    </w:p>
    <w:p w14:paraId="7F1290D8">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仿宋_GB2312" w:hAnsi="仿宋_GB2312" w:eastAsia="仿宋_GB2312" w:cs="仿宋_GB2312"/>
          <w:sz w:val="32"/>
          <w:szCs w:val="32"/>
          <w:lang w:val="zh-CN" w:eastAsia="zh-CN"/>
        </w:rPr>
      </w:pPr>
      <w:r>
        <w:rPr>
          <w:rFonts w:hint="eastAsia" w:ascii="Times New Roman" w:hAnsi="Times New Roman" w:eastAsia="楷体_GB2312" w:cs="楷体_GB2312"/>
          <w:b/>
          <w:color w:val="auto"/>
          <w:sz w:val="32"/>
          <w:szCs w:val="32"/>
          <w:highlight w:val="none"/>
          <w:lang w:val="zh-CN"/>
        </w:rPr>
        <w:t>（三）改进建议</w:t>
      </w:r>
      <w:r>
        <w:rPr>
          <w:rFonts w:hint="eastAsia" w:ascii="仿宋_GB2312" w:hAnsi="宋体" w:cs="宋体"/>
          <w:color w:val="000000"/>
          <w:kern w:val="0"/>
          <w:szCs w:val="32"/>
          <w:shd w:val="clear" w:color="auto" w:fill="FFFFFF"/>
          <w:lang w:val="zh-CN"/>
        </w:rPr>
        <w:t>。</w:t>
      </w:r>
      <w:r>
        <w:rPr>
          <w:rFonts w:hint="eastAsia" w:ascii="仿宋_GB2312" w:hAnsi="仿宋_GB2312" w:eastAsia="仿宋_GB2312" w:cs="仿宋_GB2312"/>
          <w:sz w:val="32"/>
          <w:szCs w:val="32"/>
          <w:lang w:val="zh-CN" w:eastAsia="zh-CN"/>
        </w:rPr>
        <w:t>针对保障进度滞后的问题，要加强督促，组织培训，改变村级报账员的固定思维，</w:t>
      </w:r>
      <w:r>
        <w:rPr>
          <w:rFonts w:hint="eastAsia" w:ascii="仿宋_GB2312" w:hAnsi="仿宋_GB2312" w:eastAsia="仿宋_GB2312" w:cs="仿宋_GB2312"/>
          <w:sz w:val="32"/>
          <w:szCs w:val="32"/>
          <w:lang w:val="en-US" w:eastAsia="zh-CN"/>
        </w:rPr>
        <w:t>按照相关要求按时推动项目报账进度</w:t>
      </w:r>
      <w:r>
        <w:rPr>
          <w:rFonts w:hint="eastAsia" w:ascii="仿宋_GB2312" w:hAnsi="仿宋_GB2312" w:eastAsia="仿宋_GB2312" w:cs="仿宋_GB2312"/>
          <w:sz w:val="32"/>
          <w:szCs w:val="32"/>
          <w:lang w:val="zh-CN" w:eastAsia="zh-CN"/>
        </w:rPr>
        <w:t>。</w:t>
      </w:r>
    </w:p>
    <w:p w14:paraId="7ADA5BF7">
      <w:pPr>
        <w:pStyle w:val="2"/>
        <w:rPr>
          <w:rFonts w:hint="eastAsia" w:ascii="仿宋_GB2312" w:hAnsi="宋体" w:cs="Times New Roman"/>
          <w:sz w:val="32"/>
          <w:szCs w:val="32"/>
          <w:lang w:val="zh-CN" w:eastAsia="zh-CN"/>
        </w:rPr>
      </w:pPr>
    </w:p>
    <w:p w14:paraId="5A926D05">
      <w:pPr>
        <w:pStyle w:val="3"/>
        <w:rPr>
          <w:rFonts w:hint="eastAsia" w:ascii="仿宋_GB2312" w:hAnsi="宋体" w:cs="Times New Roman"/>
          <w:sz w:val="32"/>
          <w:szCs w:val="32"/>
          <w:lang w:val="zh-CN" w:eastAsia="zh-CN"/>
        </w:rPr>
      </w:pPr>
    </w:p>
    <w:p w14:paraId="696502EA">
      <w:pPr>
        <w:pStyle w:val="3"/>
        <w:rPr>
          <w:rFonts w:hint="eastAsia" w:ascii="仿宋_GB2312" w:hAnsi="宋体" w:cs="Times New Roman"/>
          <w:sz w:val="32"/>
          <w:szCs w:val="32"/>
          <w:lang w:val="zh-CN" w:eastAsia="zh-CN"/>
        </w:rPr>
      </w:pPr>
    </w:p>
    <w:p w14:paraId="498C6481">
      <w:pPr>
        <w:pStyle w:val="3"/>
        <w:rPr>
          <w:rFonts w:hint="eastAsia" w:ascii="仿宋_GB2312" w:hAnsi="宋体" w:cs="Times New Roman"/>
          <w:sz w:val="32"/>
          <w:szCs w:val="32"/>
          <w:lang w:val="zh-CN" w:eastAsia="zh-CN"/>
        </w:rPr>
      </w:pPr>
    </w:p>
    <w:p w14:paraId="2A465469">
      <w:pPr>
        <w:pStyle w:val="3"/>
        <w:rPr>
          <w:rFonts w:hint="eastAsia" w:ascii="仿宋_GB2312" w:hAnsi="宋体" w:cs="Times New Roman"/>
          <w:sz w:val="32"/>
          <w:szCs w:val="32"/>
          <w:lang w:val="zh-CN" w:eastAsia="zh-CN"/>
        </w:rPr>
      </w:pPr>
    </w:p>
    <w:p w14:paraId="5E9DCD11">
      <w:pPr>
        <w:pStyle w:val="3"/>
        <w:rPr>
          <w:rFonts w:hint="eastAsia" w:ascii="仿宋_GB2312" w:hAnsi="宋体" w:cs="Times New Roman"/>
          <w:sz w:val="32"/>
          <w:szCs w:val="32"/>
          <w:lang w:val="zh-CN" w:eastAsia="zh-CN"/>
        </w:rPr>
      </w:pPr>
    </w:p>
    <w:p w14:paraId="06F75962">
      <w:pPr>
        <w:pStyle w:val="3"/>
        <w:rPr>
          <w:rFonts w:hint="eastAsia" w:ascii="仿宋_GB2312" w:hAnsi="宋体" w:cs="Times New Roman"/>
          <w:sz w:val="32"/>
          <w:szCs w:val="32"/>
          <w:lang w:val="zh-CN" w:eastAsia="zh-CN"/>
        </w:rPr>
      </w:pPr>
    </w:p>
    <w:p w14:paraId="3809172A">
      <w:pPr>
        <w:pStyle w:val="3"/>
        <w:rPr>
          <w:rFonts w:hint="eastAsia" w:ascii="仿宋_GB2312" w:hAnsi="宋体" w:cs="Times New Roman"/>
          <w:sz w:val="32"/>
          <w:szCs w:val="32"/>
          <w:lang w:val="zh-CN" w:eastAsia="zh-CN"/>
        </w:rPr>
      </w:pPr>
    </w:p>
    <w:p w14:paraId="6BCEE80B">
      <w:pPr>
        <w:pStyle w:val="3"/>
        <w:rPr>
          <w:rFonts w:hint="eastAsia" w:ascii="仿宋_GB2312" w:hAnsi="宋体" w:cs="Times New Roman"/>
          <w:sz w:val="32"/>
          <w:szCs w:val="32"/>
          <w:lang w:val="zh-CN" w:eastAsia="zh-CN"/>
        </w:rPr>
      </w:pPr>
    </w:p>
    <w:p w14:paraId="172517A2">
      <w:pPr>
        <w:pStyle w:val="3"/>
        <w:rPr>
          <w:rFonts w:hint="eastAsia" w:ascii="仿宋_GB2312" w:hAnsi="宋体" w:cs="Times New Roman"/>
          <w:sz w:val="32"/>
          <w:szCs w:val="32"/>
          <w:lang w:val="zh-CN" w:eastAsia="zh-CN"/>
        </w:rPr>
      </w:pPr>
    </w:p>
    <w:p w14:paraId="4DE775C3">
      <w:pPr>
        <w:pStyle w:val="3"/>
        <w:rPr>
          <w:rFonts w:hint="eastAsia" w:ascii="仿宋_GB2312" w:hAnsi="宋体" w:cs="Times New Roman"/>
          <w:sz w:val="32"/>
          <w:szCs w:val="32"/>
          <w:lang w:val="zh-CN" w:eastAsia="zh-CN"/>
        </w:rPr>
      </w:pPr>
    </w:p>
    <w:p w14:paraId="3B7A5097">
      <w:pPr>
        <w:pStyle w:val="2"/>
        <w:rPr>
          <w:rFonts w:hint="eastAsia"/>
          <w:lang w:val="zh-CN" w:eastAsia="zh-CN"/>
        </w:rPr>
      </w:pPr>
    </w:p>
    <w:p w14:paraId="5AFFC4DB">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51F55B54">
      <w:pPr>
        <w:pStyle w:val="37"/>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eastAsia" w:ascii="Times New Roman" w:hAnsi="Times New Roman" w:eastAsia="宋体"/>
          <w:color w:val="auto"/>
          <w:kern w:val="2"/>
          <w:sz w:val="32"/>
          <w:szCs w:val="32"/>
          <w:highlight w:val="none"/>
          <w:lang w:eastAsia="zh-CN"/>
        </w:rPr>
      </w:pPr>
      <w:r>
        <w:rPr>
          <w:rFonts w:hint="eastAsia" w:ascii="Times New Roman" w:hAnsi="Times New Roman"/>
          <w:color w:val="auto"/>
          <w:kern w:val="2"/>
          <w:sz w:val="32"/>
          <w:szCs w:val="32"/>
          <w:highlight w:val="none"/>
          <w:lang w:eastAsia="zh-CN"/>
        </w:rPr>
        <w:t>（</w:t>
      </w:r>
      <w:r>
        <w:rPr>
          <w:rFonts w:hint="eastAsia" w:ascii="仿宋_GB2312" w:hAnsi="Times New Roman" w:eastAsia="仿宋_GB2312" w:cs="Times New Roman"/>
          <w:sz w:val="32"/>
          <w:lang w:val="en-US" w:eastAsia="zh-CN"/>
        </w:rPr>
        <w:t>峨边府常定〔2024〕23号背峰山公园主体及配套设施建设占地和地面附着物补偿资金</w:t>
      </w:r>
      <w:r>
        <w:rPr>
          <w:rFonts w:hint="eastAsia" w:ascii="Times New Roman" w:hAnsi="Times New Roman"/>
          <w:color w:val="auto"/>
          <w:kern w:val="2"/>
          <w:sz w:val="32"/>
          <w:szCs w:val="32"/>
          <w:highlight w:val="none"/>
          <w:lang w:eastAsia="zh-CN"/>
        </w:rPr>
        <w:t>）</w:t>
      </w:r>
    </w:p>
    <w:p w14:paraId="7C146AC7">
      <w:pPr>
        <w:pStyle w:val="2"/>
        <w:rPr>
          <w:rFonts w:hint="eastAsia"/>
          <w:lang w:val="en-US" w:eastAsia="zh-CN"/>
        </w:rPr>
      </w:pPr>
    </w:p>
    <w:p w14:paraId="57E0E9F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sz w:val="32"/>
          <w:szCs w:val="32"/>
          <w:highlight w:val="none"/>
          <w:lang w:val="zh-CN" w:eastAsia="zh-CN"/>
        </w:rPr>
      </w:pPr>
      <w:r>
        <w:rPr>
          <w:rFonts w:hint="eastAsia" w:ascii="Times New Roman" w:hAnsi="Times New Roman" w:eastAsia="黑体"/>
          <w:sz w:val="32"/>
          <w:szCs w:val="32"/>
          <w:highlight w:val="none"/>
          <w:lang w:val="zh-CN" w:eastAsia="zh-CN"/>
        </w:rPr>
        <w:t>一、项目概况</w:t>
      </w:r>
    </w:p>
    <w:p w14:paraId="2503BC6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（一）项目基本情况。</w:t>
      </w:r>
    </w:p>
    <w:p w14:paraId="40B25E9B">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1.沙坪镇在该项目的实施过程中主要承担科学、合理地使用该笔经费，确保资金使用安全合理、合规职能，有效保障村级公共服务有效运行的职能。</w:t>
      </w:r>
    </w:p>
    <w:p w14:paraId="414B6D0C">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2.项目立项、资金申报的依据是根据工作实际需要参照往年申报情况进行申报。</w:t>
      </w:r>
    </w:p>
    <w:p w14:paraId="5AA2168B">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资金管理办法制定情况，资金支持具体项目的条件、范围与支持方式概况。严格按照《中华人民共和国会计法》《中华人民共和国预算法》等财经法律法规，在资金管理制定和分配管理方面科学合理、规范有序，突出重点，符合财政资金改革方向。</w:t>
      </w:r>
    </w:p>
    <w:p w14:paraId="24C23253">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4.资金分配的原则及考虑因素。资金分配原则根据业务工作难度系数化及工作量化原则，考虑因素为开展工作的难度、业务工作强度、业务工作数量频次等。合理分配，突出重点，资金分配和使用方向与资金管理方法相符。</w:t>
      </w:r>
    </w:p>
    <w:p w14:paraId="727B78F8">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（二）项目绩效目标。</w:t>
      </w:r>
    </w:p>
    <w:p w14:paraId="51BA02CA">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1.项目主要内容。该项目主要用于沙坪镇红星村、双河村、岩月村</w:t>
      </w:r>
      <w:r>
        <w:rPr>
          <w:rFonts w:hint="eastAsia" w:ascii="仿宋_GB2312" w:hAnsi="仿宋_GB2312" w:eastAsia="仿宋_GB2312" w:cs="仿宋_GB2312"/>
          <w:sz w:val="32"/>
          <w:szCs w:val="32"/>
          <w:lang w:val="en-US" w:eastAsia="zh-CN"/>
        </w:rPr>
        <w:t>63户农户的</w:t>
      </w:r>
      <w:r>
        <w:rPr>
          <w:rFonts w:hint="eastAsia" w:ascii="仿宋_GB2312" w:hAnsi="仿宋_GB2312" w:eastAsia="仿宋_GB2312" w:cs="仿宋_GB2312"/>
          <w:sz w:val="32"/>
          <w:szCs w:val="32"/>
          <w:lang w:val="zh-CN" w:eastAsia="zh-CN"/>
        </w:rPr>
        <w:t>背风山公园主体及配套设施建设占地和地面附着物补偿资金。</w:t>
      </w:r>
    </w:p>
    <w:p w14:paraId="1F023662">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2.项目应实现的具体绩效目标，包括目标的量化、细化情况以及项目实施进度计划等。按照沙坪镇20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zh-CN" w:eastAsia="zh-CN"/>
        </w:rPr>
        <w:t>年工作计划，完成年内项目组织管理任务，做好各类项目执行的全过程监督管理工作，确保各类项目按计划有效实施。在年度内完成各项目资金支出进度要求，保障沙坪镇红星村、双河村、岩月村</w:t>
      </w:r>
      <w:r>
        <w:rPr>
          <w:rFonts w:hint="eastAsia" w:ascii="仿宋_GB2312" w:hAnsi="仿宋_GB2312" w:eastAsia="仿宋_GB2312" w:cs="仿宋_GB2312"/>
          <w:sz w:val="32"/>
          <w:szCs w:val="32"/>
          <w:lang w:val="en-US" w:eastAsia="zh-CN"/>
        </w:rPr>
        <w:t>63户农户的</w:t>
      </w:r>
      <w:r>
        <w:rPr>
          <w:rFonts w:hint="eastAsia" w:ascii="仿宋_GB2312" w:hAnsi="仿宋_GB2312" w:eastAsia="仿宋_GB2312" w:cs="仿宋_GB2312"/>
          <w:sz w:val="32"/>
          <w:szCs w:val="32"/>
          <w:lang w:val="zh-CN" w:eastAsia="zh-CN"/>
        </w:rPr>
        <w:t>背风山公园主体及配套设施建设占地和地面附着物补偿资金。确保资金专款专用，使用合理安全规范，保证人民群众满意度达到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w:t>
      </w:r>
    </w:p>
    <w:p w14:paraId="7D5A41B4">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3.分析评价申报内容是否与实际相符，申报目标是否合理可行。申报内容与实际相符，申报目标合理可行。</w:t>
      </w:r>
    </w:p>
    <w:p w14:paraId="6F053064">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仿宋_GB2312" w:hAnsi="宋体" w:cs="Times New Roman"/>
          <w:sz w:val="32"/>
          <w:szCs w:val="32"/>
          <w:lang w:val="zh-CN" w:eastAsia="zh-CN"/>
        </w:rPr>
      </w:pPr>
      <w:r>
        <w:rPr>
          <w:rFonts w:hint="eastAsia" w:ascii="Times New Roman" w:hAnsi="Times New Roman" w:eastAsia="楷体_GB2312" w:cs="Times New Roman"/>
          <w:b/>
          <w:color w:val="auto"/>
          <w:sz w:val="32"/>
          <w:szCs w:val="32"/>
          <w:highlight w:val="none"/>
          <w:u w:val="none"/>
          <w:lang w:val="zh-CN" w:eastAsia="zh-CN"/>
        </w:rPr>
        <w:t>（三）项目自评步骤及方法。</w:t>
      </w:r>
    </w:p>
    <w:p w14:paraId="1B8119D4">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该项目绩效自评根据项目支出绩效评价指标体系内容，结合工作开展情况，逐项量化评价。</w:t>
      </w:r>
    </w:p>
    <w:p w14:paraId="4AEC30EB">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Times New Roman" w:hAnsi="Times New Roman" w:eastAsia="黑体"/>
          <w:color w:val="auto"/>
          <w:sz w:val="32"/>
          <w:szCs w:val="32"/>
          <w:highlight w:val="none"/>
          <w:u w:val="none"/>
          <w:lang w:val="zh-CN" w:eastAsia="zh-CN"/>
        </w:rPr>
      </w:pPr>
      <w:r>
        <w:rPr>
          <w:rFonts w:hint="eastAsia" w:ascii="Times New Roman" w:hAnsi="Times New Roman" w:eastAsia="黑体"/>
          <w:color w:val="auto"/>
          <w:sz w:val="32"/>
          <w:szCs w:val="32"/>
          <w:highlight w:val="none"/>
          <w:u w:val="none"/>
          <w:lang w:val="zh-CN" w:eastAsia="zh-CN"/>
        </w:rPr>
        <w:t>二、项目资金申报及使用情况</w:t>
      </w:r>
    </w:p>
    <w:p w14:paraId="122382A8">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（一）项目资金申报及批复情况。</w:t>
      </w:r>
    </w:p>
    <w:p w14:paraId="0B6BE357">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峨边府常定〔2024〕23号背峰山公园主体及配套设施建设占地和地面附着物补偿资金，2024年预算批复资金82.37万元。</w:t>
      </w:r>
    </w:p>
    <w:p w14:paraId="17EB0BED">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仿宋_GB2312" w:hAnsi="宋体" w:cs="Times New Roman"/>
          <w:sz w:val="32"/>
          <w:szCs w:val="32"/>
          <w:lang w:val="zh-CN" w:eastAsia="zh-CN"/>
        </w:rPr>
      </w:pPr>
      <w:r>
        <w:rPr>
          <w:rFonts w:hint="eastAsia" w:ascii="Times New Roman" w:hAnsi="Times New Roman" w:eastAsia="楷体_GB2312" w:cs="Times New Roman"/>
          <w:b/>
          <w:color w:val="auto"/>
          <w:sz w:val="32"/>
          <w:szCs w:val="32"/>
          <w:highlight w:val="none"/>
          <w:u w:val="none"/>
          <w:lang w:val="zh-CN" w:eastAsia="zh-CN"/>
        </w:rPr>
        <w:t>（二）资金计划、到位及使用情况</w:t>
      </w:r>
      <w:r>
        <w:rPr>
          <w:rFonts w:hint="eastAsia" w:ascii="仿宋_GB2312" w:hAnsi="宋体" w:cs="Times New Roman"/>
          <w:sz w:val="32"/>
          <w:szCs w:val="32"/>
          <w:lang w:val="zh-CN" w:eastAsia="zh-CN"/>
        </w:rPr>
        <w:t>。</w:t>
      </w:r>
    </w:p>
    <w:p w14:paraId="3611763D">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w:t>
      </w:r>
      <w:r>
        <w:rPr>
          <w:rFonts w:hint="eastAsia" w:ascii="仿宋_GB2312" w:hAnsi="仿宋_GB2312" w:eastAsia="仿宋_GB2312" w:cs="仿宋_GB2312"/>
          <w:sz w:val="32"/>
          <w:szCs w:val="32"/>
          <w:lang w:val="en-US" w:eastAsia="zh-CN"/>
        </w:rPr>
        <w:t>峨边府常定〔2024〕23号背峰山公园主体及配套设施建设占地和地面附着物补偿资金在</w:t>
      </w:r>
      <w:r>
        <w:rPr>
          <w:rFonts w:hint="eastAsia" w:ascii="仿宋_GB2312" w:hAnsi="仿宋_GB2312" w:eastAsia="仿宋_GB2312" w:cs="仿宋_GB2312"/>
          <w:sz w:val="32"/>
          <w:szCs w:val="32"/>
          <w:lang w:val="zh-CN" w:eastAsia="zh-CN"/>
        </w:rPr>
        <w:t>资金计划的基础上，财政安排</w:t>
      </w:r>
      <w:r>
        <w:rPr>
          <w:rFonts w:hint="eastAsia" w:ascii="仿宋_GB2312" w:hAnsi="仿宋_GB2312" w:eastAsia="仿宋_GB2312" w:cs="仿宋_GB2312"/>
          <w:sz w:val="32"/>
          <w:szCs w:val="32"/>
          <w:lang w:val="en-US" w:eastAsia="zh-CN"/>
        </w:rPr>
        <w:t>82.37万元</w:t>
      </w:r>
      <w:r>
        <w:rPr>
          <w:rFonts w:hint="eastAsia" w:ascii="仿宋_GB2312" w:hAnsi="仿宋_GB2312" w:eastAsia="仿宋_GB2312" w:cs="仿宋_GB2312"/>
          <w:sz w:val="32"/>
          <w:szCs w:val="32"/>
          <w:lang w:val="zh-CN" w:eastAsia="zh-CN"/>
        </w:rPr>
        <w:t>。</w:t>
      </w:r>
    </w:p>
    <w:p w14:paraId="036BFBA5">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2.资金到位。截至</w:t>
      </w:r>
      <w:r>
        <w:rPr>
          <w:rFonts w:hint="eastAsia" w:ascii="仿宋_GB2312" w:hAnsi="仿宋_GB2312" w:eastAsia="仿宋_GB2312" w:cs="仿宋_GB2312"/>
          <w:sz w:val="32"/>
          <w:szCs w:val="32"/>
          <w:lang w:val="en-US" w:eastAsia="zh-CN"/>
        </w:rPr>
        <w:t>2024年12月31日，峨边府常定〔2024〕23号背峰山公园主体及配套设施建设占地和地面附着物补偿资金</w:t>
      </w:r>
      <w:r>
        <w:rPr>
          <w:rFonts w:hint="eastAsia" w:ascii="仿宋_GB2312" w:hAnsi="仿宋_GB2312" w:eastAsia="仿宋_GB2312" w:cs="仿宋_GB2312"/>
          <w:sz w:val="32"/>
          <w:szCs w:val="32"/>
          <w:lang w:val="zh-CN" w:eastAsia="zh-CN"/>
        </w:rPr>
        <w:t>到位</w:t>
      </w:r>
      <w:r>
        <w:rPr>
          <w:rFonts w:hint="eastAsia" w:ascii="仿宋_GB2312" w:hAnsi="仿宋_GB2312" w:eastAsia="仿宋_GB2312" w:cs="仿宋_GB2312"/>
          <w:sz w:val="32"/>
          <w:szCs w:val="32"/>
          <w:lang w:val="en-US" w:eastAsia="zh-CN"/>
        </w:rPr>
        <w:t>82.37万元</w:t>
      </w:r>
      <w:r>
        <w:rPr>
          <w:rFonts w:hint="eastAsia" w:ascii="仿宋_GB2312" w:hAnsi="仿宋_GB2312" w:eastAsia="仿宋_GB2312" w:cs="仿宋_GB2312"/>
          <w:sz w:val="32"/>
          <w:szCs w:val="32"/>
          <w:lang w:val="zh-CN" w:eastAsia="zh-CN"/>
        </w:rPr>
        <w:t>。资金到位情况与资金计划进行比对，到位比例</w:t>
      </w:r>
      <w:r>
        <w:rPr>
          <w:rFonts w:hint="eastAsia" w:ascii="仿宋_GB2312" w:hAnsi="仿宋_GB2312" w:eastAsia="仿宋_GB2312" w:cs="仿宋_GB2312"/>
          <w:sz w:val="32"/>
          <w:szCs w:val="32"/>
          <w:lang w:val="en-US" w:eastAsia="zh-CN"/>
        </w:rPr>
        <w:t>100%。</w:t>
      </w:r>
    </w:p>
    <w:p w14:paraId="73AAE310">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3.资金使用。截至</w:t>
      </w:r>
      <w:r>
        <w:rPr>
          <w:rFonts w:hint="eastAsia" w:ascii="仿宋_GB2312" w:hAnsi="仿宋_GB2312" w:eastAsia="仿宋_GB2312" w:cs="仿宋_GB2312"/>
          <w:sz w:val="32"/>
          <w:szCs w:val="32"/>
          <w:lang w:val="en-US" w:eastAsia="zh-CN"/>
        </w:rPr>
        <w:t>2024年12月31日，峨边府常定〔2024〕23号背峰山公园主体及配套设施建设占地和地面附着物补偿资金</w:t>
      </w:r>
      <w:r>
        <w:rPr>
          <w:rFonts w:hint="eastAsia" w:ascii="仿宋_GB2312" w:hAnsi="仿宋_GB2312" w:eastAsia="仿宋_GB2312" w:cs="仿宋_GB2312"/>
          <w:sz w:val="32"/>
          <w:szCs w:val="32"/>
          <w:lang w:val="zh-CN" w:eastAsia="zh-CN"/>
        </w:rPr>
        <w:t>使用</w:t>
      </w:r>
      <w:r>
        <w:rPr>
          <w:rFonts w:hint="eastAsia" w:ascii="仿宋_GB2312" w:hAnsi="仿宋_GB2312" w:eastAsia="仿宋_GB2312" w:cs="仿宋_GB2312"/>
          <w:sz w:val="32"/>
          <w:szCs w:val="32"/>
          <w:lang w:val="en-US" w:eastAsia="zh-CN"/>
        </w:rPr>
        <w:t>82.37元，使用比例100%。</w:t>
      </w:r>
    </w:p>
    <w:p w14:paraId="61E85A06">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（三）项目财务管理情况。</w:t>
      </w:r>
    </w:p>
    <w:p w14:paraId="4D22C1CC">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为加强</w:t>
      </w:r>
      <w:r>
        <w:rPr>
          <w:rFonts w:hint="eastAsia" w:ascii="仿宋_GB2312" w:hAnsi="仿宋_GB2312" w:eastAsia="仿宋_GB2312" w:cs="仿宋_GB2312"/>
          <w:sz w:val="32"/>
          <w:szCs w:val="32"/>
          <w:lang w:val="en-US" w:eastAsia="zh-CN"/>
        </w:rPr>
        <w:t>专项</w:t>
      </w:r>
      <w:r>
        <w:rPr>
          <w:rFonts w:hint="eastAsia" w:ascii="仿宋_GB2312" w:hAnsi="仿宋_GB2312" w:eastAsia="仿宋_GB2312" w:cs="仿宋_GB2312"/>
          <w:sz w:val="32"/>
          <w:szCs w:val="32"/>
          <w:lang w:val="zh-CN" w:eastAsia="zh-CN"/>
        </w:rPr>
        <w:t>资金的管理和监督，规范</w:t>
      </w:r>
      <w:r>
        <w:rPr>
          <w:rFonts w:hint="eastAsia" w:ascii="仿宋_GB2312" w:hAnsi="仿宋_GB2312" w:eastAsia="仿宋_GB2312" w:cs="仿宋_GB2312"/>
          <w:sz w:val="32"/>
          <w:szCs w:val="32"/>
          <w:lang w:val="en-US" w:eastAsia="zh-CN"/>
        </w:rPr>
        <w:t>专项</w:t>
      </w:r>
      <w:r>
        <w:rPr>
          <w:rFonts w:hint="eastAsia" w:ascii="仿宋_GB2312" w:hAnsi="仿宋_GB2312" w:eastAsia="仿宋_GB2312" w:cs="仿宋_GB2312"/>
          <w:sz w:val="32"/>
          <w:szCs w:val="32"/>
          <w:lang w:val="zh-CN" w:eastAsia="zh-CN"/>
        </w:rPr>
        <w:t>资金使用，提高资金使用效率，制定了经费管理制度</w:t>
      </w:r>
      <w:bookmarkStart w:id="67" w:name="_GoBack"/>
      <w:r>
        <w:rPr>
          <w:rFonts w:hint="eastAsia" w:ascii="仿宋_GB2312" w:hAnsi="仿宋_GB2312" w:eastAsia="仿宋_GB2312" w:cs="仿宋_GB2312"/>
          <w:sz w:val="32"/>
          <w:szCs w:val="32"/>
          <w:lang w:val="zh-CN" w:eastAsia="zh-CN"/>
        </w:rPr>
        <w:t>，该</w:t>
      </w:r>
      <w:bookmarkEnd w:id="67"/>
      <w:r>
        <w:rPr>
          <w:rFonts w:hint="eastAsia" w:ascii="仿宋_GB2312" w:hAnsi="仿宋_GB2312" w:eastAsia="仿宋_GB2312" w:cs="仿宋_GB2312"/>
          <w:sz w:val="32"/>
          <w:szCs w:val="32"/>
          <w:lang w:val="zh-CN" w:eastAsia="zh-CN"/>
        </w:rPr>
        <w:t>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r>
        <w:rPr>
          <w:rFonts w:hint="eastAsia" w:ascii="仿宋_GB2312" w:hAnsi="仿宋_GB2312" w:eastAsia="仿宋_GB2312" w:cs="仿宋_GB2312"/>
          <w:sz w:val="32"/>
          <w:szCs w:val="32"/>
          <w:lang w:val="en-US" w:eastAsia="zh-CN"/>
        </w:rPr>
        <w:t xml:space="preserve"> </w:t>
      </w:r>
    </w:p>
    <w:p w14:paraId="0FB5248A">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Times New Roman" w:hAnsi="Times New Roman" w:eastAsia="黑体" w:cs="Times New Roman"/>
          <w:color w:val="auto"/>
          <w:sz w:val="32"/>
          <w:szCs w:val="32"/>
          <w:highlight w:val="none"/>
          <w:u w:val="none"/>
          <w:lang w:val="zh-CN" w:eastAsia="zh-CN"/>
        </w:rPr>
      </w:pPr>
      <w:r>
        <w:rPr>
          <w:rFonts w:hint="eastAsia" w:ascii="Times New Roman" w:hAnsi="Times New Roman" w:eastAsia="黑体" w:cs="Times New Roman"/>
          <w:color w:val="auto"/>
          <w:sz w:val="32"/>
          <w:szCs w:val="32"/>
          <w:highlight w:val="none"/>
          <w:u w:val="none"/>
          <w:lang w:val="zh-CN" w:eastAsia="zh-CN"/>
        </w:rPr>
        <w:t>三、项目实施及管理情况</w:t>
      </w:r>
    </w:p>
    <w:p w14:paraId="686586CE">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结合项目组织实施管理办法，重点围绕以下内容进行分析评价，并对自评中发现的问题分析说明。</w:t>
      </w:r>
    </w:p>
    <w:p w14:paraId="1DA5A2BA">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仿宋_GB2312" w:hAnsi="仿宋_GB2312" w:eastAsia="仿宋_GB2312" w:cs="仿宋_GB2312"/>
          <w:sz w:val="32"/>
          <w:szCs w:val="32"/>
          <w:lang w:val="zh-CN" w:eastAsia="zh-CN"/>
        </w:rPr>
      </w:pPr>
      <w:r>
        <w:rPr>
          <w:rFonts w:hint="eastAsia" w:ascii="Times New Roman" w:hAnsi="Times New Roman" w:eastAsia="楷体_GB2312" w:cs="Times New Roman"/>
          <w:b/>
          <w:color w:val="auto"/>
          <w:sz w:val="32"/>
          <w:szCs w:val="32"/>
          <w:highlight w:val="none"/>
          <w:u w:val="none"/>
          <w:lang w:val="zh-CN" w:eastAsia="zh-CN"/>
        </w:rPr>
        <w:t>（一）项目组织架构及实施流程。</w:t>
      </w:r>
      <w:r>
        <w:rPr>
          <w:rFonts w:hint="eastAsia" w:ascii="仿宋_GB2312" w:hAnsi="仿宋_GB2312" w:eastAsia="仿宋_GB2312" w:cs="仿宋_GB2312"/>
          <w:sz w:val="32"/>
          <w:szCs w:val="32"/>
          <w:lang w:val="zh-CN" w:eastAsia="zh-CN"/>
        </w:rPr>
        <w:t>该项目由本单位自行组织实施，按项目进度申请用款计划，年终定期汇总全年支出情况，认真开展项目支出绩效评价。</w:t>
      </w:r>
    </w:p>
    <w:p w14:paraId="4489268E">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仿宋_GB2312" w:hAnsi="仿宋_GB2312" w:eastAsia="仿宋_GB2312" w:cs="仿宋_GB2312"/>
          <w:sz w:val="32"/>
          <w:szCs w:val="32"/>
          <w:lang w:val="zh-CN" w:eastAsia="zh-CN"/>
        </w:rPr>
      </w:pPr>
      <w:r>
        <w:rPr>
          <w:rFonts w:hint="eastAsia" w:ascii="Times New Roman" w:hAnsi="Times New Roman" w:eastAsia="楷体_GB2312" w:cs="Times New Roman"/>
          <w:b/>
          <w:color w:val="auto"/>
          <w:sz w:val="32"/>
          <w:szCs w:val="32"/>
          <w:highlight w:val="none"/>
          <w:u w:val="none"/>
          <w:lang w:val="zh-CN" w:eastAsia="zh-CN"/>
        </w:rPr>
        <w:t>（二）项目管理情况。</w:t>
      </w:r>
      <w:r>
        <w:rPr>
          <w:rFonts w:hint="eastAsia" w:ascii="仿宋_GB2312" w:hAnsi="宋体" w:cs="Times New Roman"/>
          <w:sz w:val="32"/>
          <w:szCs w:val="32"/>
          <w:lang w:val="zh-CN" w:eastAsia="zh-CN"/>
        </w:rPr>
        <w:t>严</w:t>
      </w:r>
      <w:r>
        <w:rPr>
          <w:rFonts w:hint="eastAsia" w:ascii="仿宋_GB2312" w:hAnsi="仿宋_GB2312" w:eastAsia="仿宋_GB2312" w:cs="仿宋_GB2312"/>
          <w:sz w:val="32"/>
          <w:szCs w:val="32"/>
          <w:lang w:val="zh-CN" w:eastAsia="zh-CN"/>
        </w:rPr>
        <w:t>格按照县财政部门有关文件精神，进一步完善制度，严格财经制度，在项目资金执行过程中规范资金审批、项目公示等，使用程序，资金使用安全、规范。</w:t>
      </w:r>
    </w:p>
    <w:p w14:paraId="219F9B86">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仿宋_GB2312" w:hAnsi="仿宋_GB2312" w:eastAsia="仿宋_GB2312" w:cs="仿宋_GB2312"/>
          <w:sz w:val="32"/>
          <w:szCs w:val="32"/>
          <w:lang w:val="zh-CN" w:eastAsia="zh-CN"/>
        </w:rPr>
      </w:pPr>
      <w:r>
        <w:rPr>
          <w:rFonts w:hint="eastAsia" w:ascii="Times New Roman" w:hAnsi="Times New Roman" w:eastAsia="楷体_GB2312" w:cs="Times New Roman"/>
          <w:b/>
          <w:color w:val="auto"/>
          <w:sz w:val="32"/>
          <w:szCs w:val="32"/>
          <w:highlight w:val="none"/>
          <w:u w:val="none"/>
          <w:lang w:val="zh-CN" w:eastAsia="zh-CN"/>
        </w:rPr>
        <w:t>（三）项目监管情况。</w:t>
      </w:r>
      <w:r>
        <w:rPr>
          <w:rFonts w:hint="eastAsia" w:ascii="仿宋_GB2312" w:hAnsi="仿宋_GB2312" w:eastAsia="仿宋_GB2312" w:cs="仿宋_GB2312"/>
          <w:sz w:val="32"/>
          <w:szCs w:val="32"/>
          <w:lang w:val="en-US" w:eastAsia="zh-CN"/>
        </w:rPr>
        <w:t>我单位严格</w:t>
      </w:r>
      <w:r>
        <w:rPr>
          <w:rFonts w:hint="eastAsia" w:ascii="仿宋_GB2312" w:hAnsi="仿宋_GB2312" w:eastAsia="仿宋_GB2312" w:cs="仿宋_GB2312"/>
          <w:sz w:val="32"/>
          <w:szCs w:val="32"/>
          <w:lang w:val="zh-CN" w:eastAsia="zh-CN"/>
        </w:rPr>
        <w:t>项目管理，</w:t>
      </w:r>
      <w:r>
        <w:rPr>
          <w:rFonts w:hint="eastAsia" w:ascii="仿宋_GB2312" w:hAnsi="仿宋_GB2312" w:eastAsia="仿宋_GB2312" w:cs="仿宋_GB2312"/>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r>
        <w:rPr>
          <w:rFonts w:hint="eastAsia" w:ascii="仿宋_GB2312" w:hAnsi="仿宋_GB2312" w:eastAsia="仿宋_GB2312" w:cs="仿宋_GB2312"/>
          <w:sz w:val="32"/>
          <w:szCs w:val="32"/>
          <w:lang w:val="zh-CN" w:eastAsia="zh-CN"/>
        </w:rPr>
        <w:t>在实际使用中，机关财务严把审核关，对项目所列开支的范围、标准、进度、依据逐一进行审查，确保资金使用合规合法，与预算相符。</w:t>
      </w:r>
    </w:p>
    <w:p w14:paraId="43EA0EF4">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Times New Roman" w:hAnsi="Times New Roman" w:eastAsia="黑体" w:cs="Times New Roman"/>
          <w:color w:val="auto"/>
          <w:sz w:val="32"/>
          <w:szCs w:val="32"/>
          <w:highlight w:val="none"/>
          <w:u w:val="none"/>
          <w:lang w:val="zh-CN" w:eastAsia="zh-CN"/>
        </w:rPr>
      </w:pPr>
      <w:r>
        <w:rPr>
          <w:rFonts w:hint="eastAsia" w:ascii="Times New Roman" w:hAnsi="Times New Roman" w:eastAsia="黑体" w:cs="Times New Roman"/>
          <w:color w:val="auto"/>
          <w:sz w:val="32"/>
          <w:szCs w:val="32"/>
          <w:highlight w:val="none"/>
          <w:u w:val="none"/>
          <w:lang w:val="zh-CN" w:eastAsia="zh-CN"/>
        </w:rPr>
        <w:t>四、项目绩效情况</w:t>
      </w:r>
      <w:r>
        <w:rPr>
          <w:rFonts w:hint="eastAsia" w:ascii="Times New Roman" w:hAnsi="Times New Roman" w:eastAsia="黑体" w:cs="Times New Roman"/>
          <w:color w:val="auto"/>
          <w:sz w:val="32"/>
          <w:szCs w:val="32"/>
          <w:highlight w:val="none"/>
          <w:u w:val="none"/>
          <w:lang w:val="zh-CN" w:eastAsia="zh-CN"/>
        </w:rPr>
        <w:tab/>
      </w:r>
    </w:p>
    <w:p w14:paraId="4FE1A1FA">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（一）项目决策</w:t>
      </w:r>
    </w:p>
    <w:p w14:paraId="0E081388">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符合党中央、国务院和省委、省政府、市委、市政府、县委、县政府决策部署；符合当前经济社会发展需要，该项目经过峨边彝族自治县沙坪镇人民政府向峨边彝族自治县人民政府请示，经峨边彝族自治县第十届人民政府第58次常务会议研究同意实施。</w:t>
      </w:r>
    </w:p>
    <w:p w14:paraId="7848D324">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en-US" w:eastAsia="zh-CN"/>
        </w:rPr>
        <w:t>（二）项目管理</w:t>
      </w:r>
    </w:p>
    <w:p w14:paraId="766C6E5B">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项目管理由村级主管，镇人民政府监管；资金使用严格按照程序组织实施。</w:t>
      </w:r>
    </w:p>
    <w:p w14:paraId="5D4E6F19">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en-US" w:eastAsia="zh-CN"/>
        </w:rPr>
        <w:t>（三）项目绩效</w:t>
      </w:r>
    </w:p>
    <w:p w14:paraId="1331D49E">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截至</w:t>
      </w:r>
      <w:r>
        <w:rPr>
          <w:rFonts w:hint="eastAsia" w:ascii="仿宋_GB2312" w:hAnsi="仿宋_GB2312" w:eastAsia="仿宋_GB2312" w:cs="仿宋_GB2312"/>
          <w:sz w:val="32"/>
          <w:szCs w:val="32"/>
          <w:lang w:val="en-US" w:eastAsia="zh-CN"/>
        </w:rPr>
        <w:t>2024年12月31日，圆满</w:t>
      </w:r>
      <w:r>
        <w:rPr>
          <w:rFonts w:hint="eastAsia" w:ascii="仿宋_GB2312" w:hAnsi="仿宋_GB2312" w:eastAsia="仿宋_GB2312" w:cs="仿宋_GB2312"/>
          <w:sz w:val="32"/>
          <w:szCs w:val="32"/>
          <w:lang w:val="zh-CN" w:eastAsia="zh-CN"/>
        </w:rPr>
        <w:t>完成红星村、双河村、岩月村</w:t>
      </w:r>
      <w:r>
        <w:rPr>
          <w:rFonts w:hint="eastAsia" w:ascii="仿宋_GB2312" w:hAnsi="仿宋_GB2312" w:eastAsia="仿宋_GB2312" w:cs="仿宋_GB2312"/>
          <w:sz w:val="32"/>
          <w:szCs w:val="32"/>
          <w:lang w:val="en-US" w:eastAsia="zh-CN"/>
        </w:rPr>
        <w:t>63户农户</w:t>
      </w:r>
      <w:r>
        <w:rPr>
          <w:rFonts w:hint="eastAsia" w:ascii="仿宋_GB2312" w:hAnsi="仿宋_GB2312" w:eastAsia="仿宋_GB2312" w:cs="仿宋_GB2312"/>
          <w:sz w:val="32"/>
          <w:szCs w:val="32"/>
          <w:lang w:val="zh-CN" w:eastAsia="zh-CN"/>
        </w:rPr>
        <w:t>补偿款的兑付，兑付资金</w:t>
      </w:r>
      <w:r>
        <w:rPr>
          <w:rFonts w:hint="eastAsia" w:ascii="仿宋_GB2312" w:hAnsi="仿宋_GB2312" w:eastAsia="仿宋_GB2312" w:cs="仿宋_GB2312"/>
          <w:sz w:val="32"/>
          <w:szCs w:val="32"/>
          <w:lang w:val="en-US" w:eastAsia="zh-CN"/>
        </w:rPr>
        <w:t>82.37万元，资金拨付率达到100%，经过该项目的实施，增加了农户的收入，大大提升了群众的满意度。</w:t>
      </w:r>
    </w:p>
    <w:p w14:paraId="49E69E97">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Times New Roman" w:hAnsi="Times New Roman" w:eastAsia="黑体"/>
          <w:color w:val="auto"/>
          <w:sz w:val="32"/>
          <w:szCs w:val="32"/>
          <w:highlight w:val="none"/>
          <w:u w:val="none"/>
          <w:lang w:val="zh-CN" w:eastAsia="zh-CN"/>
        </w:rPr>
      </w:pPr>
      <w:r>
        <w:rPr>
          <w:rFonts w:hint="eastAsia" w:ascii="Times New Roman" w:hAnsi="Times New Roman" w:eastAsia="黑体"/>
          <w:color w:val="auto"/>
          <w:sz w:val="32"/>
          <w:szCs w:val="32"/>
          <w:highlight w:val="none"/>
          <w:u w:val="none"/>
          <w:lang w:val="zh-CN" w:eastAsia="zh-CN"/>
        </w:rPr>
        <w:t>四、评价结论及建议</w:t>
      </w:r>
    </w:p>
    <w:p w14:paraId="03512853">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仿宋_GB2312" w:hAnsi="仿宋_GB2312" w:eastAsia="仿宋_GB2312" w:cs="仿宋_GB2312"/>
          <w:sz w:val="32"/>
          <w:szCs w:val="32"/>
          <w:lang w:val="zh-CN" w:eastAsia="zh-CN"/>
        </w:rPr>
      </w:pPr>
      <w:r>
        <w:rPr>
          <w:rFonts w:hint="eastAsia" w:ascii="Times New Roman" w:hAnsi="Times New Roman" w:eastAsia="楷体_GB2312" w:cs="Times New Roman"/>
          <w:b/>
          <w:color w:val="auto"/>
          <w:sz w:val="32"/>
          <w:szCs w:val="32"/>
          <w:highlight w:val="none"/>
          <w:u w:val="none"/>
          <w:lang w:val="zh-CN" w:eastAsia="zh-CN"/>
        </w:rPr>
        <w:t>（一）评价结论。</w:t>
      </w:r>
      <w:r>
        <w:rPr>
          <w:rFonts w:hint="eastAsia" w:ascii="仿宋_GB2312" w:hAnsi="仿宋_GB2312" w:eastAsia="仿宋_GB2312" w:cs="仿宋_GB2312"/>
          <w:sz w:val="32"/>
          <w:szCs w:val="32"/>
          <w:lang w:val="zh-CN" w:eastAsia="zh-CN"/>
        </w:rPr>
        <w:t>根据《峨边彝族自治县财政局关于开展20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zh-CN" w:eastAsia="zh-CN"/>
        </w:rPr>
        <w:t>年部门整体、项目和政策支出绩效评价工作的通知》文件精神，</w:t>
      </w:r>
      <w:r>
        <w:rPr>
          <w:rFonts w:hint="eastAsia" w:ascii="仿宋_GB2312" w:hAnsi="仿宋_GB2312" w:eastAsia="仿宋_GB2312" w:cs="仿宋_GB2312"/>
          <w:sz w:val="32"/>
          <w:szCs w:val="32"/>
          <w:lang w:val="en-US" w:eastAsia="zh-CN"/>
        </w:rPr>
        <w:t>我单位认真组织开展了部门整体支出绩效评价工作，绩效评价自评</w:t>
      </w:r>
      <w:r>
        <w:rPr>
          <w:rFonts w:hint="eastAsia" w:ascii="仿宋_GB2312" w:hAnsi="仿宋_GB2312" w:eastAsia="仿宋_GB2312" w:cs="仿宋_GB2312"/>
          <w:sz w:val="32"/>
          <w:szCs w:val="32"/>
          <w:lang w:val="zh-CN" w:eastAsia="zh-CN"/>
        </w:rPr>
        <w:t>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分。</w:t>
      </w:r>
    </w:p>
    <w:p w14:paraId="44C784A1">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仿宋_GB2312" w:hAnsi="宋体" w:cs="Times New Roman"/>
          <w:sz w:val="32"/>
          <w:szCs w:val="32"/>
          <w:lang w:val="zh-CN" w:eastAsia="zh-CN"/>
        </w:rPr>
      </w:pPr>
      <w:r>
        <w:rPr>
          <w:rFonts w:hint="eastAsia" w:ascii="Times New Roman" w:hAnsi="Times New Roman" w:eastAsia="楷体_GB2312" w:cs="Times New Roman"/>
          <w:b/>
          <w:color w:val="auto"/>
          <w:sz w:val="32"/>
          <w:szCs w:val="32"/>
          <w:highlight w:val="none"/>
          <w:u w:val="none"/>
          <w:lang w:val="zh-CN" w:eastAsia="zh-CN"/>
        </w:rPr>
        <w:t>（二）存在问题。</w:t>
      </w:r>
      <w:r>
        <w:rPr>
          <w:rFonts w:hint="eastAsia" w:ascii="仿宋_GB2312" w:hAnsi="宋体" w:cs="Times New Roman"/>
          <w:sz w:val="32"/>
          <w:szCs w:val="32"/>
          <w:lang w:val="zh-CN" w:eastAsia="zh-CN"/>
        </w:rPr>
        <w:t>无。</w:t>
      </w:r>
    </w:p>
    <w:p w14:paraId="36D39A45">
      <w:pPr>
        <w:pStyle w:val="10"/>
        <w:rPr>
          <w:rFonts w:hint="eastAsia" w:ascii="Times New Roman" w:hAnsi="Times New Roman" w:eastAsia="黑体" w:cs="黑体"/>
          <w:color w:val="auto"/>
          <w:kern w:val="0"/>
          <w:sz w:val="32"/>
          <w:szCs w:val="32"/>
          <w:highlight w:val="none"/>
          <w:shd w:val="clear" w:color="auto" w:fill="FFFFFF"/>
          <w:lang w:val="en-US" w:eastAsia="zh-CN"/>
        </w:rPr>
      </w:pPr>
    </w:p>
    <w:p w14:paraId="7AF89B9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E847DEA">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2"/>
      <w:bookmarkEnd w:id="53"/>
      <w:bookmarkStart w:id="54" w:name="_Toc15396619"/>
    </w:p>
    <w:p w14:paraId="3E84C34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AE0A8D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51614C6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73643F8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1EF023E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124A667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220CFCF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708BA0A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1BEA427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150E1FC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67AD273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7894FB8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2696A2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5B48257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5C5F5932">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72FE9">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F56EF">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7F56EF">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03FFC7D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B5D5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55139">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255139">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651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D5E76"/>
    <w:multiLevelType w:val="singleLevel"/>
    <w:tmpl w:val="436D5E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kzNWY3OTJhYjY3YjA4Zjc2OWY3NTEwZmE2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1EBF"/>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1E22"/>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FA3EED"/>
    <w:rsid w:val="020711C8"/>
    <w:rsid w:val="02FEBE30"/>
    <w:rsid w:val="03C54277"/>
    <w:rsid w:val="04916F1E"/>
    <w:rsid w:val="05C25DF5"/>
    <w:rsid w:val="061E35DE"/>
    <w:rsid w:val="062E1CCF"/>
    <w:rsid w:val="063C6F04"/>
    <w:rsid w:val="066E0107"/>
    <w:rsid w:val="07260BA4"/>
    <w:rsid w:val="07996F6E"/>
    <w:rsid w:val="07DFD8BA"/>
    <w:rsid w:val="08164136"/>
    <w:rsid w:val="08B15C7A"/>
    <w:rsid w:val="097C160A"/>
    <w:rsid w:val="09816FA6"/>
    <w:rsid w:val="09867E8F"/>
    <w:rsid w:val="0A2032A3"/>
    <w:rsid w:val="0C6851C4"/>
    <w:rsid w:val="0C855CC7"/>
    <w:rsid w:val="0C875ABE"/>
    <w:rsid w:val="0CA8290A"/>
    <w:rsid w:val="0D35B1ED"/>
    <w:rsid w:val="0DB1497B"/>
    <w:rsid w:val="0E254B6B"/>
    <w:rsid w:val="0E3A5889"/>
    <w:rsid w:val="0EAC60C1"/>
    <w:rsid w:val="0F98263C"/>
    <w:rsid w:val="101860EC"/>
    <w:rsid w:val="101F47CC"/>
    <w:rsid w:val="107A0346"/>
    <w:rsid w:val="10C055FF"/>
    <w:rsid w:val="11694EBD"/>
    <w:rsid w:val="11772AA4"/>
    <w:rsid w:val="118107EC"/>
    <w:rsid w:val="120E31B2"/>
    <w:rsid w:val="12E24EE2"/>
    <w:rsid w:val="13D50BC4"/>
    <w:rsid w:val="14147E87"/>
    <w:rsid w:val="14B17F78"/>
    <w:rsid w:val="165E0673"/>
    <w:rsid w:val="16B831D5"/>
    <w:rsid w:val="16BB723D"/>
    <w:rsid w:val="17E50567"/>
    <w:rsid w:val="186504BB"/>
    <w:rsid w:val="18BA4EF0"/>
    <w:rsid w:val="19A445FC"/>
    <w:rsid w:val="1B1D1436"/>
    <w:rsid w:val="1BB97E5F"/>
    <w:rsid w:val="1BE8440E"/>
    <w:rsid w:val="1D155CEE"/>
    <w:rsid w:val="1D1638FE"/>
    <w:rsid w:val="1E312DEB"/>
    <w:rsid w:val="1E740ACF"/>
    <w:rsid w:val="1EF83D2A"/>
    <w:rsid w:val="1FF35744"/>
    <w:rsid w:val="1FF6BC77"/>
    <w:rsid w:val="202E0C39"/>
    <w:rsid w:val="20AE78C5"/>
    <w:rsid w:val="21745E55"/>
    <w:rsid w:val="2186353C"/>
    <w:rsid w:val="23860B96"/>
    <w:rsid w:val="23B15976"/>
    <w:rsid w:val="240371BF"/>
    <w:rsid w:val="244F3473"/>
    <w:rsid w:val="24BB43BD"/>
    <w:rsid w:val="24C97D99"/>
    <w:rsid w:val="25A718F0"/>
    <w:rsid w:val="25BB59F6"/>
    <w:rsid w:val="260F557C"/>
    <w:rsid w:val="268A1491"/>
    <w:rsid w:val="26970054"/>
    <w:rsid w:val="27317B40"/>
    <w:rsid w:val="27360EE7"/>
    <w:rsid w:val="281408E2"/>
    <w:rsid w:val="283A7E93"/>
    <w:rsid w:val="28C37B40"/>
    <w:rsid w:val="28CA2DAF"/>
    <w:rsid w:val="29D97FDC"/>
    <w:rsid w:val="29FD04D3"/>
    <w:rsid w:val="2AE27D5B"/>
    <w:rsid w:val="2BD868B3"/>
    <w:rsid w:val="2BFF7BC6"/>
    <w:rsid w:val="2C8A61B5"/>
    <w:rsid w:val="2CD747D6"/>
    <w:rsid w:val="2DF04E50"/>
    <w:rsid w:val="2E586DFA"/>
    <w:rsid w:val="2EB82116"/>
    <w:rsid w:val="2F040D46"/>
    <w:rsid w:val="2F6B035B"/>
    <w:rsid w:val="2FAE5751"/>
    <w:rsid w:val="2FB1A395"/>
    <w:rsid w:val="2FD847CA"/>
    <w:rsid w:val="2FD9A7D8"/>
    <w:rsid w:val="2FDBF714"/>
    <w:rsid w:val="309010C7"/>
    <w:rsid w:val="30AB6865"/>
    <w:rsid w:val="31750675"/>
    <w:rsid w:val="319F7F4E"/>
    <w:rsid w:val="32847C00"/>
    <w:rsid w:val="32BD1EF1"/>
    <w:rsid w:val="32EA4F96"/>
    <w:rsid w:val="3304709D"/>
    <w:rsid w:val="33A773CB"/>
    <w:rsid w:val="33AA3532"/>
    <w:rsid w:val="344452A8"/>
    <w:rsid w:val="349D6851"/>
    <w:rsid w:val="357731C3"/>
    <w:rsid w:val="35CE4362"/>
    <w:rsid w:val="35F6002D"/>
    <w:rsid w:val="35F93D13"/>
    <w:rsid w:val="362F07AB"/>
    <w:rsid w:val="365A28F0"/>
    <w:rsid w:val="36A3471C"/>
    <w:rsid w:val="36AA5135"/>
    <w:rsid w:val="36BE0DA7"/>
    <w:rsid w:val="36E27022"/>
    <w:rsid w:val="376B6AA6"/>
    <w:rsid w:val="376D39B2"/>
    <w:rsid w:val="37E16F03"/>
    <w:rsid w:val="37F53A3B"/>
    <w:rsid w:val="389B6C89"/>
    <w:rsid w:val="38D469F0"/>
    <w:rsid w:val="39627CCD"/>
    <w:rsid w:val="397BAF1F"/>
    <w:rsid w:val="3A3806E5"/>
    <w:rsid w:val="3AB79AF3"/>
    <w:rsid w:val="3AE834C0"/>
    <w:rsid w:val="3B7EF35A"/>
    <w:rsid w:val="3B9FDB6C"/>
    <w:rsid w:val="3BA32914"/>
    <w:rsid w:val="3BE51F7B"/>
    <w:rsid w:val="3BF5BC2F"/>
    <w:rsid w:val="3BF8580C"/>
    <w:rsid w:val="3CEBA265"/>
    <w:rsid w:val="3D6738C6"/>
    <w:rsid w:val="3D98207C"/>
    <w:rsid w:val="3DE049F9"/>
    <w:rsid w:val="3DEE7CF3"/>
    <w:rsid w:val="3E0876EF"/>
    <w:rsid w:val="3E546239"/>
    <w:rsid w:val="3E740A63"/>
    <w:rsid w:val="3E78745D"/>
    <w:rsid w:val="3EE17838"/>
    <w:rsid w:val="3F55381A"/>
    <w:rsid w:val="3F7F7599"/>
    <w:rsid w:val="3FF4CAE0"/>
    <w:rsid w:val="3FF7B227"/>
    <w:rsid w:val="44AC71F0"/>
    <w:rsid w:val="44E268DA"/>
    <w:rsid w:val="450D13D7"/>
    <w:rsid w:val="45506656"/>
    <w:rsid w:val="465F2FEF"/>
    <w:rsid w:val="47412D0B"/>
    <w:rsid w:val="486A6C7A"/>
    <w:rsid w:val="49540708"/>
    <w:rsid w:val="499F60E8"/>
    <w:rsid w:val="4A627F82"/>
    <w:rsid w:val="4B03178D"/>
    <w:rsid w:val="4B0E749A"/>
    <w:rsid w:val="4B2477C4"/>
    <w:rsid w:val="4B4F25DA"/>
    <w:rsid w:val="4B9C6776"/>
    <w:rsid w:val="4BE068DB"/>
    <w:rsid w:val="4D577224"/>
    <w:rsid w:val="4DBF1CEB"/>
    <w:rsid w:val="4DF0007C"/>
    <w:rsid w:val="4EAB630A"/>
    <w:rsid w:val="4ECE2238"/>
    <w:rsid w:val="4F833267"/>
    <w:rsid w:val="4FB14DB7"/>
    <w:rsid w:val="4FE9BD67"/>
    <w:rsid w:val="4FFB052F"/>
    <w:rsid w:val="50357A4E"/>
    <w:rsid w:val="503E4598"/>
    <w:rsid w:val="505D2E63"/>
    <w:rsid w:val="516B057D"/>
    <w:rsid w:val="519D0BCC"/>
    <w:rsid w:val="51E0471E"/>
    <w:rsid w:val="537E6D0A"/>
    <w:rsid w:val="53D04730"/>
    <w:rsid w:val="53F74C96"/>
    <w:rsid w:val="55170BA8"/>
    <w:rsid w:val="553218C9"/>
    <w:rsid w:val="560445DD"/>
    <w:rsid w:val="567E1AA5"/>
    <w:rsid w:val="56E47B74"/>
    <w:rsid w:val="57175D52"/>
    <w:rsid w:val="57BD3DD4"/>
    <w:rsid w:val="5972708E"/>
    <w:rsid w:val="59F8028E"/>
    <w:rsid w:val="5A5858EA"/>
    <w:rsid w:val="5A7C5296"/>
    <w:rsid w:val="5A9E4CD5"/>
    <w:rsid w:val="5AC726D1"/>
    <w:rsid w:val="5AF92295"/>
    <w:rsid w:val="5B250254"/>
    <w:rsid w:val="5BDD79E6"/>
    <w:rsid w:val="5BF561CA"/>
    <w:rsid w:val="5BFF5DFC"/>
    <w:rsid w:val="5CD71FC4"/>
    <w:rsid w:val="5D1F11B5"/>
    <w:rsid w:val="5D286AC0"/>
    <w:rsid w:val="5D695134"/>
    <w:rsid w:val="5DAE1B18"/>
    <w:rsid w:val="5DE7D9E5"/>
    <w:rsid w:val="5ECEC941"/>
    <w:rsid w:val="5EF97F4F"/>
    <w:rsid w:val="5F2525CE"/>
    <w:rsid w:val="5FBF9FF3"/>
    <w:rsid w:val="5FCD4E2C"/>
    <w:rsid w:val="5FEF394A"/>
    <w:rsid w:val="5FF67715"/>
    <w:rsid w:val="61070BF3"/>
    <w:rsid w:val="61241C48"/>
    <w:rsid w:val="618534DE"/>
    <w:rsid w:val="62BF3928"/>
    <w:rsid w:val="63905D72"/>
    <w:rsid w:val="63B3701E"/>
    <w:rsid w:val="647F5392"/>
    <w:rsid w:val="648C2404"/>
    <w:rsid w:val="64E64F9A"/>
    <w:rsid w:val="65E66580"/>
    <w:rsid w:val="664B1D71"/>
    <w:rsid w:val="664B4E8E"/>
    <w:rsid w:val="67277B67"/>
    <w:rsid w:val="67AA3209"/>
    <w:rsid w:val="67BE016C"/>
    <w:rsid w:val="68B76417"/>
    <w:rsid w:val="69701FEF"/>
    <w:rsid w:val="698D0931"/>
    <w:rsid w:val="6A7FE5F3"/>
    <w:rsid w:val="6AA3015F"/>
    <w:rsid w:val="6B053271"/>
    <w:rsid w:val="6BDD78B3"/>
    <w:rsid w:val="6C4A05C8"/>
    <w:rsid w:val="6C8742B8"/>
    <w:rsid w:val="6CA10517"/>
    <w:rsid w:val="6D487FD0"/>
    <w:rsid w:val="6DBF5E93"/>
    <w:rsid w:val="6DFF077E"/>
    <w:rsid w:val="6E600142"/>
    <w:rsid w:val="6E714EF0"/>
    <w:rsid w:val="6E7E3605"/>
    <w:rsid w:val="6E7FDCC7"/>
    <w:rsid w:val="6E807F51"/>
    <w:rsid w:val="6ED6A62E"/>
    <w:rsid w:val="6EE00B15"/>
    <w:rsid w:val="6F6038C5"/>
    <w:rsid w:val="6F6FB3EB"/>
    <w:rsid w:val="6F8731EA"/>
    <w:rsid w:val="6FA16FCA"/>
    <w:rsid w:val="6FCE6052"/>
    <w:rsid w:val="6FD57C00"/>
    <w:rsid w:val="6FEFFFD8"/>
    <w:rsid w:val="6FF5CC65"/>
    <w:rsid w:val="6FFB47EC"/>
    <w:rsid w:val="6FFF034A"/>
    <w:rsid w:val="70484440"/>
    <w:rsid w:val="712A28F1"/>
    <w:rsid w:val="713E7552"/>
    <w:rsid w:val="715C0E4B"/>
    <w:rsid w:val="718B730D"/>
    <w:rsid w:val="71992E7C"/>
    <w:rsid w:val="72233669"/>
    <w:rsid w:val="72734D90"/>
    <w:rsid w:val="729501EE"/>
    <w:rsid w:val="73160E6D"/>
    <w:rsid w:val="7332FE48"/>
    <w:rsid w:val="73AB61DA"/>
    <w:rsid w:val="73AD73D5"/>
    <w:rsid w:val="73B6EB34"/>
    <w:rsid w:val="73FA497D"/>
    <w:rsid w:val="744731E5"/>
    <w:rsid w:val="74A84CDF"/>
    <w:rsid w:val="74BBD01D"/>
    <w:rsid w:val="74ED5379"/>
    <w:rsid w:val="75983D6B"/>
    <w:rsid w:val="75DEEEC2"/>
    <w:rsid w:val="75E32345"/>
    <w:rsid w:val="76900EDB"/>
    <w:rsid w:val="76E3355F"/>
    <w:rsid w:val="76FF5125"/>
    <w:rsid w:val="771B7948"/>
    <w:rsid w:val="772C5091"/>
    <w:rsid w:val="776F6FFA"/>
    <w:rsid w:val="778769C8"/>
    <w:rsid w:val="77A75DCA"/>
    <w:rsid w:val="77DC22F5"/>
    <w:rsid w:val="783E271A"/>
    <w:rsid w:val="78616DE9"/>
    <w:rsid w:val="78E875D7"/>
    <w:rsid w:val="79086DAD"/>
    <w:rsid w:val="79D7FD79"/>
    <w:rsid w:val="79EE5BA4"/>
    <w:rsid w:val="7A674DF4"/>
    <w:rsid w:val="7A894339"/>
    <w:rsid w:val="7A8E6345"/>
    <w:rsid w:val="7AD284E8"/>
    <w:rsid w:val="7AFF7572"/>
    <w:rsid w:val="7B50609B"/>
    <w:rsid w:val="7B6C7DFB"/>
    <w:rsid w:val="7BBFBED0"/>
    <w:rsid w:val="7BC3E394"/>
    <w:rsid w:val="7C1F3737"/>
    <w:rsid w:val="7C5A0609"/>
    <w:rsid w:val="7CBFC87B"/>
    <w:rsid w:val="7CFE0F48"/>
    <w:rsid w:val="7D272ABC"/>
    <w:rsid w:val="7D7EC23E"/>
    <w:rsid w:val="7E3D33C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Normal Indent"/>
    <w:basedOn w:val="1"/>
    <w:next w:val="1"/>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w:basedOn w:val="1"/>
    <w:link w:val="28"/>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4"/>
    <w:semiHidden/>
    <w:unhideWhenUsed/>
    <w:qFormat/>
    <w:uiPriority w:val="99"/>
    <w:rPr>
      <w:sz w:val="18"/>
      <w:szCs w:val="18"/>
    </w:rPr>
  </w:style>
  <w:style w:type="paragraph" w:styleId="13">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Title"/>
    <w:basedOn w:val="1"/>
    <w:next w:val="1"/>
    <w:unhideWhenUsed/>
    <w:qFormat/>
    <w:uiPriority w:val="0"/>
    <w:pPr>
      <w:spacing w:before="240" w:after="60"/>
      <w:jc w:val="center"/>
      <w:outlineLvl w:val="0"/>
    </w:pPr>
    <w:rPr>
      <w:rFonts w:hint="default" w:ascii="Arial" w:hAnsi="Arial" w:eastAsia="宋体"/>
      <w:b/>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4"/>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3"/>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10"/>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5"/>
    <w:qFormat/>
    <w:uiPriority w:val="9"/>
    <w:rPr>
      <w:rFonts w:ascii="Times New Roman" w:hAnsi="Times New Roman"/>
      <w:b/>
      <w:bCs/>
      <w:kern w:val="44"/>
      <w:sz w:val="44"/>
      <w:szCs w:val="44"/>
    </w:rPr>
  </w:style>
  <w:style w:type="character" w:customStyle="1" w:styleId="32">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2"/>
    <w:semiHidden/>
    <w:qFormat/>
    <w:uiPriority w:val="99"/>
    <w:rPr>
      <w:rFonts w:ascii="Times New Roman" w:hAnsi="Times New Roman"/>
      <w:kern w:val="2"/>
      <w:sz w:val="18"/>
      <w:szCs w:val="18"/>
    </w:rPr>
  </w:style>
  <w:style w:type="character" w:customStyle="1" w:styleId="35">
    <w:name w:val="标题 3 Char"/>
    <w:basedOn w:val="19"/>
    <w:link w:val="7"/>
    <w:qFormat/>
    <w:uiPriority w:val="9"/>
    <w:rPr>
      <w:rFonts w:ascii="Times New Roman" w:hAnsi="Times New Roman"/>
      <w:b/>
      <w:bCs/>
      <w:kern w:val="2"/>
      <w:sz w:val="32"/>
      <w:szCs w:val="32"/>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9"/>
  </customShpExts>
</s:customData>
</file>

<file path=customXml/item2.xml><?xml version="1.0" encoding="utf-8"?>
<contractReview xmlns="http://schemas.wps.cn/vas-ai-hub/contract-review">
  <reviewItems>
    <reviewItem>
      <errorID>eb662d82-72d5-4219-ae22-f2dd6beea4ca</errorID>
      <errorWord>巩固脱贫攻坚成果</errorWord>
      <group>L1_Word</group>
      <groupName>字词问题</groupName>
      <ability>L2_Typo</ability>
      <abilityName>字词错误</abilityName>
      <candidateList>
        <item>巩固拓展脱贫攻坚成果</item>
      </candidateList>
      <explain/>
      <paraID>325F9FF1</paraID>
      <start>10</start>
      <end>18</end>
      <status>ignored</status>
      <modifiedWord/>
      <trackRevisions>false</trackRevisions>
    </reviewItem>
    <reviewItem>
      <errorID>cddf7cc8-a48e-4aba-a82b-33f56cdcb798</errorID>
      <errorWord>巩固脱贫攻坚成果</errorWord>
      <group>L1_Word</group>
      <groupName>字词问题</groupName>
      <ability>L2_Typo</ability>
      <abilityName>字词错误</abilityName>
      <candidateList>
        <item>巩固拓展脱贫攻坚成果</item>
      </candidateList>
      <explain/>
      <paraID>2E2C2B8C</paraID>
      <start>10</start>
      <end>18</end>
      <status>ignored</status>
      <modifiedWord/>
      <trackRevisions>false</trackRevisions>
    </reviewItem>
    <reviewItem>
      <errorID>13e12c7b-dc09-46bb-ae4a-ea32c296dd5c</errorID>
      <errorWord>巩固脱贫攻坚成果</errorWord>
      <group>L1_Word</group>
      <groupName>字词问题</groupName>
      <ability>L2_Typo</ability>
      <abilityName>字词错误</abilityName>
      <candidateList>
        <item>巩固拓展脱贫攻坚成果</item>
      </candidateList>
      <explain/>
      <paraID>2E2C2B8C</paraID>
      <start>29</start>
      <end>39</end>
      <status>modified</status>
      <modifiedWord>巩固拓展脱贫攻坚成果</modifiedWord>
      <trackRevisions>false</trackRevisions>
    </reviewItem>
    <reviewItem>
      <errorID>2b668917-ee70-4ee5-bef6-7c9fac539308</errorID>
      <errorWord>脱贫功坚成果</errorWord>
      <group>L1_Political</group>
      <groupName>政治性问题</groupName>
      <ability>L2_Keyword</ability>
      <abilityName>固定表述</abilityName>
      <candidateList>
        <item>脱贫攻坚成果</item>
      </candidateList>
      <explain>词汇“脱贫攻坚成果”在特定场景下为固定表述形式，请确认此处的“脱贫功坚成果”是否存在不当。</explain>
      <paraID>15164939</paraID>
      <start>14</start>
      <end>20</end>
      <status>ignored</status>
      <modifiedWord/>
      <trackRevisions>false</trackRevisions>
    </reviewItem>
    <reviewItem>
      <errorID>2de91ad9-f531-47d9-87d7-8784f7220d22</errorID>
      <errorWord>脱贫功坚成果</errorWord>
      <group>L1_Political</group>
      <groupName>政治性问题</groupName>
      <ability>L2_Keyword</ability>
      <abilityName>固定表述</abilityName>
      <candidateList>
        <item>脱贫攻坚成果</item>
      </candidateList>
      <explain>词汇“脱贫攻坚成果”在特定场景下为固定表述形式，请确认此处的“脱贫功坚成果”是否存在不当。</explain>
      <paraID>1BD6AC8B</paraID>
      <start>13</start>
      <end>19</end>
      <status>ignored</status>
      <modifiedWord/>
      <trackRevisions>false</trackRevisions>
    </reviewItem>
    <reviewItem>
      <errorID>049ede52-8fe9-46ca-ac1c-a204c1c276eb</errorID>
      <errorWord>巩固脱贫攻坚成果</errorWord>
      <group>L1_Word</group>
      <groupName>字词问题</groupName>
      <ability>L2_Typo</ability>
      <abilityName>字词错误</abilityName>
      <candidateList>
        <item>巩固拓展脱贫攻坚成果</item>
      </candidateList>
      <explain/>
      <paraID>1BD6AC8B</paraID>
      <start>30</start>
      <end>40</end>
      <status>modified</status>
      <modifiedWord>巩固拓展脱贫攻坚成果</modifiedWord>
      <trackRevisions>false</trackRevisions>
    </reviewItem>
    <reviewItem>
      <errorID>53f1e097-0424-4ca2-8a8f-44bf4e5039fd</errorID>
      <errorWord>站站</errorWord>
      <group>L1_Word</group>
      <groupName>字词问题</groupName>
      <ability>L2_Typo</ability>
      <abilityName>字词错误</abilityName>
      <candidateList>
        <item>站</item>
      </candidateList>
      <explain/>
      <paraID>5FEBDC0D</paraID>
      <start>179</start>
      <end>181</end>
      <status>ignored</status>
      <modifiedWord/>
      <trackRevisions>false</trackRevisions>
    </reviewItem>
    <reviewItem>
      <errorID>240470b6-43f5-4838-a9de-1f54fade1deb</errorID>
      <errorWord>，</errorWord>
      <group>L1_Word</group>
      <groupName>字词问题</groupName>
      <ability>L2_Typo</ability>
      <abilityName>字词错误</abilityName>
      <candidateList>
        <item>，该</item>
      </candidateList>
      <explain/>
      <paraID> B8D3E58</paraID>
      <start>41</start>
      <end>43</end>
      <status>modified</status>
      <modifiedWord>，该</modifiedWord>
      <trackRevisions>false</trackRevisions>
    </reviewItem>
    <reviewItem>
      <errorID>6d1ea174-c209-466a-9d22-ae139fd91071</errorID>
      <errorWord>，</errorWord>
      <group>L1_Word</group>
      <groupName>字词问题</groupName>
      <ability>L2_Typo</ability>
      <abilityName>字词错误</abilityName>
      <candidateList>
        <item>，该</item>
      </candidateList>
      <explain/>
      <paraID>4D22C1CC</paraID>
      <start>41</start>
      <end>43</end>
      <status>modified</status>
      <modifiedWord>，该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0ed4d-f95c-4c49-9c1e-bd9fec51ea5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2430</Words>
  <Characters>2689</Characters>
  <Lines>61</Lines>
  <Paragraphs>17</Paragraphs>
  <TotalTime>50</TotalTime>
  <ScaleCrop>false</ScaleCrop>
  <LinksUpToDate>false</LinksUpToDate>
  <CharactersWithSpaces>2729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2025-11-25T03:39:08Z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