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DC41B">
      <w:pPr>
        <w:spacing w:line="580" w:lineRule="exact"/>
        <w:contextualSpacing/>
        <w:rPr>
          <w:rFonts w:hint="default" w:ascii="方正黑体_GBK" w:hAnsi="宋体" w:eastAsia="方正黑体_GBK"/>
          <w:sz w:val="33"/>
          <w:szCs w:val="33"/>
          <w:lang w:val="en-US" w:eastAsia="zh-CN"/>
        </w:rPr>
      </w:pPr>
      <w:r>
        <w:rPr>
          <w:rFonts w:hint="eastAsia" w:ascii="方正黑体_GBK" w:hAnsi="宋体" w:eastAsia="方正黑体_GBK"/>
          <w:sz w:val="33"/>
          <w:szCs w:val="33"/>
          <w:lang w:val="zh-CN"/>
        </w:rPr>
        <w:t>附</w:t>
      </w:r>
      <w:r>
        <w:rPr>
          <w:rFonts w:hint="eastAsia" w:ascii="方正黑体_GBK" w:hAnsi="宋体" w:eastAsia="方正黑体_GBK"/>
          <w:sz w:val="33"/>
          <w:szCs w:val="33"/>
          <w:lang w:val="en-US" w:eastAsia="zh-CN"/>
        </w:rPr>
        <w:t>5-2</w:t>
      </w:r>
    </w:p>
    <w:p w14:paraId="16E687E2">
      <w:pPr>
        <w:widowControl/>
        <w:spacing w:line="580" w:lineRule="exact"/>
        <w:ind w:firstLine="883" w:firstLineChars="200"/>
        <w:contextualSpacing/>
        <w:jc w:val="center"/>
        <w:rPr>
          <w:rFonts w:ascii="宋体"/>
          <w:b/>
          <w:sz w:val="44"/>
          <w:szCs w:val="44"/>
          <w:shd w:val="clear" w:color="auto" w:fill="FFFFFF"/>
        </w:rPr>
      </w:pPr>
    </w:p>
    <w:p w14:paraId="79B444AB">
      <w:pPr>
        <w:widowControl/>
        <w:spacing w:line="580" w:lineRule="exact"/>
        <w:contextualSpacing/>
        <w:jc w:val="center"/>
        <w:rPr>
          <w:rFonts w:hint="eastAsia" w:ascii="方正小标宋简体" w:hAnsi="宋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沙坪镇</w:t>
      </w:r>
      <w:r>
        <w:rPr>
          <w:rFonts w:hint="eastAsia" w:ascii="方正小标宋简体" w:hAnsi="宋体" w:eastAsia="方正小标宋简体"/>
          <w:sz w:val="44"/>
          <w:szCs w:val="44"/>
          <w:shd w:val="clear" w:color="auto" w:fill="FFFFFF"/>
        </w:rPr>
        <w:t>部门整体绩效自评报告</w:t>
      </w:r>
    </w:p>
    <w:p w14:paraId="55D3581A">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14:paraId="34AA823C">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14:paraId="10D1ADAA">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14:paraId="5114E8D1">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14:paraId="7FB0BB20">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eastAsia="zh-CN"/>
        </w:rPr>
        <w:t>沙坪镇</w:t>
      </w:r>
      <w:r>
        <w:rPr>
          <w:rFonts w:hint="eastAsia" w:ascii="仿宋_GB2312" w:hAnsi="宋体" w:cs="宋体"/>
          <w:color w:val="000000"/>
          <w:kern w:val="0"/>
          <w:szCs w:val="32"/>
          <w:shd w:val="clear" w:color="auto" w:fill="FFFFFF"/>
        </w:rPr>
        <w:t>人民政府属行政单位，内设</w:t>
      </w:r>
      <w:r>
        <w:rPr>
          <w:rFonts w:hint="eastAsia" w:ascii="仿宋_GB2312" w:hAnsi="宋体" w:cs="宋体"/>
          <w:color w:val="000000"/>
          <w:kern w:val="0"/>
          <w:szCs w:val="32"/>
          <w:shd w:val="clear" w:color="auto" w:fill="FFFFFF"/>
          <w:lang w:eastAsia="zh-CN"/>
        </w:rPr>
        <w:t>九</w:t>
      </w:r>
      <w:r>
        <w:rPr>
          <w:rFonts w:hint="eastAsia" w:ascii="仿宋_GB2312" w:hAnsi="宋体" w:cs="宋体"/>
          <w:color w:val="000000"/>
          <w:kern w:val="0"/>
          <w:szCs w:val="32"/>
          <w:shd w:val="clear" w:color="auto" w:fill="FFFFFF"/>
        </w:rPr>
        <w:t>办</w:t>
      </w:r>
      <w:r>
        <w:rPr>
          <w:rFonts w:hint="eastAsia" w:ascii="仿宋_GB2312" w:hAnsi="宋体" w:cs="宋体"/>
          <w:color w:val="000000"/>
          <w:kern w:val="0"/>
          <w:szCs w:val="32"/>
          <w:shd w:val="clear" w:color="auto" w:fill="FFFFFF"/>
          <w:lang w:eastAsia="zh-CN"/>
        </w:rPr>
        <w:t>五</w:t>
      </w:r>
      <w:r>
        <w:rPr>
          <w:rFonts w:hint="eastAsia" w:ascii="仿宋_GB2312" w:hAnsi="宋体" w:cs="宋体"/>
          <w:color w:val="000000"/>
          <w:kern w:val="0"/>
          <w:szCs w:val="32"/>
          <w:shd w:val="clear" w:color="auto" w:fill="FFFFFF"/>
        </w:rPr>
        <w:t>中心。包括党政办</w:t>
      </w:r>
      <w:r>
        <w:rPr>
          <w:rFonts w:hint="eastAsia" w:ascii="仿宋_GB2312" w:hAnsi="宋体" w:cs="宋体"/>
          <w:color w:val="000000"/>
          <w:kern w:val="0"/>
          <w:szCs w:val="32"/>
          <w:shd w:val="clear" w:color="auto" w:fill="FFFFFF"/>
          <w:lang w:eastAsia="zh-CN"/>
        </w:rPr>
        <w:t>公室</w:t>
      </w:r>
      <w:r>
        <w:rPr>
          <w:rFonts w:hint="eastAsia" w:ascii="仿宋_GB2312" w:hAnsi="宋体" w:cs="宋体"/>
          <w:color w:val="000000"/>
          <w:kern w:val="0"/>
          <w:szCs w:val="32"/>
          <w:shd w:val="clear" w:color="auto" w:fill="FFFFFF"/>
        </w:rPr>
        <w:t>、党建办公室、社会事务办公室、规划建设管理办公室、乡村振兴办公室、</w:t>
      </w:r>
      <w:r>
        <w:rPr>
          <w:rFonts w:hint="eastAsia" w:ascii="仿宋_GB2312" w:hAnsi="宋体" w:cs="宋体"/>
          <w:color w:val="000000"/>
          <w:kern w:val="0"/>
          <w:szCs w:val="32"/>
          <w:shd w:val="clear" w:color="auto" w:fill="FFFFFF"/>
          <w:lang w:eastAsia="zh-CN"/>
        </w:rPr>
        <w:t>社会治理办公室、自然资源和生态环境保护办公室</w:t>
      </w:r>
      <w:r>
        <w:rPr>
          <w:rFonts w:hint="eastAsia" w:ascii="仿宋" w:hAnsi="仿宋" w:eastAsia="仿宋" w:cs="仿宋"/>
          <w:sz w:val="24"/>
          <w:szCs w:val="24"/>
          <w:lang w:eastAsia="zh-CN"/>
        </w:rPr>
        <w:t>、</w:t>
      </w:r>
      <w:r>
        <w:rPr>
          <w:rFonts w:hint="eastAsia" w:ascii="仿宋_GB2312" w:hAnsi="宋体" w:cs="宋体"/>
          <w:color w:val="000000"/>
          <w:kern w:val="0"/>
          <w:szCs w:val="32"/>
          <w:shd w:val="clear" w:color="auto" w:fill="FFFFFF"/>
        </w:rPr>
        <w:t>综合执法办公室、财政所、便民服务中心、农业综合服务中心、综治中心、文化旅游服务中心</w:t>
      </w:r>
      <w:r>
        <w:rPr>
          <w:rFonts w:hint="eastAsia" w:ascii="仿宋_GB2312" w:hAnsi="宋体" w:cs="宋体"/>
          <w:color w:val="000000"/>
          <w:kern w:val="0"/>
          <w:szCs w:val="32"/>
          <w:shd w:val="clear" w:color="auto" w:fill="FFFFFF"/>
          <w:lang w:eastAsia="zh-CN"/>
        </w:rPr>
        <w:t>、社区治理服务中心</w:t>
      </w:r>
      <w:r>
        <w:rPr>
          <w:rFonts w:hint="eastAsia" w:ascii="仿宋_GB2312" w:hAnsi="宋体" w:cs="宋体"/>
          <w:color w:val="000000"/>
          <w:kern w:val="0"/>
          <w:szCs w:val="32"/>
          <w:shd w:val="clear" w:color="auto" w:fill="FFFFFF"/>
        </w:rPr>
        <w:t>。</w:t>
      </w:r>
    </w:p>
    <w:p w14:paraId="29A70744">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14:paraId="0E874FD3">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hint="eastAsia" w:ascii="仿宋_GB2312" w:hAnsi="宋体" w:cs="宋体"/>
          <w:color w:val="000000"/>
          <w:kern w:val="0"/>
          <w:szCs w:val="32"/>
          <w:shd w:val="clear" w:color="auto" w:fill="FFFFFF"/>
        </w:rPr>
        <w:t>落实国家政策，严格依法行政，发挥经济管理职能，加强政策引导，制定发展规划，服务市场主体和营造发展环境，搞好市场监管，大力促进社会事业发展，发展镇村经济、文化和社会事业，提供公共服务，维护社会稳定，执行本级人民代表大会的决议和上级国家行政机关的决定和命令，发布决定和命令，执行本行政区域内的经济和社会发展计划、预算，管理本行政区域内的经济、教育、科学、文化、卫生、体育事业和财政、民政、公安、司法行政、计划生育等行政工作，构建社会主义和谐社会。</w:t>
      </w:r>
      <w:r>
        <w:rPr>
          <w:rFonts w:hint="eastAsia" w:ascii="仿宋_GB2312" w:hAnsi="宋体" w:cs="宋体"/>
          <w:color w:val="000000"/>
          <w:kern w:val="0"/>
          <w:szCs w:val="32"/>
          <w:shd w:val="clear" w:color="auto" w:fill="FFFFFF"/>
          <w:lang w:eastAsia="zh-CN"/>
        </w:rPr>
        <w:t>沙坪</w:t>
      </w:r>
      <w:r>
        <w:rPr>
          <w:rFonts w:hint="eastAsia" w:ascii="仿宋_GB2312" w:hAnsi="宋体" w:cs="宋体"/>
          <w:color w:val="000000"/>
          <w:kern w:val="0"/>
          <w:szCs w:val="32"/>
          <w:shd w:val="clear" w:color="auto" w:fill="FFFFFF"/>
        </w:rPr>
        <w:t>镇总编制</w:t>
      </w:r>
      <w:r>
        <w:rPr>
          <w:rFonts w:hint="eastAsia" w:ascii="仿宋_GB2312" w:hAnsi="宋体" w:cs="宋体"/>
          <w:color w:val="000000"/>
          <w:kern w:val="0"/>
          <w:szCs w:val="32"/>
          <w:shd w:val="clear" w:color="auto" w:fill="FFFFFF"/>
          <w:lang w:val="en-US" w:eastAsia="zh-CN"/>
        </w:rPr>
        <w:t>98</w:t>
      </w:r>
      <w:r>
        <w:rPr>
          <w:rFonts w:hint="eastAsia" w:ascii="仿宋_GB2312" w:hAnsi="宋体" w:cs="宋体"/>
          <w:color w:val="000000"/>
          <w:kern w:val="0"/>
          <w:szCs w:val="32"/>
          <w:shd w:val="clear" w:color="auto" w:fill="FFFFFF"/>
        </w:rPr>
        <w:t>名，其中：行政编制</w:t>
      </w:r>
      <w:r>
        <w:rPr>
          <w:rFonts w:hint="eastAsia" w:ascii="仿宋_GB2312" w:hAnsi="宋体" w:cs="宋体"/>
          <w:color w:val="000000"/>
          <w:kern w:val="0"/>
          <w:szCs w:val="32"/>
          <w:shd w:val="clear" w:color="auto" w:fill="FFFFFF"/>
          <w:lang w:val="en-US" w:eastAsia="zh-CN"/>
        </w:rPr>
        <w:t>47</w:t>
      </w:r>
      <w:r>
        <w:rPr>
          <w:rFonts w:hint="eastAsia" w:ascii="仿宋_GB2312" w:hAnsi="宋体" w:cs="宋体"/>
          <w:color w:val="000000"/>
          <w:kern w:val="0"/>
          <w:szCs w:val="32"/>
          <w:shd w:val="clear" w:color="auto" w:fill="FFFFFF"/>
        </w:rPr>
        <w:t>名，工勤编制</w:t>
      </w:r>
      <w:r>
        <w:rPr>
          <w:rFonts w:hint="eastAsia" w:ascii="仿宋_GB2312" w:hAnsi="宋体" w:cs="宋体"/>
          <w:color w:val="000000"/>
          <w:kern w:val="0"/>
          <w:szCs w:val="32"/>
          <w:shd w:val="clear" w:color="auto" w:fill="FFFFFF"/>
          <w:lang w:val="en-US" w:eastAsia="zh-CN"/>
        </w:rPr>
        <w:t>2</w:t>
      </w:r>
      <w:r>
        <w:rPr>
          <w:rFonts w:hint="eastAsia" w:ascii="仿宋_GB2312" w:hAnsi="宋体" w:cs="宋体"/>
          <w:color w:val="000000"/>
          <w:kern w:val="0"/>
          <w:szCs w:val="32"/>
          <w:shd w:val="clear" w:color="auto" w:fill="FFFFFF"/>
        </w:rPr>
        <w:t>名，事业编制</w:t>
      </w:r>
      <w:r>
        <w:rPr>
          <w:rFonts w:hint="eastAsia" w:ascii="仿宋_GB2312" w:hAnsi="宋体" w:cs="宋体"/>
          <w:color w:val="000000"/>
          <w:kern w:val="0"/>
          <w:szCs w:val="32"/>
          <w:shd w:val="clear" w:color="auto" w:fill="FFFFFF"/>
          <w:lang w:val="en-US" w:eastAsia="zh-CN"/>
        </w:rPr>
        <w:t>5</w:t>
      </w:r>
      <w:r>
        <w:rPr>
          <w:rFonts w:hint="eastAsia" w:ascii="仿宋_GB2312" w:hAnsi="宋体" w:cs="宋体"/>
          <w:color w:val="000000"/>
          <w:kern w:val="0"/>
          <w:szCs w:val="32"/>
          <w:shd w:val="clear" w:color="auto" w:fill="FFFFFF"/>
        </w:rPr>
        <w:t>1名。在职人员总数</w:t>
      </w:r>
      <w:r>
        <w:rPr>
          <w:rFonts w:hint="eastAsia" w:ascii="仿宋_GB2312" w:hAnsi="宋体" w:cs="宋体"/>
          <w:color w:val="000000"/>
          <w:kern w:val="0"/>
          <w:szCs w:val="32"/>
          <w:shd w:val="clear" w:color="auto" w:fill="FFFFFF"/>
          <w:lang w:val="en-US" w:eastAsia="zh-CN"/>
        </w:rPr>
        <w:t>87</w:t>
      </w:r>
      <w:r>
        <w:rPr>
          <w:rFonts w:hint="eastAsia" w:ascii="仿宋_GB2312" w:hAnsi="宋体" w:cs="宋体"/>
          <w:color w:val="000000"/>
          <w:kern w:val="0"/>
          <w:szCs w:val="32"/>
          <w:shd w:val="clear" w:color="auto" w:fill="FFFFFF"/>
        </w:rPr>
        <w:t>名，其中：行</w:t>
      </w:r>
      <w:r>
        <w:rPr>
          <w:rFonts w:hint="eastAsia" w:ascii="仿宋_GB2312" w:hAnsi="宋体" w:cs="宋体"/>
          <w:color w:val="000000"/>
          <w:kern w:val="0"/>
          <w:szCs w:val="32"/>
          <w:shd w:val="clear" w:color="auto" w:fill="FFFFFF"/>
          <w:lang w:val="en-US" w:eastAsia="zh-CN"/>
        </w:rPr>
        <w:t>42</w:t>
      </w:r>
      <w:r>
        <w:rPr>
          <w:rFonts w:hint="eastAsia" w:ascii="仿宋_GB2312" w:hAnsi="宋体" w:cs="宋体"/>
          <w:color w:val="000000"/>
          <w:kern w:val="0"/>
          <w:szCs w:val="32"/>
          <w:shd w:val="clear" w:color="auto" w:fill="FFFFFF"/>
        </w:rPr>
        <w:t>名，工勤0名，事业</w:t>
      </w:r>
      <w:r>
        <w:rPr>
          <w:rFonts w:hint="eastAsia" w:ascii="仿宋_GB2312" w:hAnsi="宋体" w:cs="宋体"/>
          <w:color w:val="000000"/>
          <w:kern w:val="0"/>
          <w:szCs w:val="32"/>
          <w:shd w:val="clear" w:color="auto" w:fill="FFFFFF"/>
          <w:lang w:val="en-US" w:eastAsia="zh-CN"/>
        </w:rPr>
        <w:t>45</w:t>
      </w:r>
      <w:r>
        <w:rPr>
          <w:rFonts w:hint="eastAsia" w:ascii="仿宋_GB2312" w:hAnsi="宋体" w:cs="宋体"/>
          <w:color w:val="000000"/>
          <w:kern w:val="0"/>
          <w:szCs w:val="32"/>
          <w:shd w:val="clear" w:color="auto" w:fill="FFFFFF"/>
        </w:rPr>
        <w:t>名。</w:t>
      </w:r>
    </w:p>
    <w:p w14:paraId="6B0CDA3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（三）</w:t>
      </w:r>
      <w:r>
        <w:rPr>
          <w:rFonts w:hint="eastAsia" w:ascii="楷体_GB2312" w:hAnsi="宋体" w:eastAsia="楷体_GB2312" w:cs="宋体"/>
          <w:color w:val="000000"/>
          <w:kern w:val="0"/>
          <w:sz w:val="32"/>
          <w:szCs w:val="32"/>
          <w:shd w:val="clear" w:color="auto" w:fill="FFFFFF"/>
          <w:lang w:val="en-US" w:eastAsia="zh-CN"/>
        </w:rPr>
        <w:t>2023</w:t>
      </w:r>
      <w:r>
        <w:rPr>
          <w:rFonts w:hint="eastAsia" w:ascii="楷体_GB2312" w:hAnsi="宋体" w:eastAsia="楷体_GB2312" w:cs="宋体"/>
          <w:color w:val="000000"/>
          <w:kern w:val="0"/>
          <w:sz w:val="32"/>
          <w:szCs w:val="32"/>
          <w:shd w:val="clear" w:color="auto" w:fill="FFFFFF"/>
          <w:lang w:val="zh-CN"/>
        </w:rPr>
        <w:t>年度主要工作任务。</w:t>
      </w:r>
    </w:p>
    <w:p w14:paraId="334E4B6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color w:val="auto"/>
          <w:kern w:val="2"/>
          <w:sz w:val="32"/>
          <w:szCs w:val="32"/>
          <w:lang w:val="en" w:eastAsia="zh-CN" w:bidi="ar-SA"/>
        </w:rPr>
      </w:pPr>
      <w:r>
        <w:rPr>
          <w:rFonts w:hint="eastAsia" w:ascii="仿宋" w:hAnsi="仿宋" w:eastAsia="仿宋" w:cs="仿宋"/>
          <w:color w:val="auto"/>
          <w:kern w:val="2"/>
          <w:sz w:val="32"/>
          <w:szCs w:val="32"/>
          <w:lang w:val="en" w:eastAsia="zh-CN" w:bidi="ar-SA"/>
        </w:rPr>
        <w:t>沙坪镇将全面贯彻落实党的二十大精神，</w:t>
      </w:r>
      <w:r>
        <w:rPr>
          <w:rFonts w:hint="eastAsia" w:ascii="仿宋" w:hAnsi="仿宋" w:eastAsia="仿宋" w:cs="仿宋"/>
          <w:color w:val="auto"/>
          <w:kern w:val="2"/>
          <w:sz w:val="32"/>
          <w:szCs w:val="32"/>
          <w:lang w:val="en-US" w:eastAsia="zh-CN" w:bidi="ar-SA"/>
        </w:rPr>
        <w:t>深刻</w:t>
      </w:r>
      <w:r>
        <w:rPr>
          <w:rFonts w:hint="eastAsia" w:ascii="仿宋" w:hAnsi="仿宋" w:eastAsia="仿宋" w:cs="仿宋"/>
          <w:color w:val="auto"/>
          <w:kern w:val="2"/>
          <w:sz w:val="32"/>
          <w:szCs w:val="32"/>
          <w:lang w:val="en" w:eastAsia="zh-CN" w:bidi="ar-SA"/>
        </w:rPr>
        <w:t>领悟</w:t>
      </w:r>
      <w:r>
        <w:rPr>
          <w:rFonts w:hint="eastAsia" w:ascii="仿宋" w:hAnsi="仿宋" w:eastAsia="仿宋" w:cs="仿宋"/>
          <w:color w:val="auto"/>
          <w:kern w:val="2"/>
          <w:sz w:val="32"/>
          <w:szCs w:val="32"/>
          <w:lang w:val="en-US" w:eastAsia="zh-CN" w:bidi="ar-SA"/>
        </w:rPr>
        <w:t>习近平</w:t>
      </w:r>
      <w:r>
        <w:rPr>
          <w:rFonts w:hint="eastAsia" w:ascii="仿宋" w:hAnsi="仿宋" w:eastAsia="仿宋" w:cs="仿宋"/>
          <w:color w:val="auto"/>
          <w:kern w:val="2"/>
          <w:sz w:val="32"/>
          <w:szCs w:val="32"/>
          <w:lang w:val="en" w:eastAsia="zh-CN" w:bidi="ar-SA"/>
        </w:rPr>
        <w:t>总书记</w:t>
      </w:r>
      <w:r>
        <w:rPr>
          <w:rFonts w:hint="eastAsia" w:ascii="仿宋" w:hAnsi="仿宋" w:eastAsia="仿宋" w:cs="仿宋"/>
          <w:color w:val="auto"/>
          <w:kern w:val="2"/>
          <w:sz w:val="32"/>
          <w:szCs w:val="32"/>
          <w:lang w:val="en-US" w:eastAsia="zh-CN" w:bidi="ar-SA"/>
        </w:rPr>
        <w:t>重要</w:t>
      </w:r>
      <w:r>
        <w:rPr>
          <w:rFonts w:hint="eastAsia" w:ascii="仿宋" w:hAnsi="仿宋" w:eastAsia="仿宋" w:cs="仿宋"/>
          <w:color w:val="auto"/>
          <w:kern w:val="2"/>
          <w:sz w:val="32"/>
          <w:szCs w:val="32"/>
          <w:lang w:val="en" w:eastAsia="zh-CN" w:bidi="ar-SA"/>
        </w:rPr>
        <w:t>讲话精神，牢固树立“一切依靠人民、一切为了人民、一切服务人民”的宗旨，弘扬伟大建党精神，自信自强、守正创新，踔厉奋发、勇毅前行，在县委县政府的坚强领导下，围绕全镇经济社会发展而努力奋斗。</w:t>
      </w:r>
    </w:p>
    <w:p w14:paraId="37251210">
      <w:pPr>
        <w:pStyle w:val="8"/>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旗帜鲜明讲政治，着力推动党建引领大提升。</w:t>
      </w: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一是</w:t>
      </w:r>
      <w:r>
        <w:rPr>
          <w:rFonts w:hint="eastAsia" w:ascii="仿宋" w:hAnsi="仿宋" w:eastAsia="仿宋" w:cs="仿宋"/>
          <w:color w:val="auto"/>
          <w:kern w:val="2"/>
          <w:sz w:val="32"/>
          <w:szCs w:val="32"/>
          <w:lang w:val="en-US" w:eastAsia="zh-CN" w:bidi="ar-SA"/>
        </w:rPr>
        <w:t>深入学习贯彻习近平新时代中国特色社会主义思想，增强“四个意识”，坚定“四个自信”，做到“两个维护”，把学习宣传贯彻党的二十大精神作为当前和今后一个时期的首要政治任务，深刻领会好，以高度的政治自觉把党的二十大精神不折不扣落实到工作全过程、各环节，推动沙坪镇工作全面提升，擘画沙坪美丽新蓝图。</w:t>
      </w:r>
      <w:r>
        <w:rPr>
          <w:rFonts w:hint="eastAsia" w:ascii="仿宋" w:hAnsi="仿宋" w:eastAsia="仿宋" w:cs="仿宋"/>
          <w:b/>
          <w:bCs/>
          <w:color w:val="auto"/>
          <w:kern w:val="2"/>
          <w:sz w:val="32"/>
          <w:szCs w:val="32"/>
          <w:lang w:val="en-US" w:eastAsia="zh-CN" w:bidi="ar-SA"/>
        </w:rPr>
        <w:t>二是</w:t>
      </w:r>
      <w:r>
        <w:rPr>
          <w:rFonts w:hint="eastAsia" w:ascii="仿宋" w:hAnsi="仿宋" w:eastAsia="仿宋" w:cs="仿宋"/>
          <w:color w:val="auto"/>
          <w:kern w:val="2"/>
          <w:sz w:val="32"/>
          <w:szCs w:val="32"/>
          <w:lang w:val="en-US" w:eastAsia="zh-CN" w:bidi="ar-SA"/>
        </w:rPr>
        <w:t>加强党支部标准化规范化建设，积极推进新声、双河村党群服务中心建设；全面推行“支部建在小区上”，继续深化小区党组织建设工作；大力培育集体经济发展带头人队伍，提升村干部整体素质，为高位接续乡村振兴提供坚强组织保障。</w:t>
      </w:r>
      <w:r>
        <w:rPr>
          <w:rFonts w:hint="eastAsia" w:ascii="仿宋" w:hAnsi="仿宋" w:eastAsia="仿宋" w:cs="仿宋"/>
          <w:b/>
          <w:bCs/>
          <w:color w:val="auto"/>
          <w:kern w:val="2"/>
          <w:sz w:val="32"/>
          <w:szCs w:val="32"/>
          <w:lang w:val="en-US" w:eastAsia="zh-CN" w:bidi="ar-SA"/>
        </w:rPr>
        <w:t>三是</w:t>
      </w:r>
      <w:r>
        <w:rPr>
          <w:rFonts w:hint="eastAsia" w:ascii="仿宋" w:hAnsi="仿宋" w:eastAsia="仿宋" w:cs="仿宋"/>
          <w:color w:val="auto"/>
          <w:kern w:val="2"/>
          <w:sz w:val="32"/>
          <w:szCs w:val="32"/>
          <w:lang w:val="en-US" w:eastAsia="zh-CN" w:bidi="ar-SA"/>
        </w:rPr>
        <w:t>进一步完善和落实党风廉政建设工作责任制，督促村（社区）党组织履行主体责任。持续探索镇纪委综合实施“党内监督+社会监督+专项监督”监督模式，强化源头治理，为建设“至美沙坪”提供有力政治保障。</w:t>
      </w:r>
    </w:p>
    <w:p w14:paraId="4652B9ED">
      <w:pPr>
        <w:pStyle w:val="8"/>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围绕中心抓发展，着力推动经济发展大突破。</w:t>
      </w:r>
      <w:r>
        <w:rPr>
          <w:rFonts w:hint="eastAsia" w:ascii="仿宋" w:hAnsi="仿宋" w:eastAsia="仿宋" w:cs="仿宋"/>
          <w:b/>
          <w:bCs/>
          <w:color w:val="auto"/>
          <w:kern w:val="2"/>
          <w:sz w:val="32"/>
          <w:szCs w:val="32"/>
          <w:lang w:val="en-US" w:eastAsia="zh-CN" w:bidi="ar-SA"/>
        </w:rPr>
        <w:t>一是聚焦乡村振兴抓发展。</w:t>
      </w:r>
      <w:r>
        <w:rPr>
          <w:rFonts w:hint="eastAsia" w:ascii="仿宋" w:hAnsi="仿宋" w:eastAsia="仿宋" w:cs="仿宋"/>
          <w:color w:val="auto"/>
          <w:kern w:val="2"/>
          <w:sz w:val="32"/>
          <w:szCs w:val="32"/>
          <w:lang w:val="en-US" w:eastAsia="zh-CN" w:bidi="ar-SA"/>
        </w:rPr>
        <w:t>全力推进巩固脱贫攻坚成果与乡村振兴有效衔接，围绕“两不愁三保障”，聚焦防返贫监测和重点帮扶，抓好镇村组、驻村工作队及联户干部的责任落实、政策落实和工作落实，确保脱贫不返贫、振兴不掉队。</w:t>
      </w:r>
      <w:r>
        <w:rPr>
          <w:rFonts w:hint="eastAsia" w:ascii="仿宋" w:hAnsi="仿宋" w:eastAsia="仿宋" w:cs="仿宋"/>
          <w:b/>
          <w:bCs/>
          <w:color w:val="auto"/>
          <w:kern w:val="2"/>
          <w:sz w:val="32"/>
          <w:szCs w:val="32"/>
          <w:lang w:val="en-US" w:eastAsia="zh-CN" w:bidi="ar-SA"/>
        </w:rPr>
        <w:t>二是聚焦重点项目抓发展。</w:t>
      </w:r>
      <w:r>
        <w:rPr>
          <w:rFonts w:hint="eastAsia" w:ascii="仿宋" w:hAnsi="仿宋" w:eastAsia="仿宋" w:cs="仿宋"/>
          <w:color w:val="auto"/>
          <w:kern w:val="2"/>
          <w:sz w:val="32"/>
          <w:szCs w:val="32"/>
          <w:lang w:val="en-US" w:eastAsia="zh-CN" w:bidi="ar-SA"/>
        </w:rPr>
        <w:t>牢牢把握项目带动发展的重要思路，紧盯行业部门项目申报要求，全力争取项目资金，</w:t>
      </w:r>
      <w:r>
        <w:rPr>
          <w:rFonts w:hint="eastAsia" w:ascii="仿宋" w:hAnsi="仿宋" w:eastAsia="仿宋" w:cs="仿宋"/>
          <w:sz w:val="32"/>
          <w:szCs w:val="32"/>
          <w:lang w:val="en-US" w:eastAsia="zh-CN"/>
        </w:rPr>
        <w:t>确保全年目标任务完成。继续推进重大项目建设，完成</w:t>
      </w:r>
      <w:r>
        <w:rPr>
          <w:rFonts w:hint="eastAsia" w:ascii="仿宋" w:hAnsi="仿宋" w:eastAsia="仿宋" w:cs="仿宋"/>
          <w:sz w:val="32"/>
          <w:szCs w:val="32"/>
          <w:lang w:eastAsia="zh-CN"/>
        </w:rPr>
        <w:t>成昆铁路峨眉至米易段扩能改造工程（峨边段）炮损评估工作和</w:t>
      </w:r>
      <w:r>
        <w:rPr>
          <w:rFonts w:hint="eastAsia" w:ascii="仿宋" w:hAnsi="仿宋" w:eastAsia="仿宋" w:cs="仿宋"/>
          <w:sz w:val="32"/>
          <w:szCs w:val="32"/>
        </w:rPr>
        <w:t>G245</w:t>
      </w:r>
      <w:r>
        <w:rPr>
          <w:rFonts w:hint="eastAsia" w:ascii="仿宋" w:hAnsi="仿宋" w:eastAsia="仿宋" w:cs="仿宋"/>
          <w:sz w:val="32"/>
          <w:szCs w:val="32"/>
          <w:lang w:eastAsia="zh-CN"/>
        </w:rPr>
        <w:t>绕城</w:t>
      </w:r>
      <w:r>
        <w:rPr>
          <w:rFonts w:hint="eastAsia" w:ascii="仿宋" w:hAnsi="仿宋" w:eastAsia="仿宋" w:cs="仿宋"/>
          <w:sz w:val="32"/>
          <w:szCs w:val="32"/>
        </w:rPr>
        <w:t>线</w:t>
      </w:r>
      <w:r>
        <w:rPr>
          <w:rFonts w:hint="eastAsia" w:ascii="仿宋" w:hAnsi="仿宋" w:eastAsia="仿宋" w:cs="仿宋"/>
          <w:sz w:val="32"/>
          <w:szCs w:val="32"/>
          <w:lang w:eastAsia="zh-CN"/>
        </w:rPr>
        <w:t>二期建设工作，</w:t>
      </w:r>
      <w:r>
        <w:rPr>
          <w:rFonts w:hint="eastAsia" w:ascii="仿宋" w:hAnsi="仿宋" w:eastAsia="仿宋" w:cs="仿宋"/>
          <w:sz w:val="32"/>
          <w:szCs w:val="32"/>
          <w:lang w:val="en-US" w:eastAsia="zh-CN"/>
        </w:rPr>
        <w:t>积极推进峨汉高速炮损评估工作。</w:t>
      </w:r>
      <w:r>
        <w:rPr>
          <w:rFonts w:hint="eastAsia" w:ascii="仿宋" w:hAnsi="仿宋" w:eastAsia="仿宋" w:cs="仿宋"/>
          <w:color w:val="auto"/>
          <w:kern w:val="2"/>
          <w:sz w:val="32"/>
          <w:szCs w:val="32"/>
          <w:lang w:val="en-US" w:eastAsia="zh-CN" w:bidi="ar-SA"/>
        </w:rPr>
        <w:t>抓好镇域重点项目建设，完成六丰村涵洞改造工程、原红花乡撤并建制村畅通工程、白果村至赵山村撤并建制村畅通工程、沙坪镇双河村一组路和松峨路路面整治工程、完成岩月4组通组路硬化工程、完成雪山村产业路建设。</w:t>
      </w:r>
      <w:r>
        <w:rPr>
          <w:rFonts w:hint="eastAsia" w:ascii="仿宋" w:hAnsi="仿宋" w:eastAsia="仿宋" w:cs="仿宋"/>
          <w:b/>
          <w:bCs/>
          <w:color w:val="auto"/>
          <w:kern w:val="2"/>
          <w:sz w:val="32"/>
          <w:szCs w:val="32"/>
          <w:lang w:val="en-US" w:eastAsia="zh-CN" w:bidi="ar-SA"/>
        </w:rPr>
        <w:t>三是聚焦粮食安全抓发展。</w:t>
      </w:r>
      <w:r>
        <w:rPr>
          <w:rFonts w:hint="eastAsia" w:ascii="仿宋" w:hAnsi="仿宋" w:eastAsia="仿宋" w:cs="仿宋"/>
          <w:color w:val="auto"/>
          <w:kern w:val="2"/>
          <w:sz w:val="32"/>
          <w:szCs w:val="32"/>
          <w:lang w:val="en-US" w:eastAsia="zh-CN" w:bidi="ar-SA"/>
        </w:rPr>
        <w:t>坚决扛起粮食安全重大政治责任，继续加强农业新技术推广、指导农业病虫害防治，培训和发展全镇新型经营主体。稳定粮食播种面积，在2022年大、小春粮食播种面积和产量的基础上保持稳中有进，确保大春粮食播种面积达32187亩，小春粮食播种面积达8513亩。继续推进农业惠农惠民补贴发放和政策性保险购买理赔工作，做好政策宣传解读，确保农户应享尽享惠农补贴以及种粮承保应保尽保，充分发挥政策性农业保险的保驾护航作用。</w:t>
      </w:r>
      <w:r>
        <w:rPr>
          <w:rFonts w:hint="eastAsia" w:ascii="仿宋" w:hAnsi="仿宋" w:eastAsia="仿宋" w:cs="仿宋"/>
          <w:sz w:val="32"/>
          <w:szCs w:val="32"/>
          <w:highlight w:val="none"/>
          <w:lang w:val="en-US" w:eastAsia="zh-CN"/>
        </w:rPr>
        <w:t>严守耕地保护红线，持续排查土地撂荒工作，宣传种满种尽，严禁撂荒土地。</w:t>
      </w:r>
    </w:p>
    <w:p w14:paraId="3E26A0D7">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 w:hAnsi="仿宋" w:eastAsia="仿宋" w:cs="仿宋"/>
          <w:color w:val="000000" w:themeColor="text1"/>
          <w:sz w:val="32"/>
          <w:szCs w:val="32"/>
          <w:highlight w:val="none"/>
          <w:lang w:val="en"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lang w:val="en" w:eastAsia="zh-CN"/>
          <w14:textFill>
            <w14:solidFill>
              <w14:schemeClr w14:val="tx1"/>
            </w14:solidFill>
          </w14:textFill>
        </w:rPr>
        <w:t>用心用情惠民生，</w:t>
      </w:r>
      <w:r>
        <w:rPr>
          <w:rFonts w:hint="eastAsia" w:ascii="仿宋" w:hAnsi="仿宋" w:eastAsia="仿宋" w:cs="仿宋"/>
          <w:color w:val="000000" w:themeColor="text1"/>
          <w:sz w:val="32"/>
          <w:szCs w:val="32"/>
          <w:highlight w:val="none"/>
          <w:lang w:val="en-US" w:eastAsia="zh-CN"/>
          <w14:textFill>
            <w14:solidFill>
              <w14:schemeClr w14:val="tx1"/>
            </w14:solidFill>
          </w14:textFill>
        </w:rPr>
        <w:t>着力</w:t>
      </w:r>
      <w:r>
        <w:rPr>
          <w:rFonts w:hint="eastAsia" w:ascii="仿宋" w:hAnsi="仿宋" w:eastAsia="仿宋" w:cs="仿宋"/>
          <w:color w:val="000000" w:themeColor="text1"/>
          <w:sz w:val="32"/>
          <w:szCs w:val="32"/>
          <w:highlight w:val="none"/>
          <w:lang w:val="en" w:eastAsia="zh-CN"/>
          <w14:textFill>
            <w14:solidFill>
              <w14:schemeClr w14:val="tx1"/>
            </w14:solidFill>
          </w14:textFill>
        </w:rPr>
        <w:t>推动民生事业大发展。</w:t>
      </w:r>
      <w:r>
        <w:rPr>
          <w:rFonts w:hint="eastAsia" w:ascii="仿宋" w:hAnsi="仿宋" w:eastAsia="仿宋" w:cs="仿宋"/>
          <w:color w:val="auto"/>
          <w:kern w:val="2"/>
          <w:sz w:val="32"/>
          <w:szCs w:val="32"/>
          <w:lang w:val="en" w:eastAsia="zh-CN" w:bidi="ar-SA"/>
        </w:rPr>
        <w:t>聚焦群众最关切最受益最紧迫的热点难点，集中力量办好民生实事，着力保障和改善民生，推动各项惠民和救助政策落地落实，不断提高群众的幸福指数。持续推进医疗、教育、住房、司法、灾害等专项救助，关心关爱困难和特殊人群，落实兜底保障措施；加强兜底与就业联动，扩大就业范围；积极发展文化惠民工程，加快建设完善农村公共文化设施，开展丰富多彩的精神文化活动；依托便民服务中心，</w:t>
      </w:r>
      <w:r>
        <w:rPr>
          <w:rFonts w:hint="eastAsia" w:ascii="仿宋" w:hAnsi="仿宋" w:eastAsia="仿宋" w:cs="仿宋"/>
          <w:color w:val="auto"/>
          <w:kern w:val="2"/>
          <w:sz w:val="32"/>
          <w:szCs w:val="32"/>
          <w:lang w:val="en-US" w:eastAsia="zh-CN" w:bidi="ar-SA"/>
        </w:rPr>
        <w:t>不断优化窗口服务事项目录，推进“一网通办”巩固提升行动，持续推进规范化标准化便利化建设。</w:t>
      </w:r>
    </w:p>
    <w:p w14:paraId="43536B49">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ascii="楷体_GB2312" w:hAnsi="宋体" w:eastAsia="楷体_GB2312" w:cs="宋体"/>
          <w:color w:val="000000"/>
          <w:kern w:val="0"/>
          <w:szCs w:val="32"/>
          <w:shd w:val="clear" w:color="auto" w:fill="FFFFFF"/>
          <w:lang w:val="zh-CN"/>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lang w:val="en" w:eastAsia="zh-CN"/>
          <w14:textFill>
            <w14:solidFill>
              <w14:schemeClr w14:val="tx1"/>
            </w14:solidFill>
          </w14:textFill>
        </w:rPr>
        <w:t>坚定不移保安全，</w:t>
      </w:r>
      <w:r>
        <w:rPr>
          <w:rFonts w:hint="eastAsia" w:ascii="仿宋" w:hAnsi="仿宋" w:eastAsia="仿宋" w:cs="仿宋"/>
          <w:color w:val="000000" w:themeColor="text1"/>
          <w:sz w:val="32"/>
          <w:szCs w:val="32"/>
          <w:highlight w:val="none"/>
          <w:lang w:val="en-US" w:eastAsia="zh-CN"/>
          <w14:textFill>
            <w14:solidFill>
              <w14:schemeClr w14:val="tx1"/>
            </w14:solidFill>
          </w14:textFill>
        </w:rPr>
        <w:t>着力</w:t>
      </w:r>
      <w:r>
        <w:rPr>
          <w:rFonts w:hint="eastAsia" w:ascii="仿宋" w:hAnsi="仿宋" w:eastAsia="仿宋" w:cs="仿宋"/>
          <w:color w:val="000000" w:themeColor="text1"/>
          <w:sz w:val="32"/>
          <w:szCs w:val="32"/>
          <w:highlight w:val="none"/>
          <w:lang w:val="en" w:eastAsia="zh-CN"/>
          <w14:textFill>
            <w14:solidFill>
              <w14:schemeClr w14:val="tx1"/>
            </w14:solidFill>
          </w14:textFill>
        </w:rPr>
        <w:t>推动社会环境大稳定</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auto"/>
          <w:kern w:val="2"/>
          <w:sz w:val="32"/>
          <w:szCs w:val="32"/>
          <w:lang w:val="en" w:eastAsia="zh-CN" w:bidi="ar-SA"/>
        </w:rPr>
        <w:t>始终保持高度警惕，保持防控思想不放松，坚持“三个坚定不移”，科学准确贯彻</w:t>
      </w:r>
      <w:r>
        <w:rPr>
          <w:rFonts w:hint="eastAsia" w:ascii="仿宋" w:hAnsi="仿宋" w:eastAsia="仿宋" w:cs="仿宋"/>
          <w:color w:val="auto"/>
          <w:kern w:val="2"/>
          <w:sz w:val="32"/>
          <w:szCs w:val="32"/>
          <w:lang w:val="en-US" w:eastAsia="zh-CN" w:bidi="ar-SA"/>
        </w:rPr>
        <w:t>“20条措施”和相关防疫要求，围绕“查防控备”切实做好</w:t>
      </w:r>
      <w:r>
        <w:rPr>
          <w:rFonts w:hint="eastAsia" w:ascii="仿宋" w:hAnsi="仿宋" w:eastAsia="仿宋" w:cs="仿宋"/>
          <w:color w:val="auto"/>
          <w:kern w:val="2"/>
          <w:sz w:val="32"/>
          <w:szCs w:val="32"/>
          <w:lang w:val="en" w:eastAsia="zh-CN" w:bidi="ar-SA"/>
        </w:rPr>
        <w:t>常态化开展疫情防控。紧盯安全生产这根弦，</w:t>
      </w:r>
      <w:r>
        <w:rPr>
          <w:rFonts w:hint="eastAsia" w:ascii="仿宋" w:hAnsi="仿宋" w:eastAsia="仿宋" w:cs="仿宋"/>
          <w:b w:val="0"/>
          <w:bCs/>
          <w:color w:val="000000"/>
          <w:sz w:val="32"/>
          <w:szCs w:val="32"/>
        </w:rPr>
        <w:t>统筹抓好安全生产、防灾减灾救灾、森林防灭火</w:t>
      </w:r>
      <w:r>
        <w:rPr>
          <w:rFonts w:hint="eastAsia" w:ascii="仿宋" w:hAnsi="仿宋" w:eastAsia="仿宋" w:cs="仿宋"/>
          <w:b w:val="0"/>
          <w:bCs/>
          <w:color w:val="000000"/>
          <w:sz w:val="32"/>
          <w:szCs w:val="32"/>
          <w:lang w:eastAsia="zh-CN"/>
        </w:rPr>
        <w:t>和环保安全、食品安全</w:t>
      </w:r>
      <w:r>
        <w:rPr>
          <w:rFonts w:hint="eastAsia" w:ascii="仿宋" w:hAnsi="仿宋" w:eastAsia="仿宋" w:cs="仿宋"/>
          <w:b w:val="0"/>
          <w:bCs/>
          <w:color w:val="000000"/>
          <w:sz w:val="32"/>
          <w:szCs w:val="32"/>
        </w:rPr>
        <w:t>等工作</w:t>
      </w:r>
      <w:r>
        <w:rPr>
          <w:rFonts w:hint="eastAsia" w:ascii="仿宋" w:hAnsi="仿宋" w:eastAsia="仿宋" w:cs="仿宋"/>
          <w:b w:val="0"/>
          <w:bCs/>
          <w:color w:val="000000"/>
          <w:sz w:val="32"/>
          <w:szCs w:val="32"/>
          <w:lang w:eastAsia="zh-CN"/>
        </w:rPr>
        <w:t>；</w:t>
      </w:r>
      <w:r>
        <w:rPr>
          <w:rFonts w:hint="eastAsia" w:ascii="仿宋" w:hAnsi="仿宋" w:eastAsia="仿宋" w:cs="仿宋"/>
          <w:sz w:val="32"/>
          <w:szCs w:val="32"/>
        </w:rPr>
        <w:t>全面</w:t>
      </w:r>
      <w:r>
        <w:rPr>
          <w:rFonts w:hint="eastAsia" w:ascii="仿宋" w:hAnsi="仿宋" w:eastAsia="仿宋" w:cs="仿宋"/>
          <w:sz w:val="32"/>
          <w:szCs w:val="32"/>
          <w:lang w:eastAsia="zh-CN"/>
        </w:rPr>
        <w:t>开展安全</w:t>
      </w:r>
      <w:r>
        <w:rPr>
          <w:rFonts w:hint="eastAsia" w:ascii="仿宋" w:hAnsi="仿宋" w:eastAsia="仿宋" w:cs="仿宋"/>
          <w:sz w:val="32"/>
          <w:szCs w:val="32"/>
        </w:rPr>
        <w:t>隐患</w:t>
      </w:r>
      <w:r>
        <w:rPr>
          <w:rFonts w:hint="eastAsia" w:ascii="仿宋" w:hAnsi="仿宋" w:eastAsia="仿宋" w:cs="仿宋"/>
          <w:sz w:val="32"/>
          <w:szCs w:val="32"/>
          <w:lang w:eastAsia="zh-CN"/>
        </w:rPr>
        <w:t>大排查和问题整改“回头看”</w:t>
      </w:r>
      <w:r>
        <w:rPr>
          <w:rFonts w:hint="eastAsia" w:ascii="仿宋" w:hAnsi="仿宋" w:eastAsia="仿宋" w:cs="仿宋"/>
          <w:sz w:val="32"/>
          <w:szCs w:val="32"/>
        </w:rPr>
        <w:t>，构建长效机制</w:t>
      </w:r>
      <w:r>
        <w:rPr>
          <w:rFonts w:hint="eastAsia" w:ascii="仿宋" w:hAnsi="仿宋" w:eastAsia="仿宋" w:cs="仿宋"/>
          <w:sz w:val="32"/>
          <w:szCs w:val="32"/>
          <w:lang w:eastAsia="zh-CN"/>
        </w:rPr>
        <w:t>，</w:t>
      </w:r>
      <w:r>
        <w:rPr>
          <w:rFonts w:hint="eastAsia" w:ascii="仿宋" w:hAnsi="仿宋" w:eastAsia="仿宋" w:cs="仿宋"/>
          <w:b w:val="0"/>
          <w:bCs/>
          <w:sz w:val="32"/>
          <w:szCs w:val="32"/>
        </w:rPr>
        <w:t>全力保障人民群众生命财产安</w:t>
      </w:r>
      <w:r>
        <w:rPr>
          <w:rFonts w:hint="eastAsia" w:ascii="仿宋" w:hAnsi="仿宋" w:eastAsia="仿宋" w:cs="仿宋"/>
          <w:b w:val="0"/>
          <w:bCs/>
          <w:sz w:val="32"/>
          <w:szCs w:val="32"/>
          <w:lang w:eastAsia="zh-CN"/>
        </w:rPr>
        <w:t>全。加强矛盾纠纷化解和信访积案化解</w:t>
      </w:r>
      <w:r>
        <w:rPr>
          <w:rFonts w:hint="eastAsia" w:ascii="仿宋" w:hAnsi="仿宋" w:eastAsia="仿宋" w:cs="仿宋"/>
          <w:color w:val="auto"/>
          <w:kern w:val="2"/>
          <w:sz w:val="32"/>
          <w:szCs w:val="32"/>
          <w:lang w:val="en" w:eastAsia="zh-CN" w:bidi="ar-SA"/>
        </w:rPr>
        <w:t>，</w:t>
      </w:r>
      <w:r>
        <w:rPr>
          <w:rFonts w:hint="eastAsia" w:ascii="仿宋" w:hAnsi="仿宋" w:eastAsia="仿宋" w:cs="仿宋"/>
          <w:b w:val="0"/>
          <w:bCs/>
          <w:sz w:val="32"/>
          <w:szCs w:val="32"/>
          <w:lang w:eastAsia="zh-CN"/>
        </w:rPr>
        <w:t>严格“包保责任、一包到底”制度，着力解决群众诉求，加强重点人员稳控，确保沙坪经济社会安全稳定。</w:t>
      </w:r>
    </w:p>
    <w:p w14:paraId="0415E195">
      <w:pPr>
        <w:widowControl/>
        <w:numPr>
          <w:ilvl w:val="0"/>
          <w:numId w:val="2"/>
        </w:numPr>
        <w:adjustRightInd w:val="0"/>
        <w:snapToGrid w:val="0"/>
        <w:spacing w:line="580" w:lineRule="exact"/>
        <w:ind w:firstLine="640" w:firstLineChars="200"/>
        <w:contextualSpacing/>
        <w:jc w:val="left"/>
        <w:rPr>
          <w:lang w:val="zh-CN"/>
        </w:rPr>
      </w:pPr>
      <w:r>
        <w:rPr>
          <w:rFonts w:hint="eastAsia" w:ascii="楷体_GB2312" w:hAnsi="宋体" w:eastAsia="楷体_GB2312" w:cs="宋体"/>
          <w:color w:val="000000"/>
          <w:kern w:val="0"/>
          <w:szCs w:val="32"/>
          <w:shd w:val="clear" w:color="auto" w:fill="FFFFFF"/>
          <w:lang w:val="zh-CN"/>
        </w:rPr>
        <w:t>部门整体支出绩效目标。</w:t>
      </w:r>
    </w:p>
    <w:p w14:paraId="05E35064">
      <w:pPr>
        <w:widowControl/>
        <w:numPr>
          <w:ilvl w:val="0"/>
          <w:numId w:val="0"/>
        </w:numPr>
        <w:adjustRightInd w:val="0"/>
        <w:snapToGrid w:val="0"/>
        <w:spacing w:line="580" w:lineRule="exact"/>
        <w:ind w:firstLine="640" w:firstLineChars="200"/>
        <w:contextualSpacing/>
        <w:jc w:val="left"/>
        <w:rPr>
          <w:lang w:val="zh-CN"/>
        </w:rPr>
      </w:pPr>
      <w:r>
        <w:rPr>
          <w:rFonts w:hint="eastAsia" w:ascii="仿宋_GB2312" w:hAnsi="仿宋_GB2312" w:eastAsia="仿宋_GB2312" w:cs="仿宋_GB2312"/>
          <w:color w:val="auto"/>
          <w:sz w:val="32"/>
          <w:szCs w:val="32"/>
          <w:lang w:val="zh-CN" w:eastAsia="zh-CN"/>
        </w:rPr>
        <w:t>我镇202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eastAsia="zh-CN"/>
        </w:rPr>
        <w:t>年完成了如下：</w:t>
      </w:r>
      <w:r>
        <w:rPr>
          <w:rFonts w:hint="eastAsia" w:ascii="仿宋_GB2312" w:hAnsi="仿宋_GB2312" w:eastAsia="仿宋_GB2312" w:cs="仿宋_GB2312"/>
          <w:color w:val="auto"/>
          <w:sz w:val="32"/>
          <w:szCs w:val="32"/>
          <w:lang w:val="en-US" w:eastAsia="zh-CN"/>
        </w:rPr>
        <w:t>乡镇农村人居环境整治考核奖补资金67.3358万元；</w:t>
      </w:r>
      <w:r>
        <w:rPr>
          <w:rFonts w:hint="eastAsia" w:ascii="仿宋_GB2312" w:hAnsi="仿宋_GB2312" w:eastAsia="仿宋_GB2312" w:cs="仿宋_GB2312"/>
          <w:color w:val="auto"/>
          <w:sz w:val="32"/>
          <w:szCs w:val="32"/>
          <w:lang w:val="zh-CN" w:eastAsia="zh-CN"/>
        </w:rPr>
        <w:t>2023年基层组织和农村公共服务运行维护费</w:t>
      </w:r>
      <w:r>
        <w:rPr>
          <w:rFonts w:hint="eastAsia" w:ascii="仿宋_GB2312" w:hAnsi="仿宋_GB2312" w:eastAsia="仿宋_GB2312" w:cs="仿宋_GB2312"/>
          <w:color w:val="auto"/>
          <w:sz w:val="32"/>
          <w:szCs w:val="32"/>
          <w:lang w:val="en-US" w:eastAsia="zh-CN"/>
        </w:rPr>
        <w:t>188万元；新声、双河、红星、马嘶溪、河沟5个村2023年中央农村公益事业一事一议财政奖补项目资金54.2185万元；垃圾车运营维护费1.0678万元；公务用车购置24.98万元；乡镇安全管理相关经费18.185万元；峨边县沙坪镇马嘶溪村移民避险解困集中安置区地质灾害危险性评估费3万元，</w:t>
      </w:r>
      <w:r>
        <w:rPr>
          <w:rFonts w:hint="eastAsia" w:ascii="仿宋_GB2312" w:hAnsi="仿宋_GB2312" w:eastAsia="仿宋_GB2312" w:cs="仿宋_GB2312"/>
          <w:color w:val="auto"/>
          <w:sz w:val="32"/>
          <w:szCs w:val="32"/>
          <w:lang w:val="zh-CN" w:eastAsia="zh-CN"/>
        </w:rPr>
        <w:t>这七个项目已按实际拨付完毕。</w:t>
      </w:r>
    </w:p>
    <w:p w14:paraId="03652467">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14:paraId="56CE4D2A">
      <w:pPr>
        <w:widowControl/>
        <w:adjustRightInd w:val="0"/>
        <w:snapToGrid w:val="0"/>
        <w:spacing w:line="580" w:lineRule="exact"/>
        <w:ind w:firstLine="640" w:firstLineChars="200"/>
        <w:contextualSpacing/>
        <w:jc w:val="left"/>
        <w:rPr>
          <w:rFonts w:hint="eastAsia" w:ascii="楷体_GB2312" w:hAnsi="宋体" w:eastAsia="楷体_GB2312" w:cs="宋体"/>
          <w:b w:val="0"/>
          <w:bCs w:val="0"/>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w:t>
      </w:r>
      <w:r>
        <w:rPr>
          <w:rFonts w:hint="eastAsia" w:ascii="楷体_GB2312" w:hAnsi="宋体" w:eastAsia="楷体_GB2312" w:cs="宋体"/>
          <w:b w:val="0"/>
          <w:bCs w:val="0"/>
          <w:color w:val="000000"/>
          <w:kern w:val="0"/>
          <w:szCs w:val="32"/>
          <w:shd w:val="clear" w:color="auto" w:fill="FFFFFF"/>
          <w:lang w:val="zh-CN"/>
        </w:rPr>
        <w:t>金收入情况。</w:t>
      </w:r>
    </w:p>
    <w:p w14:paraId="04BBF4A6">
      <w:pPr>
        <w:widowControl/>
        <w:adjustRightInd w:val="0"/>
        <w:snapToGrid w:val="0"/>
        <w:spacing w:line="580" w:lineRule="exact"/>
        <w:ind w:firstLine="640" w:firstLineChars="200"/>
        <w:contextualSpacing/>
        <w:jc w:val="left"/>
        <w:rPr>
          <w:lang w:val="zh-CN"/>
        </w:rPr>
      </w:pPr>
      <w:r>
        <w:rPr>
          <w:rFonts w:hint="eastAsia" w:ascii="仿宋" w:hAnsi="仿宋" w:eastAsia="仿宋" w:cs="宋体"/>
          <w:szCs w:val="32"/>
        </w:rPr>
        <w:t>202</w:t>
      </w:r>
      <w:r>
        <w:rPr>
          <w:rFonts w:hint="eastAsia" w:ascii="仿宋" w:hAnsi="仿宋" w:eastAsia="仿宋" w:cs="宋体"/>
          <w:szCs w:val="32"/>
          <w:lang w:val="en-US" w:eastAsia="zh-CN"/>
        </w:rPr>
        <w:t>3</w:t>
      </w:r>
      <w:r>
        <w:rPr>
          <w:rFonts w:hint="eastAsia" w:ascii="仿宋" w:hAnsi="仿宋" w:eastAsia="仿宋" w:cs="宋体"/>
          <w:szCs w:val="32"/>
        </w:rPr>
        <w:t>年度部门收入总额</w:t>
      </w:r>
      <w:r>
        <w:rPr>
          <w:rFonts w:ascii="宋体" w:hAnsi="宋体" w:eastAsia="宋体" w:cs="宋体"/>
          <w:sz w:val="24"/>
          <w:szCs w:val="24"/>
        </w:rPr>
        <w:t>3124</w:t>
      </w:r>
      <w:r>
        <w:rPr>
          <w:rFonts w:hint="eastAsia" w:ascii="宋体" w:hAnsi="宋体" w:cs="宋体"/>
          <w:sz w:val="24"/>
          <w:szCs w:val="24"/>
          <w:lang w:val="en-US" w:eastAsia="zh-CN"/>
        </w:rPr>
        <w:t>.</w:t>
      </w:r>
      <w:r>
        <w:rPr>
          <w:rFonts w:ascii="宋体" w:hAnsi="宋体" w:eastAsia="宋体" w:cs="宋体"/>
          <w:sz w:val="24"/>
          <w:szCs w:val="24"/>
        </w:rPr>
        <w:t>57</w:t>
      </w:r>
      <w:r>
        <w:rPr>
          <w:rFonts w:hint="eastAsia" w:ascii="仿宋" w:hAnsi="仿宋" w:eastAsia="仿宋" w:cs="宋体"/>
          <w:szCs w:val="32"/>
        </w:rPr>
        <w:t>万元</w:t>
      </w:r>
    </w:p>
    <w:p w14:paraId="6BCBBCD5">
      <w:pPr>
        <w:widowControl/>
        <w:numPr>
          <w:ilvl w:val="0"/>
          <w:numId w:val="3"/>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b w:val="0"/>
          <w:bCs w:val="0"/>
          <w:color w:val="000000"/>
          <w:kern w:val="0"/>
          <w:szCs w:val="32"/>
          <w:shd w:val="clear" w:color="auto" w:fill="FFFFFF"/>
          <w:lang w:val="zh-CN"/>
        </w:rPr>
        <w:t>部门财政资金支出情况</w:t>
      </w:r>
      <w:r>
        <w:rPr>
          <w:rFonts w:hint="eastAsia" w:ascii="楷体_GB2312" w:hAnsi="宋体" w:eastAsia="楷体_GB2312" w:cs="宋体"/>
          <w:color w:val="000000"/>
          <w:kern w:val="0"/>
          <w:szCs w:val="32"/>
          <w:shd w:val="clear" w:color="auto" w:fill="FFFFFF"/>
          <w:lang w:val="zh-CN"/>
        </w:rPr>
        <w:t>。</w:t>
      </w:r>
    </w:p>
    <w:p w14:paraId="1A6E8633">
      <w:pPr>
        <w:widowControl/>
        <w:adjustRightInd w:val="0"/>
        <w:snapToGrid w:val="0"/>
        <w:spacing w:line="580" w:lineRule="exact"/>
        <w:ind w:firstLine="800" w:firstLineChars="250"/>
        <w:contextualSpacing/>
        <w:jc w:val="left"/>
        <w:rPr>
          <w:lang w:val="zh-CN"/>
        </w:rPr>
      </w:pPr>
      <w:r>
        <w:rPr>
          <w:rFonts w:hint="eastAsia" w:ascii="仿宋" w:hAnsi="仿宋" w:eastAsia="仿宋" w:cs="宋体"/>
          <w:szCs w:val="32"/>
        </w:rPr>
        <w:t>202</w:t>
      </w:r>
      <w:r>
        <w:rPr>
          <w:rFonts w:hint="eastAsia" w:ascii="仿宋" w:hAnsi="仿宋" w:eastAsia="仿宋" w:cs="宋体"/>
          <w:szCs w:val="32"/>
          <w:lang w:val="en-US" w:eastAsia="zh-CN"/>
        </w:rPr>
        <w:t>3</w:t>
      </w:r>
      <w:r>
        <w:rPr>
          <w:rFonts w:hint="eastAsia" w:ascii="仿宋" w:hAnsi="仿宋" w:eastAsia="仿宋" w:cs="宋体"/>
          <w:szCs w:val="32"/>
        </w:rPr>
        <w:t>年度部门支出总额</w:t>
      </w:r>
      <w:r>
        <w:rPr>
          <w:rFonts w:hint="eastAsia" w:ascii="仿宋" w:hAnsi="仿宋" w:eastAsia="仿宋" w:cs="宋体"/>
          <w:szCs w:val="32"/>
          <w:lang w:val="en-US" w:eastAsia="zh-CN"/>
        </w:rPr>
        <w:t>3124.57</w:t>
      </w:r>
      <w:r>
        <w:rPr>
          <w:rFonts w:hint="eastAsia" w:ascii="仿宋" w:hAnsi="仿宋" w:eastAsia="仿宋" w:cs="宋体"/>
          <w:szCs w:val="32"/>
        </w:rPr>
        <w:t>万元</w:t>
      </w:r>
    </w:p>
    <w:p w14:paraId="4B442426">
      <w:pPr>
        <w:widowControl/>
        <w:numPr>
          <w:ilvl w:val="0"/>
          <w:numId w:val="3"/>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14:paraId="0D9D525D">
      <w:pPr>
        <w:pStyle w:val="2"/>
        <w:numPr>
          <w:ilvl w:val="0"/>
          <w:numId w:val="0"/>
        </w:numPr>
        <w:ind w:leftChars="200" w:firstLine="960" w:firstLineChars="300"/>
        <w:rPr>
          <w:lang w:val="zh-CN"/>
        </w:rPr>
      </w:pPr>
      <w:r>
        <w:rPr>
          <w:rFonts w:hint="eastAsia" w:ascii="仿宋" w:hAnsi="仿宋" w:eastAsia="仿宋" w:cs="宋体"/>
          <w:szCs w:val="32"/>
        </w:rPr>
        <w:t>无结转结余</w:t>
      </w:r>
    </w:p>
    <w:p w14:paraId="265D4BB0">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14:paraId="53DE3B56">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14:paraId="51302391">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rPr>
      </w:pPr>
      <w:r>
        <w:rPr>
          <w:rFonts w:ascii="仿宋_GB2312" w:hAnsi="宋体" w:cs="宋体"/>
          <w:color w:val="000000"/>
          <w:kern w:val="0"/>
          <w:szCs w:val="32"/>
          <w:shd w:val="clear" w:color="auto" w:fill="FFFFFF"/>
          <w:lang w:val="zh-CN"/>
        </w:rPr>
        <w:t>预算管理方面，编制内在职人员控制率小于100%，支出总额控制在预算总额以内。制度执行总体较为有效，但仍需进一步强化，资金使用管理需进一步加强。</w:t>
      </w:r>
      <w:r>
        <w:rPr>
          <w:rFonts w:hint="eastAsia" w:ascii="仿宋_GB2312" w:hAnsi="宋体" w:cs="宋体"/>
          <w:color w:val="000000"/>
          <w:kern w:val="0"/>
          <w:szCs w:val="32"/>
          <w:shd w:val="clear" w:color="auto" w:fill="FFFFFF"/>
        </w:rPr>
        <w:t>单位内部控制制度需进一步健全，内控制度执行还需进一步规范。</w:t>
      </w:r>
    </w:p>
    <w:p w14:paraId="3C7AA7DD">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14:paraId="0D8ADC2A">
      <w:pPr>
        <w:widowControl/>
        <w:adjustRightInd w:val="0"/>
        <w:snapToGrid w:val="0"/>
        <w:spacing w:line="580" w:lineRule="exact"/>
        <w:ind w:firstLine="640" w:firstLineChars="200"/>
        <w:contextualSpacing/>
        <w:jc w:val="left"/>
        <w:rPr>
          <w:rFonts w:ascii="仿宋_GB2312" w:hAnsi="宋体" w:cs="宋体"/>
          <w:color w:val="000000"/>
          <w:kern w:val="0"/>
          <w:szCs w:val="32"/>
          <w:highlight w:val="red"/>
          <w:shd w:val="clear" w:color="auto" w:fill="FFFFFF"/>
        </w:rPr>
      </w:pPr>
      <w:r>
        <w:rPr>
          <w:rFonts w:hint="eastAsia" w:ascii="仿宋_GB2312" w:hAnsi="宋体" w:cs="宋体"/>
          <w:color w:val="000000"/>
          <w:kern w:val="0"/>
          <w:szCs w:val="32"/>
          <w:shd w:val="clear" w:color="auto" w:fill="FFFFFF"/>
          <w:lang w:val="zh-CN"/>
        </w:rPr>
        <w:t>沙坪镇人民政府绩效目标按要求向社会公开，部门整体绩效自评情况和自行组织的评价情况向社会公开，及时整改了绩效管理发现问题，向财政部门反馈结果应用情况。资金主要投入在</w:t>
      </w:r>
      <w:r>
        <w:rPr>
          <w:rFonts w:hint="eastAsia" w:ascii="仿宋_GB2312" w:hAnsi="仿宋_GB2312" w:eastAsia="仿宋_GB2312" w:cs="仿宋_GB2312"/>
          <w:color w:val="auto"/>
          <w:sz w:val="32"/>
          <w:szCs w:val="32"/>
          <w:lang w:val="en-US" w:eastAsia="zh-CN"/>
        </w:rPr>
        <w:t>乡镇农村人居环境整治考核奖补资金67.3358万元；</w:t>
      </w:r>
      <w:r>
        <w:rPr>
          <w:rFonts w:hint="eastAsia" w:ascii="仿宋_GB2312" w:hAnsi="仿宋_GB2312" w:eastAsia="仿宋_GB2312" w:cs="仿宋_GB2312"/>
          <w:color w:val="auto"/>
          <w:sz w:val="32"/>
          <w:szCs w:val="32"/>
          <w:lang w:val="zh-CN" w:eastAsia="zh-CN"/>
        </w:rPr>
        <w:t>2023年基层组织和农村公共服务运行维护费</w:t>
      </w:r>
      <w:r>
        <w:rPr>
          <w:rFonts w:hint="eastAsia" w:ascii="仿宋_GB2312" w:hAnsi="仿宋_GB2312" w:eastAsia="仿宋_GB2312" w:cs="仿宋_GB2312"/>
          <w:color w:val="auto"/>
          <w:sz w:val="32"/>
          <w:szCs w:val="32"/>
          <w:lang w:val="en-US" w:eastAsia="zh-CN"/>
        </w:rPr>
        <w:t>188万元；新声、双河、红星、马嘶溪、河沟5个村2023年中央农村公益事业一事一议财政奖补项目资金54.2185万元；垃圾车运营维护费1.0678万元；公务用车购置24.98万元；乡镇安全管理相关经费18.185万元；峨边县沙坪镇马嘶溪村移民避险解困集中安置区地质灾害危险性评估费3万元。</w:t>
      </w:r>
      <w:r>
        <w:rPr>
          <w:rFonts w:ascii="仿宋_GB2312" w:hAnsi="宋体" w:cs="宋体"/>
          <w:color w:val="000000"/>
          <w:kern w:val="0"/>
          <w:szCs w:val="32"/>
          <w:shd w:val="clear" w:color="auto" w:fill="FFFFFF"/>
          <w:lang w:val="zh-CN"/>
        </w:rPr>
        <w:t>通过统计分析获取了人民群众对生态环境的健康度、居住生活的舒适度、工作出行的便捷度、居住生活的安全度各方面的</w:t>
      </w:r>
      <w:r>
        <w:rPr>
          <w:rFonts w:hint="eastAsia" w:ascii="仿宋_GB2312" w:hAnsi="宋体" w:cs="宋体"/>
          <w:color w:val="000000"/>
          <w:kern w:val="0"/>
          <w:szCs w:val="32"/>
          <w:shd w:val="clear" w:color="auto" w:fill="FFFFFF"/>
          <w:lang w:val="zh-CN"/>
        </w:rPr>
        <w:t>良好</w:t>
      </w:r>
      <w:r>
        <w:rPr>
          <w:rFonts w:ascii="仿宋_GB2312" w:hAnsi="宋体" w:cs="宋体"/>
          <w:color w:val="000000"/>
          <w:kern w:val="0"/>
          <w:szCs w:val="32"/>
          <w:shd w:val="clear" w:color="auto" w:fill="FFFFFF"/>
          <w:lang w:val="zh-CN"/>
        </w:rPr>
        <w:t>评价</w:t>
      </w:r>
      <w:r>
        <w:rPr>
          <w:rFonts w:hint="eastAsia" w:ascii="仿宋_GB2312" w:hAnsi="宋体" w:cs="宋体"/>
          <w:color w:val="000000"/>
          <w:kern w:val="0"/>
          <w:szCs w:val="32"/>
          <w:shd w:val="clear" w:color="auto" w:fill="FFFFFF"/>
          <w:lang w:val="zh-CN"/>
        </w:rPr>
        <w:t>。</w:t>
      </w:r>
    </w:p>
    <w:p w14:paraId="377050B3">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2.100万以上项目：无</w:t>
      </w:r>
    </w:p>
    <w:p w14:paraId="666B508D">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14:paraId="3ECAF8E1">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ascii="仿宋_GB2312" w:hAnsi="宋体" w:cs="宋体"/>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w:t>
      </w:r>
      <w:bookmarkStart w:id="0" w:name="_GoBack"/>
      <w:bookmarkEnd w:id="0"/>
      <w:r>
        <w:rPr>
          <w:rFonts w:ascii="仿宋_GB2312" w:hAnsi="宋体" w:cs="宋体"/>
          <w:color w:val="000000"/>
          <w:kern w:val="0"/>
          <w:szCs w:val="32"/>
          <w:shd w:val="clear" w:color="auto" w:fill="FFFFFF"/>
          <w:lang w:val="zh-CN"/>
        </w:rPr>
        <w:t>编制工作，决算报表和说明均在</w:t>
      </w:r>
      <w:r>
        <w:rPr>
          <w:rFonts w:hint="eastAsia" w:ascii="仿宋_GB2312" w:hAnsi="宋体" w:cs="宋体"/>
          <w:color w:val="000000"/>
          <w:kern w:val="0"/>
          <w:szCs w:val="32"/>
          <w:shd w:val="clear" w:color="auto" w:fill="FFFFFF"/>
          <w:lang w:val="zh-CN"/>
        </w:rPr>
        <w:t>峨边彝族自治</w:t>
      </w:r>
      <w:r>
        <w:rPr>
          <w:rFonts w:ascii="仿宋_GB2312" w:hAnsi="宋体" w:cs="宋体"/>
          <w:color w:val="000000"/>
          <w:kern w:val="0"/>
          <w:szCs w:val="32"/>
          <w:shd w:val="clear" w:color="auto" w:fill="FFFFFF"/>
          <w:lang w:val="zh-CN"/>
        </w:rPr>
        <w:t>县政府门户网站公开。绩效目标也按照有关文件如实进行了填报。</w:t>
      </w:r>
    </w:p>
    <w:p w14:paraId="17E8C835">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14:paraId="76167977">
      <w:pPr>
        <w:widowControl/>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14:paraId="60A119FD">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根据《峨边彝族自治县财政局关于开展20</w:t>
      </w:r>
      <w:r>
        <w:rPr>
          <w:rFonts w:hint="eastAsia" w:ascii="仿宋_GB2312" w:hAnsi="宋体" w:cs="宋体"/>
          <w:color w:val="000000"/>
          <w:kern w:val="0"/>
          <w:szCs w:val="32"/>
          <w:shd w:val="clear" w:color="auto" w:fill="FFFFFF"/>
        </w:rPr>
        <w:t>2</w:t>
      </w:r>
      <w:r>
        <w:rPr>
          <w:rFonts w:hint="eastAsia" w:ascii="仿宋_GB2312" w:hAnsi="宋体" w:cs="宋体"/>
          <w:color w:val="000000"/>
          <w:kern w:val="0"/>
          <w:szCs w:val="32"/>
          <w:shd w:val="clear" w:color="auto" w:fill="FFFFFF"/>
          <w:lang w:val="en-US" w:eastAsia="zh-CN"/>
        </w:rPr>
        <w:t>3</w:t>
      </w:r>
      <w:r>
        <w:rPr>
          <w:rFonts w:hint="eastAsia" w:ascii="仿宋_GB2312" w:hAnsi="宋体" w:cs="宋体"/>
          <w:color w:val="000000"/>
          <w:kern w:val="0"/>
          <w:szCs w:val="32"/>
          <w:shd w:val="clear" w:color="auto" w:fill="FFFFFF"/>
          <w:lang w:val="zh-CN"/>
        </w:rPr>
        <w:t>年度部门整体、项目支出预算绩效评价工作的通知》文件精神，沙坪镇人民政府</w:t>
      </w:r>
      <w:r>
        <w:rPr>
          <w:rFonts w:hint="eastAsia" w:ascii="仿宋_GB2312" w:hAnsi="宋体" w:cs="宋体"/>
          <w:color w:val="000000"/>
          <w:kern w:val="0"/>
          <w:szCs w:val="32"/>
          <w:shd w:val="clear" w:color="auto" w:fill="FFFFFF"/>
        </w:rPr>
        <w:t>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rPr>
        <w:t xml:space="preserve"> 9</w:t>
      </w:r>
      <w:r>
        <w:rPr>
          <w:rFonts w:hint="eastAsia" w:ascii="仿宋_GB2312" w:hAnsi="宋体" w:cs="宋体"/>
          <w:color w:val="000000"/>
          <w:kern w:val="0"/>
          <w:szCs w:val="32"/>
          <w:shd w:val="clear" w:color="auto" w:fill="FFFFFF"/>
          <w:lang w:val="en-US" w:eastAsia="zh-CN"/>
        </w:rPr>
        <w:t>9</w:t>
      </w:r>
      <w:r>
        <w:rPr>
          <w:rFonts w:hint="eastAsia" w:ascii="仿宋_GB2312" w:hAnsi="宋体" w:cs="宋体"/>
          <w:color w:val="000000"/>
          <w:kern w:val="0"/>
          <w:szCs w:val="32"/>
          <w:shd w:val="clear" w:color="auto" w:fill="FFFFFF"/>
        </w:rPr>
        <w:t xml:space="preserve"> </w:t>
      </w:r>
      <w:r>
        <w:rPr>
          <w:rFonts w:hint="eastAsia" w:ascii="仿宋_GB2312" w:hAnsi="宋体" w:cs="宋体"/>
          <w:color w:val="000000"/>
          <w:kern w:val="0"/>
          <w:szCs w:val="32"/>
          <w:shd w:val="clear" w:color="auto" w:fill="FFFFFF"/>
          <w:lang w:val="zh-CN"/>
        </w:rPr>
        <w:t>分。</w:t>
      </w:r>
    </w:p>
    <w:p w14:paraId="6CFFF5F0">
      <w:pPr>
        <w:widowControl/>
        <w:numPr>
          <w:ilvl w:val="0"/>
          <w:numId w:val="4"/>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14:paraId="0A39B142">
      <w:pPr>
        <w:pStyle w:val="2"/>
        <w:numPr>
          <w:ilvl w:val="0"/>
          <w:numId w:val="0"/>
        </w:numPr>
        <w:ind w:firstLine="640" w:firstLineChars="200"/>
        <w:rPr>
          <w:lang w:val="zh-CN"/>
        </w:rPr>
      </w:pPr>
      <w:r>
        <w:rPr>
          <w:rFonts w:hint="eastAsia" w:ascii="仿宋_GB2312" w:hAnsi="仿宋_GB2312" w:eastAsia="仿宋_GB2312" w:cs="仿宋_GB2312"/>
          <w:color w:val="auto"/>
          <w:sz w:val="32"/>
          <w:szCs w:val="32"/>
          <w:lang w:val="zh-CN" w:eastAsia="zh-CN"/>
        </w:rPr>
        <w:t>项目执行率需进一步提高。</w:t>
      </w:r>
    </w:p>
    <w:p w14:paraId="48120A64">
      <w:pPr>
        <w:widowControl/>
        <w:numPr>
          <w:ilvl w:val="0"/>
          <w:numId w:val="4"/>
        </w:numPr>
        <w:adjustRightInd w:val="0"/>
        <w:snapToGrid w:val="0"/>
        <w:spacing w:line="580" w:lineRule="exact"/>
        <w:ind w:left="0" w:leftChars="0" w:firstLine="0" w:firstLineChars="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14:paraId="5793BBC1">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307755FA">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p w14:paraId="6140D8AD">
      <w:pPr>
        <w:pStyle w:val="2"/>
        <w:numPr>
          <w:ilvl w:val="0"/>
          <w:numId w:val="0"/>
        </w:numPr>
        <w:ind w:leftChars="0"/>
        <w:rPr>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3AD869-24C2-49D3-9690-C2584F3206D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33ADDEAF-6812-415F-8509-8F611CB360F6}"/>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3" w:fontKey="{F1FE615C-FECA-493C-AB3A-C70696213188}"/>
  </w:font>
  <w:font w:name="仿宋_GB2312">
    <w:panose1 w:val="02010609030101010101"/>
    <w:charset w:val="86"/>
    <w:family w:val="modern"/>
    <w:pitch w:val="default"/>
    <w:sig w:usb0="00000001" w:usb1="080E0000" w:usb2="00000000" w:usb3="00000000" w:csb0="00040000" w:csb1="00000000"/>
    <w:embedRegular r:id="rId4" w:fontKey="{1AEF4DC8-BF62-44DC-A77D-85E00EE29DD1}"/>
  </w:font>
  <w:font w:name="方正仿宋_GBK">
    <w:altName w:val="微软雅黑"/>
    <w:panose1 w:val="03000509000000000000"/>
    <w:charset w:val="86"/>
    <w:family w:val="auto"/>
    <w:pitch w:val="default"/>
    <w:sig w:usb0="00000000" w:usb1="00000000" w:usb2="00000000" w:usb3="00000000" w:csb0="00040000" w:csb1="00000000"/>
    <w:embedRegular r:id="rId5" w:fontKey="{6D537FF2-5802-4710-9766-0829974828B7}"/>
  </w:font>
  <w:font w:name="楷体_GB2312">
    <w:panose1 w:val="02010609030101010101"/>
    <w:charset w:val="86"/>
    <w:family w:val="modern"/>
    <w:pitch w:val="default"/>
    <w:sig w:usb0="00000001" w:usb1="080E0000" w:usb2="00000000" w:usb3="00000000" w:csb0="00040000" w:csb1="00000000"/>
    <w:embedRegular r:id="rId6" w:fontKey="{EB94574C-A46A-4F5D-809B-033E09C2ADE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09A1E">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14:paraId="22DA33CC">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429B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EAABA"/>
    <w:multiLevelType w:val="singleLevel"/>
    <w:tmpl w:val="833EAABA"/>
    <w:lvl w:ilvl="0" w:tentative="0">
      <w:start w:val="2"/>
      <w:numFmt w:val="chineseCounting"/>
      <w:suff w:val="nothing"/>
      <w:lvlText w:val="（%1）"/>
      <w:lvlJc w:val="left"/>
      <w:rPr>
        <w:rFonts w:hint="eastAsia"/>
      </w:rPr>
    </w:lvl>
  </w:abstractNum>
  <w:abstractNum w:abstractNumId="1">
    <w:nsid w:val="98BD5112"/>
    <w:multiLevelType w:val="singleLevel"/>
    <w:tmpl w:val="98BD5112"/>
    <w:lvl w:ilvl="0" w:tentative="0">
      <w:start w:val="2"/>
      <w:numFmt w:val="chineseCounting"/>
      <w:suff w:val="nothing"/>
      <w:lvlText w:val="（%1）"/>
      <w:lvlJc w:val="left"/>
      <w:rPr>
        <w:rFonts w:hint="eastAsia"/>
      </w:rPr>
    </w:lvl>
  </w:abstractNum>
  <w:abstractNum w:abstractNumId="2">
    <w:nsid w:val="33E50D02"/>
    <w:multiLevelType w:val="singleLevel"/>
    <w:tmpl w:val="33E50D02"/>
    <w:lvl w:ilvl="0" w:tentative="0">
      <w:start w:val="1"/>
      <w:numFmt w:val="decimal"/>
      <w:suff w:val="nothing"/>
      <w:lvlText w:val="%1、"/>
      <w:lvlJc w:val="left"/>
    </w:lvl>
  </w:abstractNum>
  <w:abstractNum w:abstractNumId="3">
    <w:nsid w:val="43AD849B"/>
    <w:multiLevelType w:val="singleLevel"/>
    <w:tmpl w:val="43AD849B"/>
    <w:lvl w:ilvl="0" w:tentative="0">
      <w:start w:val="4"/>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A82B7C"/>
    <w:rsid w:val="0381382C"/>
    <w:rsid w:val="03946B2A"/>
    <w:rsid w:val="129D68F8"/>
    <w:rsid w:val="13F17FA9"/>
    <w:rsid w:val="18D17537"/>
    <w:rsid w:val="19927F78"/>
    <w:rsid w:val="1B717F1E"/>
    <w:rsid w:val="1C7455B7"/>
    <w:rsid w:val="21AE59D8"/>
    <w:rsid w:val="286F56EA"/>
    <w:rsid w:val="2D036C63"/>
    <w:rsid w:val="2D527252"/>
    <w:rsid w:val="318C6DED"/>
    <w:rsid w:val="329102D6"/>
    <w:rsid w:val="361B66A7"/>
    <w:rsid w:val="3A9520B3"/>
    <w:rsid w:val="3C5059FC"/>
    <w:rsid w:val="3DE562B7"/>
    <w:rsid w:val="3E6507EA"/>
    <w:rsid w:val="44406DA5"/>
    <w:rsid w:val="47550EBA"/>
    <w:rsid w:val="4A5D493B"/>
    <w:rsid w:val="4A651F3E"/>
    <w:rsid w:val="50BB3388"/>
    <w:rsid w:val="529C5615"/>
    <w:rsid w:val="59F123CA"/>
    <w:rsid w:val="5B190DF8"/>
    <w:rsid w:val="5CA71859"/>
    <w:rsid w:val="5DA1152D"/>
    <w:rsid w:val="6636451A"/>
    <w:rsid w:val="6BE94116"/>
    <w:rsid w:val="6E833176"/>
    <w:rsid w:val="75376F95"/>
    <w:rsid w:val="78822A53"/>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nhideWhenUsed="0" w:uiPriority="0" w:semiHidden="0"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paragraph" w:styleId="3">
    <w:name w:val="heading 4"/>
    <w:basedOn w:val="1"/>
    <w:next w:val="1"/>
    <w:qFormat/>
    <w:locked/>
    <w:uiPriority w:val="0"/>
    <w:pPr>
      <w:keepNext/>
      <w:keepLines/>
      <w:spacing w:before="280" w:after="290" w:line="376" w:lineRule="auto"/>
      <w:outlineLvl w:val="3"/>
    </w:pPr>
    <w:rPr>
      <w:rFonts w:ascii="Cambria" w:hAnsi="Cambria"/>
      <w:b/>
      <w:bCs/>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locked/>
    <w:uiPriority w:val="0"/>
    <w:pPr>
      <w:ind w:firstLine="420" w:firstLineChars="200"/>
    </w:pPr>
  </w:style>
  <w:style w:type="paragraph" w:styleId="4">
    <w:name w:val="Document Map"/>
    <w:basedOn w:val="1"/>
    <w:link w:val="13"/>
    <w:qFormat/>
    <w:uiPriority w:val="99"/>
    <w:rPr>
      <w:rFonts w:ascii="宋体"/>
      <w:sz w:val="18"/>
      <w:szCs w:val="18"/>
    </w:rPr>
  </w:style>
  <w:style w:type="paragraph" w:styleId="5">
    <w:name w:val="Balloon Text"/>
    <w:basedOn w:val="1"/>
    <w:link w:val="14"/>
    <w:semiHidden/>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locked/>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qFormat/>
    <w:uiPriority w:val="99"/>
    <w:rPr>
      <w:rFonts w:cs="Times New Roman"/>
    </w:rPr>
  </w:style>
  <w:style w:type="character" w:customStyle="1" w:styleId="13">
    <w:name w:val="文档结构图 Char"/>
    <w:link w:val="4"/>
    <w:qFormat/>
    <w:locked/>
    <w:uiPriority w:val="99"/>
    <w:rPr>
      <w:rFonts w:ascii="宋体" w:cs="Times New Roman"/>
      <w:kern w:val="2"/>
      <w:sz w:val="18"/>
      <w:szCs w:val="18"/>
    </w:rPr>
  </w:style>
  <w:style w:type="character" w:customStyle="1" w:styleId="14">
    <w:name w:val="批注框文本 Char"/>
    <w:link w:val="5"/>
    <w:semiHidden/>
    <w:qFormat/>
    <w:locked/>
    <w:uiPriority w:val="99"/>
    <w:rPr>
      <w:rFonts w:cs="Times New Roman"/>
      <w:sz w:val="2"/>
    </w:rPr>
  </w:style>
  <w:style w:type="character" w:customStyle="1" w:styleId="15">
    <w:name w:val="页脚 Char"/>
    <w:link w:val="6"/>
    <w:qFormat/>
    <w:locked/>
    <w:uiPriority w:val="99"/>
    <w:rPr>
      <w:rFonts w:cs="Times New Roman"/>
      <w:kern w:val="2"/>
      <w:sz w:val="18"/>
      <w:szCs w:val="18"/>
    </w:rPr>
  </w:style>
  <w:style w:type="character" w:customStyle="1" w:styleId="16">
    <w:name w:val="页眉 Char"/>
    <w:link w:val="7"/>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6</Pages>
  <Words>3134</Words>
  <Characters>3259</Characters>
  <Lines>3</Lines>
  <Paragraphs>1</Paragraphs>
  <TotalTime>2</TotalTime>
  <ScaleCrop>false</ScaleCrop>
  <LinksUpToDate>false</LinksUpToDate>
  <CharactersWithSpaces>3261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2023-06-14T09:44:00Z</cp:lastPrinted>
  <dcterms:modified xsi:type="dcterms:W3CDTF">2024-10-17T00:56:21Z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53B7F86B27C64309879EEE75FFE498EF</vt:lpwstr>
  </property>
</Properties>
</file>