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eastAsia="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600" w:lineRule="exact"/>
        <w:ind w:firstLine="883"/>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7"/>
        <w:spacing w:line="600" w:lineRule="exact"/>
        <w:ind w:firstLine="883"/>
        <w:jc w:val="center"/>
        <w:rPr>
          <w:rFonts w:ascii="仿宋_GB2312" w:hAnsi="宋体" w:eastAsia="仿宋_GB2312"/>
          <w:color w:val="auto"/>
          <w:kern w:val="2"/>
          <w:sz w:val="32"/>
          <w:szCs w:val="32"/>
        </w:rPr>
      </w:pPr>
      <w:bookmarkStart w:id="0" w:name="_GoBack"/>
      <w:bookmarkEnd w:id="0"/>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万漩村党群服务及机关食堂的装修和民兵武器仓库整治项目</w:t>
      </w:r>
      <w:r>
        <w:rPr>
          <w:rFonts w:hint="eastAsia" w:ascii="仿宋_GB2312" w:hAnsi="宋体" w:eastAsia="仿宋_GB2312"/>
          <w:color w:val="auto"/>
          <w:kern w:val="2"/>
          <w:sz w:val="32"/>
          <w:szCs w:val="32"/>
        </w:rPr>
        <w:t>）</w:t>
      </w:r>
    </w:p>
    <w:p>
      <w:pPr>
        <w:pStyle w:val="7"/>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spacing w:line="640" w:lineRule="exact"/>
        <w:ind w:firstLine="640" w:firstLineChars="200"/>
        <w:rPr>
          <w:rFonts w:ascii="仿宋_GB2312" w:hAnsi="宋体"/>
        </w:rPr>
      </w:pPr>
      <w:r>
        <w:rPr>
          <w:rFonts w:hint="eastAsia" w:ascii="仿宋_GB2312" w:hAnsi="宋体"/>
          <w:lang w:val="zh-CN"/>
        </w:rPr>
        <w:t>1．</w:t>
      </w:r>
      <w:r>
        <w:rPr>
          <w:rFonts w:hint="eastAsia" w:ascii="仿宋_GB2312" w:hAnsi="宋体"/>
          <w:lang w:val="zh-CN" w:eastAsia="zh-CN"/>
        </w:rPr>
        <w:t>沙坪镇</w:t>
      </w:r>
      <w:r>
        <w:rPr>
          <w:rFonts w:hint="eastAsia" w:ascii="仿宋_GB2312" w:hAnsi="宋体"/>
        </w:rPr>
        <w:t>在该项目的实施过程中主要承担科学、合理地使用该笔经费，确保资金使用安全合理、合规职能,有效</w:t>
      </w:r>
      <w:r>
        <w:rPr>
          <w:rFonts w:hint="eastAsia" w:ascii="仿宋_GB2312" w:hAnsi="宋体"/>
          <w:lang w:eastAsia="zh-CN"/>
        </w:rPr>
        <w:t>保障村级公共服务有效运行的职能</w:t>
      </w:r>
      <w:r>
        <w:rPr>
          <w:rFonts w:hint="eastAsia" w:ascii="仿宋_GB2312" w:hAnsi="宋体"/>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2．项目立项、资金申报的依据是根据政府领导批示【</w:t>
      </w:r>
      <w:r>
        <w:rPr>
          <w:rFonts w:hint="eastAsia" w:ascii="仿宋_GB2312" w:hAnsi="宋体"/>
          <w:lang w:val="en-US" w:eastAsia="zh-CN"/>
        </w:rPr>
        <w:t>2021</w:t>
      </w:r>
      <w:r>
        <w:rPr>
          <w:rFonts w:hint="eastAsia" w:ascii="仿宋_GB2312" w:hAnsi="宋体"/>
          <w:lang w:val="zh-CN"/>
        </w:rPr>
        <w:t>】</w:t>
      </w:r>
      <w:r>
        <w:rPr>
          <w:rFonts w:hint="eastAsia" w:ascii="仿宋_GB2312" w:hAnsi="宋体"/>
          <w:lang w:val="en-US" w:eastAsia="zh-CN"/>
        </w:rPr>
        <w:t>13号关于解决万漩村党群服务中心装修工程款；政府领导批示【2021】12号关于解决机关食堂改造装修工程款及领导批示同意关于解决武装部民兵武器仓库隐患整治请示</w:t>
      </w:r>
      <w:r>
        <w:rPr>
          <w:rFonts w:hint="eastAsia" w:ascii="仿宋_GB2312" w:hAnsi="宋体"/>
          <w:lang w:val="zh-CN"/>
        </w:rPr>
        <w:t>进行申报。</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3．资金管理办法制定情况，资金支持具体项目的条件、范围与支持方式概况。严格按照《会计法》《预算法》等财经法律法规，在资金管理制定和分配管理方面科学合理、规范有序，突出重点，符合财政资金改革方向。</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4．资金分配的原则及考虑因素。资金分配原则根据业务工作难度系数化及工作量化原则，考虑因素为开展工作的难度系、业务工作强度、业务工作数量频次等。合理分配，突出重点，资金分配和使用方向与资金管理方法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eastAsia="仿宋_GB2312"/>
          <w:color w:val="auto"/>
          <w:kern w:val="2"/>
          <w:sz w:val="32"/>
          <w:szCs w:val="32"/>
          <w:lang w:val="en-US" w:eastAsia="zh-CN"/>
        </w:rPr>
      </w:pPr>
      <w:r>
        <w:rPr>
          <w:rFonts w:hint="eastAsia" w:ascii="仿宋_GB2312" w:hAnsi="宋体"/>
          <w:lang w:val="zh-CN"/>
        </w:rPr>
        <w:t>1．项目主要内容。</w:t>
      </w:r>
      <w:r>
        <w:rPr>
          <w:rFonts w:hint="eastAsia" w:ascii="仿宋_GB2312" w:hAnsi="宋体"/>
          <w:highlight w:val="none"/>
          <w:lang w:val="zh-CN"/>
        </w:rPr>
        <w:t>该项目主要用于解决</w:t>
      </w:r>
      <w:r>
        <w:rPr>
          <w:rFonts w:hint="eastAsia" w:ascii="仿宋_GB2312" w:hAnsi="宋体"/>
          <w:color w:val="auto"/>
          <w:kern w:val="2"/>
          <w:sz w:val="32"/>
          <w:szCs w:val="32"/>
          <w:lang w:eastAsia="zh-CN"/>
        </w:rPr>
        <w:t>我</w:t>
      </w:r>
      <w:r>
        <w:rPr>
          <w:rFonts w:hint="eastAsia" w:ascii="仿宋_GB2312" w:hAnsi="宋体" w:eastAsia="仿宋_GB2312"/>
          <w:color w:val="auto"/>
          <w:kern w:val="2"/>
          <w:sz w:val="32"/>
          <w:szCs w:val="32"/>
          <w:lang w:eastAsia="zh-CN"/>
        </w:rPr>
        <w:t>镇</w:t>
      </w:r>
      <w:r>
        <w:rPr>
          <w:rFonts w:hint="eastAsia" w:ascii="仿宋_GB2312" w:hAnsi="宋体"/>
          <w:lang w:val="en-US" w:eastAsia="zh-CN"/>
        </w:rPr>
        <w:t>万漩村党群服务中心装修工程款；机关食堂改造装修工程款及武装部民兵武器仓库隐患整治款</w:t>
      </w:r>
      <w:r>
        <w:rPr>
          <w:rFonts w:hint="eastAsia" w:ascii="仿宋_GB2312" w:hAnsi="宋体"/>
          <w:color w:val="auto"/>
          <w:kern w:val="2"/>
          <w:sz w:val="32"/>
          <w:szCs w:val="32"/>
          <w:lang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2．项目应实现的具体绩效目标，包括目标的量化、细化情况以及项目实施进度计划等。按照沙坪镇20</w:t>
      </w:r>
      <w:r>
        <w:rPr>
          <w:rFonts w:hint="eastAsia" w:ascii="仿宋_GB2312" w:hAnsi="宋体"/>
          <w:lang w:val="en-US" w:eastAsia="zh-CN"/>
        </w:rPr>
        <w:t>22</w:t>
      </w:r>
      <w:r>
        <w:rPr>
          <w:rFonts w:hint="eastAsia" w:ascii="仿宋_GB2312" w:hAnsi="宋体"/>
          <w:lang w:val="zh-CN"/>
        </w:rPr>
        <w:t>年工作计划，完成年内项目组织管理任务，做好各类项目执行的全过程监督管理工作，确保各类项目按计划有效实施。在年度内完成各项目资金支出进度要求，</w:t>
      </w:r>
      <w:r>
        <w:rPr>
          <w:rFonts w:hint="eastAsia" w:ascii="仿宋_GB2312" w:hAnsi="宋体"/>
          <w:color w:val="auto"/>
          <w:kern w:val="2"/>
          <w:sz w:val="32"/>
          <w:szCs w:val="32"/>
          <w:lang w:eastAsia="zh-CN"/>
        </w:rPr>
        <w:t>保障我</w:t>
      </w:r>
      <w:r>
        <w:rPr>
          <w:rFonts w:hint="eastAsia" w:ascii="仿宋_GB2312" w:hAnsi="宋体" w:eastAsia="仿宋_GB2312"/>
          <w:color w:val="auto"/>
          <w:kern w:val="2"/>
          <w:sz w:val="32"/>
          <w:szCs w:val="32"/>
          <w:lang w:eastAsia="zh-CN"/>
        </w:rPr>
        <w:t>镇</w:t>
      </w:r>
      <w:r>
        <w:rPr>
          <w:rFonts w:hint="eastAsia" w:ascii="仿宋_GB2312" w:hAnsi="宋体"/>
          <w:lang w:val="en-US" w:eastAsia="zh-CN"/>
        </w:rPr>
        <w:t>万漩村党群服务中心装修工程款；机关食堂改造装修工程款及武装部民兵武器仓库隐患整治款</w:t>
      </w:r>
      <w:r>
        <w:rPr>
          <w:rFonts w:hint="eastAsia" w:ascii="仿宋_GB2312" w:hAnsi="宋体"/>
          <w:color w:val="auto"/>
          <w:kern w:val="2"/>
          <w:sz w:val="32"/>
          <w:szCs w:val="32"/>
          <w:lang w:eastAsia="zh-CN"/>
        </w:rPr>
        <w:t>资金</w:t>
      </w:r>
      <w:r>
        <w:rPr>
          <w:rFonts w:hint="eastAsia" w:ascii="仿宋_GB2312" w:hAnsi="宋体"/>
          <w:lang w:val="zh-CN"/>
        </w:rPr>
        <w:t>。确保资金专款专用，使用合理安全规范，</w:t>
      </w:r>
      <w:r>
        <w:rPr>
          <w:rFonts w:hint="eastAsia" w:ascii="仿宋_GB2312" w:hAnsi="宋体" w:eastAsia="仿宋_GB2312"/>
          <w:color w:val="auto"/>
          <w:kern w:val="2"/>
          <w:sz w:val="32"/>
          <w:szCs w:val="32"/>
          <w:lang w:eastAsia="zh-CN"/>
        </w:rPr>
        <w:t>该项目的实施</w:t>
      </w:r>
      <w:r>
        <w:rPr>
          <w:rFonts w:hint="eastAsia" w:ascii="仿宋_GB2312" w:hAnsi="宋体"/>
          <w:color w:val="auto"/>
          <w:kern w:val="2"/>
          <w:sz w:val="32"/>
          <w:szCs w:val="32"/>
          <w:lang w:eastAsia="zh-CN"/>
        </w:rPr>
        <w:t>改善了</w:t>
      </w:r>
      <w:r>
        <w:rPr>
          <w:rFonts w:hint="eastAsia" w:ascii="仿宋_GB2312" w:hAnsi="宋体"/>
          <w:lang w:val="en-US" w:eastAsia="zh-CN"/>
        </w:rPr>
        <w:t>万漩村党群服务中心办公环境，为沙坪镇干部职工提供便利的午餐，使武装部武器仓库的安全度提高了</w:t>
      </w:r>
      <w:r>
        <w:rPr>
          <w:rFonts w:hint="eastAsia" w:ascii="仿宋_GB2312" w:hAnsi="宋体"/>
          <w:color w:val="auto"/>
          <w:kern w:val="2"/>
          <w:sz w:val="32"/>
          <w:szCs w:val="32"/>
          <w:lang w:eastAsia="zh-CN"/>
        </w:rPr>
        <w:t>。</w:t>
      </w:r>
      <w:r>
        <w:rPr>
          <w:rFonts w:hint="eastAsia" w:ascii="仿宋_GB2312" w:hAnsi="宋体"/>
          <w:lang w:val="zh-CN"/>
        </w:rPr>
        <w:t>满意度达</w:t>
      </w:r>
      <w:r>
        <w:rPr>
          <w:rFonts w:hint="eastAsia" w:ascii="仿宋_GB2312" w:hAnsi="宋体"/>
          <w:lang w:val="en-US" w:eastAsia="zh-CN"/>
        </w:rPr>
        <w:t>98</w:t>
      </w:r>
      <w:r>
        <w:rPr>
          <w:rFonts w:hint="eastAsia" w:ascii="仿宋_GB2312" w:hAnsi="宋体"/>
          <w:lang w:val="zh-CN"/>
        </w:rPr>
        <w:t>%上。</w:t>
      </w:r>
    </w:p>
    <w:p>
      <w:pPr>
        <w:numPr>
          <w:ilvl w:val="0"/>
          <w:numId w:val="1"/>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项目资金申报相符性。</w:t>
      </w:r>
    </w:p>
    <w:p>
      <w:pPr>
        <w:adjustRightInd w:val="0"/>
        <w:snapToGrid w:val="0"/>
        <w:spacing w:line="600" w:lineRule="exact"/>
        <w:ind w:firstLine="720"/>
        <w:rPr>
          <w:rFonts w:hint="eastAsia" w:ascii="仿宋_GB2312" w:hAnsi="宋体"/>
          <w:lang w:val="zh-CN"/>
        </w:rPr>
      </w:pPr>
      <w:r>
        <w:rPr>
          <w:rFonts w:hint="eastAsia" w:ascii="仿宋_GB2312" w:hAnsi="仿宋_GB2312" w:eastAsia="仿宋_GB2312" w:cs="仿宋_GB2312"/>
          <w:highlight w:val="none"/>
          <w:lang w:val="zh-CN"/>
        </w:rPr>
        <w:t>申报内容与实际相符，申报目标合理可行</w:t>
      </w:r>
      <w:r>
        <w:rPr>
          <w:rFonts w:hint="eastAsia" w:ascii="仿宋_GB2312" w:hAnsi="宋体"/>
          <w:lang w:val="zh-CN"/>
        </w:rPr>
        <w:t>。</w:t>
      </w:r>
    </w:p>
    <w:p>
      <w:pPr>
        <w:adjustRightInd w:val="0"/>
        <w:snapToGrid w:val="0"/>
        <w:spacing w:line="60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lang w:val="zh-CN"/>
        </w:rPr>
        <w:t>1．资金计划。</w:t>
      </w:r>
      <w:r>
        <w:rPr>
          <w:rFonts w:hint="eastAsia" w:ascii="仿宋_GB2312" w:hAnsi="宋体"/>
          <w:lang w:val="en-US" w:eastAsia="zh-CN"/>
        </w:rPr>
        <w:t>关于解决万漩村党群服务中心装修工程款；关于解决机关食堂改造装修工程款及关于解决武装部民兵武器仓库隐患整治</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lang w:val="en-US" w:eastAsia="zh-CN"/>
        </w:rPr>
        <w:t>16.58万元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关于解决万漩村党群服务中心装修工程款；关于解决机关食堂改造装修工程款及关于解决武装部民兵武器仓库隐患整治</w:t>
      </w:r>
      <w:r>
        <w:rPr>
          <w:rFonts w:hint="eastAsia" w:ascii="仿宋_GB2312" w:hAnsi="宋体"/>
          <w:u w:val="none"/>
          <w:lang w:val="en-US" w:eastAsia="zh-CN"/>
        </w:rPr>
        <w:t>项目</w:t>
      </w:r>
      <w:r>
        <w:rPr>
          <w:rFonts w:hint="eastAsia" w:ascii="仿宋_GB2312" w:hAnsi="宋体"/>
          <w:lang w:val="zh-CN"/>
        </w:rPr>
        <w:t>资金到位</w:t>
      </w:r>
      <w:r>
        <w:rPr>
          <w:rFonts w:hint="eastAsia" w:ascii="仿宋_GB2312" w:hAnsi="宋体"/>
          <w:lang w:val="en-US" w:eastAsia="zh-CN"/>
        </w:rPr>
        <w:t>16.58万元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highlight w:val="none"/>
          <w:lang w:val="en-US" w:eastAsia="zh-CN"/>
        </w:rPr>
      </w:pPr>
      <w:r>
        <w:rPr>
          <w:rFonts w:hint="eastAsia" w:ascii="楷体_GB2312" w:hAnsi="宋体" w:eastAsia="楷体_GB2312"/>
          <w:highlight w:val="none"/>
          <w:lang w:val="zh-CN"/>
        </w:rPr>
        <w:t>3．资金使用。</w:t>
      </w:r>
      <w:r>
        <w:rPr>
          <w:rFonts w:hint="eastAsia" w:ascii="仿宋_GB2312" w:hAnsi="宋体"/>
          <w:highlight w:val="none"/>
          <w:u w:val="none"/>
          <w:lang w:val="zh-CN" w:eastAsia="zh-CN"/>
        </w:rPr>
        <w:t>截止</w:t>
      </w:r>
      <w:r>
        <w:rPr>
          <w:rFonts w:hint="eastAsia" w:ascii="仿宋_GB2312" w:hAnsi="宋体"/>
          <w:highlight w:val="none"/>
          <w:u w:val="none"/>
          <w:lang w:val="en-US" w:eastAsia="zh-CN"/>
        </w:rPr>
        <w:t>2022年12月31日，</w:t>
      </w:r>
      <w:r>
        <w:rPr>
          <w:rFonts w:hint="eastAsia" w:ascii="仿宋_GB2312" w:hAnsi="宋体"/>
          <w:lang w:val="en-US" w:eastAsia="zh-CN"/>
        </w:rPr>
        <w:t>关于解决万漩村党群服务中心装修工程款；关于解决机关食堂改造装修工程款及关于解决武装部民兵武器仓库隐患整治</w:t>
      </w:r>
      <w:r>
        <w:rPr>
          <w:rFonts w:hint="eastAsia" w:ascii="仿宋_GB2312" w:hAnsi="宋体"/>
          <w:highlight w:val="none"/>
          <w:u w:val="none"/>
          <w:lang w:val="en-US" w:eastAsia="zh-CN"/>
        </w:rPr>
        <w:t>项目</w:t>
      </w:r>
      <w:r>
        <w:rPr>
          <w:rFonts w:hint="eastAsia" w:ascii="仿宋_GB2312" w:hAnsi="宋体"/>
          <w:highlight w:val="none"/>
          <w:lang w:val="zh-CN"/>
        </w:rPr>
        <w:t>资金使</w:t>
      </w:r>
      <w:r>
        <w:rPr>
          <w:rFonts w:hint="eastAsia" w:ascii="仿宋_GB2312" w:hAnsi="宋体"/>
          <w:highlight w:val="none"/>
          <w:lang w:val="en-US" w:eastAsia="zh-CN"/>
        </w:rPr>
        <w:t>16.58万元，使用比例100%。</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sz w:val="30"/>
          <w:szCs w:val="30"/>
          <w:lang w:val="en-US" w:eastAsia="zh-CN"/>
        </w:rPr>
      </w:pPr>
      <w:r>
        <w:rPr>
          <w:rFonts w:hint="eastAsia" w:ascii="仿宋_GB2312" w:hAnsi="宋体"/>
          <w:lang w:val="zh-CN"/>
        </w:rPr>
        <w:t>为加强</w:t>
      </w:r>
      <w:r>
        <w:rPr>
          <w:rFonts w:hint="eastAsia" w:ascii="仿宋_GB2312" w:hAnsi="宋体"/>
          <w:lang w:val="en-US" w:eastAsia="zh-CN"/>
        </w:rPr>
        <w:t>专项</w:t>
      </w:r>
      <w:r>
        <w:rPr>
          <w:rFonts w:hint="eastAsia" w:ascii="仿宋_GB2312" w:hAnsi="宋体"/>
          <w:lang w:val="zh-CN"/>
        </w:rPr>
        <w:t>资金的管理和监督，规范</w:t>
      </w:r>
      <w:r>
        <w:rPr>
          <w:rFonts w:hint="eastAsia" w:ascii="仿宋_GB2312" w:hAnsi="宋体"/>
          <w:lang w:val="en-US" w:eastAsia="zh-CN"/>
        </w:rPr>
        <w:t>专项</w:t>
      </w:r>
      <w:r>
        <w:rPr>
          <w:rFonts w:hint="eastAsia" w:ascii="仿宋_GB2312" w:hAnsi="宋体"/>
          <w:lang w:val="zh-CN"/>
        </w:rPr>
        <w:t>资金使用，提高资金使用效率，制定了经费管理制度,制度对专项资金的分配和使用进行了规范，要求专项资金严格按照项目内容使用，做到专款专用，使用专项资金时，要全部通过国库集中支付，严禁虚报、挤占、挪用。项目过程中全部按照管理办法执行,无违反规定的行为发生。</w:t>
      </w:r>
      <w:r>
        <w:rPr>
          <w:rFonts w:hint="eastAsia" w:ascii="仿宋_GB2312" w:hAnsi="仿宋_GB2312" w:cs="仿宋_GB2312"/>
          <w:sz w:val="30"/>
          <w:szCs w:val="30"/>
          <w:lang w:val="en-US" w:eastAsia="zh-CN"/>
        </w:rPr>
        <w:t xml:space="preserve"> </w:t>
      </w:r>
    </w:p>
    <w:p>
      <w:pPr>
        <w:adjustRightInd w:val="0"/>
        <w:snapToGrid w:val="0"/>
        <w:spacing w:line="600" w:lineRule="exact"/>
        <w:ind w:firstLine="720"/>
        <w:rPr>
          <w:rFonts w:ascii="黑体" w:hAnsi="宋体" w:eastAsia="黑体"/>
        </w:rPr>
      </w:pPr>
      <w:r>
        <w:rPr>
          <w:rFonts w:hint="eastAsia" w:ascii="黑体" w:hAnsi="宋体" w:eastAsia="黑体"/>
          <w:lang w:eastAsia="zh-CN"/>
        </w:rPr>
        <w:t>（</w:t>
      </w:r>
      <w:r>
        <w:rPr>
          <w:rFonts w:hint="eastAsia" w:ascii="黑体" w:hAnsi="宋体" w:eastAsia="黑体"/>
        </w:rPr>
        <w:t>三</w:t>
      </w:r>
      <w:r>
        <w:rPr>
          <w:rFonts w:hint="eastAsia" w:ascii="黑体" w:hAnsi="宋体" w:eastAsia="黑体"/>
          <w:lang w:eastAsia="zh-CN"/>
        </w:rPr>
        <w:t>）</w:t>
      </w:r>
      <w:r>
        <w:rPr>
          <w:rFonts w:hint="eastAsia" w:ascii="黑体" w:hAnsi="宋体" w:eastAsia="黑体"/>
        </w:rPr>
        <w:t>项目</w:t>
      </w:r>
      <w:r>
        <w:rPr>
          <w:rFonts w:hint="eastAsia" w:ascii="黑体" w:hAnsi="宋体" w:eastAsia="黑体"/>
          <w:lang w:eastAsia="zh-CN"/>
        </w:rPr>
        <w:t>组织</w:t>
      </w:r>
      <w:r>
        <w:rPr>
          <w:rFonts w:hint="eastAsia" w:ascii="黑体" w:hAnsi="宋体" w:eastAsia="黑体"/>
        </w:rPr>
        <w:t>实施情况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lang w:val="zh-CN"/>
        </w:rPr>
      </w:pPr>
      <w:r>
        <w:rPr>
          <w:rFonts w:hint="eastAsia" w:ascii="楷体_GB2312" w:hAnsi="宋体" w:eastAsia="楷体_GB2312"/>
          <w:b/>
          <w:lang w:val="en-US" w:eastAsia="zh-CN"/>
        </w:rPr>
        <w:t>1、</w:t>
      </w:r>
      <w:r>
        <w:rPr>
          <w:rFonts w:hint="eastAsia" w:ascii="楷体_GB2312" w:hAnsi="宋体" w:eastAsia="楷体_GB2312"/>
          <w:b/>
          <w:lang w:val="zh-CN"/>
        </w:rPr>
        <w:t>项目组织架构及实施流程。</w:t>
      </w:r>
      <w:r>
        <w:rPr>
          <w:rFonts w:hint="eastAsia"/>
          <w:lang w:val="zh-CN"/>
        </w:rPr>
        <w:t>该项目由本单位自行组织实施，按项目进度申请用款计划，年终定期汇总全年支出情况，认真开展项目支出绩效评价。</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rPr>
      </w:pPr>
      <w:r>
        <w:rPr>
          <w:rFonts w:hint="eastAsia" w:ascii="楷体_GB2312" w:hAnsi="宋体" w:eastAsia="楷体_GB2312"/>
          <w:b/>
          <w:lang w:val="en-US" w:eastAsia="zh-CN"/>
        </w:rPr>
        <w:t>2、</w:t>
      </w:r>
      <w:r>
        <w:rPr>
          <w:rFonts w:hint="eastAsia" w:ascii="楷体_GB2312" w:hAnsi="宋体" w:eastAsia="楷体_GB2312"/>
          <w:b/>
          <w:lang w:val="zh-CN"/>
        </w:rPr>
        <w:t>项目管理情况。</w:t>
      </w:r>
      <w:r>
        <w:rPr>
          <w:rFonts w:hint="eastAsia"/>
        </w:rPr>
        <w:t>严格按照县财政部门有关文件精神，进一步完善制度，严格财经制度，在项目资金执行过程中规范资金审批、项目公示等，使用程序，资金使用安全、规范。</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ascii="仿宋_GB2312" w:hAnsi="宋体"/>
          <w:lang w:val="zh-CN"/>
        </w:rPr>
      </w:pPr>
      <w:r>
        <w:rPr>
          <w:rFonts w:hint="eastAsia" w:ascii="楷体_GB2312" w:hAnsi="宋体" w:eastAsia="楷体_GB2312"/>
          <w:b/>
          <w:lang w:val="en-US" w:eastAsia="zh-CN"/>
        </w:rPr>
        <w:t>3、</w:t>
      </w:r>
      <w:r>
        <w:rPr>
          <w:rFonts w:hint="eastAsia" w:ascii="楷体_GB2312" w:hAnsi="宋体" w:eastAsia="楷体_GB2312"/>
          <w:b/>
          <w:lang w:val="zh-CN"/>
        </w:rPr>
        <w:t>项目监管情况。</w:t>
      </w:r>
      <w:r>
        <w:rPr>
          <w:rFonts w:hint="eastAsia" w:ascii="仿宋_GB2312" w:hAnsi="仿宋_GB2312" w:eastAsia="仿宋_GB2312" w:cs="仿宋_GB2312"/>
          <w:sz w:val="32"/>
          <w:szCs w:val="32"/>
          <w:lang w:val="en-US" w:eastAsia="zh-CN"/>
        </w:rPr>
        <w:t>我单位严格</w:t>
      </w:r>
      <w:r>
        <w:rPr>
          <w:rFonts w:hint="eastAsia" w:ascii="仿宋_GB2312" w:hAnsi="仿宋_GB2312" w:eastAsia="仿宋_GB2312" w:cs="仿宋_GB2312"/>
          <w:sz w:val="32"/>
          <w:szCs w:val="32"/>
          <w:lang w:val="zh-CN"/>
        </w:rPr>
        <w:t>项目管理</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r>
        <w:rPr>
          <w:rFonts w:hint="eastAsia" w:ascii="仿宋_GB2312" w:hAnsi="仿宋_GB2312" w:eastAsia="仿宋_GB2312" w:cs="仿宋_GB2312"/>
          <w:color w:val="000000"/>
          <w:kern w:val="0"/>
          <w:sz w:val="32"/>
          <w:szCs w:val="32"/>
          <w:highlight w:val="none"/>
        </w:rPr>
        <w:t>在实际使用中，机关财务严把审核关，对项目所列开支</w:t>
      </w:r>
      <w:r>
        <w:rPr>
          <w:rFonts w:hint="eastAsia" w:ascii="仿宋_GB2312" w:hAnsi="仿宋_GB2312" w:eastAsia="仿宋_GB2312" w:cs="仿宋_GB2312"/>
          <w:color w:val="000000"/>
          <w:kern w:val="0"/>
          <w:sz w:val="32"/>
          <w:szCs w:val="32"/>
          <w:highlight w:val="none"/>
          <w:lang w:eastAsia="zh-CN"/>
        </w:rPr>
        <w:t>的</w:t>
      </w:r>
      <w:r>
        <w:rPr>
          <w:rFonts w:hint="eastAsia" w:ascii="仿宋_GB2312" w:hAnsi="仿宋_GB2312" w:eastAsia="仿宋_GB2312" w:cs="仿宋_GB2312"/>
          <w:sz w:val="32"/>
          <w:szCs w:val="32"/>
          <w:highlight w:val="none"/>
          <w:lang w:val="zh-CN"/>
        </w:rPr>
        <w:t>范围、标准、进度、依据</w:t>
      </w:r>
      <w:r>
        <w:rPr>
          <w:rFonts w:hint="eastAsia" w:ascii="仿宋_GB2312" w:hAnsi="仿宋_GB2312" w:eastAsia="仿宋_GB2312" w:cs="仿宋_GB2312"/>
          <w:color w:val="000000"/>
          <w:kern w:val="0"/>
          <w:sz w:val="32"/>
          <w:szCs w:val="32"/>
          <w:highlight w:val="none"/>
        </w:rPr>
        <w:t>逐一进行审查，</w:t>
      </w:r>
      <w:r>
        <w:rPr>
          <w:rFonts w:hint="eastAsia" w:ascii="仿宋_GB2312" w:hAnsi="仿宋_GB2312" w:eastAsia="仿宋_GB2312" w:cs="仿宋_GB2312"/>
          <w:color w:val="000000"/>
          <w:kern w:val="0"/>
          <w:sz w:val="32"/>
          <w:szCs w:val="32"/>
          <w:highlight w:val="none"/>
          <w:lang w:eastAsia="zh-CN"/>
        </w:rPr>
        <w:t>确保资金使用</w:t>
      </w:r>
      <w:r>
        <w:rPr>
          <w:rFonts w:hint="eastAsia" w:ascii="仿宋_GB2312" w:hAnsi="仿宋_GB2312" w:eastAsia="仿宋_GB2312" w:cs="仿宋_GB2312"/>
          <w:sz w:val="32"/>
          <w:szCs w:val="32"/>
          <w:highlight w:val="none"/>
          <w:lang w:val="zh-CN"/>
        </w:rPr>
        <w:t>合规合法，与预算相符。</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zh-CN"/>
        </w:rPr>
      </w:pPr>
      <w:r>
        <w:rPr>
          <w:rFonts w:hint="eastAsia" w:ascii="黑体" w:hAnsi="宋体" w:eastAsia="黑体"/>
          <w:lang w:eastAsia="zh-CN"/>
        </w:rPr>
        <w:t>三、</w:t>
      </w:r>
      <w:r>
        <w:rPr>
          <w:rFonts w:hint="eastAsia" w:ascii="黑体" w:hAnsi="宋体" w:eastAsia="黑体"/>
        </w:rPr>
        <w:t>项目绩效情况</w:t>
      </w:r>
      <w:r>
        <w:rPr>
          <w:rFonts w:hint="eastAsia" w:ascii="仿宋_GB2312" w:hAnsi="宋体"/>
          <w:lang w:val="zh-CN"/>
        </w:rPr>
        <w:tab/>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（一）项目完成情况。</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lang w:val="en-US" w:eastAsia="zh-CN"/>
        </w:rPr>
      </w:pPr>
      <w:r>
        <w:rPr>
          <w:rFonts w:hint="eastAsia" w:ascii="仿宋_GB2312" w:hAnsi="宋体"/>
          <w:lang w:val="en-US" w:eastAsia="zh-CN"/>
        </w:rPr>
        <w:t>2022年沙坪镇关于解决万漩村党群服务中心装修工程款；关于解决机关食堂改造装修工程款及关于解决武装部民兵武器仓库隐患整治项目资金总计16.58万元，其中：关于解决万漩村党群服务中心装修工程3.83万元；关于解决机关食堂改造装修工程款4.27万元；关于解决武装部民兵武器仓库隐患整治8.48万元。项目总体完成质量较高，在规定的时限内按照相关要求进行报账，成本控制在预算之内。</w:t>
      </w:r>
    </w:p>
    <w:p>
      <w:pPr>
        <w:numPr>
          <w:ilvl w:val="0"/>
          <w:numId w:val="2"/>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项目效益情况。</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hint="eastAsia" w:ascii="仿宋_GB2312" w:hAnsi="宋体"/>
          <w:shd w:val="clear" w:color="auto" w:fill="auto"/>
          <w:lang w:val="zh-CN" w:eastAsia="zh-CN"/>
        </w:rPr>
      </w:pPr>
      <w:r>
        <w:rPr>
          <w:rFonts w:hint="eastAsia" w:ascii="仿宋_GB2312" w:hAnsi="宋体"/>
          <w:shd w:val="clear" w:color="auto" w:fill="auto"/>
          <w:lang w:val="zh-CN" w:eastAsia="zh-CN"/>
        </w:rPr>
        <w:t>项目资金按时拨付，保障了</w:t>
      </w:r>
      <w:r>
        <w:rPr>
          <w:rFonts w:hint="eastAsia" w:ascii="仿宋_GB2312" w:hAnsi="宋体"/>
          <w:lang w:val="en-US" w:eastAsia="zh-CN"/>
        </w:rPr>
        <w:t>万漩村党群服务中心装修工程款、机关食堂改造装修工程款及武装部民兵武器仓库隐患整治款</w:t>
      </w:r>
      <w:r>
        <w:rPr>
          <w:rFonts w:hint="eastAsia" w:ascii="仿宋_GB2312" w:hAnsi="宋体"/>
          <w:color w:val="auto"/>
          <w:kern w:val="2"/>
          <w:sz w:val="32"/>
          <w:szCs w:val="32"/>
          <w:lang w:eastAsia="zh-CN"/>
        </w:rPr>
        <w:t>资金</w:t>
      </w:r>
      <w:r>
        <w:rPr>
          <w:rFonts w:hint="eastAsia" w:ascii="仿宋_GB2312" w:hAnsi="宋体" w:eastAsia="仿宋_GB2312"/>
          <w:color w:val="auto"/>
          <w:kern w:val="2"/>
          <w:sz w:val="32"/>
          <w:szCs w:val="32"/>
          <w:lang w:eastAsia="zh-CN"/>
        </w:rPr>
        <w:t>资金</w:t>
      </w:r>
      <w:r>
        <w:rPr>
          <w:rFonts w:hint="eastAsia" w:ascii="仿宋_GB2312" w:hAnsi="宋体"/>
          <w:shd w:val="clear" w:color="auto" w:fill="auto"/>
          <w:lang w:val="zh-CN" w:eastAsia="zh-CN"/>
        </w:rPr>
        <w:t>，</w:t>
      </w:r>
      <w:r>
        <w:rPr>
          <w:rFonts w:hint="eastAsia" w:ascii="仿宋_GB2312" w:hAnsi="宋体" w:eastAsia="仿宋_GB2312"/>
          <w:b w:val="0"/>
          <w:bCs w:val="0"/>
          <w:color w:val="000000"/>
          <w:sz w:val="32"/>
          <w:szCs w:val="32"/>
          <w:lang w:val="en-US" w:eastAsia="zh-CN"/>
        </w:rPr>
        <w:t>通过实施该项目，</w:t>
      </w:r>
      <w:r>
        <w:rPr>
          <w:rFonts w:hint="eastAsia" w:ascii="仿宋_GB2312" w:hAnsi="宋体"/>
          <w:color w:val="auto"/>
          <w:kern w:val="2"/>
          <w:sz w:val="32"/>
          <w:szCs w:val="32"/>
          <w:lang w:eastAsia="zh-CN"/>
        </w:rPr>
        <w:t>改善了</w:t>
      </w:r>
      <w:r>
        <w:rPr>
          <w:rFonts w:hint="eastAsia" w:ascii="仿宋_GB2312" w:hAnsi="宋体"/>
          <w:lang w:val="en-US" w:eastAsia="zh-CN"/>
        </w:rPr>
        <w:t>万漩村党群服务中心办公环境，为沙坪镇干部职工提供便利的午餐提高了工作效率，使武装部武器仓库的安全度提高了</w:t>
      </w:r>
      <w:r>
        <w:rPr>
          <w:rFonts w:hint="eastAsia" w:ascii="仿宋_GB2312" w:hAnsi="宋体"/>
          <w:b w:val="0"/>
          <w:bCs w:val="0"/>
          <w:color w:val="000000"/>
          <w:sz w:val="32"/>
          <w:szCs w:val="32"/>
          <w:lang w:val="en-US" w:eastAsia="zh-CN"/>
        </w:rPr>
        <w:t>，提高了满意度</w:t>
      </w:r>
      <w:r>
        <w:rPr>
          <w:rFonts w:hint="eastAsia" w:ascii="仿宋_GB2312" w:hAnsi="宋体" w:eastAsia="仿宋_GB2312"/>
          <w:b w:val="0"/>
          <w:bCs w:val="0"/>
          <w:color w:val="000000"/>
          <w:sz w:val="32"/>
          <w:szCs w:val="32"/>
          <w:lang w:val="en-US" w:eastAsia="zh-CN"/>
        </w:rPr>
        <w:t>。</w:t>
      </w:r>
      <w:r>
        <w:rPr>
          <w:rFonts w:hint="eastAsia" w:ascii="仿宋_GB2312" w:hAnsi="宋体"/>
          <w:shd w:val="clear" w:color="auto" w:fill="auto"/>
          <w:lang w:val="zh-CN" w:eastAsia="zh-CN"/>
        </w:rPr>
        <w:t>该项目取得了较好的社会效益。</w:t>
      </w:r>
    </w:p>
    <w:p>
      <w:pPr>
        <w:numPr>
          <w:ilvl w:val="0"/>
          <w:numId w:val="3"/>
        </w:numPr>
        <w:pBdr>
          <w:top w:val="single" w:color="FFFFFF" w:sz="4" w:space="0"/>
          <w:left w:val="single" w:color="FFFFFF" w:sz="4" w:space="31"/>
          <w:bottom w:val="single" w:color="FFFFFF" w:sz="4" w:space="31"/>
          <w:right w:val="single" w:color="FFFFFF" w:sz="4" w:space="0"/>
        </w:pBdr>
        <w:snapToGrid w:val="0"/>
        <w:spacing w:line="600" w:lineRule="exact"/>
        <w:ind w:firstLine="640" w:firstLineChars="200"/>
        <w:rPr>
          <w:rFonts w:ascii="楷体_GB2312" w:hAnsi="宋体" w:eastAsia="楷体_GB2312"/>
          <w:b/>
          <w:lang w:val="zh-CN"/>
        </w:rPr>
      </w:pPr>
      <w:r>
        <w:rPr>
          <w:rFonts w:hint="eastAsia" w:ascii="黑体" w:hAnsi="宋体" w:eastAsia="黑体"/>
        </w:rPr>
        <w:t>问题及建议</w:t>
      </w:r>
      <w:r>
        <w:rPr>
          <w:rFonts w:hint="eastAsia" w:ascii="黑体" w:hAnsi="宋体" w:eastAsia="黑体"/>
          <w:lang w:eastAsia="zh-CN"/>
        </w:rPr>
        <w:t>。</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（一）评价结论。</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964" w:firstLineChars="300"/>
        <w:rPr>
          <w:rFonts w:hint="eastAsia" w:ascii="仿宋_GB2312" w:hAnsi="宋体" w:eastAsia="楷体_GB2312"/>
          <w:bdr w:val="single" w:color="auto" w:sz="4" w:space="0"/>
          <w:lang w:val="en-US" w:eastAsia="zh-CN"/>
        </w:rPr>
      </w:pPr>
      <w:r>
        <w:rPr>
          <w:rFonts w:hint="eastAsia" w:ascii="楷体_GB2312" w:hAnsi="宋体" w:eastAsia="楷体_GB2312"/>
          <w:b/>
          <w:lang w:val="zh-CN"/>
        </w:rPr>
        <w:t>本年度该项目整体支出情况良好，从预算到执行和收入、支出及信息公开，都严格按照相关制度要求进行，执行率为</w:t>
      </w:r>
      <w:r>
        <w:rPr>
          <w:rFonts w:hint="eastAsia" w:ascii="楷体_GB2312" w:hAnsi="宋体" w:eastAsia="楷体_GB2312"/>
          <w:b/>
          <w:lang w:val="en-US" w:eastAsia="zh-CN"/>
        </w:rPr>
        <w:t>100%.本年度整体绩效自评为100分。</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（二）存在的问题</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无</w:t>
      </w:r>
    </w:p>
    <w:p>
      <w:pPr>
        <w:numPr>
          <w:ilvl w:val="0"/>
          <w:numId w:val="2"/>
        </w:numPr>
        <w:pBdr>
          <w:top w:val="single" w:color="FFFFFF" w:sz="4" w:space="0"/>
          <w:left w:val="single" w:color="FFFFFF" w:sz="4" w:space="31"/>
          <w:bottom w:val="single" w:color="FFFFFF" w:sz="4" w:space="31"/>
          <w:right w:val="single" w:color="FFFFFF" w:sz="4" w:space="0"/>
        </w:pBdr>
        <w:snapToGrid w:val="0"/>
        <w:spacing w:line="600" w:lineRule="exact"/>
        <w:ind w:firstLine="643" w:firstLineChars="200"/>
        <w:rPr>
          <w:rFonts w:hint="eastAsia" w:ascii="楷体_GB2312" w:hAnsi="宋体" w:eastAsia="楷体_GB2312"/>
          <w:b/>
          <w:lang w:val="en-US" w:eastAsia="zh-CN"/>
        </w:rPr>
      </w:pPr>
      <w:r>
        <w:rPr>
          <w:rFonts w:hint="eastAsia" w:ascii="楷体_GB2312" w:hAnsi="宋体" w:eastAsia="楷体_GB2312"/>
          <w:b/>
          <w:lang w:val="en-US" w:eastAsia="zh-CN"/>
        </w:rPr>
        <w:t>相关建议</w:t>
      </w:r>
    </w:p>
    <w:p>
      <w:pPr>
        <w:numPr>
          <w:ilvl w:val="0"/>
          <w:numId w:val="0"/>
        </w:numPr>
        <w:pBdr>
          <w:top w:val="single" w:color="FFFFFF" w:sz="4" w:space="0"/>
          <w:left w:val="single" w:color="FFFFFF" w:sz="4" w:space="31"/>
          <w:bottom w:val="single" w:color="FFFFFF" w:sz="4" w:space="31"/>
          <w:right w:val="single" w:color="FFFFFF" w:sz="4" w:space="0"/>
        </w:pBdr>
        <w:snapToGrid w:val="0"/>
        <w:spacing w:line="600" w:lineRule="exact"/>
        <w:rPr>
          <w:rFonts w:hint="eastAsia" w:ascii="楷体_GB2312" w:hAnsi="宋体" w:eastAsia="楷体_GB2312"/>
          <w:b/>
          <w:lang w:val="en-US" w:eastAsia="zh-CN"/>
        </w:rPr>
      </w:pPr>
      <w:r>
        <w:rPr>
          <w:rFonts w:hint="eastAsia" w:ascii="楷体_GB2312" w:hAnsi="宋体" w:eastAsia="楷体_GB2312"/>
          <w:b/>
          <w:lang w:val="en-US" w:eastAsia="zh-CN"/>
        </w:rPr>
        <w:t xml:space="preserve">      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黑体"/>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224385"/>
    <w:multiLevelType w:val="singleLevel"/>
    <w:tmpl w:val="B5224385"/>
    <w:lvl w:ilvl="0" w:tentative="0">
      <w:start w:val="2"/>
      <w:numFmt w:val="chineseCounting"/>
      <w:suff w:val="nothing"/>
      <w:lvlText w:val="（%1）"/>
      <w:lvlJc w:val="left"/>
      <w:rPr>
        <w:rFonts w:hint="eastAsia"/>
      </w:rPr>
    </w:lvl>
  </w:abstractNum>
  <w:abstractNum w:abstractNumId="1">
    <w:nsid w:val="300D386E"/>
    <w:multiLevelType w:val="singleLevel"/>
    <w:tmpl w:val="300D386E"/>
    <w:lvl w:ilvl="0" w:tentative="0">
      <w:start w:val="4"/>
      <w:numFmt w:val="chineseCounting"/>
      <w:suff w:val="nothing"/>
      <w:lvlText w:val="%1、"/>
      <w:lvlJc w:val="left"/>
      <w:rPr>
        <w:rFonts w:hint="eastAsia"/>
      </w:rPr>
    </w:lvl>
  </w:abstractNum>
  <w:abstractNum w:abstractNumId="2">
    <w:nsid w:val="5BD72CA9"/>
    <w:multiLevelType w:val="singleLevel"/>
    <w:tmpl w:val="5BD72CA9"/>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194AD7"/>
    <w:rsid w:val="001B1813"/>
    <w:rsid w:val="002A5E78"/>
    <w:rsid w:val="003315AE"/>
    <w:rsid w:val="0049716B"/>
    <w:rsid w:val="006F6CE7"/>
    <w:rsid w:val="00BA11DF"/>
    <w:rsid w:val="00C073E9"/>
    <w:rsid w:val="00E42B1E"/>
    <w:rsid w:val="019C22C1"/>
    <w:rsid w:val="01E87385"/>
    <w:rsid w:val="04FE10F9"/>
    <w:rsid w:val="07F1472B"/>
    <w:rsid w:val="08E749D6"/>
    <w:rsid w:val="09D65BD7"/>
    <w:rsid w:val="0AFD2018"/>
    <w:rsid w:val="0B68722F"/>
    <w:rsid w:val="0C435BE7"/>
    <w:rsid w:val="0C860E9C"/>
    <w:rsid w:val="0D466608"/>
    <w:rsid w:val="0D850CC5"/>
    <w:rsid w:val="0F407E32"/>
    <w:rsid w:val="11183946"/>
    <w:rsid w:val="12522B4D"/>
    <w:rsid w:val="125F6D36"/>
    <w:rsid w:val="12C25C2F"/>
    <w:rsid w:val="12E24D53"/>
    <w:rsid w:val="15597165"/>
    <w:rsid w:val="17E54C63"/>
    <w:rsid w:val="17FE3045"/>
    <w:rsid w:val="18106C48"/>
    <w:rsid w:val="18B042AB"/>
    <w:rsid w:val="19B536B9"/>
    <w:rsid w:val="1BEE435D"/>
    <w:rsid w:val="1CEB5CCA"/>
    <w:rsid w:val="1F0F44CE"/>
    <w:rsid w:val="23A63D3C"/>
    <w:rsid w:val="24B8155A"/>
    <w:rsid w:val="2537467C"/>
    <w:rsid w:val="25646406"/>
    <w:rsid w:val="26FA1D0F"/>
    <w:rsid w:val="27FB5DE6"/>
    <w:rsid w:val="291C455A"/>
    <w:rsid w:val="292B2AA9"/>
    <w:rsid w:val="29D621DE"/>
    <w:rsid w:val="2A502512"/>
    <w:rsid w:val="2B7572DA"/>
    <w:rsid w:val="2B7945FF"/>
    <w:rsid w:val="2B952647"/>
    <w:rsid w:val="2D620A1A"/>
    <w:rsid w:val="2F906A22"/>
    <w:rsid w:val="2FAA0BE0"/>
    <w:rsid w:val="3047172A"/>
    <w:rsid w:val="31EF3EF7"/>
    <w:rsid w:val="32110A1B"/>
    <w:rsid w:val="32535242"/>
    <w:rsid w:val="336E4434"/>
    <w:rsid w:val="34D1102D"/>
    <w:rsid w:val="364B50E1"/>
    <w:rsid w:val="36926D0C"/>
    <w:rsid w:val="37EE000A"/>
    <w:rsid w:val="38AC6B04"/>
    <w:rsid w:val="39134DFE"/>
    <w:rsid w:val="39625DAC"/>
    <w:rsid w:val="3B58689A"/>
    <w:rsid w:val="3B7023EB"/>
    <w:rsid w:val="3CA36895"/>
    <w:rsid w:val="3CF16812"/>
    <w:rsid w:val="3E631B7A"/>
    <w:rsid w:val="3E7316F9"/>
    <w:rsid w:val="3F1C5C27"/>
    <w:rsid w:val="3F440D12"/>
    <w:rsid w:val="3FDE1F91"/>
    <w:rsid w:val="41203607"/>
    <w:rsid w:val="414031F2"/>
    <w:rsid w:val="414A628B"/>
    <w:rsid w:val="41690548"/>
    <w:rsid w:val="44B9359E"/>
    <w:rsid w:val="456C7B21"/>
    <w:rsid w:val="469A41D3"/>
    <w:rsid w:val="46D56C4C"/>
    <w:rsid w:val="47FC1F57"/>
    <w:rsid w:val="48127B1E"/>
    <w:rsid w:val="492775EB"/>
    <w:rsid w:val="4AFF5D81"/>
    <w:rsid w:val="4B784E34"/>
    <w:rsid w:val="4B8F648B"/>
    <w:rsid w:val="4CDC5229"/>
    <w:rsid w:val="4D1266C1"/>
    <w:rsid w:val="4D230ED4"/>
    <w:rsid w:val="4F317DE8"/>
    <w:rsid w:val="4F750402"/>
    <w:rsid w:val="51C636EF"/>
    <w:rsid w:val="51E05673"/>
    <w:rsid w:val="538D1F72"/>
    <w:rsid w:val="53CA1ADF"/>
    <w:rsid w:val="543E0462"/>
    <w:rsid w:val="56754BD9"/>
    <w:rsid w:val="57703EB3"/>
    <w:rsid w:val="59652C83"/>
    <w:rsid w:val="5AC9778D"/>
    <w:rsid w:val="5AED7C60"/>
    <w:rsid w:val="5F7C3E49"/>
    <w:rsid w:val="612D1D14"/>
    <w:rsid w:val="64261628"/>
    <w:rsid w:val="65A75E94"/>
    <w:rsid w:val="667C184A"/>
    <w:rsid w:val="66D87920"/>
    <w:rsid w:val="673E27F9"/>
    <w:rsid w:val="67BF25DD"/>
    <w:rsid w:val="69144A89"/>
    <w:rsid w:val="6A6E00DA"/>
    <w:rsid w:val="6B641C5A"/>
    <w:rsid w:val="6D0B0B68"/>
    <w:rsid w:val="6D8B2146"/>
    <w:rsid w:val="6E176E23"/>
    <w:rsid w:val="6EF16389"/>
    <w:rsid w:val="6FF0317D"/>
    <w:rsid w:val="70530DCD"/>
    <w:rsid w:val="71CD18C7"/>
    <w:rsid w:val="73523AF1"/>
    <w:rsid w:val="73BD2BD0"/>
    <w:rsid w:val="73E334A2"/>
    <w:rsid w:val="758E5F67"/>
    <w:rsid w:val="759E2757"/>
    <w:rsid w:val="764050CB"/>
    <w:rsid w:val="79016D9C"/>
    <w:rsid w:val="7B23700B"/>
    <w:rsid w:val="7C372161"/>
    <w:rsid w:val="7CFF0C23"/>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0</TotalTime>
  <ScaleCrop>false</ScaleCrop>
  <LinksUpToDate>false</LinksUpToDate>
  <CharactersWithSpaces>1342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2023-11-08T03:20:10Z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