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1158E">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7B7B5FE">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峨边彝族自治县气象局</w:t>
      </w:r>
    </w:p>
    <w:p w14:paraId="503898B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31EC904E">
      <w:pPr>
        <w:jc w:val="center"/>
        <w:rPr>
          <w:rFonts w:hint="eastAsia" w:ascii="方正小标宋简体" w:hAnsi="方正小标宋简体" w:eastAsia="方正小标宋简体" w:cs="方正小标宋简体"/>
          <w:b w:val="0"/>
          <w:bCs/>
          <w:sz w:val="52"/>
          <w:szCs w:val="52"/>
          <w:lang w:val="en-US" w:eastAsia="zh-CN"/>
        </w:rPr>
      </w:pPr>
    </w:p>
    <w:p w14:paraId="79C948C7">
      <w:pPr>
        <w:jc w:val="both"/>
        <w:rPr>
          <w:rFonts w:hint="default"/>
          <w:b/>
          <w:bCs/>
          <w:sz w:val="52"/>
          <w:szCs w:val="52"/>
          <w:lang w:val="en-US" w:eastAsia="zh-CN"/>
        </w:rPr>
      </w:pPr>
    </w:p>
    <w:p w14:paraId="7238CC02">
      <w:pPr>
        <w:jc w:val="both"/>
        <w:rPr>
          <w:rFonts w:hint="default"/>
          <w:b/>
          <w:bCs/>
          <w:sz w:val="52"/>
          <w:szCs w:val="52"/>
          <w:lang w:val="en-US" w:eastAsia="zh-CN"/>
        </w:rPr>
      </w:pPr>
    </w:p>
    <w:p w14:paraId="56533946">
      <w:pPr>
        <w:jc w:val="both"/>
        <w:rPr>
          <w:rFonts w:hint="default"/>
          <w:b/>
          <w:bCs/>
          <w:sz w:val="52"/>
          <w:szCs w:val="52"/>
          <w:lang w:val="en-US" w:eastAsia="zh-CN"/>
        </w:rPr>
      </w:pPr>
    </w:p>
    <w:p w14:paraId="29ECF805">
      <w:pPr>
        <w:jc w:val="center"/>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仿宋_GB2312" w:hAnsi="仿宋_GB2312" w:eastAsia="仿宋_GB2312" w:cs="仿宋_GB2312"/>
          <w:b w:val="0"/>
          <w:bCs w:val="0"/>
          <w:sz w:val="32"/>
          <w:szCs w:val="32"/>
          <w:u w:val="single"/>
          <w:lang w:val="en-US" w:eastAsia="zh-CN"/>
        </w:rPr>
        <w:t>峨边彝族自治县气象局</w:t>
      </w:r>
    </w:p>
    <w:p w14:paraId="0E44350D">
      <w:pPr>
        <w:ind w:left="0" w:leftChars="0" w:firstLine="0" w:firstLineChars="0"/>
        <w:jc w:val="both"/>
        <w:rPr>
          <w:rFonts w:hint="default"/>
          <w:b/>
          <w:bCs/>
          <w:sz w:val="32"/>
          <w:szCs w:val="32"/>
          <w:lang w:val="en-US" w:eastAsia="zh-CN"/>
        </w:rPr>
      </w:pPr>
    </w:p>
    <w:p w14:paraId="385A15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2025年5月7日</w:t>
      </w:r>
    </w:p>
    <w:p w14:paraId="396CBF1C">
      <w:pPr>
        <w:jc w:val="both"/>
        <w:rPr>
          <w:rFonts w:hint="eastAsia"/>
          <w:b/>
          <w:bCs/>
          <w:sz w:val="32"/>
          <w:szCs w:val="32"/>
          <w:lang w:val="en-US" w:eastAsia="zh-CN"/>
        </w:rPr>
      </w:pPr>
    </w:p>
    <w:p w14:paraId="32C25D1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D6138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峨边彝族自治县气象局部门概况</w:t>
      </w:r>
    </w:p>
    <w:p w14:paraId="514EBE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B3665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DFA78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峨边彝族自治县气象局2025年部门预算表</w:t>
      </w:r>
    </w:p>
    <w:p w14:paraId="6A7694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53BFF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073EB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34E0B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3308F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F9E03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FB462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29C71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D7A04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3252E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CCCA9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6F41C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8FA93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E6CDB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6BE20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32568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峨边彝族自治县气象局2025年部门预算情况说明</w:t>
      </w:r>
    </w:p>
    <w:p w14:paraId="1D13F4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方正小标宋简体" w:hAnsi="方正小标宋简体" w:eastAsia="方正小标宋简体" w:cs="方正小标宋简体"/>
          <w:b w:val="0"/>
          <w:bCs/>
          <w:lang w:val="en-US" w:eastAsia="zh-CN"/>
        </w:rPr>
      </w:pPr>
      <w:r>
        <w:rPr>
          <w:rFonts w:hint="eastAsia" w:ascii="黑体" w:hAnsi="黑体" w:eastAsia="黑体" w:cs="黑体"/>
          <w:b w:val="0"/>
          <w:bCs w:val="0"/>
          <w:sz w:val="32"/>
          <w:szCs w:val="32"/>
          <w:lang w:val="en-US" w:eastAsia="zh-CN"/>
        </w:rPr>
        <w:t>第四部分 名词解释</w:t>
      </w:r>
    </w:p>
    <w:p w14:paraId="2BDE2344">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0DCEAE00">
      <w:pPr>
        <w:pStyle w:val="2"/>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峨边彝族自治县气象局</w:t>
      </w:r>
    </w:p>
    <w:p w14:paraId="530E96E8">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部门概况</w:t>
      </w:r>
    </w:p>
    <w:p w14:paraId="207133BA">
      <w:pPr>
        <w:widowControl w:val="0"/>
        <w:numPr>
          <w:ilvl w:val="0"/>
          <w:numId w:val="0"/>
        </w:numPr>
        <w:jc w:val="both"/>
        <w:rPr>
          <w:rFonts w:hint="default"/>
          <w:b/>
          <w:bCs/>
          <w:sz w:val="52"/>
          <w:szCs w:val="52"/>
          <w:lang w:val="en-US" w:eastAsia="zh-CN"/>
        </w:rPr>
      </w:pPr>
    </w:p>
    <w:p w14:paraId="3714152B">
      <w:pPr>
        <w:widowControl w:val="0"/>
        <w:numPr>
          <w:ilvl w:val="0"/>
          <w:numId w:val="0"/>
        </w:numPr>
        <w:jc w:val="both"/>
        <w:rPr>
          <w:rFonts w:hint="default"/>
          <w:b/>
          <w:bCs/>
          <w:sz w:val="52"/>
          <w:szCs w:val="52"/>
          <w:lang w:val="en-US" w:eastAsia="zh-CN"/>
        </w:rPr>
      </w:pPr>
    </w:p>
    <w:p w14:paraId="4A2F7325">
      <w:pPr>
        <w:widowControl w:val="0"/>
        <w:numPr>
          <w:ilvl w:val="0"/>
          <w:numId w:val="0"/>
        </w:numPr>
        <w:jc w:val="both"/>
        <w:rPr>
          <w:rFonts w:hint="default"/>
          <w:b/>
          <w:bCs/>
          <w:sz w:val="52"/>
          <w:szCs w:val="52"/>
          <w:lang w:val="en-US" w:eastAsia="zh-CN"/>
        </w:rPr>
      </w:pPr>
    </w:p>
    <w:p w14:paraId="137D3E57">
      <w:pPr>
        <w:widowControl w:val="0"/>
        <w:numPr>
          <w:ilvl w:val="0"/>
          <w:numId w:val="0"/>
        </w:numPr>
        <w:jc w:val="both"/>
        <w:rPr>
          <w:rFonts w:hint="default"/>
          <w:b/>
          <w:bCs/>
          <w:sz w:val="52"/>
          <w:szCs w:val="52"/>
          <w:lang w:val="en-US" w:eastAsia="zh-CN"/>
        </w:rPr>
      </w:pPr>
    </w:p>
    <w:p w14:paraId="73B30EA7">
      <w:pPr>
        <w:widowControl w:val="0"/>
        <w:numPr>
          <w:ilvl w:val="0"/>
          <w:numId w:val="0"/>
        </w:numPr>
        <w:jc w:val="both"/>
        <w:rPr>
          <w:rFonts w:hint="default"/>
          <w:b/>
          <w:bCs/>
          <w:sz w:val="52"/>
          <w:szCs w:val="52"/>
          <w:lang w:val="en-US" w:eastAsia="zh-CN"/>
        </w:rPr>
      </w:pPr>
    </w:p>
    <w:p w14:paraId="263637A0">
      <w:pPr>
        <w:bidi w:val="0"/>
        <w:ind w:left="0" w:leftChars="0" w:firstLine="0" w:firstLineChars="0"/>
        <w:rPr>
          <w:rFonts w:hint="eastAsia" w:ascii="黑体" w:hAnsi="黑体" w:eastAsia="黑体" w:cs="黑体"/>
          <w:lang w:val="en-US" w:eastAsia="zh-CN"/>
        </w:rPr>
      </w:pPr>
    </w:p>
    <w:p w14:paraId="05DA2B1F">
      <w:pPr>
        <w:bidi w:val="0"/>
        <w:ind w:left="0" w:leftChars="0" w:firstLine="0" w:firstLineChars="0"/>
        <w:rPr>
          <w:rFonts w:hint="eastAsia" w:ascii="黑体" w:hAnsi="黑体" w:eastAsia="黑体" w:cs="黑体"/>
          <w:lang w:val="en-US" w:eastAsia="zh-CN"/>
        </w:rPr>
      </w:pPr>
    </w:p>
    <w:p w14:paraId="2624B88C">
      <w:pPr>
        <w:bidi w:val="0"/>
        <w:jc w:val="both"/>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6AC80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923D4B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kern w:val="0"/>
          <w:sz w:val="32"/>
          <w:szCs w:val="32"/>
          <w:highlight w:val="none"/>
        </w:rPr>
      </w:pPr>
      <w:r>
        <w:rPr>
          <w:rFonts w:ascii="仿宋" w:hAnsi="仿宋" w:eastAsia="仿宋" w:cs="宋体"/>
          <w:kern w:val="0"/>
          <w:sz w:val="32"/>
          <w:szCs w:val="32"/>
          <w:highlight w:val="none"/>
        </w:rPr>
        <w:t>1.</w:t>
      </w:r>
      <w:r>
        <w:rPr>
          <w:rFonts w:hint="eastAsia" w:ascii="仿宋" w:hAnsi="仿宋" w:eastAsia="仿宋" w:cs="宋体"/>
          <w:kern w:val="0"/>
          <w:sz w:val="32"/>
          <w:szCs w:val="32"/>
          <w:highlight w:val="none"/>
        </w:rPr>
        <w:t>负责本行政区域内气象事业发展规划的制定及气象工作的组织实施；对本行政区域内的气象活动进行指导、监督和行业管理。</w:t>
      </w:r>
    </w:p>
    <w:p w14:paraId="05486B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kern w:val="0"/>
          <w:sz w:val="32"/>
          <w:szCs w:val="32"/>
          <w:highlight w:val="none"/>
        </w:rPr>
      </w:pP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14:paraId="75F7DFE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kern w:val="0"/>
          <w:sz w:val="32"/>
          <w:szCs w:val="32"/>
          <w:highlight w:val="none"/>
        </w:rPr>
      </w:pP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14:paraId="4DA29AA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kern w:val="0"/>
          <w:sz w:val="32"/>
          <w:szCs w:val="32"/>
          <w:highlight w:val="none"/>
        </w:rPr>
      </w:pP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组织本行政区域内气候资源的综合调查、区划，指导气候资源的开发利用和保护，组织并审查重点建设工程、重大区域经济开发项目和城乡建设规划的气候可行性论证和气象灾害风险评估。</w:t>
      </w:r>
    </w:p>
    <w:p w14:paraId="03FBA92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kern w:val="0"/>
          <w:sz w:val="32"/>
          <w:szCs w:val="32"/>
          <w:highlight w:val="none"/>
        </w:rPr>
      </w:pP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14:paraId="5A8F0BD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kern w:val="0"/>
          <w:sz w:val="32"/>
          <w:szCs w:val="32"/>
          <w:highlight w:val="none"/>
        </w:rPr>
      </w:pP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负责本行政区域内的气象监测、预报预警、公共服务管理工作；组织管理本行政区域内气象信息的发布和传播；组织重大活动、突发公共事件气象保障工作；承担重大突发公共事件预警信息发布系统建设及运行维护。</w:t>
      </w:r>
    </w:p>
    <w:p w14:paraId="4CAC27B7">
      <w:pPr>
        <w:bidi w:val="0"/>
        <w:jc w:val="both"/>
        <w:rPr>
          <w:rFonts w:hint="eastAsia" w:ascii="仿宋_GB2312" w:hAnsi="仿宋_GB2312" w:eastAsia="仿宋_GB2312" w:cs="仿宋_GB2312"/>
          <w:color w:val="FF0000"/>
          <w:sz w:val="32"/>
          <w:szCs w:val="32"/>
          <w:highlight w:val="yellow"/>
        </w:rPr>
      </w:pP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承担上级气象主管机构和本级人民政府交办的其他事项。</w:t>
      </w:r>
    </w:p>
    <w:p w14:paraId="1EB32B2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（二）202</w:t>
      </w:r>
      <w:r>
        <w:rPr>
          <w:rFonts w:hint="eastAsia" w:ascii="楷体" w:hAnsi="楷体" w:eastAsia="楷体" w:cs="楷体"/>
          <w:color w:val="000000" w:themeColor="text1"/>
          <w:sz w:val="32"/>
          <w:szCs w:val="32"/>
          <w:highlight w:val="none"/>
          <w:lang w:val="en-US" w:eastAsia="zh-CN"/>
          <w14:textFill>
            <w14:solidFill>
              <w14:schemeClr w14:val="tx1"/>
            </w14:solidFill>
          </w14:textFill>
        </w:rPr>
        <w:t>5</w:t>
      </w:r>
      <w:r>
        <w:rPr>
          <w:rFonts w:hint="eastAsia" w:ascii="楷体" w:hAnsi="楷体" w:eastAsia="楷体" w:cs="楷体"/>
          <w:color w:val="000000" w:themeColor="text1"/>
          <w:sz w:val="32"/>
          <w:szCs w:val="32"/>
          <w:highlight w:val="none"/>
          <w14:textFill>
            <w14:solidFill>
              <w14:schemeClr w14:val="tx1"/>
            </w14:solidFill>
          </w14:textFill>
        </w:rPr>
        <w:t>年重点工作任务介绍：</w:t>
      </w:r>
    </w:p>
    <w:p w14:paraId="4A381C1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1.</w:t>
      </w:r>
      <w:r>
        <w:rPr>
          <w:rFonts w:hint="eastAsia" w:ascii="仿宋" w:hAnsi="仿宋" w:eastAsia="仿宋" w:cs="宋体"/>
          <w:kern w:val="0"/>
          <w:sz w:val="32"/>
          <w:szCs w:val="32"/>
          <w:highlight w:val="none"/>
        </w:rPr>
        <w:t>常态化开展帮扶工作。定期进村入户，了解联系户生活情况，防止致贫返贫现象。</w:t>
      </w:r>
    </w:p>
    <w:p w14:paraId="79B40F0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2.</w:t>
      </w:r>
      <w:r>
        <w:rPr>
          <w:rFonts w:hint="eastAsia" w:ascii="仿宋" w:hAnsi="仿宋" w:eastAsia="仿宋" w:cs="宋体"/>
          <w:kern w:val="0"/>
          <w:sz w:val="32"/>
          <w:szCs w:val="32"/>
          <w:highlight w:val="none"/>
        </w:rPr>
        <w:t>合理利用云水资源，为改善空气质量、</w:t>
      </w:r>
      <w:r>
        <w:rPr>
          <w:rFonts w:hint="eastAsia" w:ascii="仿宋" w:hAnsi="仿宋" w:eastAsia="仿宋" w:cs="宋体"/>
          <w:kern w:val="0"/>
          <w:sz w:val="32"/>
          <w:szCs w:val="32"/>
          <w:highlight w:val="none"/>
          <w:lang w:eastAsia="zh-CN"/>
        </w:rPr>
        <w:t>增加水电企业发电量、</w:t>
      </w:r>
      <w:r>
        <w:rPr>
          <w:rFonts w:hint="eastAsia" w:ascii="仿宋" w:hAnsi="仿宋" w:eastAsia="仿宋" w:cs="宋体"/>
          <w:kern w:val="0"/>
          <w:sz w:val="32"/>
          <w:szCs w:val="32"/>
          <w:highlight w:val="none"/>
        </w:rPr>
        <w:t>降低森林火险等级、抗旱、重大活动保障，适时开展人工影响天气作业。</w:t>
      </w:r>
    </w:p>
    <w:p w14:paraId="045FC5C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3.</w:t>
      </w:r>
      <w:r>
        <w:rPr>
          <w:rFonts w:hint="eastAsia" w:ascii="仿宋" w:hAnsi="仿宋" w:eastAsia="仿宋" w:cs="宋体"/>
          <w:kern w:val="0"/>
          <w:sz w:val="32"/>
          <w:szCs w:val="32"/>
          <w:highlight w:val="none"/>
          <w:lang w:eastAsia="zh-CN"/>
        </w:rPr>
        <w:t>继续</w:t>
      </w:r>
      <w:r>
        <w:rPr>
          <w:rFonts w:hint="eastAsia" w:ascii="仿宋" w:hAnsi="仿宋" w:eastAsia="仿宋" w:cs="宋体"/>
          <w:kern w:val="0"/>
          <w:sz w:val="32"/>
          <w:szCs w:val="32"/>
          <w:highlight w:val="none"/>
        </w:rPr>
        <w:t>加强汛期气象服务，</w:t>
      </w:r>
      <w:r>
        <w:rPr>
          <w:rFonts w:hint="eastAsia" w:ascii="仿宋" w:hAnsi="仿宋" w:eastAsia="仿宋" w:cs="宋体"/>
          <w:kern w:val="0"/>
          <w:sz w:val="32"/>
          <w:szCs w:val="32"/>
          <w:highlight w:val="none"/>
          <w:lang w:eastAsia="zh-CN"/>
        </w:rPr>
        <w:t>强化值班值守，严密监视天气变化，及时发布预警、预报，为县委</w:t>
      </w:r>
      <w:r>
        <w:rPr>
          <w:rFonts w:hint="eastAsia" w:ascii="仿宋" w:hAnsi="仿宋" w:cs="宋体"/>
          <w:kern w:val="0"/>
          <w:sz w:val="32"/>
          <w:szCs w:val="32"/>
          <w:highlight w:val="none"/>
          <w:lang w:eastAsia="zh-CN"/>
        </w:rPr>
        <w:t>、县</w:t>
      </w:r>
      <w:r>
        <w:rPr>
          <w:rFonts w:hint="eastAsia" w:ascii="仿宋" w:hAnsi="仿宋" w:eastAsia="仿宋" w:cs="宋体"/>
          <w:kern w:val="0"/>
          <w:sz w:val="32"/>
          <w:szCs w:val="32"/>
          <w:highlight w:val="none"/>
          <w:lang w:eastAsia="zh-CN"/>
        </w:rPr>
        <w:t>政府提供科学决策依据，</w:t>
      </w:r>
      <w:r>
        <w:rPr>
          <w:rFonts w:hint="eastAsia" w:ascii="仿宋" w:hAnsi="仿宋" w:eastAsia="仿宋" w:cs="宋体"/>
          <w:kern w:val="0"/>
          <w:sz w:val="32"/>
          <w:szCs w:val="32"/>
          <w:highlight w:val="none"/>
        </w:rPr>
        <w:t>确保气象灾害“零死亡、零群伤”。</w:t>
      </w:r>
    </w:p>
    <w:p w14:paraId="4207FB71">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持续推进黑竹沟景区旅游气象服务项目建设。</w:t>
      </w:r>
    </w:p>
    <w:p w14:paraId="20613417">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p>
    <w:p w14:paraId="6162343F">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p>
    <w:p w14:paraId="35D59731">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p>
    <w:p w14:paraId="5A95CC4D">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p>
    <w:p w14:paraId="226F6D7F">
      <w:pPr>
        <w:bidi w:val="0"/>
        <w:jc w:val="both"/>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72DBDBC">
      <w:pPr>
        <w:bidi w:val="0"/>
        <w:jc w:val="both"/>
        <w:rPr>
          <w:rFonts w:hint="eastAsia" w:ascii="仿宋" w:hAnsi="仿宋" w:eastAsia="仿宋"/>
          <w:color w:val="000000" w:themeColor="text1"/>
          <w:sz w:val="32"/>
          <w:szCs w:val="32"/>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峨边彝族自治县气象局</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7CBB6A03">
      <w:pPr>
        <w:bidi w:val="0"/>
        <w:jc w:val="both"/>
        <w:rPr>
          <w:rFonts w:hint="eastAsia" w:ascii="仿宋" w:hAnsi="仿宋" w:eastAsia="仿宋"/>
          <w:sz w:val="32"/>
          <w:szCs w:val="32"/>
        </w:rPr>
      </w:pPr>
      <w:r>
        <w:rPr>
          <w:rFonts w:hint="eastAsia" w:ascii="仿宋" w:hAnsi="仿宋"/>
          <w:color w:val="auto"/>
          <w:sz w:val="32"/>
          <w:szCs w:val="32"/>
          <w:lang w:val="en-US" w:eastAsia="zh-CN"/>
        </w:rPr>
        <w:t>下属单位</w:t>
      </w:r>
      <w:r>
        <w:rPr>
          <w:rFonts w:hint="eastAsia" w:ascii="仿宋" w:hAnsi="仿宋" w:eastAsia="仿宋"/>
          <w:color w:val="auto"/>
          <w:sz w:val="32"/>
          <w:szCs w:val="32"/>
          <w:lang w:eastAsia="zh-CN"/>
        </w:rPr>
        <w:t>峨边彝族自治县人工影响天气办公室总编制</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名，其中：行政编制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名，事业编制</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名。在职人员总数</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名，其中：行政</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名，事业</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名</w:t>
      </w:r>
    </w:p>
    <w:p w14:paraId="1B380A96">
      <w:pPr>
        <w:pStyle w:val="2"/>
        <w:numPr>
          <w:ilvl w:val="0"/>
          <w:numId w:val="0"/>
        </w:numPr>
        <w:bidi w:val="0"/>
        <w:jc w:val="both"/>
        <w:rPr>
          <w:rFonts w:hint="eastAsia"/>
          <w:lang w:val="en-US" w:eastAsia="zh-CN"/>
        </w:rPr>
      </w:pPr>
    </w:p>
    <w:p w14:paraId="6E64E71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峨边彝族自治县气象局</w:t>
      </w:r>
    </w:p>
    <w:p w14:paraId="20133C5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323B2493">
      <w:pPr>
        <w:spacing w:line="600" w:lineRule="exact"/>
        <w:rPr>
          <w:rFonts w:hint="default" w:ascii="仿宋" w:hAnsi="仿宋" w:eastAsia="仿宋" w:cs="Times New Roman"/>
          <w:sz w:val="32"/>
          <w:szCs w:val="32"/>
          <w:lang w:val="en-US" w:eastAsia="zh-CN"/>
        </w:rPr>
      </w:pPr>
    </w:p>
    <w:p w14:paraId="15756713">
      <w:pPr>
        <w:spacing w:line="600" w:lineRule="exact"/>
        <w:rPr>
          <w:rFonts w:hint="default" w:ascii="仿宋" w:hAnsi="仿宋" w:eastAsia="仿宋" w:cs="Times New Roman"/>
          <w:sz w:val="32"/>
          <w:szCs w:val="32"/>
          <w:lang w:val="en-US" w:eastAsia="zh-CN"/>
        </w:rPr>
      </w:pPr>
    </w:p>
    <w:p w14:paraId="4B725217">
      <w:pPr>
        <w:spacing w:line="600" w:lineRule="exact"/>
        <w:rPr>
          <w:rFonts w:hint="default" w:ascii="仿宋" w:hAnsi="仿宋" w:eastAsia="仿宋" w:cs="Times New Roman"/>
          <w:sz w:val="32"/>
          <w:szCs w:val="32"/>
          <w:lang w:val="en-US" w:eastAsia="zh-CN"/>
        </w:rPr>
      </w:pPr>
    </w:p>
    <w:p w14:paraId="54BBBA9F">
      <w:pPr>
        <w:spacing w:line="600" w:lineRule="exact"/>
        <w:rPr>
          <w:rFonts w:hint="default" w:ascii="仿宋" w:hAnsi="仿宋" w:eastAsia="仿宋" w:cs="Times New Roman"/>
          <w:sz w:val="32"/>
          <w:szCs w:val="32"/>
          <w:lang w:val="en-US" w:eastAsia="zh-CN"/>
        </w:rPr>
      </w:pPr>
    </w:p>
    <w:p w14:paraId="5D7B5533">
      <w:pPr>
        <w:spacing w:line="600" w:lineRule="exact"/>
        <w:rPr>
          <w:rFonts w:hint="default" w:ascii="仿宋" w:hAnsi="仿宋" w:eastAsia="仿宋" w:cs="Times New Roman"/>
          <w:sz w:val="32"/>
          <w:szCs w:val="32"/>
          <w:lang w:val="en-US" w:eastAsia="zh-CN"/>
        </w:rPr>
      </w:pPr>
    </w:p>
    <w:p w14:paraId="10CEFA77">
      <w:pPr>
        <w:spacing w:line="600" w:lineRule="exact"/>
        <w:rPr>
          <w:rFonts w:hint="default" w:ascii="仿宋" w:hAnsi="仿宋" w:eastAsia="仿宋" w:cs="Times New Roman"/>
          <w:sz w:val="32"/>
          <w:szCs w:val="32"/>
          <w:lang w:val="en-US" w:eastAsia="zh-CN"/>
        </w:rPr>
      </w:pPr>
    </w:p>
    <w:p w14:paraId="6539E835">
      <w:pPr>
        <w:spacing w:line="600" w:lineRule="exact"/>
        <w:rPr>
          <w:rFonts w:hint="default" w:ascii="仿宋" w:hAnsi="仿宋" w:eastAsia="仿宋" w:cs="Times New Roman"/>
          <w:sz w:val="32"/>
          <w:szCs w:val="32"/>
          <w:lang w:val="en-US" w:eastAsia="zh-CN"/>
        </w:rPr>
      </w:pPr>
    </w:p>
    <w:p w14:paraId="7D896610">
      <w:pPr>
        <w:spacing w:line="600" w:lineRule="exact"/>
        <w:rPr>
          <w:rFonts w:hint="default" w:ascii="仿宋" w:hAnsi="仿宋" w:eastAsia="仿宋" w:cs="Times New Roman"/>
          <w:sz w:val="32"/>
          <w:szCs w:val="32"/>
          <w:lang w:val="en-US" w:eastAsia="zh-CN"/>
        </w:rPr>
      </w:pPr>
    </w:p>
    <w:p w14:paraId="510DFFD5">
      <w:pPr>
        <w:spacing w:line="600" w:lineRule="exact"/>
        <w:ind w:left="0" w:leftChars="0" w:firstLine="0" w:firstLineChars="0"/>
        <w:rPr>
          <w:rFonts w:hint="eastAsia" w:ascii="仿宋_GB2312" w:hAnsi="仿宋_GB2312" w:eastAsia="仿宋_GB2312" w:cs="仿宋_GB2312"/>
          <w:sz w:val="32"/>
          <w:szCs w:val="32"/>
          <w:lang w:val="en-US" w:eastAsia="zh-CN"/>
        </w:rPr>
      </w:pPr>
    </w:p>
    <w:p w14:paraId="141BB52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峨边彝族自治县气象局</w:t>
      </w:r>
      <w:r>
        <w:rPr>
          <w:rFonts w:hint="eastAsia" w:ascii="仿宋_GB2312" w:hAnsi="仿宋_GB2312" w:eastAsia="仿宋_GB2312" w:cs="仿宋_GB2312"/>
          <w:sz w:val="32"/>
          <w:szCs w:val="32"/>
          <w:lang w:val="en-US" w:eastAsia="zh-CN"/>
        </w:rPr>
        <w:t xml:space="preserve">预算公开报表  </w:t>
      </w:r>
    </w:p>
    <w:p w14:paraId="3B0709DF">
      <w:pPr>
        <w:numPr>
          <w:ilvl w:val="0"/>
          <w:numId w:val="0"/>
        </w:numPr>
        <w:ind w:leftChars="0"/>
        <w:jc w:val="both"/>
        <w:rPr>
          <w:rFonts w:hint="eastAsia"/>
          <w:lang w:val="en-US" w:eastAsia="zh-CN"/>
        </w:rPr>
      </w:pPr>
    </w:p>
    <w:p w14:paraId="36323CB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0292DE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峨边彝族自治县气象局</w:t>
      </w:r>
    </w:p>
    <w:p w14:paraId="26EA3A6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6DCC98B4">
      <w:pPr>
        <w:numPr>
          <w:ilvl w:val="0"/>
          <w:numId w:val="0"/>
        </w:numPr>
        <w:jc w:val="center"/>
        <w:rPr>
          <w:rFonts w:hint="default"/>
          <w:b/>
          <w:bCs/>
          <w:sz w:val="52"/>
          <w:szCs w:val="52"/>
          <w:lang w:val="en-US" w:eastAsia="zh-CN"/>
        </w:rPr>
      </w:pPr>
    </w:p>
    <w:p w14:paraId="36F85371">
      <w:pPr>
        <w:numPr>
          <w:ilvl w:val="0"/>
          <w:numId w:val="0"/>
        </w:numPr>
        <w:spacing w:line="600" w:lineRule="exact"/>
        <w:rPr>
          <w:rFonts w:hint="eastAsia" w:ascii="仿宋" w:hAnsi="仿宋" w:eastAsia="仿宋" w:cs="Times New Roman"/>
          <w:sz w:val="32"/>
          <w:szCs w:val="32"/>
          <w:lang w:val="en-US" w:eastAsia="zh-CN"/>
        </w:rPr>
      </w:pPr>
    </w:p>
    <w:p w14:paraId="5FD0D9A7">
      <w:pPr>
        <w:numPr>
          <w:ilvl w:val="0"/>
          <w:numId w:val="0"/>
        </w:numPr>
        <w:spacing w:line="600" w:lineRule="exact"/>
        <w:rPr>
          <w:rFonts w:hint="eastAsia" w:ascii="仿宋" w:hAnsi="仿宋" w:eastAsia="仿宋" w:cs="Times New Roman"/>
          <w:sz w:val="32"/>
          <w:szCs w:val="32"/>
          <w:lang w:val="en-US" w:eastAsia="zh-CN"/>
        </w:rPr>
      </w:pPr>
    </w:p>
    <w:p w14:paraId="54F700BE">
      <w:pPr>
        <w:numPr>
          <w:ilvl w:val="0"/>
          <w:numId w:val="0"/>
        </w:numPr>
        <w:spacing w:line="600" w:lineRule="exact"/>
        <w:rPr>
          <w:rFonts w:hint="eastAsia" w:ascii="仿宋" w:hAnsi="仿宋" w:eastAsia="仿宋" w:cs="Times New Roman"/>
          <w:sz w:val="32"/>
          <w:szCs w:val="32"/>
          <w:lang w:val="en-US" w:eastAsia="zh-CN"/>
        </w:rPr>
      </w:pPr>
    </w:p>
    <w:p w14:paraId="799702B3">
      <w:pPr>
        <w:numPr>
          <w:ilvl w:val="0"/>
          <w:numId w:val="0"/>
        </w:numPr>
        <w:spacing w:line="600" w:lineRule="exact"/>
        <w:rPr>
          <w:rFonts w:hint="eastAsia" w:ascii="仿宋" w:hAnsi="仿宋" w:eastAsia="仿宋" w:cs="Times New Roman"/>
          <w:sz w:val="32"/>
          <w:szCs w:val="32"/>
          <w:lang w:val="en-US" w:eastAsia="zh-CN"/>
        </w:rPr>
      </w:pPr>
    </w:p>
    <w:p w14:paraId="342FABBC">
      <w:pPr>
        <w:numPr>
          <w:ilvl w:val="0"/>
          <w:numId w:val="0"/>
        </w:numPr>
        <w:spacing w:line="600" w:lineRule="exact"/>
        <w:rPr>
          <w:rFonts w:hint="eastAsia" w:ascii="仿宋" w:hAnsi="仿宋" w:eastAsia="仿宋" w:cs="Times New Roman"/>
          <w:sz w:val="32"/>
          <w:szCs w:val="32"/>
          <w:lang w:val="en-US" w:eastAsia="zh-CN"/>
        </w:rPr>
      </w:pPr>
    </w:p>
    <w:p w14:paraId="34A91C7C">
      <w:pPr>
        <w:numPr>
          <w:ilvl w:val="0"/>
          <w:numId w:val="0"/>
        </w:numPr>
        <w:jc w:val="center"/>
        <w:rPr>
          <w:rFonts w:hint="default"/>
          <w:b/>
          <w:bCs/>
          <w:sz w:val="52"/>
          <w:szCs w:val="52"/>
          <w:lang w:val="en-US" w:eastAsia="zh-CN"/>
        </w:rPr>
      </w:pPr>
    </w:p>
    <w:p w14:paraId="68B10F14">
      <w:pPr>
        <w:numPr>
          <w:ilvl w:val="0"/>
          <w:numId w:val="0"/>
        </w:numPr>
        <w:jc w:val="center"/>
        <w:rPr>
          <w:rFonts w:hint="default"/>
          <w:b/>
          <w:bCs/>
          <w:sz w:val="52"/>
          <w:szCs w:val="52"/>
          <w:lang w:val="en-US" w:eastAsia="zh-CN"/>
        </w:rPr>
      </w:pPr>
    </w:p>
    <w:p w14:paraId="344C1B95">
      <w:pPr>
        <w:pStyle w:val="4"/>
        <w:bidi w:val="0"/>
        <w:jc w:val="both"/>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92499A5">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sz w:val="32"/>
          <w:szCs w:val="32"/>
          <w:lang w:val="en-US" w:eastAsia="zh-CN"/>
        </w:rPr>
        <w:t>按照综合预算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原则，峨边彝族自治县气象局所有收入和支出均纳入部门预算管理。收入包括：一般公共预算拨款收入、上年结转收入；支出包括：社会保障和就业支出、卫生健康支出、住房保障支出、农林水支出、自然资源海洋气象等支出。</w:t>
      </w:r>
    </w:p>
    <w:p w14:paraId="6D10766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134.89</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bookmarkStart w:id="0" w:name="_GoBack"/>
      <w:bookmarkEnd w:id="0"/>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自然资源海洋气象支出、卫生健康支出增加</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C89FCC2">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p>
    <w:p w14:paraId="63B59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年收入预算</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134.89</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0.02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0.00015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134.87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99.99</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%；事业收入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2650C45A">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（二）支出预算情况</w:t>
      </w:r>
    </w:p>
    <w:p w14:paraId="44F9F5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年支出预算</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134.89</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74.87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55.50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60.02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44.50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25AB49F8">
      <w:pPr>
        <w:pStyle w:val="4"/>
        <w:bidi w:val="0"/>
        <w:jc w:val="both"/>
        <w:rPr>
          <w:rFonts w:hint="eastAsia" w:ascii="黑体" w:hAnsi="黑体" w:eastAsia="黑体" w:cs="黑体"/>
          <w:b w:val="0"/>
          <w:bCs/>
          <w:color w:val="000000" w:themeColor="text1"/>
          <w:highlight w:val="none"/>
          <w:lang w:val="en-US" w:eastAsia="zh-CN"/>
          <w14:textFill>
            <w14:solidFill>
              <w14:schemeClr w14:val="tx1"/>
            </w14:solidFill>
          </w14:textFill>
        </w:rPr>
      </w:pPr>
      <w:r>
        <w:rPr>
          <w:rFonts w:hint="eastAsia" w:ascii="黑体" w:hAnsi="黑体" w:eastAsia="黑体" w:cs="黑体"/>
          <w:b w:val="0"/>
          <w:bCs/>
          <w:color w:val="000000" w:themeColor="text1"/>
          <w:highlight w:val="none"/>
          <w:lang w:val="en-US" w:eastAsia="zh-CN"/>
          <w14:textFill>
            <w14:solidFill>
              <w14:schemeClr w14:val="tx1"/>
            </w14:solidFill>
          </w14:textFill>
        </w:rPr>
        <w:t>二、财政拨款收支预算情况说明</w:t>
      </w:r>
    </w:p>
    <w:p w14:paraId="6D444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年财政拨款收支预算总数</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134.89</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年财政拨款收支预算总数</w:t>
      </w:r>
      <w:r>
        <w:rPr>
          <w:rFonts w:hint="eastAsia" w:ascii="仿宋" w:hAnsi="仿宋" w:cs="宋体"/>
          <w:color w:val="000000" w:themeColor="text1"/>
          <w:kern w:val="0"/>
          <w:sz w:val="32"/>
          <w:szCs w:val="32"/>
          <w:highlight w:val="none"/>
          <w:lang w:val="en-US" w:eastAsia="zh-CN"/>
          <w14:textFill>
            <w14:solidFill>
              <w14:schemeClr w14:val="tx1"/>
            </w14:solidFill>
          </w14:textFill>
        </w:rPr>
        <w:t>133.56万元</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增加1.33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万元，主要原因是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自然资源海洋气象支出、卫生健康支出增加</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74775C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收入包括：本年一般公共预算拨款收入</w:t>
      </w:r>
      <w:r>
        <w:rPr>
          <w:rFonts w:hint="eastAsia" w:ascii="仿宋" w:hAnsi="仿宋" w:cs="宋体"/>
          <w:color w:val="000000" w:themeColor="text1"/>
          <w:kern w:val="0"/>
          <w:sz w:val="32"/>
          <w:szCs w:val="32"/>
          <w:highlight w:val="none"/>
          <w:lang w:val="en-US" w:eastAsia="zh-CN"/>
          <w14:textFill>
            <w14:solidFill>
              <w14:schemeClr w14:val="tx1"/>
            </w14:solidFill>
          </w14:textFill>
        </w:rPr>
        <w:t>134.87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、上年结转收入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0.02万元</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；支出包括：</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社会保障和就业支出7.99万元、卫生健康支出1.58万元、住房保障支出4.22万元、农林水支出0.02万元、自然资源海洋气象等支出121.08万元</w:t>
      </w:r>
    </w:p>
    <w:p w14:paraId="22133AF9">
      <w:pPr>
        <w:numPr>
          <w:ilvl w:val="0"/>
          <w:numId w:val="0"/>
        </w:numPr>
        <w:spacing w:line="600" w:lineRule="exact"/>
        <w:ind w:firstLine="640" w:firstLineChars="200"/>
        <w:jc w:val="both"/>
        <w:rPr>
          <w:rStyle w:val="24"/>
          <w:rFonts w:hint="eastAsia" w:ascii="黑体" w:hAnsi="黑体" w:eastAsia="黑体" w:cs="黑体"/>
          <w:b w:val="0"/>
          <w:bCs/>
          <w:color w:val="000000" w:themeColor="text1"/>
          <w:highlight w:val="none"/>
          <w:lang w:eastAsia="zh-CN"/>
          <w14:textFill>
            <w14:solidFill>
              <w14:schemeClr w14:val="tx1"/>
            </w14:solidFill>
          </w14:textFill>
        </w:rPr>
      </w:pPr>
      <w:r>
        <w:rPr>
          <w:rStyle w:val="24"/>
          <w:rFonts w:hint="eastAsia" w:ascii="黑体" w:hAnsi="黑体" w:eastAsia="黑体" w:cs="黑体"/>
          <w:b w:val="0"/>
          <w:bCs/>
          <w:color w:val="000000" w:themeColor="text1"/>
          <w:highlight w:val="none"/>
          <w14:textFill>
            <w14:solidFill>
              <w14:schemeClr w14:val="tx1"/>
            </w14:solidFill>
          </w14:textFill>
        </w:rPr>
        <w:t>三、一般公共预算当年拨款情况说明</w:t>
      </w:r>
    </w:p>
    <w:p w14:paraId="3E0E76CF">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（一）一般公共预算当年拨款规模及变化情况。</w:t>
      </w:r>
    </w:p>
    <w:p w14:paraId="3E9BBFFC">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年一般公共预算当年拨款</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134.87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1.33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万元。主要原因是</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自然资源海洋气象支出、卫生健康支出增加</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2693D211">
      <w:pPr>
        <w:numPr>
          <w:ilvl w:val="0"/>
          <w:numId w:val="0"/>
        </w:numPr>
        <w:spacing w:line="600" w:lineRule="exact"/>
        <w:ind w:firstLine="640" w:firstLineChars="200"/>
        <w:jc w:val="both"/>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41551FC7">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7.99</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5.93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卫生健康</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支出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1.58</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1.17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4.22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3.13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农林水事务支出0.02万元，</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0.00015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自然资源海洋气象等支</w:t>
      </w:r>
      <w:r>
        <w:rPr>
          <w:rFonts w:hint="eastAsia" w:ascii="仿宋" w:hAnsi="仿宋" w:cs="宋体"/>
          <w:color w:val="000000" w:themeColor="text1"/>
          <w:kern w:val="0"/>
          <w:sz w:val="32"/>
          <w:szCs w:val="32"/>
          <w:highlight w:val="none"/>
          <w:lang w:val="en-US" w:eastAsia="zh-CN"/>
          <w14:textFill>
            <w14:solidFill>
              <w14:schemeClr w14:val="tx1"/>
            </w14:solidFill>
          </w14:textFill>
        </w:rPr>
        <w:t>出121.08万元，占89.75%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18CDCB04">
      <w:pPr>
        <w:numPr>
          <w:ilvl w:val="0"/>
          <w:numId w:val="0"/>
        </w:numPr>
        <w:spacing w:line="600" w:lineRule="exact"/>
        <w:ind w:firstLine="640" w:firstLineChars="200"/>
        <w:jc w:val="both"/>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（三）一般公共预算当年拨款具体使用情况</w:t>
      </w:r>
    </w:p>
    <w:p w14:paraId="24B9820E">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1.</w:t>
      </w:r>
      <w:r>
        <w:rPr>
          <w:rFonts w:hint="eastAsia" w:ascii="仿宋" w:hAnsi="仿宋" w:eastAsia="仿宋" w:cs="宋体"/>
          <w:color w:val="000000" w:themeColor="text1"/>
          <w:kern w:val="0"/>
          <w:sz w:val="32"/>
          <w:szCs w:val="32"/>
          <w:highlight w:val="none"/>
          <w14:textFill>
            <w14:solidFill>
              <w14:schemeClr w14:val="tx1"/>
            </w14:solidFill>
          </w14:textFill>
        </w:rPr>
        <w:t>自然资源海洋气象等支出（类）气象事务（款）气象</w:t>
      </w:r>
      <w:r>
        <w:rPr>
          <w:rFonts w:hint="eastAsia" w:ascii="仿宋" w:hAnsi="仿宋" w:cs="宋体"/>
          <w:color w:val="000000" w:themeColor="text1"/>
          <w:kern w:val="0"/>
          <w:sz w:val="32"/>
          <w:szCs w:val="32"/>
          <w:highlight w:val="none"/>
          <w:lang w:val="en-US" w:eastAsia="zh-CN"/>
          <w14:textFill>
            <w14:solidFill>
              <w14:schemeClr w14:val="tx1"/>
            </w14:solidFill>
          </w14:textFill>
        </w:rPr>
        <w:t>探测</w:t>
      </w:r>
      <w:r>
        <w:rPr>
          <w:rFonts w:hint="eastAsia" w:ascii="仿宋" w:hAnsi="仿宋" w:eastAsia="仿宋" w:cs="宋体"/>
          <w:color w:val="000000" w:themeColor="text1"/>
          <w:kern w:val="0"/>
          <w:sz w:val="32"/>
          <w:szCs w:val="32"/>
          <w:highlight w:val="none"/>
          <w14:textFill>
            <w14:solidFill>
              <w14:schemeClr w14:val="tx1"/>
            </w14:solidFill>
          </w14:textFill>
        </w:rPr>
        <w:t>（项）</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2.69</w:t>
      </w:r>
      <w:r>
        <w:rPr>
          <w:rFonts w:hint="eastAsia" w:ascii="仿宋" w:hAnsi="仿宋" w:eastAsia="仿宋" w:cs="宋体"/>
          <w:color w:val="000000" w:themeColor="text1"/>
          <w:kern w:val="0"/>
          <w:sz w:val="32"/>
          <w:szCs w:val="32"/>
          <w:highlight w:val="none"/>
          <w14:textFill>
            <w14:solidFill>
              <w14:schemeClr w14:val="tx1"/>
            </w14:solidFill>
          </w14:textFill>
        </w:rPr>
        <w:t>万元，主要用于：自然资源海洋气象等方面的支出。</w:t>
      </w:r>
    </w:p>
    <w:p w14:paraId="33C15795">
      <w:pPr>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2.</w:t>
      </w:r>
      <w:r>
        <w:rPr>
          <w:rFonts w:hint="eastAsia" w:ascii="仿宋" w:hAnsi="仿宋" w:eastAsia="仿宋" w:cs="宋体"/>
          <w:color w:val="000000" w:themeColor="text1"/>
          <w:kern w:val="0"/>
          <w:sz w:val="32"/>
          <w:szCs w:val="32"/>
          <w:highlight w:val="none"/>
          <w14:textFill>
            <w14:solidFill>
              <w14:schemeClr w14:val="tx1"/>
            </w14:solidFill>
          </w14:textFill>
        </w:rPr>
        <w:t>自然资源海洋气象等支出（类）气象事务（款）气象事业机构（项）</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110.26</w:t>
      </w:r>
      <w:r>
        <w:rPr>
          <w:rFonts w:hint="eastAsia" w:ascii="仿宋" w:hAnsi="仿宋" w:eastAsia="仿宋" w:cs="宋体"/>
          <w:color w:val="000000" w:themeColor="text1"/>
          <w:kern w:val="0"/>
          <w:sz w:val="32"/>
          <w:szCs w:val="32"/>
          <w:highlight w:val="none"/>
          <w14:textFill>
            <w14:solidFill>
              <w14:schemeClr w14:val="tx1"/>
            </w14:solidFill>
          </w14:textFill>
        </w:rPr>
        <w:t>万元，主要用于：气象事业单位的基本支出。</w:t>
      </w:r>
    </w:p>
    <w:p w14:paraId="35E7B0A3">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自然资源海洋气象等支出（类）气象事务（款）</w:t>
      </w:r>
      <w:r>
        <w:rPr>
          <w:rFonts w:hint="eastAsia" w:ascii="仿宋" w:hAnsi="仿宋" w:eastAsia="仿宋" w:cs="宋体"/>
          <w:color w:val="000000" w:themeColor="text1"/>
          <w:kern w:val="0"/>
          <w:sz w:val="32"/>
          <w:szCs w:val="32"/>
          <w:highlight w:val="none"/>
          <w:lang w:eastAsia="zh-CN"/>
          <w14:textFill>
            <w14:solidFill>
              <w14:schemeClr w14:val="tx1"/>
            </w14:solidFill>
          </w14:textFill>
        </w:rPr>
        <w:t>行政运行</w:t>
      </w:r>
      <w:r>
        <w:rPr>
          <w:rFonts w:hint="eastAsia" w:ascii="仿宋" w:hAnsi="仿宋" w:eastAsia="仿宋" w:cs="宋体"/>
          <w:color w:val="000000" w:themeColor="text1"/>
          <w:kern w:val="0"/>
          <w:sz w:val="32"/>
          <w:szCs w:val="32"/>
          <w:highlight w:val="none"/>
          <w14:textFill>
            <w14:solidFill>
              <w14:schemeClr w14:val="tx1"/>
            </w14:solidFill>
          </w14:textFill>
        </w:rPr>
        <w:t>（项）</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8.13</w:t>
      </w:r>
      <w:r>
        <w:rPr>
          <w:rFonts w:hint="eastAsia" w:ascii="仿宋" w:hAnsi="仿宋" w:eastAsia="仿宋" w:cs="宋体"/>
          <w:color w:val="000000" w:themeColor="text1"/>
          <w:kern w:val="0"/>
          <w:sz w:val="32"/>
          <w:szCs w:val="32"/>
          <w:highlight w:val="none"/>
          <w14:textFill>
            <w14:solidFill>
              <w14:schemeClr w14:val="tx1"/>
            </w14:solidFill>
          </w14:textFill>
        </w:rPr>
        <w:t>万元，主要用于：气象事业单位</w:t>
      </w:r>
      <w:r>
        <w:rPr>
          <w:rFonts w:hint="eastAsia" w:ascii="仿宋" w:hAnsi="仿宋" w:eastAsia="仿宋" w:cs="宋体"/>
          <w:color w:val="000000" w:themeColor="text1"/>
          <w:kern w:val="0"/>
          <w:sz w:val="32"/>
          <w:szCs w:val="32"/>
          <w:highlight w:val="none"/>
          <w:lang w:eastAsia="zh-CN"/>
          <w14:textFill>
            <w14:solidFill>
              <w14:schemeClr w14:val="tx1"/>
            </w14:solidFill>
          </w14:textFill>
        </w:rPr>
        <w:t>参公人员</w:t>
      </w:r>
      <w:r>
        <w:rPr>
          <w:rFonts w:hint="eastAsia" w:ascii="仿宋" w:hAnsi="仿宋" w:eastAsia="仿宋" w:cs="宋体"/>
          <w:color w:val="000000" w:themeColor="text1"/>
          <w:kern w:val="0"/>
          <w:sz w:val="32"/>
          <w:szCs w:val="32"/>
          <w:highlight w:val="none"/>
          <w14:textFill>
            <w14:solidFill>
              <w14:schemeClr w14:val="tx1"/>
            </w14:solidFill>
          </w14:textFill>
        </w:rPr>
        <w:t>的基本支出。</w:t>
      </w:r>
    </w:p>
    <w:p w14:paraId="680C9D1E">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4.社会保障和就业</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（类）</w:t>
      </w:r>
      <w:r>
        <w:rPr>
          <w:rFonts w:hint="eastAsia" w:ascii="仿宋" w:hAnsi="仿宋" w:eastAsia="仿宋" w:cs="宋体"/>
          <w:color w:val="000000" w:themeColor="text1"/>
          <w:kern w:val="0"/>
          <w:sz w:val="32"/>
          <w:szCs w:val="32"/>
          <w:highlight w:val="none"/>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（款）</w:t>
      </w:r>
      <w:r>
        <w:rPr>
          <w:rFonts w:hint="eastAsia" w:ascii="仿宋" w:hAnsi="仿宋" w:eastAsia="仿宋" w:cs="宋体"/>
          <w:color w:val="000000" w:themeColor="text1"/>
          <w:kern w:val="0"/>
          <w:sz w:val="32"/>
          <w:szCs w:val="32"/>
          <w:highlight w:val="none"/>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0.44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万元，主要用于：</w:t>
      </w:r>
      <w:r>
        <w:rPr>
          <w:rFonts w:hint="eastAsia" w:ascii="仿宋" w:hAnsi="仿宋" w:eastAsia="仿宋" w:cs="宋体"/>
          <w:color w:val="000000" w:themeColor="text1"/>
          <w:kern w:val="0"/>
          <w:sz w:val="32"/>
          <w:szCs w:val="32"/>
          <w:highlight w:val="none"/>
          <w14:textFill>
            <w14:solidFill>
              <w14:schemeClr w14:val="tx1"/>
            </w14:solidFill>
          </w14:textFill>
        </w:rPr>
        <w:t>实施</w:t>
      </w:r>
      <w:r>
        <w:rPr>
          <w:rFonts w:hint="eastAsia" w:ascii="仿宋" w:hAnsi="仿宋" w:cs="宋体"/>
          <w:color w:val="000000" w:themeColor="text1"/>
          <w:kern w:val="0"/>
          <w:sz w:val="32"/>
          <w:szCs w:val="32"/>
          <w:highlight w:val="none"/>
          <w:lang w:val="en-US" w:eastAsia="zh-CN"/>
          <w14:textFill>
            <w14:solidFill>
              <w14:schemeClr w14:val="tx1"/>
            </w14:solidFill>
          </w14:textFill>
        </w:rPr>
        <w:t>社会</w:t>
      </w:r>
      <w:r>
        <w:rPr>
          <w:rFonts w:hint="eastAsia" w:ascii="仿宋" w:hAnsi="仿宋" w:eastAsia="仿宋" w:cs="宋体"/>
          <w:color w:val="000000" w:themeColor="text1"/>
          <w:kern w:val="0"/>
          <w:sz w:val="32"/>
          <w:szCs w:val="32"/>
          <w:highlight w:val="none"/>
          <w14:textFill>
            <w14:solidFill>
              <w14:schemeClr w14:val="tx1"/>
            </w14:solidFill>
          </w14:textFill>
        </w:rPr>
        <w:t>保险制度后，部门按规定由单位缴纳的其他社会保障费</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58536EC9">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5.社会保障和就业</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（类）</w:t>
      </w:r>
      <w:r>
        <w:rPr>
          <w:rFonts w:hint="eastAsia" w:ascii="仿宋" w:hAnsi="仿宋" w:eastAsia="仿宋" w:cs="宋体"/>
          <w:color w:val="000000" w:themeColor="text1"/>
          <w:kern w:val="0"/>
          <w:sz w:val="32"/>
          <w:szCs w:val="32"/>
          <w:highlight w:val="none"/>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（款）</w:t>
      </w:r>
      <w:r>
        <w:rPr>
          <w:rFonts w:hint="eastAsia" w:ascii="仿宋" w:hAnsi="仿宋" w:eastAsia="仿宋" w:cs="宋体"/>
          <w:color w:val="000000" w:themeColor="text1"/>
          <w:kern w:val="0"/>
          <w:sz w:val="32"/>
          <w:szCs w:val="32"/>
          <w:highlight w:val="none"/>
          <w14:textFill>
            <w14:solidFill>
              <w14:schemeClr w14:val="tx1"/>
            </w14:solidFill>
          </w14:textFill>
        </w:rPr>
        <w:t>机关事业单位基本养老保险缴费支出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5.03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万元，主要用于：实施养老保险制度后，部门按规定由单位缴纳的基本养老保险费支出。</w:t>
      </w:r>
    </w:p>
    <w:p w14:paraId="4033AD93">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6.社会保障和就业</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（类）</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（款）</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机关事业单位职业年金缴费支出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2.52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万元，主要用于：实施养老保险制度后，部门按规定由单位缴纳的职业年金支出。</w:t>
      </w:r>
    </w:p>
    <w:p w14:paraId="667DD507">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（类）</w:t>
      </w:r>
      <w:r>
        <w:rPr>
          <w:rFonts w:hint="eastAsia" w:ascii="仿宋" w:hAnsi="仿宋" w:eastAsia="仿宋" w:cs="宋体"/>
          <w:color w:val="000000" w:themeColor="text1"/>
          <w:kern w:val="0"/>
          <w:sz w:val="32"/>
          <w:szCs w:val="32"/>
          <w:highlight w:val="none"/>
          <w14:textFill>
            <w14:solidFill>
              <w14:schemeClr w14:val="tx1"/>
            </w14:solidFill>
          </w14:textFill>
        </w:rPr>
        <w:t>行政事业单位医疗</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（款）</w:t>
      </w:r>
      <w:r>
        <w:rPr>
          <w:rFonts w:hint="eastAsia" w:ascii="仿宋" w:hAnsi="仿宋" w:eastAsia="仿宋" w:cs="宋体"/>
          <w:color w:val="000000" w:themeColor="text1"/>
          <w:kern w:val="0"/>
          <w:sz w:val="32"/>
          <w:szCs w:val="32"/>
          <w:highlight w:val="none"/>
          <w14:textFill>
            <w14:solidFill>
              <w14:schemeClr w14:val="tx1"/>
            </w14:solidFill>
          </w14:textFill>
        </w:rPr>
        <w:t>事业单位医疗</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1.58</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万元，主要用于：部门下属事业单位基本医疗保险缴费支出。</w:t>
      </w:r>
    </w:p>
    <w:p w14:paraId="2DCFF976">
      <w:pPr>
        <w:numPr>
          <w:ilvl w:val="0"/>
          <w:numId w:val="0"/>
        </w:numPr>
        <w:spacing w:line="600" w:lineRule="exact"/>
        <w:ind w:firstLine="640" w:firstLineChars="200"/>
        <w:jc w:val="both"/>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.住房保障</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（类）</w:t>
      </w:r>
      <w:r>
        <w:rPr>
          <w:rFonts w:hint="eastAsia" w:ascii="仿宋" w:hAnsi="仿宋" w:eastAsia="仿宋" w:cs="宋体"/>
          <w:color w:val="000000" w:themeColor="text1"/>
          <w:kern w:val="0"/>
          <w:sz w:val="32"/>
          <w:szCs w:val="32"/>
          <w:highlight w:val="none"/>
          <w14:textFill>
            <w14:solidFill>
              <w14:schemeClr w14:val="tx1"/>
            </w14:solidFill>
          </w14:textFill>
        </w:rPr>
        <w:t>住房改革支出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（款）</w:t>
      </w:r>
      <w:r>
        <w:rPr>
          <w:rFonts w:hint="eastAsia" w:ascii="仿宋" w:hAnsi="仿宋" w:eastAsia="仿宋" w:cs="宋体"/>
          <w:color w:val="000000" w:themeColor="text1"/>
          <w:kern w:val="0"/>
          <w:sz w:val="32"/>
          <w:szCs w:val="32"/>
          <w:highlight w:val="none"/>
          <w:lang w:eastAsia="zh-CN"/>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4.22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万元，主要用于：部门按人力资源和社会保障部、财政部规定的基本工资和津贴补贴以及规定比例为职工缴纳的住房公积金支出。</w:t>
      </w:r>
    </w:p>
    <w:p w14:paraId="398F70E8">
      <w:pPr>
        <w:pStyle w:val="4"/>
        <w:bidi w:val="0"/>
        <w:jc w:val="both"/>
        <w:rPr>
          <w:rStyle w:val="24"/>
          <w:rFonts w:hint="eastAsia" w:ascii="黑体" w:hAnsi="黑体" w:eastAsia="黑体" w:cs="黑体"/>
          <w:b w:val="0"/>
          <w:bCs/>
          <w:color w:val="000000" w:themeColor="text1"/>
          <w:highlight w:val="none"/>
          <w:lang w:eastAsia="zh-CN"/>
          <w14:textFill>
            <w14:solidFill>
              <w14:schemeClr w14:val="tx1"/>
            </w14:solidFill>
          </w14:textFill>
        </w:rPr>
      </w:pPr>
      <w:r>
        <w:rPr>
          <w:rStyle w:val="24"/>
          <w:rFonts w:hint="eastAsia" w:ascii="黑体" w:hAnsi="黑体" w:eastAsia="黑体" w:cs="黑体"/>
          <w:b w:val="0"/>
          <w:bCs/>
          <w:color w:val="000000" w:themeColor="text1"/>
          <w:highlight w:val="none"/>
          <w:lang w:eastAsia="zh-CN"/>
          <w14:textFill>
            <w14:solidFill>
              <w14:schemeClr w14:val="tx1"/>
            </w14:solidFill>
          </w14:textFill>
        </w:rPr>
        <w:t>四</w:t>
      </w:r>
      <w:r>
        <w:rPr>
          <w:rStyle w:val="24"/>
          <w:rFonts w:hint="eastAsia" w:ascii="黑体" w:hAnsi="黑体" w:eastAsia="黑体" w:cs="黑体"/>
          <w:b w:val="0"/>
          <w:bCs/>
          <w:color w:val="000000" w:themeColor="text1"/>
          <w:highlight w:val="none"/>
          <w14:textFill>
            <w14:solidFill>
              <w14:schemeClr w14:val="tx1"/>
            </w14:solidFill>
          </w14:textFill>
        </w:rPr>
        <w:t>、一般公共预算基本支出情况说明</w:t>
      </w:r>
    </w:p>
    <w:p w14:paraId="2E0894EA">
      <w:pPr>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74.87</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万元，其中：</w:t>
      </w:r>
    </w:p>
    <w:p w14:paraId="6B9A0457">
      <w:pPr>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69.45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万元，主要包括：基本工资、津贴补贴</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、奖金、 伙食补助费、 绩效工资、机关事业单位基本养老保险缴费、职业年金缴费、职工基本医疗保险缴费、 其他社会保障缴费、  住房公积金</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15F20671">
      <w:pPr>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5.42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万元，主要包括：办公费、维修（护）费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、其他交通费用、差旅费、福利费、工会经费</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6E080E67">
      <w:pPr>
        <w:jc w:val="both"/>
        <w:rPr>
          <w:rStyle w:val="24"/>
          <w:rFonts w:hint="eastAsia" w:ascii="黑体" w:hAnsi="黑体" w:eastAsia="黑体" w:cs="黑体"/>
          <w:b w:val="0"/>
          <w:bCs/>
          <w:color w:val="000000" w:themeColor="text1"/>
          <w:highlight w:val="none"/>
          <w:lang w:eastAsia="zh-CN"/>
          <w14:textFill>
            <w14:solidFill>
              <w14:schemeClr w14:val="tx1"/>
            </w14:solidFill>
          </w14:textFill>
        </w:rPr>
      </w:pPr>
      <w:r>
        <w:rPr>
          <w:rStyle w:val="24"/>
          <w:rFonts w:hint="eastAsia" w:ascii="黑体" w:hAnsi="黑体" w:eastAsia="黑体" w:cs="黑体"/>
          <w:b w:val="0"/>
          <w:bCs/>
          <w:color w:val="000000" w:themeColor="text1"/>
          <w:highlight w:val="none"/>
          <w:lang w:eastAsia="zh-CN"/>
          <w14:textFill>
            <w14:solidFill>
              <w14:schemeClr w14:val="tx1"/>
            </w14:solidFill>
          </w14:textFill>
        </w:rPr>
        <w:t>五</w:t>
      </w:r>
      <w:r>
        <w:rPr>
          <w:rStyle w:val="24"/>
          <w:rFonts w:hint="eastAsia" w:ascii="黑体" w:hAnsi="黑体" w:eastAsia="黑体" w:cs="黑体"/>
          <w:b w:val="0"/>
          <w:bCs/>
          <w:color w:val="000000" w:themeColor="text1"/>
          <w:highlight w:val="none"/>
          <w14:textFill>
            <w14:solidFill>
              <w14:schemeClr w14:val="tx1"/>
            </w14:solidFill>
          </w14:textFill>
        </w:rPr>
        <w:t>、政府性基金预算支出规模及变化情况说明</w:t>
      </w:r>
    </w:p>
    <w:p w14:paraId="4B96B3FC">
      <w:pPr>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2025年没有使用政府性基金预算拨款安排的支出。</w:t>
      </w:r>
    </w:p>
    <w:p w14:paraId="46DF3358">
      <w:pPr>
        <w:jc w:val="both"/>
        <w:rPr>
          <w:rStyle w:val="24"/>
          <w:rFonts w:hint="eastAsia" w:ascii="黑体" w:hAnsi="黑体" w:eastAsia="黑体" w:cs="黑体"/>
          <w:b w:val="0"/>
          <w:bCs/>
          <w:color w:val="000000" w:themeColor="text1"/>
          <w:highlight w:val="none"/>
          <w14:textFill>
            <w14:solidFill>
              <w14:schemeClr w14:val="tx1"/>
            </w14:solidFill>
          </w14:textFill>
        </w:rPr>
      </w:pPr>
      <w:r>
        <w:rPr>
          <w:rStyle w:val="24"/>
          <w:rFonts w:hint="eastAsia" w:ascii="黑体" w:hAnsi="黑体" w:eastAsia="黑体" w:cs="黑体"/>
          <w:b w:val="0"/>
          <w:bCs/>
          <w:color w:val="000000" w:themeColor="text1"/>
          <w:highlight w:val="none"/>
          <w:lang w:eastAsia="zh-CN"/>
          <w14:textFill>
            <w14:solidFill>
              <w14:schemeClr w14:val="tx1"/>
            </w14:solidFill>
          </w14:textFill>
        </w:rPr>
        <w:t>六</w:t>
      </w:r>
      <w:r>
        <w:rPr>
          <w:rStyle w:val="24"/>
          <w:rFonts w:hint="eastAsia" w:ascii="黑体" w:hAnsi="黑体" w:eastAsia="黑体" w:cs="黑体"/>
          <w:b w:val="0"/>
          <w:bCs/>
          <w:color w:val="000000" w:themeColor="text1"/>
          <w:highlight w:val="none"/>
          <w14:textFill>
            <w14:solidFill>
              <w14:schemeClr w14:val="tx1"/>
            </w14:solidFill>
          </w14:textFill>
        </w:rPr>
        <w:t>、国有资本经营预算支出规模及变化情况说明</w:t>
      </w:r>
    </w:p>
    <w:p w14:paraId="46230559">
      <w:pPr>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2025年没有使用国有资本经营预算拨款安排的支出。</w:t>
      </w:r>
    </w:p>
    <w:p w14:paraId="12AAD5DC">
      <w:pPr>
        <w:pStyle w:val="4"/>
        <w:bidi w:val="0"/>
        <w:jc w:val="both"/>
        <w:rPr>
          <w:rStyle w:val="24"/>
          <w:rFonts w:hint="eastAsia" w:ascii="黑体" w:hAnsi="黑体" w:eastAsia="黑体" w:cs="黑体"/>
          <w:b w:val="0"/>
          <w:bCs/>
          <w:color w:val="000000" w:themeColor="text1"/>
          <w:highlight w:val="none"/>
          <w:lang w:eastAsia="zh-CN"/>
          <w14:textFill>
            <w14:solidFill>
              <w14:schemeClr w14:val="tx1"/>
            </w14:solidFill>
          </w14:textFill>
        </w:rPr>
      </w:pPr>
      <w:r>
        <w:rPr>
          <w:rStyle w:val="24"/>
          <w:rFonts w:hint="eastAsia" w:ascii="黑体" w:hAnsi="黑体" w:eastAsia="黑体" w:cs="黑体"/>
          <w:b w:val="0"/>
          <w:bCs/>
          <w:color w:val="000000" w:themeColor="text1"/>
          <w:highlight w:val="none"/>
          <w:lang w:eastAsia="zh-CN"/>
          <w14:textFill>
            <w14:solidFill>
              <w14:schemeClr w14:val="tx1"/>
            </w14:solidFill>
          </w14:textFill>
        </w:rPr>
        <w:t>七</w:t>
      </w:r>
      <w:r>
        <w:rPr>
          <w:rStyle w:val="24"/>
          <w:rFonts w:hint="eastAsia" w:ascii="黑体" w:hAnsi="黑体" w:eastAsia="黑体" w:cs="黑体"/>
          <w:b w:val="0"/>
          <w:bCs/>
          <w:color w:val="000000" w:themeColor="text1"/>
          <w:highlight w:val="none"/>
          <w14:textFill>
            <w14:solidFill>
              <w14:schemeClr w14:val="tx1"/>
            </w14:solidFill>
          </w14:textFill>
        </w:rPr>
        <w:t>、“三公”经费预算安排情况说明</w:t>
      </w:r>
    </w:p>
    <w:p w14:paraId="3DF6E54A">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w:t>
      </w:r>
    </w:p>
    <w:p w14:paraId="362CB72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年均无因公出国（境）费用支出。</w:t>
      </w:r>
    </w:p>
    <w:p w14:paraId="18D9811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%。主要原因是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年均无公务</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接待</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费用支出。</w:t>
      </w:r>
    </w:p>
    <w:p w14:paraId="07C8958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%。主要原因是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年均无公务用车购置及运行维护费用支出。</w:t>
      </w:r>
    </w:p>
    <w:p w14:paraId="2851BD54">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辆。</w:t>
      </w:r>
    </w:p>
    <w:p w14:paraId="4CDB2429">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2025年安排公务用车购置费0万元。</w:t>
      </w:r>
    </w:p>
    <w:p w14:paraId="36F21351">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603744C6">
      <w:pPr>
        <w:pStyle w:val="4"/>
        <w:bidi w:val="0"/>
        <w:jc w:val="both"/>
        <w:rPr>
          <w:rStyle w:val="24"/>
          <w:rFonts w:hint="eastAsia" w:ascii="黑体" w:hAnsi="黑体" w:eastAsia="黑体" w:cs="黑体"/>
          <w:b w:val="0"/>
          <w:bCs/>
          <w:color w:val="000000" w:themeColor="text1"/>
          <w:highlight w:val="none"/>
          <w:lang w:eastAsia="zh-CN"/>
          <w14:textFill>
            <w14:solidFill>
              <w14:schemeClr w14:val="tx1"/>
            </w14:solidFill>
          </w14:textFill>
        </w:rPr>
      </w:pPr>
      <w:r>
        <w:rPr>
          <w:rStyle w:val="24"/>
          <w:rFonts w:hint="eastAsia" w:ascii="黑体" w:hAnsi="黑体" w:eastAsia="黑体" w:cs="黑体"/>
          <w:b w:val="0"/>
          <w:bCs/>
          <w:color w:val="000000" w:themeColor="text1"/>
          <w:highlight w:val="none"/>
          <w:lang w:eastAsia="zh-CN"/>
          <w14:textFill>
            <w14:solidFill>
              <w14:schemeClr w14:val="tx1"/>
            </w14:solidFill>
          </w14:textFill>
        </w:rPr>
        <w:t>八</w:t>
      </w:r>
      <w:r>
        <w:rPr>
          <w:rStyle w:val="24"/>
          <w:rFonts w:hint="eastAsia" w:ascii="黑体" w:hAnsi="黑体" w:eastAsia="黑体" w:cs="黑体"/>
          <w:b w:val="0"/>
          <w:bCs/>
          <w:color w:val="000000" w:themeColor="text1"/>
          <w:highlight w:val="none"/>
          <w14:textFill>
            <w14:solidFill>
              <w14:schemeClr w14:val="tx1"/>
            </w14:solidFill>
          </w14:textFill>
        </w:rPr>
        <w:t>、其他重要事项的情况说明</w:t>
      </w:r>
    </w:p>
    <w:p w14:paraId="64F48C05">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（一）机关运行经费。</w:t>
      </w:r>
    </w:p>
    <w:p w14:paraId="73B5E38B">
      <w:pPr>
        <w:bidi w:val="0"/>
        <w:jc w:val="both"/>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5.42</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，比2024年预算</w:t>
      </w:r>
      <w:r>
        <w:rPr>
          <w:rFonts w:hint="eastAsia" w:ascii="Times New Roman" w:hAnsi="Times New Roman" w:eastAsia="仿宋_GB2312" w:cs="仿宋_GB2312"/>
          <w:color w:val="000000" w:themeColor="text1"/>
          <w:sz w:val="32"/>
          <w:szCs w:val="32"/>
          <w:highlight w:val="none"/>
          <w:shd w:val="clear" w:color="auto" w:fill="FFFFFF"/>
          <w:lang w:val="en-US" w:eastAsia="zh-CN"/>
          <w14:textFill>
            <w14:solidFill>
              <w14:schemeClr w14:val="tx1"/>
            </w14:solidFill>
          </w14:textFill>
        </w:rPr>
        <w:t>增加0.17</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工会经费和维修（护）费增加</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w:t>
      </w:r>
    </w:p>
    <w:p w14:paraId="3AC31802">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（二）政府采购情况。</w:t>
      </w:r>
    </w:p>
    <w:p w14:paraId="532720DA">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2025年无政府采购项目，未安排政府采购预算。</w:t>
      </w:r>
    </w:p>
    <w:p w14:paraId="55EE296E">
      <w:pPr>
        <w:numPr>
          <w:ilvl w:val="0"/>
          <w:numId w:val="2"/>
        </w:num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国有资产占有使用情况。</w:t>
      </w:r>
    </w:p>
    <w:p w14:paraId="05118CBD">
      <w:pPr>
        <w:jc w:val="both"/>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lang w:eastAsia="zh-CN"/>
        </w:rPr>
        <w:t>峨边彝族自治县气象局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060D2C3">
      <w:pPr>
        <w:jc w:val="both"/>
        <w:rPr>
          <w:rFonts w:hint="eastAsia" w:ascii="Times New Roman" w:hAnsi="Times New Roman" w:eastAsia="仿宋_GB2312" w:cs="仿宋_GB2312"/>
          <w:color w:val="000000" w:themeColor="text1"/>
          <w:kern w:val="0"/>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highlight w:val="none"/>
          <w:lang w:eastAsia="zh-CN"/>
          <w14:textFill>
            <w14:solidFill>
              <w14:schemeClr w14:val="tx1"/>
            </w14:solidFill>
          </w14:textFill>
        </w:rPr>
        <w:t>202</w:t>
      </w:r>
      <w:r>
        <w:rPr>
          <w:rFonts w:hint="eastAsia" w:ascii="Times New Roman" w:hAnsi="Times New Roman" w:eastAsia="仿宋_GB2312" w:cs="仿宋_GB2312"/>
          <w:color w:val="000000" w:themeColor="text1"/>
          <w:kern w:val="0"/>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highlight w:val="none"/>
          <w14:textFill>
            <w14:solidFill>
              <w14:schemeClr w14:val="tx1"/>
            </w14:solidFill>
          </w14:textFill>
        </w:rPr>
        <w:t>年部门预算未安排购置车辆及单位价值200万元以上大型设备。</w:t>
      </w:r>
    </w:p>
    <w:p w14:paraId="081C450C">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b w:val="0"/>
          <w:bCs/>
          <w:color w:val="000000" w:themeColor="text1"/>
          <w:sz w:val="32"/>
          <w:szCs w:val="32"/>
          <w:highlight w:val="none"/>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highlight w:val="none"/>
          <w14:textFill>
            <w14:solidFill>
              <w14:schemeClr w14:val="tx1"/>
            </w14:solidFill>
          </w14:textFill>
        </w:rPr>
        <w:t>）绩效目标设置情况。</w:t>
      </w:r>
    </w:p>
    <w:p w14:paraId="2E15A099">
      <w:pPr>
        <w:bidi w:val="0"/>
        <w:jc w:val="both"/>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峨边彝族自治县气象局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60</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60</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14:paraId="46353190">
      <w:pPr>
        <w:pStyle w:val="2"/>
        <w:numPr>
          <w:ilvl w:val="0"/>
          <w:numId w:val="0"/>
        </w:numPr>
        <w:bidi w:val="0"/>
        <w:jc w:val="both"/>
        <w:rPr>
          <w:rFonts w:hint="eastAsia"/>
          <w:lang w:val="en-US" w:eastAsia="zh-CN"/>
        </w:rPr>
      </w:pPr>
    </w:p>
    <w:p w14:paraId="73C0CADB">
      <w:pPr>
        <w:rPr>
          <w:rFonts w:hint="eastAsia"/>
          <w:lang w:val="en-US" w:eastAsia="zh-CN"/>
        </w:rPr>
      </w:pPr>
    </w:p>
    <w:p w14:paraId="2DC9F5BD">
      <w:pPr>
        <w:rPr>
          <w:rFonts w:hint="eastAsia"/>
          <w:lang w:val="en-US" w:eastAsia="zh-CN"/>
        </w:rPr>
      </w:pPr>
    </w:p>
    <w:p w14:paraId="519ACF5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3902C9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A5DAED1">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79AC83E">
      <w:pPr>
        <w:widowControl/>
        <w:numPr>
          <w:ilvl w:val="0"/>
          <w:numId w:val="0"/>
        </w:numPr>
        <w:shd w:val="clear" w:color="auto" w:fill="FFFFFF"/>
        <w:jc w:val="left"/>
        <w:rPr>
          <w:rFonts w:hint="eastAsia" w:ascii="仿宋" w:hAnsi="宋体" w:eastAsia="仿宋" w:cs="宋体"/>
          <w:color w:val="000000"/>
          <w:kern w:val="0"/>
          <w:sz w:val="32"/>
          <w:szCs w:val="32"/>
        </w:rPr>
      </w:pPr>
    </w:p>
    <w:p w14:paraId="55C3675A">
      <w:pPr>
        <w:widowControl/>
        <w:numPr>
          <w:ilvl w:val="0"/>
          <w:numId w:val="0"/>
        </w:numPr>
        <w:shd w:val="clear" w:color="auto" w:fill="FFFFFF"/>
        <w:jc w:val="left"/>
        <w:rPr>
          <w:rFonts w:hint="eastAsia" w:ascii="仿宋" w:hAnsi="宋体" w:eastAsia="仿宋" w:cs="宋体"/>
          <w:color w:val="000000"/>
          <w:kern w:val="0"/>
          <w:sz w:val="32"/>
          <w:szCs w:val="32"/>
        </w:rPr>
      </w:pPr>
    </w:p>
    <w:p w14:paraId="39643ADC">
      <w:pPr>
        <w:widowControl/>
        <w:numPr>
          <w:ilvl w:val="0"/>
          <w:numId w:val="0"/>
        </w:numPr>
        <w:shd w:val="clear" w:color="auto" w:fill="FFFFFF"/>
        <w:jc w:val="left"/>
        <w:rPr>
          <w:rFonts w:hint="eastAsia" w:ascii="仿宋" w:hAnsi="宋体" w:eastAsia="仿宋" w:cs="宋体"/>
          <w:color w:val="000000"/>
          <w:kern w:val="0"/>
          <w:sz w:val="32"/>
          <w:szCs w:val="32"/>
        </w:rPr>
      </w:pPr>
    </w:p>
    <w:p w14:paraId="226EE31B">
      <w:pPr>
        <w:widowControl/>
        <w:numPr>
          <w:ilvl w:val="0"/>
          <w:numId w:val="0"/>
        </w:numPr>
        <w:shd w:val="clear" w:color="auto" w:fill="FFFFFF"/>
        <w:jc w:val="left"/>
        <w:rPr>
          <w:rFonts w:hint="eastAsia" w:ascii="仿宋" w:hAnsi="宋体" w:eastAsia="仿宋" w:cs="宋体"/>
          <w:color w:val="000000"/>
          <w:kern w:val="0"/>
          <w:sz w:val="32"/>
          <w:szCs w:val="32"/>
        </w:rPr>
      </w:pPr>
    </w:p>
    <w:p w14:paraId="1BFB6710">
      <w:pPr>
        <w:widowControl/>
        <w:numPr>
          <w:ilvl w:val="0"/>
          <w:numId w:val="0"/>
        </w:numPr>
        <w:shd w:val="clear" w:color="auto" w:fill="FFFFFF"/>
        <w:jc w:val="left"/>
        <w:rPr>
          <w:rFonts w:hint="eastAsia" w:ascii="仿宋" w:hAnsi="宋体" w:eastAsia="仿宋" w:cs="宋体"/>
          <w:color w:val="000000"/>
          <w:kern w:val="0"/>
          <w:sz w:val="32"/>
          <w:szCs w:val="32"/>
        </w:rPr>
      </w:pPr>
    </w:p>
    <w:p w14:paraId="7C9A15EB">
      <w:pPr>
        <w:widowControl/>
        <w:numPr>
          <w:ilvl w:val="0"/>
          <w:numId w:val="0"/>
        </w:numPr>
        <w:shd w:val="clear" w:color="auto" w:fill="FFFFFF"/>
        <w:jc w:val="left"/>
        <w:rPr>
          <w:rFonts w:hint="eastAsia" w:ascii="仿宋" w:hAnsi="宋体" w:eastAsia="仿宋" w:cs="宋体"/>
          <w:color w:val="000000"/>
          <w:kern w:val="0"/>
          <w:sz w:val="32"/>
          <w:szCs w:val="32"/>
        </w:rPr>
      </w:pPr>
    </w:p>
    <w:p w14:paraId="02FB4603">
      <w:pPr>
        <w:widowControl/>
        <w:numPr>
          <w:ilvl w:val="0"/>
          <w:numId w:val="0"/>
        </w:numPr>
        <w:shd w:val="clear" w:color="auto" w:fill="FFFFFF"/>
        <w:jc w:val="left"/>
        <w:rPr>
          <w:rFonts w:hint="eastAsia" w:ascii="仿宋" w:hAnsi="宋体" w:eastAsia="仿宋" w:cs="宋体"/>
          <w:color w:val="000000"/>
          <w:kern w:val="0"/>
          <w:sz w:val="32"/>
          <w:szCs w:val="32"/>
        </w:rPr>
      </w:pPr>
    </w:p>
    <w:p w14:paraId="0B889E6A">
      <w:pPr>
        <w:widowControl/>
        <w:numPr>
          <w:ilvl w:val="0"/>
          <w:numId w:val="0"/>
        </w:numPr>
        <w:shd w:val="clear" w:color="auto" w:fill="FFFFFF"/>
        <w:jc w:val="left"/>
        <w:rPr>
          <w:rFonts w:hint="eastAsia" w:ascii="仿宋" w:hAnsi="宋体" w:eastAsia="仿宋" w:cs="宋体"/>
          <w:color w:val="000000"/>
          <w:kern w:val="0"/>
          <w:sz w:val="32"/>
          <w:szCs w:val="32"/>
        </w:rPr>
      </w:pPr>
    </w:p>
    <w:p w14:paraId="59A9EB02">
      <w:pPr>
        <w:widowControl/>
        <w:numPr>
          <w:ilvl w:val="0"/>
          <w:numId w:val="0"/>
        </w:numPr>
        <w:shd w:val="clear" w:color="auto" w:fill="FFFFFF"/>
        <w:jc w:val="left"/>
        <w:rPr>
          <w:rFonts w:hint="eastAsia" w:ascii="仿宋" w:hAnsi="宋体" w:eastAsia="仿宋" w:cs="宋体"/>
          <w:color w:val="000000"/>
          <w:kern w:val="0"/>
          <w:sz w:val="32"/>
          <w:szCs w:val="32"/>
        </w:rPr>
      </w:pPr>
    </w:p>
    <w:p w14:paraId="105B97AD">
      <w:pPr>
        <w:widowControl/>
        <w:numPr>
          <w:ilvl w:val="0"/>
          <w:numId w:val="0"/>
        </w:numPr>
        <w:shd w:val="clear" w:color="auto" w:fill="FFFFFF"/>
        <w:jc w:val="left"/>
        <w:rPr>
          <w:rFonts w:hint="eastAsia" w:ascii="仿宋" w:hAnsi="宋体" w:eastAsia="仿宋" w:cs="宋体"/>
          <w:color w:val="000000"/>
          <w:kern w:val="0"/>
          <w:sz w:val="32"/>
          <w:szCs w:val="32"/>
        </w:rPr>
      </w:pPr>
    </w:p>
    <w:p w14:paraId="01D9D059">
      <w:pPr>
        <w:widowControl/>
        <w:numPr>
          <w:ilvl w:val="0"/>
          <w:numId w:val="0"/>
        </w:numPr>
        <w:shd w:val="clear" w:color="auto" w:fill="FFFFFF"/>
        <w:jc w:val="left"/>
        <w:rPr>
          <w:rFonts w:hint="eastAsia" w:ascii="仿宋" w:hAnsi="宋体" w:eastAsia="仿宋" w:cs="宋体"/>
          <w:color w:val="000000"/>
          <w:kern w:val="0"/>
          <w:sz w:val="32"/>
          <w:szCs w:val="32"/>
        </w:rPr>
      </w:pPr>
    </w:p>
    <w:p w14:paraId="62A67F80">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D664E58">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7113A9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4EFFFA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1C9F4F1">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F499B7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FA164A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7B5C10C">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F4A5C3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C0052B7">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23CC4C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FAA5C8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A71E2B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0DBD10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E6FAD9E">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4B7E2E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D9055C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FCFB59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D27D5F0">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7D09F2-4D04-49AC-B64F-794504E400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179B8C8-03DF-4C37-9282-66C925A35066}"/>
  </w:font>
  <w:font w:name="仿宋_GB2312">
    <w:panose1 w:val="02010609030101010101"/>
    <w:charset w:val="86"/>
    <w:family w:val="modern"/>
    <w:pitch w:val="default"/>
    <w:sig w:usb0="00000001" w:usb1="080E0000" w:usb2="00000000" w:usb3="00000000" w:csb0="00040000" w:csb1="00000000"/>
    <w:embedRegular r:id="rId3" w:fontKey="{1F73A082-6F46-479B-A23A-5EEC3908610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250F1BCE-3B85-4510-B3FF-0952927EDFF0}"/>
  </w:font>
  <w:font w:name="楷体">
    <w:panose1 w:val="02010609060101010101"/>
    <w:charset w:val="86"/>
    <w:family w:val="auto"/>
    <w:pitch w:val="default"/>
    <w:sig w:usb0="800002BF" w:usb1="38CF7CFA" w:usb2="00000016" w:usb3="00000000" w:csb0="00040001" w:csb1="00000000"/>
    <w:embedRegular r:id="rId5" w:fontKey="{758F7B39-2890-4298-BDE2-FCB891535DDF}"/>
  </w:font>
  <w:font w:name="楷体_GB2312">
    <w:panose1 w:val="02010609030101010101"/>
    <w:charset w:val="86"/>
    <w:family w:val="modern"/>
    <w:pitch w:val="default"/>
    <w:sig w:usb0="00000001" w:usb1="080E0000" w:usb2="00000000" w:usb3="00000000" w:csb0="00040000" w:csb1="00000000"/>
    <w:embedRegular r:id="rId6" w:fontKey="{C4CEC095-9F70-44D7-BA91-72034EE421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BE4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B89CB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4B89CB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BD0D7"/>
    <w:multiLevelType w:val="singleLevel"/>
    <w:tmpl w:val="5C6BD0D7"/>
    <w:lvl w:ilvl="0" w:tentative="0">
      <w:start w:val="3"/>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16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2F2FDE"/>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086F52"/>
    <w:rsid w:val="298D0C33"/>
    <w:rsid w:val="29A12E30"/>
    <w:rsid w:val="29B4649A"/>
    <w:rsid w:val="29DC2D0C"/>
    <w:rsid w:val="29EE4FAE"/>
    <w:rsid w:val="2A3E1EBB"/>
    <w:rsid w:val="2A6A7B31"/>
    <w:rsid w:val="2A8D683F"/>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62077E"/>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3FE816E9"/>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EC2571"/>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4C3299"/>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081D47"/>
    <w:rsid w:val="571A40C7"/>
    <w:rsid w:val="572306F4"/>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2548DD"/>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0D3BA9"/>
    <w:rsid w:val="69206FE6"/>
    <w:rsid w:val="69275944"/>
    <w:rsid w:val="69A56796"/>
    <w:rsid w:val="69A67CDD"/>
    <w:rsid w:val="69AA25B9"/>
    <w:rsid w:val="6A5C2965"/>
    <w:rsid w:val="6ABE3F1A"/>
    <w:rsid w:val="6AEF5784"/>
    <w:rsid w:val="6AEF6426"/>
    <w:rsid w:val="6B256BBD"/>
    <w:rsid w:val="6C17358A"/>
    <w:rsid w:val="6C192DF4"/>
    <w:rsid w:val="6C225750"/>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A77234"/>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1322</Words>
  <Characters>1351</Characters>
  <Lines>1</Lines>
  <Paragraphs>1</Paragraphs>
  <TotalTime>64</TotalTime>
  <ScaleCrop>false</ScaleCrop>
  <LinksUpToDate>false</LinksUpToDate>
  <CharactersWithSpaces>1357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2025-05-16T02:26:24Z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2478084EF09949B6A437AB98EEC5F7CA_13</vt:lpwstr>
  </property>
</Properties>
</file>