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510E">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4FFA3E9F">
      <w:pPr>
        <w:widowControl/>
        <w:spacing w:line="580" w:lineRule="exact"/>
        <w:ind w:firstLine="883" w:firstLineChars="200"/>
        <w:contextualSpacing/>
        <w:jc w:val="center"/>
        <w:rPr>
          <w:rFonts w:ascii="宋体"/>
          <w:b/>
          <w:sz w:val="44"/>
          <w:szCs w:val="44"/>
          <w:shd w:val="clear" w:color="auto" w:fill="FFFFFF"/>
        </w:rPr>
      </w:pPr>
    </w:p>
    <w:p w14:paraId="38FF79A7">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598CD8F5">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34FF160C">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712B02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A2178E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EDBD9F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3"/>
          <w:rFonts w:hint="eastAsia" w:ascii="仿宋_GB2312" w:hAnsi="宋体" w:eastAsia="仿宋_GB2312" w:cs="仿宋_GB2312"/>
          <w:b w:val="0"/>
          <w:bCs w:val="0"/>
          <w:i w:val="0"/>
          <w:iCs w:val="0"/>
          <w:caps w:val="0"/>
          <w:color w:val="000000"/>
          <w:spacing w:val="0"/>
          <w:sz w:val="32"/>
          <w:szCs w:val="32"/>
          <w:shd w:val="clear" w:color="auto" w:fill="FFFFFF"/>
          <w:lang w:eastAsia="zh-CN"/>
        </w:rPr>
        <w:t>毛坪镇</w:t>
      </w:r>
      <w:r>
        <w:rPr>
          <w:rStyle w:val="13"/>
          <w:rFonts w:ascii="仿宋_GB2312" w:hAnsi="宋体" w:eastAsia="仿宋_GB2312" w:cs="仿宋_GB2312"/>
          <w:b w:val="0"/>
          <w:bCs w:val="0"/>
          <w:i w:val="0"/>
          <w:iCs w:val="0"/>
          <w:caps w:val="0"/>
          <w:color w:val="000000"/>
          <w:spacing w:val="0"/>
          <w:sz w:val="32"/>
          <w:szCs w:val="32"/>
          <w:shd w:val="clear" w:color="auto" w:fill="FFFFFF"/>
        </w:rPr>
        <w:t>人民政府属行政单位，</w:t>
      </w:r>
      <w:r>
        <w:rPr>
          <w:rStyle w:val="13"/>
          <w:rFonts w:hint="default" w:ascii="仿宋_GB2312" w:hAnsi="宋体" w:eastAsia="仿宋_GB2312" w:cs="仿宋_GB2312"/>
          <w:b w:val="0"/>
          <w:bCs w:val="0"/>
          <w:i w:val="0"/>
          <w:iCs w:val="0"/>
          <w:caps w:val="0"/>
          <w:color w:val="000000"/>
          <w:spacing w:val="0"/>
          <w:sz w:val="32"/>
          <w:szCs w:val="32"/>
          <w:shd w:val="clear" w:color="auto" w:fill="FFFFFF"/>
        </w:rPr>
        <w:t>内设六办一所四中心。包括党政办、党建办公室、社会事务办公室、规划建设管理办公室、乡村振兴办公室、综合执法办公室、财政所、便民服务中心、农业综合服务中心、综治中心、文化旅游服务中心。</w:t>
      </w:r>
    </w:p>
    <w:p w14:paraId="4297A8AC">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BFB3962">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3"/>
          <w:rFonts w:ascii="仿宋_GB2312" w:hAnsi="宋体" w:eastAsia="仿宋_GB2312" w:cs="仿宋_GB2312"/>
          <w:b w:val="0"/>
          <w:bCs w:val="0"/>
          <w:i w:val="0"/>
          <w:iCs w:val="0"/>
          <w:caps w:val="0"/>
          <w:color w:val="000000"/>
          <w:spacing w:val="0"/>
          <w:sz w:val="32"/>
          <w:szCs w:val="32"/>
          <w:shd w:val="clear" w:color="auto" w:fill="FFFFFF"/>
        </w:rPr>
        <w:t>落实国家政策，</w:t>
      </w:r>
      <w:r>
        <w:rPr>
          <w:rStyle w:val="13"/>
          <w:rFonts w:hint="default" w:ascii="仿宋_GB2312" w:hAnsi="宋体" w:eastAsia="仿宋_GB2312" w:cs="仿宋_GB2312"/>
          <w:b w:val="0"/>
          <w:bCs w:val="0"/>
          <w:i w:val="0"/>
          <w:iCs w:val="0"/>
          <w:caps w:val="0"/>
          <w:color w:val="000000"/>
          <w:spacing w:val="0"/>
          <w:sz w:val="32"/>
          <w:szCs w:val="32"/>
          <w:shd w:val="clear" w:color="auto" w:fill="FFFFFF"/>
        </w:rPr>
        <w:t>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w:t>
      </w:r>
      <w:r>
        <w:rPr>
          <w:rStyle w:val="13"/>
          <w:rFonts w:hint="eastAsia" w:ascii="仿宋_GB2312" w:hAnsi="宋体" w:eastAsia="仿宋_GB2312" w:cs="仿宋_GB2312"/>
          <w:b w:val="0"/>
          <w:bCs w:val="0"/>
          <w:i w:val="0"/>
          <w:iCs w:val="0"/>
          <w:caps w:val="0"/>
          <w:color w:val="000000"/>
          <w:spacing w:val="0"/>
          <w:sz w:val="32"/>
          <w:szCs w:val="32"/>
          <w:lang w:eastAsia="zh-CN"/>
        </w:rPr>
        <w:t>毛坪镇</w:t>
      </w:r>
      <w:r>
        <w:rPr>
          <w:rStyle w:val="13"/>
          <w:rFonts w:ascii="仿宋_GB2312" w:hAnsi="宋体" w:eastAsia="仿宋_GB2312" w:cs="仿宋_GB2312"/>
          <w:b w:val="0"/>
          <w:bCs w:val="0"/>
          <w:i w:val="0"/>
          <w:iCs w:val="0"/>
          <w:caps w:val="0"/>
          <w:color w:val="000000"/>
          <w:spacing w:val="0"/>
          <w:sz w:val="32"/>
          <w:szCs w:val="32"/>
        </w:rPr>
        <w:t>总编制</w:t>
      </w:r>
      <w:r>
        <w:rPr>
          <w:rStyle w:val="13"/>
          <w:rFonts w:hint="eastAsia" w:ascii="仿宋_GB2312" w:hAnsi="宋体" w:eastAsia="仿宋_GB2312" w:cs="仿宋_GB2312"/>
          <w:b w:val="0"/>
          <w:bCs w:val="0"/>
          <w:i w:val="0"/>
          <w:iCs w:val="0"/>
          <w:caps w:val="0"/>
          <w:color w:val="000000"/>
          <w:spacing w:val="0"/>
          <w:sz w:val="32"/>
          <w:szCs w:val="32"/>
          <w:lang w:val="en-US" w:eastAsia="zh-CN"/>
        </w:rPr>
        <w:t>40</w:t>
      </w:r>
      <w:r>
        <w:rPr>
          <w:rStyle w:val="13"/>
          <w:rFonts w:hint="default" w:ascii="仿宋_GB2312" w:hAnsi="宋体" w:eastAsia="仿宋_GB2312" w:cs="仿宋_GB2312"/>
          <w:b w:val="0"/>
          <w:bCs w:val="0"/>
          <w:i w:val="0"/>
          <w:iCs w:val="0"/>
          <w:caps w:val="0"/>
          <w:color w:val="000000"/>
          <w:spacing w:val="0"/>
          <w:sz w:val="32"/>
          <w:szCs w:val="32"/>
        </w:rPr>
        <w:t>名，其中：行政编制</w:t>
      </w:r>
      <w:r>
        <w:rPr>
          <w:rStyle w:val="13"/>
          <w:rFonts w:hint="eastAsia" w:ascii="仿宋_GB2312" w:hAnsi="宋体" w:eastAsia="仿宋_GB2312" w:cs="仿宋_GB2312"/>
          <w:b w:val="0"/>
          <w:bCs w:val="0"/>
          <w:i w:val="0"/>
          <w:iCs w:val="0"/>
          <w:caps w:val="0"/>
          <w:color w:val="000000"/>
          <w:spacing w:val="0"/>
          <w:sz w:val="32"/>
          <w:szCs w:val="32"/>
          <w:lang w:val="en-US" w:eastAsia="zh-CN"/>
        </w:rPr>
        <w:t>20</w:t>
      </w:r>
      <w:r>
        <w:rPr>
          <w:rStyle w:val="13"/>
          <w:rFonts w:hint="default" w:ascii="仿宋_GB2312" w:hAnsi="宋体" w:eastAsia="仿宋_GB2312" w:cs="仿宋_GB2312"/>
          <w:b w:val="0"/>
          <w:bCs w:val="0"/>
          <w:i w:val="0"/>
          <w:iCs w:val="0"/>
          <w:caps w:val="0"/>
          <w:color w:val="000000"/>
          <w:spacing w:val="0"/>
          <w:sz w:val="32"/>
          <w:szCs w:val="32"/>
        </w:rPr>
        <w:t>名，工勤编制0名，事业编制</w:t>
      </w:r>
      <w:r>
        <w:rPr>
          <w:rStyle w:val="13"/>
          <w:rFonts w:hint="eastAsia" w:ascii="仿宋_GB2312" w:hAnsi="宋体" w:eastAsia="仿宋_GB2312" w:cs="仿宋_GB2312"/>
          <w:b w:val="0"/>
          <w:bCs w:val="0"/>
          <w:i w:val="0"/>
          <w:iCs w:val="0"/>
          <w:caps w:val="0"/>
          <w:color w:val="000000"/>
          <w:spacing w:val="0"/>
          <w:sz w:val="32"/>
          <w:szCs w:val="32"/>
          <w:lang w:val="en-US" w:eastAsia="zh-CN"/>
        </w:rPr>
        <w:t>20</w:t>
      </w:r>
      <w:r>
        <w:rPr>
          <w:rStyle w:val="13"/>
          <w:rFonts w:hint="default" w:ascii="仿宋_GB2312" w:hAnsi="宋体" w:eastAsia="仿宋_GB2312" w:cs="仿宋_GB2312"/>
          <w:b w:val="0"/>
          <w:bCs w:val="0"/>
          <w:i w:val="0"/>
          <w:iCs w:val="0"/>
          <w:caps w:val="0"/>
          <w:color w:val="000000"/>
          <w:spacing w:val="0"/>
          <w:sz w:val="32"/>
          <w:szCs w:val="32"/>
        </w:rPr>
        <w:t>名。在职人员总数</w:t>
      </w:r>
      <w:r>
        <w:rPr>
          <w:rStyle w:val="13"/>
          <w:rFonts w:hint="eastAsia" w:ascii="仿宋_GB2312" w:hAnsi="宋体" w:eastAsia="仿宋_GB2312" w:cs="仿宋_GB2312"/>
          <w:b w:val="0"/>
          <w:bCs w:val="0"/>
          <w:i w:val="0"/>
          <w:iCs w:val="0"/>
          <w:caps w:val="0"/>
          <w:color w:val="000000"/>
          <w:spacing w:val="0"/>
          <w:sz w:val="32"/>
          <w:szCs w:val="32"/>
          <w:lang w:val="en-US" w:eastAsia="zh-CN"/>
        </w:rPr>
        <w:t>3</w:t>
      </w:r>
      <w:r>
        <w:rPr>
          <w:rStyle w:val="13"/>
          <w:rFonts w:hint="default" w:ascii="仿宋_GB2312" w:hAnsi="宋体" w:eastAsia="仿宋_GB2312" w:cs="仿宋_GB2312"/>
          <w:b w:val="0"/>
          <w:bCs w:val="0"/>
          <w:i w:val="0"/>
          <w:iCs w:val="0"/>
          <w:caps w:val="0"/>
          <w:color w:val="000000"/>
          <w:spacing w:val="0"/>
          <w:sz w:val="32"/>
          <w:szCs w:val="32"/>
          <w:lang w:val="en-US" w:eastAsia="zh-CN"/>
        </w:rPr>
        <w:t>5</w:t>
      </w:r>
      <w:r>
        <w:rPr>
          <w:rStyle w:val="13"/>
          <w:rFonts w:hint="default" w:ascii="仿宋_GB2312" w:hAnsi="宋体" w:eastAsia="仿宋_GB2312" w:cs="仿宋_GB2312"/>
          <w:b w:val="0"/>
          <w:bCs w:val="0"/>
          <w:i w:val="0"/>
          <w:iCs w:val="0"/>
          <w:caps w:val="0"/>
          <w:color w:val="000000"/>
          <w:spacing w:val="0"/>
          <w:sz w:val="32"/>
          <w:szCs w:val="32"/>
        </w:rPr>
        <w:t>名，其中：行政</w:t>
      </w:r>
      <w:r>
        <w:rPr>
          <w:rStyle w:val="13"/>
          <w:rFonts w:hint="eastAsia" w:ascii="仿宋_GB2312" w:hAnsi="宋体" w:eastAsia="仿宋_GB2312" w:cs="仿宋_GB2312"/>
          <w:b w:val="0"/>
          <w:bCs w:val="0"/>
          <w:i w:val="0"/>
          <w:iCs w:val="0"/>
          <w:caps w:val="0"/>
          <w:color w:val="000000"/>
          <w:spacing w:val="0"/>
          <w:sz w:val="32"/>
          <w:szCs w:val="32"/>
          <w:lang w:val="en-US" w:eastAsia="zh-CN"/>
        </w:rPr>
        <w:t>1</w:t>
      </w:r>
      <w:r>
        <w:rPr>
          <w:rStyle w:val="13"/>
          <w:rFonts w:hint="default" w:ascii="仿宋_GB2312" w:hAnsi="宋体" w:eastAsia="仿宋_GB2312" w:cs="仿宋_GB2312"/>
          <w:b w:val="0"/>
          <w:bCs w:val="0"/>
          <w:i w:val="0"/>
          <w:iCs w:val="0"/>
          <w:caps w:val="0"/>
          <w:color w:val="000000"/>
          <w:spacing w:val="0"/>
          <w:sz w:val="32"/>
          <w:szCs w:val="32"/>
          <w:lang w:val="en-US" w:eastAsia="zh-CN"/>
        </w:rPr>
        <w:t>9</w:t>
      </w:r>
      <w:r>
        <w:rPr>
          <w:rStyle w:val="13"/>
          <w:rFonts w:hint="default" w:ascii="仿宋_GB2312" w:hAnsi="宋体" w:eastAsia="仿宋_GB2312" w:cs="仿宋_GB2312"/>
          <w:b w:val="0"/>
          <w:bCs w:val="0"/>
          <w:i w:val="0"/>
          <w:iCs w:val="0"/>
          <w:caps w:val="0"/>
          <w:color w:val="000000"/>
          <w:spacing w:val="0"/>
          <w:sz w:val="32"/>
          <w:szCs w:val="32"/>
        </w:rPr>
        <w:t>名，工勤</w:t>
      </w:r>
      <w:r>
        <w:rPr>
          <w:rStyle w:val="13"/>
          <w:rFonts w:hint="eastAsia" w:ascii="仿宋_GB2312" w:hAnsi="宋体" w:eastAsia="仿宋_GB2312" w:cs="仿宋_GB2312"/>
          <w:b w:val="0"/>
          <w:bCs w:val="0"/>
          <w:i w:val="0"/>
          <w:iCs w:val="0"/>
          <w:caps w:val="0"/>
          <w:color w:val="000000"/>
          <w:spacing w:val="0"/>
          <w:sz w:val="32"/>
          <w:szCs w:val="32"/>
          <w:lang w:val="en-US" w:eastAsia="zh-CN"/>
        </w:rPr>
        <w:t>0</w:t>
      </w:r>
      <w:r>
        <w:rPr>
          <w:rStyle w:val="13"/>
          <w:rFonts w:hint="default" w:ascii="仿宋_GB2312" w:hAnsi="宋体" w:eastAsia="仿宋_GB2312" w:cs="仿宋_GB2312"/>
          <w:b w:val="0"/>
          <w:bCs w:val="0"/>
          <w:i w:val="0"/>
          <w:iCs w:val="0"/>
          <w:caps w:val="0"/>
          <w:color w:val="000000"/>
          <w:spacing w:val="0"/>
          <w:sz w:val="32"/>
          <w:szCs w:val="32"/>
        </w:rPr>
        <w:t>名，事业</w:t>
      </w:r>
      <w:r>
        <w:rPr>
          <w:rStyle w:val="13"/>
          <w:rFonts w:hint="eastAsia" w:ascii="仿宋_GB2312" w:hAnsi="宋体" w:eastAsia="仿宋_GB2312" w:cs="仿宋_GB2312"/>
          <w:b w:val="0"/>
          <w:bCs w:val="0"/>
          <w:i w:val="0"/>
          <w:iCs w:val="0"/>
          <w:caps w:val="0"/>
          <w:color w:val="000000"/>
          <w:spacing w:val="0"/>
          <w:sz w:val="32"/>
          <w:szCs w:val="32"/>
          <w:lang w:val="en-US" w:eastAsia="zh-CN"/>
        </w:rPr>
        <w:t>1</w:t>
      </w:r>
      <w:r>
        <w:rPr>
          <w:rStyle w:val="13"/>
          <w:rFonts w:hint="default" w:ascii="仿宋_GB2312" w:hAnsi="宋体" w:eastAsia="仿宋_GB2312" w:cs="仿宋_GB2312"/>
          <w:b w:val="0"/>
          <w:bCs w:val="0"/>
          <w:i w:val="0"/>
          <w:iCs w:val="0"/>
          <w:caps w:val="0"/>
          <w:color w:val="000000"/>
          <w:spacing w:val="0"/>
          <w:sz w:val="32"/>
          <w:szCs w:val="32"/>
          <w:lang w:val="en-US" w:eastAsia="zh-CN"/>
        </w:rPr>
        <w:t>6</w:t>
      </w:r>
      <w:r>
        <w:rPr>
          <w:rStyle w:val="13"/>
          <w:rFonts w:hint="default" w:ascii="仿宋_GB2312" w:hAnsi="宋体" w:eastAsia="仿宋_GB2312" w:cs="仿宋_GB2312"/>
          <w:b w:val="0"/>
          <w:bCs w:val="0"/>
          <w:i w:val="0"/>
          <w:iCs w:val="0"/>
          <w:caps w:val="0"/>
          <w:color w:val="000000"/>
          <w:spacing w:val="0"/>
          <w:sz w:val="32"/>
          <w:szCs w:val="32"/>
        </w:rPr>
        <w:t>名。离休0名。</w:t>
      </w:r>
    </w:p>
    <w:p w14:paraId="5005D694">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37FE29B7">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bCs/>
          <w:sz w:val="32"/>
          <w:szCs w:val="32"/>
        </w:rPr>
        <w:t>抓巩固、促提升</w:t>
      </w:r>
      <w:r>
        <w:rPr>
          <w:rFonts w:hint="default" w:ascii="Times New Roman" w:hAnsi="Times New Roman" w:eastAsia="楷体_GB2312" w:cs="Times New Roman"/>
          <w:b/>
          <w:bCs/>
          <w:sz w:val="32"/>
          <w:szCs w:val="32"/>
          <w:lang w:eastAsia="zh-CN"/>
        </w:rPr>
        <w:t>，全面推进乡村振兴</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lang w:eastAsia="zh-CN"/>
        </w:rPr>
        <w:t>坚决落实防返贫监测帮扶机制，</w:t>
      </w:r>
      <w:r>
        <w:rPr>
          <w:rFonts w:hint="default" w:ascii="Times New Roman" w:hAnsi="Times New Roman" w:eastAsia="仿宋_GB2312" w:cs="Times New Roman"/>
          <w:color w:val="auto"/>
          <w:sz w:val="32"/>
          <w:szCs w:val="32"/>
          <w:lang w:val="en-US" w:eastAsia="zh-CN"/>
        </w:rPr>
        <w:t>新增监测户5户16人。</w:t>
      </w:r>
      <w:r>
        <w:rPr>
          <w:rFonts w:hint="default" w:ascii="Times New Roman" w:hAnsi="Times New Roman" w:eastAsia="仿宋_GB2312" w:cs="Times New Roman"/>
          <w:color w:val="auto"/>
          <w:sz w:val="32"/>
          <w:szCs w:val="32"/>
        </w:rPr>
        <w:t>压紧压实镇党委政府、村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、帮扶部门、联户干部、驻村工作队员责任，扎实开展防止返贫监测帮扶集中排查，</w:t>
      </w:r>
      <w:r>
        <w:rPr>
          <w:rFonts w:hint="default" w:ascii="Times New Roman" w:hAnsi="Times New Roman" w:eastAsia="仿宋_GB2312" w:cs="Times New Roman"/>
          <w:color w:val="auto"/>
          <w:sz w:val="32"/>
          <w:szCs w:val="32"/>
          <w:lang w:val="en-US" w:eastAsia="zh-CN"/>
        </w:rPr>
        <w:t>一户一策落实帮扶措施，守住不发生一户一人返贫致贫底线，坚持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五方会审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，动态消除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两不愁三保障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和饮水安全短板，持续落实医疗、教育、低保各项帮扶措施，</w:t>
      </w:r>
      <w:r>
        <w:rPr>
          <w:rFonts w:hint="default" w:ascii="Times New Roman" w:hAnsi="Times New Roman" w:eastAsia="仿宋_GB2312" w:cs="Times New Roman"/>
          <w:b w:val="0"/>
          <w:bCs w:val="0"/>
          <w:color w:val="auto"/>
          <w:sz w:val="32"/>
          <w:szCs w:val="32"/>
          <w:lang w:eastAsia="zh-CN"/>
        </w:rPr>
        <w:t>扎实开展贫困户、监测户发展庭院经济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五小到户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项目，对全镇</w:t>
      </w:r>
      <w:r>
        <w:rPr>
          <w:rFonts w:hint="default" w:ascii="Times New Roman" w:hAnsi="Times New Roman" w:eastAsia="仿宋_GB2312" w:cs="Times New Roman"/>
          <w:b w:val="0"/>
          <w:bCs w:val="0"/>
          <w:color w:val="auto"/>
          <w:sz w:val="32"/>
          <w:szCs w:val="32"/>
          <w:lang w:val="en-US" w:eastAsia="zh-CN"/>
        </w:rPr>
        <w:t>795户贫困户、40户监测户开展全覆盖检查验收，兑现奖补资金368.708万元，确保收入指标实现两个高于，且</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应算尽算</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全镇无一人致贫返贫。</w:t>
      </w:r>
    </w:p>
    <w:p w14:paraId="398FAE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（二）</w:t>
      </w:r>
      <w:r>
        <w:rPr>
          <w:rFonts w:hint="default" w:ascii="Times New Roman" w:hAnsi="Times New Roman" w:eastAsia="楷体_GB2312" w:cs="Times New Roman"/>
          <w:b/>
          <w:bCs/>
          <w:sz w:val="32"/>
          <w:szCs w:val="32"/>
          <w:lang w:eastAsia="zh-CN"/>
        </w:rPr>
        <w:t>抓产业、强支撑，激发经济发展动力</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rPr>
        <w:t>鼓励农户扩大粮食种植面积，</w:t>
      </w:r>
      <w:r>
        <w:rPr>
          <w:rFonts w:hint="default" w:ascii="Times New Roman" w:hAnsi="Times New Roman" w:eastAsia="仿宋_GB2312" w:cs="Times New Roman"/>
          <w:sz w:val="32"/>
          <w:szCs w:val="32"/>
          <w:lang w:eastAsia="zh-CN"/>
        </w:rPr>
        <w:t>超额完成</w:t>
      </w:r>
      <w:r>
        <w:rPr>
          <w:rFonts w:hint="default" w:ascii="Times New Roman" w:hAnsi="Times New Roman" w:eastAsia="仿宋_GB2312" w:cs="Times New Roman"/>
          <w:sz w:val="32"/>
          <w:szCs w:val="32"/>
        </w:rPr>
        <w:t>玉米、大豆等粮食播种面积达2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万亩，羊角菜种植面积达1.2万亩</w:t>
      </w:r>
      <w:r>
        <w:rPr>
          <w:rFonts w:hint="default" w:ascii="Times New Roman" w:hAnsi="Times New Roman" w:eastAsia="仿宋_GB2312" w:cs="Times New Roman"/>
          <w:sz w:val="32"/>
          <w:szCs w:val="32"/>
          <w:lang w:eastAsia="zh-CN"/>
        </w:rPr>
        <w:t>，实现人均增收</w:t>
      </w:r>
      <w:r>
        <w:rPr>
          <w:rFonts w:hint="default" w:ascii="Times New Roman" w:hAnsi="Times New Roman" w:eastAsia="仿宋_GB2312" w:cs="Times New Roman"/>
          <w:sz w:val="32"/>
          <w:szCs w:val="32"/>
          <w:lang w:val="en-US" w:eastAsia="zh-CN"/>
        </w:rPr>
        <w:t>1400元以上。</w:t>
      </w:r>
      <w:r>
        <w:rPr>
          <w:rFonts w:hint="default" w:ascii="Times New Roman" w:hAnsi="Times New Roman" w:eastAsia="仿宋_GB2312" w:cs="Times New Roman"/>
          <w:sz w:val="32"/>
          <w:szCs w:val="32"/>
        </w:rPr>
        <w:t>积极提升猕猴桃、高山蔬菜等特色优势产业品牌竞争力，培育壮大虹浩家庭农场、</w:t>
      </w:r>
      <w:r>
        <w:rPr>
          <w:rFonts w:hint="default" w:ascii="Times New Roman" w:hAnsi="Times New Roman" w:eastAsia="仿宋_GB2312" w:cs="Times New Roman"/>
          <w:sz w:val="32"/>
          <w:szCs w:val="32"/>
          <w:lang w:eastAsia="zh-CN"/>
        </w:rPr>
        <w:t>伯仲养殖专业合作社</w:t>
      </w:r>
      <w:r>
        <w:rPr>
          <w:rFonts w:hint="default" w:ascii="Times New Roman" w:hAnsi="Times New Roman" w:eastAsia="仿宋_GB2312" w:cs="Times New Roman"/>
          <w:sz w:val="32"/>
          <w:szCs w:val="32"/>
        </w:rPr>
        <w:t>等新型农业经营主体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实现经营主体、农户、村集体经济捆绑发展、合作共赢，带动</w:t>
      </w:r>
      <w:r>
        <w:rPr>
          <w:rFonts w:hint="default" w:ascii="Times New Roman" w:hAnsi="Times New Roman" w:eastAsia="仿宋_GB2312" w:cs="Times New Roman"/>
          <w:sz w:val="32"/>
          <w:szCs w:val="32"/>
          <w:lang w:val="en-US" w:eastAsia="zh-CN"/>
        </w:rPr>
        <w:t>446</w:t>
      </w:r>
      <w:r>
        <w:rPr>
          <w:rFonts w:hint="default" w:ascii="Times New Roman" w:hAnsi="Times New Roman" w:eastAsia="仿宋_GB2312" w:cs="Times New Roman"/>
          <w:sz w:val="32"/>
          <w:szCs w:val="32"/>
        </w:rPr>
        <w:t>户群众户均增收1万</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eastAsia="zh-CN"/>
        </w:rPr>
        <w:t>。深入推进“五经普”工作，完成单位清查200户、个体户清查425户，在全县率先实现底册清查；实现新增个体户175户。</w:t>
      </w:r>
      <w:r>
        <w:rPr>
          <w:rFonts w:hint="default" w:ascii="Times New Roman" w:hAnsi="Times New Roman" w:eastAsia="仿宋_GB2312" w:cs="Times New Roman"/>
          <w:b w:val="0"/>
          <w:bCs w:val="0"/>
          <w:color w:val="auto"/>
          <w:sz w:val="32"/>
          <w:szCs w:val="32"/>
          <w:lang w:eastAsia="zh-CN"/>
        </w:rPr>
        <w:t>加快推进</w:t>
      </w:r>
      <w:r>
        <w:rPr>
          <w:rFonts w:hint="default" w:ascii="Times New Roman" w:hAnsi="Times New Roman" w:eastAsia="仿宋_GB2312" w:cs="Times New Roman"/>
          <w:b w:val="0"/>
          <w:bCs w:val="0"/>
          <w:color w:val="auto"/>
          <w:sz w:val="32"/>
          <w:szCs w:val="32"/>
        </w:rPr>
        <w:t>猕猴桃粮经复合园区</w:t>
      </w:r>
      <w:r>
        <w:rPr>
          <w:rFonts w:hint="default" w:ascii="Times New Roman" w:hAnsi="Times New Roman" w:eastAsia="仿宋_GB2312" w:cs="Times New Roman"/>
          <w:b w:val="0"/>
          <w:bCs w:val="0"/>
          <w:color w:val="auto"/>
          <w:sz w:val="32"/>
          <w:szCs w:val="32"/>
          <w:lang w:eastAsia="zh-CN"/>
        </w:rPr>
        <w:t>建设，</w:t>
      </w:r>
      <w:r>
        <w:rPr>
          <w:rFonts w:hint="default" w:ascii="Times New Roman" w:hAnsi="Times New Roman" w:eastAsia="仿宋_GB2312" w:cs="Times New Roman"/>
          <w:color w:val="auto"/>
          <w:sz w:val="32"/>
          <w:szCs w:val="32"/>
        </w:rPr>
        <w:t>顺利迎接全市乡村振兴发展拉练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成功创建市级现代农业园区。</w:t>
      </w:r>
      <w:r>
        <w:rPr>
          <w:rFonts w:hint="default" w:ascii="Times New Roman" w:hAnsi="Times New Roman" w:eastAsia="仿宋_GB2312" w:cs="Times New Roman"/>
          <w:color w:val="auto"/>
          <w:sz w:val="32"/>
          <w:szCs w:val="32"/>
          <w:lang w:val="en-US" w:eastAsia="zh-CN"/>
        </w:rPr>
        <w:t>聚焦乡村振兴、社会民生等领域，以加强基础设施建设、加快产业发展为导向，申报储备项目8个。全力服务保障银祥口石灰石项目顺利投产试运行，完成省级重点刘家沟玄武岩项目前期工作和茶园坪石灰石项目勘验工作，</w:t>
      </w:r>
      <w:r>
        <w:rPr>
          <w:rFonts w:hint="default" w:ascii="Times New Roman" w:hAnsi="Times New Roman" w:eastAsia="仿宋_GB2312" w:cs="Times New Roman"/>
          <w:color w:val="auto"/>
          <w:sz w:val="32"/>
          <w:szCs w:val="32"/>
          <w:lang w:eastAsia="zh-CN"/>
        </w:rPr>
        <w:t>妥善处理成昆复线</w:t>
      </w:r>
      <w:r>
        <w:rPr>
          <w:rFonts w:hint="default" w:ascii="Times New Roman" w:hAnsi="Times New Roman" w:eastAsia="仿宋_GB2312" w:cs="Times New Roman"/>
          <w:color w:val="auto"/>
          <w:sz w:val="32"/>
          <w:szCs w:val="32"/>
          <w:lang w:val="en-US" w:eastAsia="zh-CN"/>
        </w:rPr>
        <w:t>648户房屋评估、支付和320亩临时用地复垦工作，兑付资金111.62万元。</w:t>
      </w:r>
      <w:r>
        <w:rPr>
          <w:rFonts w:hint="default" w:ascii="Times New Roman" w:hAnsi="Times New Roman" w:eastAsia="仿宋_GB2312" w:cs="Times New Roman"/>
          <w:color w:val="auto"/>
          <w:sz w:val="32"/>
          <w:szCs w:val="32"/>
          <w:highlight w:val="none"/>
          <w:lang w:eastAsia="zh-CN"/>
        </w:rPr>
        <w:t>加快乡村振兴衔接资金使用拨付进度，</w:t>
      </w:r>
      <w:r>
        <w:rPr>
          <w:rFonts w:hint="default" w:ascii="Times New Roman" w:hAnsi="Times New Roman" w:eastAsia="仿宋_GB2312" w:cs="Times New Roman"/>
          <w:color w:val="auto"/>
          <w:sz w:val="32"/>
          <w:szCs w:val="32"/>
          <w:highlight w:val="none"/>
          <w:lang w:val="en-US" w:eastAsia="zh-CN"/>
        </w:rPr>
        <w:t>资金拨付率100%。</w:t>
      </w:r>
    </w:p>
    <w:p w14:paraId="4979F7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eastAsia="zh-CN"/>
        </w:rPr>
        <w:t>（三）抓治理、优环境，加快美丽乡村</w:t>
      </w:r>
      <w:r>
        <w:rPr>
          <w:rFonts w:hint="default" w:ascii="Times New Roman" w:hAnsi="Times New Roman" w:eastAsia="楷体_GB2312" w:cs="Times New Roman"/>
          <w:b/>
          <w:bCs/>
          <w:sz w:val="32"/>
          <w:szCs w:val="32"/>
          <w:lang w:eastAsia="zh-CN"/>
        </w:rPr>
        <w:t>建设</w:t>
      </w:r>
      <w:r>
        <w:rPr>
          <w:rFonts w:hint="default" w:ascii="Times New Roman" w:hAnsi="Times New Roman" w:cs="Times New Roman"/>
          <w:b/>
          <w:bCs/>
          <w:sz w:val="32"/>
          <w:szCs w:val="32"/>
          <w:lang w:eastAsia="zh-CN"/>
        </w:rPr>
        <w:t>。</w:t>
      </w:r>
      <w:r>
        <w:rPr>
          <w:rFonts w:hint="default" w:ascii="Times New Roman" w:hAnsi="Times New Roman" w:eastAsia="仿宋_GB2312" w:cs="Times New Roman"/>
          <w:color w:val="auto"/>
          <w:sz w:val="32"/>
          <w:szCs w:val="32"/>
          <w:lang w:eastAsia="zh-CN"/>
        </w:rPr>
        <w:t>牢牢守住耕地红线，对44个承诺耕地图斑进行恢复整改，恢复耕地面积260余亩，对460个耕地与永久基本农田图斑进行核实处置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整改2020年7月3日以来新增乱占耕地建房图斑6个、2021年耕地流向建设用地乱占耕地建房问题1个、2022年耕地流向建设用地乱占耕地建房问题1个、2018-2022历年卫片图斑2个。</w:t>
      </w:r>
      <w:r>
        <w:rPr>
          <w:rFonts w:hint="default" w:ascii="Times New Roman" w:hAnsi="Times New Roman" w:eastAsia="仿宋_GB2312" w:cs="Times New Roman"/>
          <w:color w:val="auto"/>
          <w:sz w:val="32"/>
          <w:szCs w:val="32"/>
        </w:rPr>
        <w:t>健全完善人居环境整治考核评估方案，开展人居环境整治专项行动</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次，清理河道、沟渠26公里，规范占道经营</w:t>
      </w:r>
      <w:r>
        <w:rPr>
          <w:rFonts w:hint="default"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起，拆除乱搭、乱堆15处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人居环境得到有效提升。</w:t>
      </w:r>
      <w:r>
        <w:rPr>
          <w:rFonts w:hint="eastAsia" w:ascii="Times New Roman" w:hAnsi="Times New Roman" w:eastAsia="仿宋_GB2312" w:cs="Times New Roman"/>
          <w:color w:val="auto"/>
          <w:sz w:val="32"/>
          <w:szCs w:val="32"/>
          <w:lang w:val="en-US" w:eastAsia="zh-CN"/>
        </w:rPr>
        <w:t>截至今年10月，全县“五清行动”考核，3月、7月、9月均排名第二，6月排名第四。</w:t>
      </w:r>
      <w:r>
        <w:rPr>
          <w:rFonts w:hint="default" w:ascii="Times New Roman" w:hAnsi="Times New Roman" w:eastAsia="仿宋_GB2312" w:cs="Times New Roman"/>
          <w:color w:val="auto"/>
          <w:sz w:val="32"/>
          <w:szCs w:val="32"/>
          <w:lang w:val="en-US" w:eastAsia="zh-CN"/>
        </w:rPr>
        <w:t>基层治理成效明显，成功创建县级枫桥式司法所，目前正在积极创建省级、市级枫桥式司法所。</w:t>
      </w:r>
    </w:p>
    <w:p w14:paraId="02626BB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（四）</w:t>
      </w:r>
      <w:r>
        <w:rPr>
          <w:rFonts w:hint="default" w:ascii="Times New Roman" w:hAnsi="Times New Roman" w:eastAsia="楷体_GB2312" w:cs="Times New Roman"/>
          <w:b/>
          <w:bCs/>
          <w:sz w:val="32"/>
          <w:szCs w:val="32"/>
          <w:lang w:eastAsia="zh-CN"/>
        </w:rPr>
        <w:t>抓安全、保稳定，提升基层治理水平</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lang w:val="en-US" w:eastAsia="zh-CN"/>
        </w:rPr>
        <w:t>扎实开展安全生产百日攻坚行动，对9处地质灾害点、18处山洪灾害点、3家非煤矿山企业、3座电站、1个加油站、2个在建工程、2处工棚开展隐患排查13次，消除安全隐患15个。配强镇村两级应急救援队伍160人，落实安全员43人、网格员17人，开展安全知识培训5场次、到企业宣讲6次，组织应急救援演练9场次。加大禁毒宣传教育力度，</w:t>
      </w:r>
      <w:r>
        <w:rPr>
          <w:rFonts w:hint="default" w:ascii="Times New Roman" w:hAnsi="Times New Roman" w:eastAsia="仿宋_GB2312" w:cs="Times New Roman"/>
          <w:color w:val="auto"/>
          <w:kern w:val="2"/>
          <w:sz w:val="32"/>
          <w:szCs w:val="32"/>
          <w:lang w:val="en-US" w:eastAsia="zh-CN" w:bidi="ar-SA"/>
        </w:rPr>
        <w:t>设立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26禁毒工作站</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，将原毛坪片区社戒社康中心改造为毛坪镇6.26禁毒工作站，作为全镇禁毒教育警示基地。</w:t>
      </w:r>
      <w:r>
        <w:rPr>
          <w:rFonts w:hint="default" w:ascii="Times New Roman" w:hAnsi="Times New Roman" w:eastAsia="仿宋_GB2312" w:cs="Times New Roman"/>
          <w:sz w:val="32"/>
          <w:szCs w:val="32"/>
          <w:lang w:val="en-US" w:eastAsia="zh-CN"/>
        </w:rPr>
        <w:t>发放禁毒倡议书3300份，规范各村（社区）禁毒宣传墙。加大重点风险区域排查，排查高危场所36处。加强信访维稳工作，化解矛盾纠纷83件，其中化解中央交办“治重化积”1件、县交办矛盾纠纷隐患群体2件、个人4件；</w:t>
      </w:r>
      <w:r>
        <w:rPr>
          <w:rFonts w:hint="default" w:ascii="Times New Roman" w:hAnsi="Times New Roman" w:eastAsia="仿宋_GB2312" w:cs="Times New Roman"/>
          <w:color w:val="auto"/>
          <w:sz w:val="32"/>
          <w:szCs w:val="32"/>
          <w:lang w:val="en-US" w:eastAsia="zh-CN"/>
        </w:rPr>
        <w:t>办理心连心热线104件，其中满意件103件，退办件1件，实现全</w:t>
      </w:r>
      <w:r>
        <w:rPr>
          <w:rFonts w:hint="default" w:ascii="Times New Roman" w:hAnsi="Times New Roman" w:eastAsia="仿宋_GB2312" w:cs="Times New Roman"/>
          <w:sz w:val="32"/>
          <w:szCs w:val="32"/>
          <w:lang w:val="en-US" w:eastAsia="zh-CN"/>
        </w:rPr>
        <w:t>国、省、市、县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大运会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等重要时期无到县以上信访</w:t>
      </w:r>
      <w:r>
        <w:rPr>
          <w:rFonts w:hint="default" w:ascii="Times New Roman" w:hAnsi="Times New Roman" w:eastAsia="仿宋_GB2312" w:cs="Times New Roman"/>
          <w:color w:val="auto"/>
          <w:sz w:val="32"/>
          <w:szCs w:val="32"/>
          <w:lang w:val="en-US" w:eastAsia="zh-CN"/>
        </w:rPr>
        <w:t>。</w:t>
      </w:r>
    </w:p>
    <w:p w14:paraId="484541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lang w:val="zh-CN"/>
        </w:rPr>
      </w:pPr>
      <w:r>
        <w:rPr>
          <w:rFonts w:hint="default" w:ascii="Times New Roman" w:hAnsi="Times New Roman" w:cs="Times New Roman"/>
          <w:b w:val="0"/>
          <w:bCs w:val="0"/>
          <w:kern w:val="2"/>
          <w:sz w:val="32"/>
          <w:szCs w:val="32"/>
          <w:lang w:val="en-US" w:eastAsia="zh-CN" w:bidi="ar-SA"/>
        </w:rPr>
        <w:t>（五）</w:t>
      </w:r>
      <w:r>
        <w:rPr>
          <w:rFonts w:hint="default" w:ascii="Times New Roman" w:hAnsi="Times New Roman" w:eastAsia="楷体_GB2312" w:cs="Times New Roman"/>
          <w:b/>
          <w:bCs/>
          <w:sz w:val="32"/>
          <w:szCs w:val="32"/>
          <w:lang w:eastAsia="zh-CN"/>
        </w:rPr>
        <w:t>抓党建、提思想，凝聚干事创业合力</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color w:val="auto"/>
          <w:sz w:val="32"/>
          <w:szCs w:val="32"/>
          <w:lang w:eastAsia="zh-CN"/>
        </w:rPr>
        <w:t>扎实开展学习贯彻习近平新时代中国特色社会主义思想主题教育，全镇</w:t>
      </w:r>
      <w:r>
        <w:rPr>
          <w:rFonts w:hint="default" w:ascii="Times New Roman" w:hAnsi="Times New Roman" w:eastAsia="仿宋_GB2312" w:cs="Times New Roman"/>
          <w:b w:val="0"/>
          <w:bCs w:val="0"/>
          <w:color w:val="auto"/>
          <w:sz w:val="32"/>
          <w:szCs w:val="32"/>
          <w:lang w:val="en-US" w:eastAsia="zh-CN"/>
        </w:rPr>
        <w:t>10个党支部根据学习计划，依托</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三会一课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、主题党日等，结合主题教育，组织</w:t>
      </w:r>
      <w:r>
        <w:rPr>
          <w:rFonts w:hint="default" w:ascii="Times New Roman" w:hAnsi="Times New Roman" w:eastAsia="仿宋_GB2312" w:cs="Times New Roman"/>
          <w:b w:val="0"/>
          <w:bCs w:val="0"/>
          <w:color w:val="auto"/>
          <w:sz w:val="32"/>
          <w:szCs w:val="32"/>
          <w:lang w:eastAsia="zh-CN"/>
        </w:rPr>
        <w:t>党员开展</w:t>
      </w:r>
      <w:r>
        <w:rPr>
          <w:rFonts w:hint="default" w:ascii="Times New Roman" w:hAnsi="Times New Roman" w:eastAsia="仿宋_GB2312" w:cs="Times New Roman"/>
          <w:color w:val="auto"/>
          <w:sz w:val="32"/>
          <w:szCs w:val="32"/>
          <w:highlight w:val="none"/>
          <w:lang w:eastAsia="zh-CN"/>
        </w:rPr>
        <w:t>融合式自学、讨论式研学、集训式深学、沉浸式践学，实现全镇</w:t>
      </w:r>
      <w:r>
        <w:rPr>
          <w:rFonts w:hint="default" w:ascii="Times New Roman" w:hAnsi="Times New Roman" w:eastAsia="仿宋_GB2312" w:cs="Times New Roman"/>
          <w:color w:val="auto"/>
          <w:sz w:val="32"/>
          <w:szCs w:val="32"/>
          <w:highlight w:val="none"/>
          <w:lang w:val="en-US" w:eastAsia="zh-CN"/>
        </w:rPr>
        <w:t>330名党员</w:t>
      </w:r>
      <w:r>
        <w:rPr>
          <w:rFonts w:hint="default" w:ascii="Times New Roman" w:hAnsi="Times New Roman" w:eastAsia="仿宋_GB2312" w:cs="Times New Roman"/>
          <w:color w:val="auto"/>
          <w:sz w:val="32"/>
          <w:szCs w:val="32"/>
          <w:highlight w:val="none"/>
          <w:lang w:eastAsia="zh-CN"/>
        </w:rPr>
        <w:t>全面覆盖、全员参与</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lang w:eastAsia="zh-CN"/>
        </w:rPr>
        <w:t>不断选优配强村</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两委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班子，调整补充村党支部书记</w:t>
      </w:r>
      <w:r>
        <w:rPr>
          <w:rFonts w:hint="default" w:ascii="Times New Roman" w:hAnsi="Times New Roman" w:eastAsia="仿宋_GB2312" w:cs="Times New Roman"/>
          <w:sz w:val="32"/>
          <w:szCs w:val="32"/>
          <w:highlight w:val="none"/>
          <w:lang w:val="en-US" w:eastAsia="zh-CN"/>
        </w:rPr>
        <w:t>2名、村文书1名</w:t>
      </w:r>
      <w:r>
        <w:rPr>
          <w:rFonts w:hint="default" w:ascii="Times New Roman" w:hAnsi="Times New Roman" w:eastAsia="仿宋_GB2312" w:cs="Times New Roman"/>
          <w:sz w:val="32"/>
          <w:szCs w:val="32"/>
          <w:highlight w:val="none"/>
          <w:lang w:eastAsia="zh-CN"/>
        </w:rPr>
        <w:t>。加大村级后备干部储备，鼓励</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highlight w:val="none"/>
          <w:lang w:eastAsia="zh-CN"/>
        </w:rPr>
        <w:t>优秀青年、大学毕业生、外出返乡人员参与村级事务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组建9支</w:t>
      </w:r>
      <w:r>
        <w:rPr>
          <w:rFonts w:hint="default" w:ascii="Times New Roman" w:hAnsi="Times New Roman" w:eastAsia="仿宋_GB2312" w:cs="Times New Roman"/>
          <w:color w:val="auto"/>
          <w:sz w:val="32"/>
          <w:szCs w:val="32"/>
          <w:highlight w:val="none"/>
          <w:lang w:val="en-US" w:eastAsia="zh-CN"/>
        </w:rPr>
        <w:t>毛坪山歌</w:t>
      </w:r>
      <w:r>
        <w:rPr>
          <w:rFonts w:hint="default" w:ascii="Times New Roman" w:hAnsi="Times New Roman" w:eastAsia="仿宋_GB2312" w:cs="Times New Roman"/>
          <w:b w:val="0"/>
          <w:bCs w:val="0"/>
          <w:color w:val="auto"/>
          <w:sz w:val="32"/>
          <w:szCs w:val="32"/>
          <w:highlight w:val="none"/>
          <w:lang w:val="en-US" w:eastAsia="zh-CN"/>
        </w:rPr>
        <w:t>宣讲队，开展党的理论、移风易俗等宣讲27场次，</w:t>
      </w:r>
      <w:r>
        <w:rPr>
          <w:rFonts w:hint="default" w:ascii="Times New Roman" w:hAnsi="Times New Roman" w:eastAsia="仿宋_GB2312" w:cs="Times New Roman"/>
          <w:b w:val="0"/>
          <w:bCs w:val="0"/>
          <w:sz w:val="32"/>
          <w:szCs w:val="32"/>
        </w:rPr>
        <w:t>积极倡导文明新风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rPr>
        <w:t>开展</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让文化沁润乡村，让书香溢满家园</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等精神文明实践活动12场次，</w:t>
      </w:r>
      <w:r>
        <w:rPr>
          <w:rFonts w:hint="default" w:ascii="Times New Roman" w:hAnsi="Times New Roman" w:eastAsia="仿宋_GB2312" w:cs="Times New Roman"/>
          <w:b w:val="0"/>
          <w:bCs w:val="0"/>
          <w:color w:val="auto"/>
          <w:sz w:val="32"/>
          <w:szCs w:val="32"/>
          <w:lang w:eastAsia="zh-CN"/>
        </w:rPr>
        <w:t>相关经验做法被中国网报道。</w:t>
      </w:r>
      <w:r>
        <w:rPr>
          <w:rFonts w:hint="default" w:ascii="Times New Roman" w:hAnsi="Times New Roman" w:eastAsia="仿宋_GB2312" w:cs="Times New Roman"/>
          <w:sz w:val="32"/>
          <w:szCs w:val="32"/>
        </w:rPr>
        <w:t>充分发挥党组织战斗堡垒作用，积极探索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模式，助推乡村振兴，《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小果子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走出致富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大路子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》被乐山党建采用，高山村村史馆被市委宣传部、市文联命名为全市曲艺传承发展基地</w:t>
      </w:r>
      <w:r>
        <w:rPr>
          <w:rFonts w:hint="default" w:ascii="Times New Roman" w:hAnsi="Times New Roman" w:eastAsia="仿宋_GB2312" w:cs="Times New Roman"/>
          <w:sz w:val="32"/>
          <w:szCs w:val="32"/>
          <w:lang w:eastAsia="zh-CN"/>
        </w:rPr>
        <w:t>。</w:t>
      </w:r>
    </w:p>
    <w:p w14:paraId="26C49D6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6FD2503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我镇202</w:t>
      </w:r>
      <w:r>
        <w:rPr>
          <w:rFonts w:hint="default" w:ascii="仿宋" w:hAnsi="仿宋" w:eastAsia="仿宋" w:cs="宋体"/>
          <w:color w:val="000000"/>
          <w:kern w:val="0"/>
          <w:szCs w:val="32"/>
          <w:shd w:val="clear" w:color="auto" w:fill="FFFFFF"/>
          <w:lang w:val="en-US"/>
        </w:rPr>
        <w:t>3</w:t>
      </w:r>
      <w:r>
        <w:rPr>
          <w:rFonts w:hint="eastAsia" w:ascii="仿宋" w:hAnsi="仿宋" w:eastAsia="仿宋" w:cs="宋体"/>
          <w:color w:val="000000"/>
          <w:kern w:val="0"/>
          <w:szCs w:val="32"/>
          <w:shd w:val="clear" w:color="auto" w:fill="FFFFFF"/>
          <w:lang w:val="zh-CN"/>
        </w:rPr>
        <w:t>年完成了如下：基层组织和农村公共服务运行维护费</w:t>
      </w:r>
      <w:r>
        <w:rPr>
          <w:rFonts w:hint="eastAsia" w:ascii="仿宋" w:hAnsi="仿宋" w:eastAsia="仿宋" w:cs="宋体"/>
          <w:color w:val="000000"/>
          <w:kern w:val="0"/>
          <w:szCs w:val="32"/>
          <w:shd w:val="clear" w:color="auto" w:fill="FFFFFF"/>
          <w:lang w:val="en-US" w:eastAsia="zh-CN"/>
        </w:rPr>
        <w:t>123万元，社区服务群众专项经费3万元，垃圾车运营维护费4万元，乡镇安全管理相关经费9.24万元，乡镇农村人居环境整治考核奖补资金49.5万元。</w:t>
      </w:r>
      <w:r>
        <w:rPr>
          <w:rFonts w:hint="eastAsia" w:ascii="仿宋" w:hAnsi="仿宋" w:eastAsia="仿宋" w:cs="宋体"/>
          <w:color w:val="000000"/>
          <w:kern w:val="0"/>
          <w:szCs w:val="32"/>
          <w:shd w:val="clear" w:color="auto" w:fill="FFFFFF"/>
          <w:lang w:val="zh-CN"/>
        </w:rPr>
        <w:t>已按实际拨付完毕。</w:t>
      </w:r>
    </w:p>
    <w:p w14:paraId="33BD295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C9197DF">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6C0937B5">
      <w:pPr>
        <w:pStyle w:val="8"/>
        <w:ind w:firstLine="640" w:firstLineChars="200"/>
        <w:jc w:val="both"/>
        <w:rPr>
          <w:rFonts w:hint="eastAsia" w:eastAsia="仿宋"/>
          <w:b w:val="0"/>
          <w:bCs w:val="0"/>
          <w:lang w:val="en-US" w:eastAsia="zh-CN"/>
        </w:rPr>
      </w:pPr>
      <w:r>
        <w:rPr>
          <w:rFonts w:hint="eastAsia" w:ascii="仿宋" w:hAnsi="仿宋" w:eastAsia="仿宋" w:cs="宋体"/>
          <w:b w:val="0"/>
          <w:bCs w:val="0"/>
          <w:szCs w:val="32"/>
        </w:rPr>
        <w:t>202</w:t>
      </w:r>
      <w:r>
        <w:rPr>
          <w:rFonts w:hint="eastAsia" w:ascii="仿宋" w:hAnsi="仿宋" w:eastAsia="仿宋" w:cs="宋体"/>
          <w:b w:val="0"/>
          <w:bCs w:val="0"/>
          <w:szCs w:val="32"/>
          <w:lang w:val="en-US" w:eastAsia="zh-CN"/>
        </w:rPr>
        <w:t>3</w:t>
      </w:r>
      <w:r>
        <w:rPr>
          <w:rFonts w:hint="eastAsia" w:ascii="仿宋" w:hAnsi="仿宋" w:eastAsia="仿宋" w:cs="宋体"/>
          <w:b w:val="0"/>
          <w:bCs w:val="0"/>
          <w:szCs w:val="32"/>
        </w:rPr>
        <w:t>年度部门</w:t>
      </w:r>
      <w:r>
        <w:rPr>
          <w:rFonts w:hint="eastAsia" w:ascii="仿宋" w:hAnsi="仿宋" w:eastAsia="仿宋" w:cs="宋体"/>
          <w:b w:val="0"/>
          <w:bCs w:val="0"/>
          <w:szCs w:val="32"/>
          <w:lang w:eastAsia="zh-CN"/>
        </w:rPr>
        <w:t>财政资金</w:t>
      </w:r>
      <w:r>
        <w:rPr>
          <w:rFonts w:hint="eastAsia" w:ascii="仿宋" w:hAnsi="仿宋" w:eastAsia="仿宋" w:cs="宋体"/>
          <w:b w:val="0"/>
          <w:bCs w:val="0"/>
          <w:szCs w:val="32"/>
        </w:rPr>
        <w:t>收入总额</w:t>
      </w:r>
      <w:r>
        <w:rPr>
          <w:rFonts w:hint="eastAsia" w:ascii="楷体_GB2312" w:hAnsi="宋体" w:eastAsia="楷体_GB2312" w:cs="宋体"/>
          <w:b w:val="0"/>
          <w:bCs w:val="0"/>
          <w:color w:val="auto"/>
          <w:kern w:val="0"/>
          <w:szCs w:val="32"/>
          <w:shd w:val="clear" w:color="auto" w:fill="FFFFFF"/>
          <w:lang w:val="en-US" w:eastAsia="zh-CN"/>
        </w:rPr>
        <w:t>1175.45</w:t>
      </w:r>
      <w:r>
        <w:rPr>
          <w:rFonts w:hint="eastAsia" w:ascii="仿宋" w:hAnsi="仿宋" w:eastAsia="仿宋" w:cs="宋体"/>
          <w:b w:val="0"/>
          <w:bCs w:val="0"/>
          <w:szCs w:val="32"/>
        </w:rPr>
        <w:t>万元</w:t>
      </w:r>
      <w:r>
        <w:rPr>
          <w:rFonts w:hint="eastAsia" w:ascii="仿宋" w:hAnsi="仿宋" w:eastAsia="仿宋" w:cs="宋体"/>
          <w:b w:val="0"/>
          <w:bCs w:val="0"/>
          <w:szCs w:val="32"/>
          <w:lang w:eastAsia="zh-CN"/>
        </w:rPr>
        <w:t>。</w:t>
      </w:r>
    </w:p>
    <w:p w14:paraId="7FD66444">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02B7114B">
      <w:pPr>
        <w:pStyle w:val="8"/>
        <w:numPr>
          <w:ilvl w:val="0"/>
          <w:numId w:val="0"/>
        </w:numPr>
        <w:ind w:firstLine="640" w:firstLineChars="200"/>
        <w:jc w:val="both"/>
        <w:rPr>
          <w:rFonts w:hint="eastAsia" w:eastAsia="仿宋"/>
          <w:b w:val="0"/>
          <w:bCs w:val="0"/>
          <w:lang w:val="zh-CN" w:eastAsia="zh-CN"/>
        </w:rPr>
      </w:pPr>
      <w:r>
        <w:rPr>
          <w:rFonts w:hint="eastAsia" w:ascii="仿宋" w:hAnsi="仿宋" w:eastAsia="仿宋" w:cs="宋体"/>
          <w:b w:val="0"/>
          <w:bCs w:val="0"/>
          <w:szCs w:val="32"/>
        </w:rPr>
        <w:t>202</w:t>
      </w:r>
      <w:r>
        <w:rPr>
          <w:rFonts w:hint="eastAsia" w:ascii="仿宋" w:hAnsi="仿宋" w:eastAsia="仿宋" w:cs="宋体"/>
          <w:b w:val="0"/>
          <w:bCs w:val="0"/>
          <w:szCs w:val="32"/>
          <w:lang w:val="en-US" w:eastAsia="zh-CN"/>
        </w:rPr>
        <w:t>3</w:t>
      </w:r>
      <w:r>
        <w:rPr>
          <w:rFonts w:hint="eastAsia" w:ascii="仿宋" w:hAnsi="仿宋" w:eastAsia="仿宋" w:cs="宋体"/>
          <w:b w:val="0"/>
          <w:bCs w:val="0"/>
          <w:szCs w:val="32"/>
        </w:rPr>
        <w:t>年度部门</w:t>
      </w:r>
      <w:r>
        <w:rPr>
          <w:rFonts w:hint="eastAsia" w:ascii="仿宋" w:hAnsi="仿宋" w:eastAsia="仿宋" w:cs="宋体"/>
          <w:b w:val="0"/>
          <w:bCs w:val="0"/>
          <w:szCs w:val="32"/>
          <w:lang w:eastAsia="zh-CN"/>
        </w:rPr>
        <w:t>财政资金支出</w:t>
      </w:r>
      <w:r>
        <w:rPr>
          <w:rFonts w:hint="eastAsia" w:ascii="仿宋" w:hAnsi="仿宋" w:eastAsia="仿宋" w:cs="宋体"/>
          <w:b w:val="0"/>
          <w:bCs w:val="0"/>
          <w:szCs w:val="32"/>
        </w:rPr>
        <w:t>总额</w:t>
      </w:r>
      <w:r>
        <w:rPr>
          <w:rFonts w:hint="eastAsia" w:ascii="楷体_GB2312" w:hAnsi="宋体" w:eastAsia="楷体_GB2312" w:cs="宋体"/>
          <w:b w:val="0"/>
          <w:bCs w:val="0"/>
          <w:color w:val="auto"/>
          <w:kern w:val="0"/>
          <w:szCs w:val="32"/>
          <w:shd w:val="clear" w:color="auto" w:fill="FFFFFF"/>
          <w:lang w:val="en-US" w:eastAsia="zh-CN"/>
        </w:rPr>
        <w:t>1175.45</w:t>
      </w:r>
      <w:r>
        <w:rPr>
          <w:rFonts w:hint="eastAsia" w:ascii="仿宋" w:hAnsi="仿宋" w:eastAsia="仿宋" w:cs="宋体"/>
          <w:b w:val="0"/>
          <w:bCs w:val="0"/>
          <w:szCs w:val="32"/>
        </w:rPr>
        <w:t>万元</w:t>
      </w:r>
      <w:r>
        <w:rPr>
          <w:rFonts w:hint="eastAsia" w:ascii="仿宋" w:hAnsi="仿宋" w:eastAsia="仿宋" w:cs="宋体"/>
          <w:b w:val="0"/>
          <w:bCs w:val="0"/>
          <w:szCs w:val="32"/>
          <w:lang w:eastAsia="zh-CN"/>
        </w:rPr>
        <w:t>。</w:t>
      </w:r>
    </w:p>
    <w:p w14:paraId="056D024D">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6538415E">
      <w:pPr>
        <w:pStyle w:val="8"/>
        <w:numPr>
          <w:ilvl w:val="0"/>
          <w:numId w:val="0"/>
        </w:numPr>
        <w:ind w:firstLine="640" w:firstLineChars="200"/>
        <w:jc w:val="both"/>
        <w:rPr>
          <w:rFonts w:hint="default" w:eastAsia="宋体"/>
          <w:b w:val="0"/>
          <w:bCs w:val="0"/>
          <w:lang w:val="en-US" w:eastAsia="zh-CN"/>
        </w:rPr>
      </w:pPr>
      <w:r>
        <w:rPr>
          <w:rFonts w:hint="eastAsia" w:ascii="仿宋" w:hAnsi="仿宋" w:eastAsia="仿宋" w:cs="宋体"/>
          <w:b w:val="0"/>
          <w:bCs w:val="0"/>
          <w:szCs w:val="32"/>
          <w:lang w:val="en-US" w:eastAsia="zh-CN"/>
        </w:rPr>
        <w:t>2023年度部门财政资金无结转结余。</w:t>
      </w:r>
    </w:p>
    <w:p w14:paraId="62252D0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626D667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230B771">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ascii="仿宋_GB2312" w:hAnsi="宋体" w:eastAsia="仿宋_GB2312" w:cs="宋体"/>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w:t>
      </w:r>
      <w:r>
        <w:rPr>
          <w:rFonts w:hint="eastAsia" w:ascii="仿宋_GB2312" w:hAnsi="宋体" w:eastAsia="仿宋_GB2312" w:cs="宋体"/>
          <w:color w:val="000000"/>
          <w:kern w:val="0"/>
          <w:szCs w:val="32"/>
          <w:shd w:val="clear" w:color="auto" w:fill="FFFFFF"/>
          <w:lang w:val="zh-CN"/>
        </w:rPr>
        <w:t>单位内部控制制度需进一步健全，内控制度执行还需进一步规范。</w:t>
      </w:r>
    </w:p>
    <w:p w14:paraId="7FFBDAB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322EBC7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1B731760">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000000"/>
          <w:kern w:val="0"/>
          <w:szCs w:val="32"/>
          <w:shd w:val="clear" w:color="auto" w:fill="FFFFFF"/>
          <w:lang w:val="zh-CN"/>
        </w:rPr>
        <w:t>毛坪镇人民政府绩效目标按要求向社会公开，部门整体绩效自评情况和自行组织的评价情况向社会公开，及时整改了绩效管理发现问题，向财政部门反馈结果应用情况。资金主要投入</w:t>
      </w:r>
      <w:r>
        <w:rPr>
          <w:rFonts w:hint="eastAsia" w:ascii="仿宋" w:hAnsi="仿宋" w:eastAsia="仿宋" w:cs="宋体"/>
          <w:color w:val="000000"/>
          <w:kern w:val="0"/>
          <w:szCs w:val="32"/>
          <w:shd w:val="clear" w:color="auto" w:fill="FFFFFF"/>
          <w:lang w:val="zh-CN"/>
        </w:rPr>
        <w:t>基层组织和农村公共服务运行维护费</w:t>
      </w:r>
      <w:r>
        <w:rPr>
          <w:rFonts w:hint="eastAsia" w:ascii="仿宋" w:hAnsi="仿宋" w:eastAsia="仿宋" w:cs="宋体"/>
          <w:color w:val="000000"/>
          <w:kern w:val="0"/>
          <w:szCs w:val="32"/>
          <w:shd w:val="clear" w:color="auto" w:fill="FFFFFF"/>
          <w:lang w:val="en-US" w:eastAsia="zh-CN"/>
        </w:rPr>
        <w:t>123万元，社区服务群众专项经费3万元，垃圾车运营维护费4万元，乡镇安全管理相关经费9.24万元，乡镇农村人居环境整治考核奖补资金49.5万元</w:t>
      </w:r>
      <w:r>
        <w:rPr>
          <w:rFonts w:hint="eastAsia" w:ascii="仿宋_GB2312" w:hAnsi="宋体" w:eastAsia="仿宋_GB2312" w:cs="宋体"/>
          <w:color w:val="000000"/>
          <w:kern w:val="0"/>
          <w:szCs w:val="32"/>
          <w:shd w:val="clear" w:color="auto" w:fill="FFFFFF"/>
          <w:lang w:val="zh-CN"/>
        </w:rPr>
        <w:t>。通过统计分析获取了人民群众对生态环境的健康度、居住生活的舒适度、工作出行的便捷度、居住生活的安全度各方面的良好评价。</w:t>
      </w:r>
    </w:p>
    <w:p w14:paraId="23AA5C90">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63457E0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项目1：</w:t>
      </w:r>
      <w:r>
        <w:rPr>
          <w:rFonts w:hint="eastAsia" w:ascii="仿宋" w:hAnsi="仿宋" w:eastAsia="仿宋" w:cs="宋体"/>
          <w:color w:val="000000"/>
          <w:kern w:val="0"/>
          <w:szCs w:val="32"/>
          <w:shd w:val="clear" w:color="auto" w:fill="FFFFFF"/>
          <w:lang w:val="zh-CN"/>
        </w:rPr>
        <w:t>基层组织和农村公共服务运行维护费</w:t>
      </w:r>
      <w:r>
        <w:rPr>
          <w:rFonts w:hint="eastAsia" w:ascii="仿宋" w:hAnsi="仿宋" w:eastAsia="仿宋" w:cs="宋体"/>
          <w:color w:val="000000"/>
          <w:kern w:val="0"/>
          <w:szCs w:val="32"/>
          <w:shd w:val="clear" w:color="auto" w:fill="FFFFFF"/>
          <w:lang w:val="en-US" w:eastAsia="zh-CN"/>
        </w:rPr>
        <w:t>123万元。</w:t>
      </w:r>
      <w:r>
        <w:rPr>
          <w:rFonts w:hint="eastAsia" w:ascii="仿宋_GB2312" w:hAnsi="宋体" w:eastAsia="仿宋_GB2312" w:cs="宋体"/>
          <w:color w:val="000000"/>
          <w:kern w:val="0"/>
          <w:szCs w:val="32"/>
          <w:shd w:val="clear" w:color="auto" w:fill="FFFFFF"/>
          <w:lang w:val="zh-CN"/>
        </w:rPr>
        <w:t xml:space="preserve"> </w:t>
      </w:r>
    </w:p>
    <w:p w14:paraId="6937CBE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3C9BC45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ascii="仿宋_GB2312" w:hAnsi="宋体" w:eastAsia="仿宋_GB2312" w:cs="宋体"/>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w:t>
      </w:r>
      <w:bookmarkStart w:id="0" w:name="_GoBack"/>
      <w:bookmarkEnd w:id="0"/>
      <w:r>
        <w:rPr>
          <w:rFonts w:ascii="仿宋_GB2312" w:hAnsi="宋体" w:eastAsia="仿宋_GB2312" w:cs="宋体"/>
          <w:color w:val="000000"/>
          <w:kern w:val="0"/>
          <w:szCs w:val="32"/>
          <w:shd w:val="clear" w:color="auto" w:fill="FFFFFF"/>
          <w:lang w:val="zh-CN"/>
        </w:rPr>
        <w:t>编制工作，决算报表和说明均在</w:t>
      </w:r>
      <w:r>
        <w:rPr>
          <w:rFonts w:hint="eastAsia" w:ascii="仿宋_GB2312" w:hAnsi="宋体" w:eastAsia="仿宋_GB2312" w:cs="宋体"/>
          <w:color w:val="000000"/>
          <w:kern w:val="0"/>
          <w:szCs w:val="32"/>
          <w:shd w:val="clear" w:color="auto" w:fill="FFFFFF"/>
          <w:lang w:val="zh-CN"/>
        </w:rPr>
        <w:t>峨边彝族自治</w:t>
      </w:r>
      <w:r>
        <w:rPr>
          <w:rFonts w:ascii="仿宋_GB2312" w:hAnsi="宋体" w:eastAsia="仿宋_GB2312" w:cs="宋体"/>
          <w:color w:val="000000"/>
          <w:kern w:val="0"/>
          <w:szCs w:val="32"/>
          <w:shd w:val="clear" w:color="auto" w:fill="FFFFFF"/>
          <w:lang w:val="zh-CN"/>
        </w:rPr>
        <w:t>县政府门户网站公开。绩效目标也按照有关文件如实进行了填报。</w:t>
      </w:r>
    </w:p>
    <w:p w14:paraId="0DED94E9">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725664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05199261">
      <w:pPr>
        <w:pStyle w:val="2"/>
        <w:rPr>
          <w:lang w:val="zh-CN"/>
        </w:rPr>
      </w:pPr>
      <w:r>
        <w:rPr>
          <w:rFonts w:hint="eastAsia" w:ascii="仿宋_GB2312" w:hAnsi="宋体" w:eastAsia="仿宋_GB2312" w:cs="宋体"/>
          <w:color w:val="000000"/>
          <w:kern w:val="0"/>
          <w:sz w:val="32"/>
          <w:szCs w:val="32"/>
          <w:shd w:val="clear" w:color="auto" w:fill="FFFFFF"/>
          <w:lang w:val="zh-CN" w:eastAsia="zh-CN" w:bidi="ar-SA"/>
        </w:rPr>
        <w:t>根据《峨边彝族自治县财政局 关于开展202</w:t>
      </w:r>
      <w:r>
        <w:rPr>
          <w:rFonts w:hint="eastAsia" w:ascii="仿宋_GB2312" w:hAnsi="宋体" w:eastAsia="仿宋_GB2312" w:cs="宋体"/>
          <w:color w:val="000000"/>
          <w:kern w:val="0"/>
          <w:sz w:val="32"/>
          <w:szCs w:val="32"/>
          <w:shd w:val="clear" w:color="auto" w:fill="FFFFFF"/>
          <w:lang w:val="en-US" w:eastAsia="zh-CN" w:bidi="ar-SA"/>
        </w:rPr>
        <w:t>3</w:t>
      </w:r>
      <w:r>
        <w:rPr>
          <w:rFonts w:hint="eastAsia" w:ascii="仿宋_GB2312" w:hAnsi="宋体" w:eastAsia="仿宋_GB2312" w:cs="宋体"/>
          <w:color w:val="000000"/>
          <w:kern w:val="0"/>
          <w:sz w:val="32"/>
          <w:szCs w:val="32"/>
          <w:shd w:val="clear" w:color="auto" w:fill="FFFFFF"/>
          <w:lang w:val="zh-CN" w:eastAsia="zh-CN" w:bidi="ar-SA"/>
        </w:rPr>
        <w:t>年度部门整体、项目支出预算绩效评价工作的通知》文件精神，毛坪镇人民政府认真组织开展了部门整体支出绩效评价工作，绩效评价得分： 9</w:t>
      </w:r>
      <w:r>
        <w:rPr>
          <w:rFonts w:hint="eastAsia" w:ascii="仿宋_GB2312" w:hAnsi="宋体" w:eastAsia="仿宋_GB2312" w:cs="宋体"/>
          <w:color w:val="000000"/>
          <w:kern w:val="0"/>
          <w:sz w:val="32"/>
          <w:szCs w:val="32"/>
          <w:shd w:val="clear" w:color="auto" w:fill="FFFFFF"/>
          <w:lang w:val="en-US" w:eastAsia="zh-CN" w:bidi="ar-SA"/>
        </w:rPr>
        <w:t>7</w:t>
      </w:r>
      <w:r>
        <w:rPr>
          <w:rFonts w:hint="eastAsia" w:ascii="仿宋_GB2312" w:hAnsi="宋体" w:eastAsia="仿宋_GB2312" w:cs="宋体"/>
          <w:color w:val="000000"/>
          <w:kern w:val="0"/>
          <w:sz w:val="32"/>
          <w:szCs w:val="32"/>
          <w:shd w:val="clear" w:color="auto" w:fill="FFFFFF"/>
          <w:lang w:val="zh-CN" w:eastAsia="zh-CN" w:bidi="ar-SA"/>
        </w:rPr>
        <w:t xml:space="preserve"> 分。</w:t>
      </w:r>
    </w:p>
    <w:p w14:paraId="27AF88B3">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10185967">
      <w:pPr>
        <w:widowControl/>
        <w:numPr>
          <w:ilvl w:val="0"/>
          <w:numId w:val="0"/>
        </w:numPr>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Style w:val="13"/>
          <w:rFonts w:ascii="仿宋_GB2312" w:hAnsi="宋体" w:eastAsia="仿宋_GB2312" w:cs="仿宋_GB2312"/>
          <w:b w:val="0"/>
          <w:bCs w:val="0"/>
          <w:i w:val="0"/>
          <w:iCs w:val="0"/>
          <w:caps w:val="0"/>
          <w:color w:val="000000"/>
          <w:spacing w:val="0"/>
          <w:sz w:val="32"/>
          <w:szCs w:val="32"/>
          <w:shd w:val="clear" w:color="auto" w:fill="FFFFFF"/>
        </w:rPr>
        <w:t>在资金管理过程中，</w:t>
      </w:r>
      <w:r>
        <w:rPr>
          <w:rStyle w:val="13"/>
          <w:rFonts w:hint="default" w:ascii="仿宋_GB2312" w:hAnsi="宋体" w:eastAsia="仿宋_GB2312" w:cs="仿宋_GB2312"/>
          <w:b w:val="0"/>
          <w:bCs w:val="0"/>
          <w:i w:val="0"/>
          <w:iCs w:val="0"/>
          <w:caps w:val="0"/>
          <w:color w:val="000000"/>
          <w:spacing w:val="0"/>
          <w:sz w:val="32"/>
          <w:szCs w:val="32"/>
          <w:shd w:val="clear" w:color="auto" w:fill="FFFFFF"/>
        </w:rPr>
        <w:t>还存在部分支出依据不合规，财务管理制度不够健全，财务人员业务水平还需加强等问题</w:t>
      </w:r>
      <w:r>
        <w:rPr>
          <w:rFonts w:hint="eastAsia" w:ascii="仿宋_GB2312" w:hAnsi="宋体" w:cs="宋体"/>
          <w:color w:val="000000"/>
          <w:kern w:val="0"/>
          <w:szCs w:val="32"/>
          <w:shd w:val="clear" w:color="auto" w:fill="FFFFFF"/>
          <w:lang w:val="zh-CN"/>
        </w:rPr>
        <w:t>。</w:t>
      </w:r>
    </w:p>
    <w:p w14:paraId="7AA693CC">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58C3208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rightChars="0" w:firstLine="640" w:firstLineChars="200"/>
        <w:jc w:val="left"/>
        <w:rPr>
          <w:rFonts w:hint="default" w:ascii="Times New Roman" w:hAnsi="Times New Roman" w:cs="Times New Roman"/>
          <w:i w:val="0"/>
          <w:iCs w:val="0"/>
          <w:caps w:val="0"/>
          <w:color w:val="333333"/>
          <w:spacing w:val="0"/>
          <w:sz w:val="32"/>
          <w:szCs w:val="32"/>
        </w:rPr>
      </w:pPr>
      <w:r>
        <w:rPr>
          <w:rStyle w:val="13"/>
          <w:rFonts w:ascii="仿宋_GB2312" w:hAnsi="Times New Roman" w:eastAsia="仿宋_GB2312" w:cs="仿宋_GB2312"/>
          <w:b w:val="0"/>
          <w:bCs w:val="0"/>
          <w:i w:val="0"/>
          <w:iCs w:val="0"/>
          <w:caps w:val="0"/>
          <w:color w:val="000000"/>
          <w:spacing w:val="0"/>
          <w:sz w:val="32"/>
          <w:szCs w:val="32"/>
          <w:shd w:val="clear" w:color="auto" w:fill="FFFFFF"/>
        </w:rPr>
        <w:t>1.</w:t>
      </w:r>
      <w:r>
        <w:rPr>
          <w:rStyle w:val="13"/>
          <w:rFonts w:hint="default" w:ascii="仿宋_GB2312" w:hAnsi="Times New Roman" w:eastAsia="仿宋_GB2312" w:cs="仿宋_GB2312"/>
          <w:b w:val="0"/>
          <w:bCs w:val="0"/>
          <w:i w:val="0"/>
          <w:iCs w:val="0"/>
          <w:caps w:val="0"/>
          <w:color w:val="000000"/>
          <w:spacing w:val="0"/>
          <w:sz w:val="32"/>
          <w:szCs w:val="32"/>
          <w:shd w:val="clear" w:color="auto" w:fill="FFFFFF"/>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B300D7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rPr>
      </w:pPr>
      <w:r>
        <w:rPr>
          <w:rStyle w:val="13"/>
          <w:rFonts w:hint="default" w:ascii="仿宋_GB2312" w:hAnsi="Times New Roman" w:eastAsia="仿宋_GB2312" w:cs="仿宋_GB2312"/>
          <w:b w:val="0"/>
          <w:bCs w:val="0"/>
          <w:i w:val="0"/>
          <w:iCs w:val="0"/>
          <w:caps w:val="0"/>
          <w:color w:val="000000"/>
          <w:spacing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4C8E1E1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rPr>
      </w:pPr>
      <w:r>
        <w:rPr>
          <w:rStyle w:val="13"/>
          <w:rFonts w:hint="default" w:ascii="仿宋_GB2312" w:hAnsi="Times New Roman" w:eastAsia="仿宋_GB2312" w:cs="仿宋_GB2312"/>
          <w:b w:val="0"/>
          <w:bCs w:val="0"/>
          <w:i w:val="0"/>
          <w:iCs w:val="0"/>
          <w:caps w:val="0"/>
          <w:color w:val="000000"/>
          <w:spacing w:val="0"/>
          <w:sz w:val="32"/>
          <w:szCs w:val="32"/>
          <w:shd w:val="clear" w:color="auto" w:fill="FFFFFF"/>
        </w:rPr>
        <w:t>3、完善资产管理，抓好</w:t>
      </w:r>
      <w:r>
        <w:rPr>
          <w:rStyle w:val="13"/>
          <w:rFonts w:hint="eastAsia" w:ascii="仿宋_GB2312" w:hAnsi="Times New Roman" w:eastAsia="仿宋_GB2312" w:cs="仿宋_GB2312"/>
          <w:b w:val="0"/>
          <w:bCs w:val="0"/>
          <w:i w:val="0"/>
          <w:iCs w:val="0"/>
          <w:caps w:val="0"/>
          <w:color w:val="000000"/>
          <w:spacing w:val="0"/>
          <w:sz w:val="32"/>
          <w:szCs w:val="32"/>
          <w:shd w:val="clear" w:color="auto" w:fill="FFFFFF"/>
          <w:lang w:eastAsia="zh-CN"/>
        </w:rPr>
        <w:t>资产管理</w:t>
      </w:r>
      <w:r>
        <w:rPr>
          <w:rStyle w:val="13"/>
          <w:rFonts w:hint="default" w:ascii="仿宋_GB2312" w:hAnsi="Times New Roman" w:eastAsia="仿宋_GB2312" w:cs="仿宋_GB2312"/>
          <w:b w:val="0"/>
          <w:bCs w:val="0"/>
          <w:i w:val="0"/>
          <w:iCs w:val="0"/>
          <w:caps w:val="0"/>
          <w:color w:val="000000"/>
          <w:spacing w:val="0"/>
          <w:sz w:val="32"/>
          <w:szCs w:val="32"/>
          <w:shd w:val="clear" w:color="auto" w:fill="FFFFFF"/>
        </w:rPr>
        <w:t>控制。严格编制政府采购年初预算和计划，规范各类资产的购置审批制度、资产出租出借和收入管理制度、资产采购制度、使用管理制度、资产处置和报废审批制度、资产管理岗位职责制度等，加强单位内部的资产管理工作。</w:t>
      </w:r>
    </w:p>
    <w:p w14:paraId="7715DDA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24CB12-A651-48C8-9DE5-A577B2C12A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B13D535-23ED-46B9-9972-ECED2F5C2C3E}"/>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397C7C1-4E58-4DB4-B825-360B948FFE22}"/>
  </w:font>
  <w:font w:name="仿宋_GB2312">
    <w:panose1 w:val="02010609030101010101"/>
    <w:charset w:val="86"/>
    <w:family w:val="modern"/>
    <w:pitch w:val="default"/>
    <w:sig w:usb0="00000001" w:usb1="080E0000" w:usb2="00000000" w:usb3="00000000" w:csb0="00040000" w:csb1="00000000"/>
    <w:embedRegular r:id="rId4" w:fontKey="{4BC975BB-2B64-4673-A486-5713D7EAE822}"/>
  </w:font>
  <w:font w:name="方正仿宋_GBK">
    <w:altName w:val="微软雅黑"/>
    <w:panose1 w:val="03000509000000000000"/>
    <w:charset w:val="86"/>
    <w:family w:val="auto"/>
    <w:pitch w:val="default"/>
    <w:sig w:usb0="00000000" w:usb1="00000000" w:usb2="00000000" w:usb3="00000000" w:csb0="00040000" w:csb1="00000000"/>
    <w:embedRegular r:id="rId5" w:fontKey="{CFC31852-2250-4251-B251-69F420F4F2E6}"/>
  </w:font>
  <w:font w:name="楷体_GB2312">
    <w:panose1 w:val="02010609030101010101"/>
    <w:charset w:val="86"/>
    <w:family w:val="modern"/>
    <w:pitch w:val="default"/>
    <w:sig w:usb0="00000001" w:usb1="080E0000" w:usb2="00000000" w:usb3="00000000" w:csb0="00040000" w:csb1="00000000"/>
    <w:embedRegular r:id="rId6" w:fontKey="{D8C85632-C8D1-4D45-9E0E-7E70B084797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14F5">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914E80A">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484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014F9"/>
    <w:multiLevelType w:val="singleLevel"/>
    <w:tmpl w:val="8DD014F9"/>
    <w:lvl w:ilvl="0" w:tentative="0">
      <w:start w:val="2"/>
      <w:numFmt w:val="chineseCounting"/>
      <w:suff w:val="nothing"/>
      <w:lvlText w:val="（%1）"/>
      <w:lvlJc w:val="left"/>
      <w:rPr>
        <w:rFonts w:hint="eastAsia"/>
      </w:rPr>
    </w:lvl>
  </w:abstractNum>
  <w:abstractNum w:abstractNumId="1">
    <w:nsid w:val="E903BFB5"/>
    <w:multiLevelType w:val="singleLevel"/>
    <w:tmpl w:val="E903BFB5"/>
    <w:lvl w:ilvl="0" w:tentative="0">
      <w:start w:val="2"/>
      <w:numFmt w:val="chineseCounting"/>
      <w:suff w:val="nothing"/>
      <w:lvlText w:val="（%1）"/>
      <w:lvlJc w:val="left"/>
      <w:rPr>
        <w:rFonts w:hint="eastAsia"/>
      </w:rPr>
    </w:lvl>
  </w:abstractNum>
  <w:abstractNum w:abstractNumId="2">
    <w:nsid w:val="664B68FC"/>
    <w:multiLevelType w:val="singleLevel"/>
    <w:tmpl w:val="664B68FC"/>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0D6479"/>
    <w:rsid w:val="06593BD3"/>
    <w:rsid w:val="17FB7E69"/>
    <w:rsid w:val="18D17537"/>
    <w:rsid w:val="19927F78"/>
    <w:rsid w:val="21AE59D8"/>
    <w:rsid w:val="286F56EA"/>
    <w:rsid w:val="2D527252"/>
    <w:rsid w:val="329102D6"/>
    <w:rsid w:val="35393FCA"/>
    <w:rsid w:val="361B66A7"/>
    <w:rsid w:val="3A9520B3"/>
    <w:rsid w:val="3C5059FC"/>
    <w:rsid w:val="3DE562B7"/>
    <w:rsid w:val="3E6507EA"/>
    <w:rsid w:val="44406DA5"/>
    <w:rsid w:val="47550EBA"/>
    <w:rsid w:val="50BB3388"/>
    <w:rsid w:val="5CA71859"/>
    <w:rsid w:val="6636451A"/>
    <w:rsid w:val="6BE94116"/>
    <w:rsid w:val="6E833176"/>
    <w:rsid w:val="738E226E"/>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99"/>
    <w:pPr>
      <w:spacing w:line="480" w:lineRule="exact"/>
      <w:ind w:firstLine="200" w:firstLineChars="200"/>
    </w:pPr>
    <w:rPr>
      <w:sz w:val="24"/>
      <w:szCs w:val="24"/>
      <w:lang w:val="zh-CN"/>
    </w:rPr>
  </w:style>
  <w:style w:type="paragraph" w:styleId="3">
    <w:name w:val="Document Map"/>
    <w:basedOn w:val="1"/>
    <w:link w:val="14"/>
    <w:qFormat/>
    <w:uiPriority w:val="99"/>
    <w:rPr>
      <w:rFonts w:ascii="宋体"/>
      <w:sz w:val="18"/>
      <w:szCs w:val="18"/>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locked/>
    <w:uiPriority w:val="0"/>
    <w:pPr>
      <w:spacing w:before="240" w:after="60"/>
      <w:jc w:val="center"/>
      <w:outlineLvl w:val="0"/>
    </w:pPr>
    <w:rPr>
      <w:rFonts w:ascii="Arial" w:hAnsi="Arial" w:cs="Arial"/>
      <w:b/>
      <w:bCs/>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20"/>
    <w:rPr>
      <w:i/>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4"/>
    <w:semiHidden/>
    <w:qFormat/>
    <w:locked/>
    <w:uiPriority w:val="99"/>
    <w:rPr>
      <w:rFonts w:cs="Times New Roman"/>
      <w:sz w:val="2"/>
    </w:rPr>
  </w:style>
  <w:style w:type="character" w:customStyle="1" w:styleId="16">
    <w:name w:val="页脚 Char"/>
    <w:link w:val="5"/>
    <w:qFormat/>
    <w:locked/>
    <w:uiPriority w:val="99"/>
    <w:rPr>
      <w:rFonts w:cs="Times New Roman"/>
      <w:kern w:val="2"/>
      <w:sz w:val="18"/>
      <w:szCs w:val="18"/>
    </w:rPr>
  </w:style>
  <w:style w:type="character" w:customStyle="1" w:styleId="17">
    <w:name w:val="页眉 Char"/>
    <w:link w:val="6"/>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6</Pages>
  <Words>3460</Words>
  <Characters>3615</Characters>
  <Lines>3</Lines>
  <Paragraphs>1</Paragraphs>
  <TotalTime>1</TotalTime>
  <ScaleCrop>false</ScaleCrop>
  <LinksUpToDate>false</LinksUpToDate>
  <CharactersWithSpaces>3619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2024-10-30T09:50:41Z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A20D19A0F57B490E948B95C5ABE96AE2</vt:lpwstr>
  </property>
</Properties>
</file>