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ind w:firstLine="883" w:firstLineChars="200"/>
        <w:contextualSpacing/>
        <w:jc w:val="both"/>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县级部门整体绩效自评报告范本</w:t>
      </w:r>
    </w:p>
    <w:p>
      <w:pPr>
        <w:widowControl/>
        <w:adjustRightInd w:val="0"/>
        <w:snapToGrid w:val="0"/>
        <w:spacing w:line="580" w:lineRule="exact"/>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Style w:val="8"/>
          <w:rFonts w:hint="eastAsia" w:ascii="仿宋_GB2312" w:hAnsi="宋体" w:eastAsia="仿宋_GB2312" w:cs="仿宋_GB2312"/>
          <w:b w:val="0"/>
          <w:bCs w:val="0"/>
          <w:i w:val="0"/>
          <w:iCs w:val="0"/>
          <w:caps w:val="0"/>
          <w:color w:val="000000"/>
          <w:spacing w:val="0"/>
          <w:sz w:val="32"/>
          <w:szCs w:val="32"/>
          <w:shd w:val="clear" w:color="auto" w:fill="FFFFFF"/>
          <w:lang w:eastAsia="zh-CN"/>
        </w:rPr>
        <w:t>毛坪镇</w:t>
      </w:r>
      <w:r>
        <w:rPr>
          <w:rStyle w:val="8"/>
          <w:rFonts w:ascii="仿宋_GB2312" w:hAnsi="宋体" w:eastAsia="仿宋_GB2312" w:cs="仿宋_GB2312"/>
          <w:b w:val="0"/>
          <w:bCs w:val="0"/>
          <w:i w:val="0"/>
          <w:iCs w:val="0"/>
          <w:caps w:val="0"/>
          <w:color w:val="000000"/>
          <w:spacing w:val="0"/>
          <w:sz w:val="32"/>
          <w:szCs w:val="32"/>
          <w:shd w:val="clear" w:color="auto" w:fill="FFFFFF"/>
        </w:rPr>
        <w:t>人民政府属行政单位，</w:t>
      </w:r>
      <w:r>
        <w:rPr>
          <w:rStyle w:val="8"/>
          <w:rFonts w:hint="default" w:ascii="仿宋_GB2312" w:hAnsi="宋体" w:eastAsia="仿宋_GB2312" w:cs="仿宋_GB2312"/>
          <w:b w:val="0"/>
          <w:bCs w:val="0"/>
          <w:i w:val="0"/>
          <w:iCs w:val="0"/>
          <w:caps w:val="0"/>
          <w:color w:val="000000"/>
          <w:spacing w:val="0"/>
          <w:sz w:val="32"/>
          <w:szCs w:val="32"/>
          <w:shd w:val="clear" w:color="auto" w:fill="FFFFFF"/>
        </w:rPr>
        <w:t>内设六办一所四中心。包括党政办、党建办公室、社会事务办公室、规划建设管理办公室、乡村振兴办公室、综合执法办公室、财政所、便民服务中心、农业综合服务中心、综治中心、文化旅游服务中心。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p>
    <w:p>
      <w:pPr>
        <w:widowControl/>
        <w:numPr>
          <w:ilvl w:val="0"/>
          <w:numId w:val="0"/>
        </w:numPr>
        <w:tabs>
          <w:tab w:val="left" w:pos="3840"/>
        </w:tabs>
        <w:adjustRightInd w:val="0"/>
        <w:snapToGrid w:val="0"/>
        <w:spacing w:line="580" w:lineRule="exact"/>
        <w:ind w:firstLine="320" w:firstLineChars="100"/>
        <w:contextualSpacing/>
        <w:jc w:val="left"/>
        <w:rPr>
          <w:rFonts w:hint="eastAsia" w:ascii="楷体_GB2312" w:hAnsi="宋体" w:eastAsia="楷体_GB2312" w:cs="宋体"/>
          <w:color w:val="000000"/>
          <w:kern w:val="0"/>
          <w:szCs w:val="32"/>
          <w:shd w:val="clear" w:color="auto" w:fill="FFFFFF"/>
          <w:lang w:val="zh-CN"/>
        </w:rPr>
      </w:pPr>
      <w:r>
        <w:rPr>
          <w:rStyle w:val="8"/>
          <w:rFonts w:ascii="仿宋_GB2312" w:hAnsi="宋体" w:eastAsia="仿宋_GB2312" w:cs="仿宋_GB2312"/>
          <w:b w:val="0"/>
          <w:bCs w:val="0"/>
          <w:i w:val="0"/>
          <w:iCs w:val="0"/>
          <w:caps w:val="0"/>
          <w:color w:val="000000"/>
          <w:spacing w:val="0"/>
          <w:sz w:val="32"/>
          <w:szCs w:val="32"/>
          <w:shd w:val="clear" w:color="auto" w:fill="FFFFFF"/>
        </w:rPr>
        <w:t>落实国家政策，</w:t>
      </w:r>
      <w:r>
        <w:rPr>
          <w:rStyle w:val="8"/>
          <w:rFonts w:hint="default" w:ascii="仿宋_GB2312" w:hAnsi="宋体" w:eastAsia="仿宋_GB2312" w:cs="仿宋_GB2312"/>
          <w:b w:val="0"/>
          <w:bCs w:val="0"/>
          <w:i w:val="0"/>
          <w:iCs w:val="0"/>
          <w:caps w:val="0"/>
          <w:color w:val="000000"/>
          <w:spacing w:val="0"/>
          <w:sz w:val="32"/>
          <w:szCs w:val="32"/>
          <w:shd w:val="clear" w:color="auto" w:fill="FFFFFF"/>
        </w:rPr>
        <w:t>严格依法行政，发挥经济管理职能，加强政策引导，制定发展规划，服务市场主体和营造发展环境，搞好市场监管，大力促进社会事业发展，发展镇村经济、文化和社会事业，提供公共服务，维护社会稳定，执行本级人民代表大会的决议和上级国家行政机关的决定和命令，发布决定和命令，执行本行政区域内的经济和社会发展计划、预算，管理本行政区域内的经济、教育、科学、文化、卫生、体育事业和财政、民政、公安、司法行政、计划生育等行政工作，构建社会主义和谐社会。</w:t>
      </w:r>
      <w:r>
        <w:rPr>
          <w:rStyle w:val="8"/>
          <w:rFonts w:hint="eastAsia" w:ascii="仿宋_GB2312" w:hAnsi="宋体" w:eastAsia="仿宋_GB2312" w:cs="仿宋_GB2312"/>
          <w:b w:val="0"/>
          <w:bCs w:val="0"/>
          <w:i w:val="0"/>
          <w:iCs w:val="0"/>
          <w:caps w:val="0"/>
          <w:color w:val="000000"/>
          <w:spacing w:val="0"/>
          <w:sz w:val="32"/>
          <w:szCs w:val="32"/>
          <w:lang w:eastAsia="zh-CN"/>
        </w:rPr>
        <w:t>毛坪镇</w:t>
      </w:r>
      <w:r>
        <w:rPr>
          <w:rStyle w:val="8"/>
          <w:rFonts w:ascii="仿宋_GB2312" w:hAnsi="宋体" w:eastAsia="仿宋_GB2312" w:cs="仿宋_GB2312"/>
          <w:b w:val="0"/>
          <w:bCs w:val="0"/>
          <w:i w:val="0"/>
          <w:iCs w:val="0"/>
          <w:caps w:val="0"/>
          <w:color w:val="000000"/>
          <w:spacing w:val="0"/>
          <w:sz w:val="32"/>
          <w:szCs w:val="32"/>
        </w:rPr>
        <w:t>总编制</w:t>
      </w:r>
      <w:r>
        <w:rPr>
          <w:rStyle w:val="8"/>
          <w:rFonts w:hint="eastAsia" w:ascii="仿宋_GB2312" w:hAnsi="宋体" w:eastAsia="仿宋_GB2312" w:cs="仿宋_GB2312"/>
          <w:b w:val="0"/>
          <w:bCs w:val="0"/>
          <w:i w:val="0"/>
          <w:iCs w:val="0"/>
          <w:caps w:val="0"/>
          <w:color w:val="000000"/>
          <w:spacing w:val="0"/>
          <w:sz w:val="32"/>
          <w:szCs w:val="32"/>
          <w:lang w:val="en-US" w:eastAsia="zh-CN"/>
        </w:rPr>
        <w:t>40</w:t>
      </w:r>
      <w:r>
        <w:rPr>
          <w:rStyle w:val="8"/>
          <w:rFonts w:hint="default" w:ascii="仿宋_GB2312" w:hAnsi="宋体" w:eastAsia="仿宋_GB2312" w:cs="仿宋_GB2312"/>
          <w:b w:val="0"/>
          <w:bCs w:val="0"/>
          <w:i w:val="0"/>
          <w:iCs w:val="0"/>
          <w:caps w:val="0"/>
          <w:color w:val="000000"/>
          <w:spacing w:val="0"/>
          <w:sz w:val="32"/>
          <w:szCs w:val="32"/>
        </w:rPr>
        <w:t>名，其中：行政编制</w:t>
      </w:r>
      <w:r>
        <w:rPr>
          <w:rStyle w:val="8"/>
          <w:rFonts w:hint="eastAsia" w:ascii="仿宋_GB2312" w:hAnsi="宋体" w:eastAsia="仿宋_GB2312" w:cs="仿宋_GB2312"/>
          <w:b w:val="0"/>
          <w:bCs w:val="0"/>
          <w:i w:val="0"/>
          <w:iCs w:val="0"/>
          <w:caps w:val="0"/>
          <w:color w:val="000000"/>
          <w:spacing w:val="0"/>
          <w:sz w:val="32"/>
          <w:szCs w:val="32"/>
          <w:lang w:val="en-US" w:eastAsia="zh-CN"/>
        </w:rPr>
        <w:t>20</w:t>
      </w:r>
      <w:r>
        <w:rPr>
          <w:rStyle w:val="8"/>
          <w:rFonts w:hint="default" w:ascii="仿宋_GB2312" w:hAnsi="宋体" w:eastAsia="仿宋_GB2312" w:cs="仿宋_GB2312"/>
          <w:b w:val="0"/>
          <w:bCs w:val="0"/>
          <w:i w:val="0"/>
          <w:iCs w:val="0"/>
          <w:caps w:val="0"/>
          <w:color w:val="000000"/>
          <w:spacing w:val="0"/>
          <w:sz w:val="32"/>
          <w:szCs w:val="32"/>
        </w:rPr>
        <w:t>名，工勤编制0名，事业编制</w:t>
      </w:r>
      <w:r>
        <w:rPr>
          <w:rStyle w:val="8"/>
          <w:rFonts w:hint="eastAsia" w:ascii="仿宋_GB2312" w:hAnsi="宋体" w:eastAsia="仿宋_GB2312" w:cs="仿宋_GB2312"/>
          <w:b w:val="0"/>
          <w:bCs w:val="0"/>
          <w:i w:val="0"/>
          <w:iCs w:val="0"/>
          <w:caps w:val="0"/>
          <w:color w:val="000000"/>
          <w:spacing w:val="0"/>
          <w:sz w:val="32"/>
          <w:szCs w:val="32"/>
          <w:lang w:val="en-US" w:eastAsia="zh-CN"/>
        </w:rPr>
        <w:t>20</w:t>
      </w:r>
      <w:r>
        <w:rPr>
          <w:rStyle w:val="8"/>
          <w:rFonts w:hint="default" w:ascii="仿宋_GB2312" w:hAnsi="宋体" w:eastAsia="仿宋_GB2312" w:cs="仿宋_GB2312"/>
          <w:b w:val="0"/>
          <w:bCs w:val="0"/>
          <w:i w:val="0"/>
          <w:iCs w:val="0"/>
          <w:caps w:val="0"/>
          <w:color w:val="000000"/>
          <w:spacing w:val="0"/>
          <w:sz w:val="32"/>
          <w:szCs w:val="32"/>
        </w:rPr>
        <w:t>名。在职人员总数</w:t>
      </w:r>
      <w:r>
        <w:rPr>
          <w:rStyle w:val="8"/>
          <w:rFonts w:hint="eastAsia" w:ascii="仿宋_GB2312" w:hAnsi="宋体" w:eastAsia="仿宋_GB2312" w:cs="仿宋_GB2312"/>
          <w:b w:val="0"/>
          <w:bCs w:val="0"/>
          <w:i w:val="0"/>
          <w:iCs w:val="0"/>
          <w:caps w:val="0"/>
          <w:color w:val="000000"/>
          <w:spacing w:val="0"/>
          <w:sz w:val="32"/>
          <w:szCs w:val="32"/>
          <w:lang w:val="en-US" w:eastAsia="zh-CN"/>
        </w:rPr>
        <w:t>32</w:t>
      </w:r>
      <w:r>
        <w:rPr>
          <w:rStyle w:val="8"/>
          <w:rFonts w:hint="default" w:ascii="仿宋_GB2312" w:hAnsi="宋体" w:eastAsia="仿宋_GB2312" w:cs="仿宋_GB2312"/>
          <w:b w:val="0"/>
          <w:bCs w:val="0"/>
          <w:i w:val="0"/>
          <w:iCs w:val="0"/>
          <w:caps w:val="0"/>
          <w:color w:val="000000"/>
          <w:spacing w:val="0"/>
          <w:sz w:val="32"/>
          <w:szCs w:val="32"/>
        </w:rPr>
        <w:t>名，其中：行政</w:t>
      </w:r>
      <w:r>
        <w:rPr>
          <w:rStyle w:val="8"/>
          <w:rFonts w:hint="eastAsia" w:ascii="仿宋_GB2312" w:hAnsi="宋体" w:eastAsia="仿宋_GB2312" w:cs="仿宋_GB2312"/>
          <w:b w:val="0"/>
          <w:bCs w:val="0"/>
          <w:i w:val="0"/>
          <w:iCs w:val="0"/>
          <w:caps w:val="0"/>
          <w:color w:val="000000"/>
          <w:spacing w:val="0"/>
          <w:sz w:val="32"/>
          <w:szCs w:val="32"/>
          <w:lang w:val="en-US" w:eastAsia="zh-CN"/>
        </w:rPr>
        <w:t>18</w:t>
      </w:r>
      <w:r>
        <w:rPr>
          <w:rStyle w:val="8"/>
          <w:rFonts w:hint="default" w:ascii="仿宋_GB2312" w:hAnsi="宋体" w:eastAsia="仿宋_GB2312" w:cs="仿宋_GB2312"/>
          <w:b w:val="0"/>
          <w:bCs w:val="0"/>
          <w:i w:val="0"/>
          <w:iCs w:val="0"/>
          <w:caps w:val="0"/>
          <w:color w:val="000000"/>
          <w:spacing w:val="0"/>
          <w:sz w:val="32"/>
          <w:szCs w:val="32"/>
        </w:rPr>
        <w:t>名，工勤</w:t>
      </w:r>
      <w:r>
        <w:rPr>
          <w:rStyle w:val="8"/>
          <w:rFonts w:hint="eastAsia" w:ascii="仿宋_GB2312" w:hAnsi="宋体" w:eastAsia="仿宋_GB2312" w:cs="仿宋_GB2312"/>
          <w:b w:val="0"/>
          <w:bCs w:val="0"/>
          <w:i w:val="0"/>
          <w:iCs w:val="0"/>
          <w:caps w:val="0"/>
          <w:color w:val="000000"/>
          <w:spacing w:val="0"/>
          <w:sz w:val="32"/>
          <w:szCs w:val="32"/>
          <w:lang w:val="en-US" w:eastAsia="zh-CN"/>
        </w:rPr>
        <w:t>0</w:t>
      </w:r>
      <w:r>
        <w:rPr>
          <w:rStyle w:val="8"/>
          <w:rFonts w:hint="default" w:ascii="仿宋_GB2312" w:hAnsi="宋体" w:eastAsia="仿宋_GB2312" w:cs="仿宋_GB2312"/>
          <w:b w:val="0"/>
          <w:bCs w:val="0"/>
          <w:i w:val="0"/>
          <w:iCs w:val="0"/>
          <w:caps w:val="0"/>
          <w:color w:val="000000"/>
          <w:spacing w:val="0"/>
          <w:sz w:val="32"/>
          <w:szCs w:val="32"/>
        </w:rPr>
        <w:t>名，事业</w:t>
      </w:r>
      <w:r>
        <w:rPr>
          <w:rStyle w:val="8"/>
          <w:rFonts w:hint="eastAsia" w:ascii="仿宋_GB2312" w:hAnsi="宋体" w:eastAsia="仿宋_GB2312" w:cs="仿宋_GB2312"/>
          <w:b w:val="0"/>
          <w:bCs w:val="0"/>
          <w:i w:val="0"/>
          <w:iCs w:val="0"/>
          <w:caps w:val="0"/>
          <w:color w:val="000000"/>
          <w:spacing w:val="0"/>
          <w:sz w:val="32"/>
          <w:szCs w:val="32"/>
          <w:lang w:val="en-US" w:eastAsia="zh-CN"/>
        </w:rPr>
        <w:t>14</w:t>
      </w:r>
      <w:r>
        <w:rPr>
          <w:rStyle w:val="8"/>
          <w:rFonts w:hint="default" w:ascii="仿宋_GB2312" w:hAnsi="宋体" w:eastAsia="仿宋_GB2312" w:cs="仿宋_GB2312"/>
          <w:b w:val="0"/>
          <w:bCs w:val="0"/>
          <w:i w:val="0"/>
          <w:iCs w:val="0"/>
          <w:caps w:val="0"/>
          <w:color w:val="000000"/>
          <w:spacing w:val="0"/>
          <w:sz w:val="32"/>
          <w:szCs w:val="32"/>
        </w:rPr>
        <w:t>名。离休0名。</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keepNext w:val="0"/>
        <w:keepLines w:val="0"/>
        <w:pageBreakBefore w:val="0"/>
        <w:widowControl/>
        <w:kinsoku/>
        <w:wordWrap/>
        <w:overflowPunct/>
        <w:topLinePunct w:val="0"/>
        <w:autoSpaceDE/>
        <w:autoSpaceDN/>
        <w:bidi w:val="0"/>
        <w:spacing w:beforeAutospacing="0" w:line="56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default" w:ascii="楷体_GB2312" w:hAnsi="楷体_GB2312" w:eastAsia="楷体_GB2312" w:cs="楷体_GB2312"/>
          <w:b w:val="0"/>
          <w:bCs w:val="0"/>
          <w:sz w:val="32"/>
          <w:szCs w:val="32"/>
          <w:lang w:val="en-US" w:eastAsia="zh-CN"/>
        </w:rPr>
        <w:t>1</w:t>
      </w:r>
      <w:r>
        <w:rPr>
          <w:rFonts w:hint="eastAsia" w:ascii="楷体_GB2312" w:hAnsi="楷体_GB2312" w:eastAsia="楷体_GB2312" w:cs="楷体_GB2312"/>
          <w:b w:val="0"/>
          <w:bCs w:val="0"/>
          <w:sz w:val="32"/>
          <w:szCs w:val="32"/>
          <w:lang w:val="en-US" w:eastAsia="zh-CN"/>
        </w:rPr>
        <w:t>、乡村振兴蹄疾步稳</w:t>
      </w:r>
      <w:r>
        <w:rPr>
          <w:rFonts w:hint="eastAsia" w:ascii="楷体_GB2312" w:hAnsi="楷体_GB2312" w:eastAsia="楷体_GB2312" w:cs="楷体_GB2312"/>
          <w:b w:val="0"/>
          <w:bCs w:val="0"/>
          <w:sz w:val="32"/>
          <w:szCs w:val="32"/>
        </w:rPr>
        <w:t>。</w:t>
      </w:r>
      <w:r>
        <w:rPr>
          <w:rFonts w:hint="eastAsia" w:ascii="Times New Roman" w:hAnsi="Times New Roman" w:eastAsia="仿宋_GB2312" w:cs="Times New Roman"/>
          <w:color w:val="auto"/>
          <w:sz w:val="32"/>
          <w:szCs w:val="32"/>
          <w:lang w:val="en-US" w:eastAsia="zh-CN"/>
        </w:rPr>
        <w:t>扎实开展防返贫监测帮扶集中排查，</w:t>
      </w:r>
      <w:r>
        <w:rPr>
          <w:rFonts w:hint="default" w:ascii="Times New Roman" w:hAnsi="Times New Roman" w:eastAsia="仿宋_GB2312" w:cs="Times New Roman"/>
          <w:color w:val="auto"/>
          <w:sz w:val="32"/>
          <w:szCs w:val="32"/>
          <w:lang w:val="en-US" w:eastAsia="zh-CN"/>
        </w:rPr>
        <w:t>1—11</w:t>
      </w:r>
      <w:r>
        <w:rPr>
          <w:rFonts w:hint="eastAsia" w:ascii="Times New Roman" w:hAnsi="Times New Roman" w:eastAsia="仿宋_GB2312" w:cs="Times New Roman"/>
          <w:color w:val="auto"/>
          <w:sz w:val="32"/>
          <w:szCs w:val="32"/>
          <w:lang w:val="en-US" w:eastAsia="zh-CN"/>
        </w:rPr>
        <w:t>月，接收推送风险信息184条，排查农户3331户，新增监测户23户94人，一户一策落实帮扶措施，守住不发生一户一人返贫致贫底线。坚持“五查两补”“五方会审”，动态消除“两不愁三保障”和饮水安全短板，持续落实医疗、教育、低保各项帮扶措施，兑现各类资金360余万元，落实奋进计划奖励资金273.53万元，全镇无一人致贫返贫。全面推进“五清”行动、场镇建设提升行动，村生活垃圾、污水有效治理率均达100%，有力助推美丽宜居乡村建设。</w:t>
      </w: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2、产业发展富有成效。</w:t>
      </w:r>
      <w:r>
        <w:rPr>
          <w:rFonts w:hint="eastAsia" w:ascii="Times New Roman" w:hAnsi="Times New Roman" w:eastAsia="仿宋_GB2312" w:cs="Times New Roman"/>
          <w:color w:val="auto"/>
          <w:kern w:val="2"/>
          <w:sz w:val="32"/>
          <w:szCs w:val="32"/>
          <w:lang w:val="en-US" w:eastAsia="zh-CN" w:bidi="ar-SA"/>
        </w:rPr>
        <w:t>依托东部旅游大通道开发，推进特色餐饮、特色民宿、休闲渔船等特色产业发展；深入挖掘山水资源，推进广益猕猴桃、毛坪独脚菇、凤凰李等特色品牌培育；立足区位优势，扭转五旺公司发展趋势、推进云心村绿色农产品加工园区建设。现代农业稳步提质，整治撂荒地7.44亩，全镇粮食播种面积1.52万亩，粮食产量稳定在5433吨以上，探索“农村致富带头人+农户+村两委+驻村工作队”模式，在高山村试种珠芽魔芋30亩。目前全镇规模生猪养殖场（户）共2个，预估全年出栏生猪3.5万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楷体_GB2312" w:hAnsi="楷体_GB2312" w:eastAsia="楷体_GB2312" w:cs="楷体_GB2312"/>
          <w:b w:val="0"/>
          <w:bCs w:val="0"/>
          <w:sz w:val="32"/>
          <w:szCs w:val="32"/>
          <w:lang w:val="en-US" w:eastAsia="zh-CN"/>
        </w:rPr>
        <w:t>3、项目建设有序推进。</w:t>
      </w:r>
      <w:r>
        <w:rPr>
          <w:rFonts w:hint="eastAsia" w:ascii="Times New Roman" w:hAnsi="Times New Roman" w:eastAsia="仿宋_GB2312" w:cs="Times New Roman"/>
          <w:color w:val="auto"/>
          <w:sz w:val="32"/>
          <w:szCs w:val="32"/>
          <w:lang w:val="en-US" w:eastAsia="zh-CN"/>
        </w:rPr>
        <w:t>竣工运营峨轸路及骑游道毛坪段、长梯8.18水毁工程等项目；开工建设渔洞河电站外公路抬高项目、云心村人居改善项目、凤凰村村级公路黑化项目、新华村粘土场至岩窝子产业道路硬化工程等项目；包装储备小河子旅游开发项目、渔洞河水上滨河公园、云心村农旅产业园等项目。通过基础设施改造提升、特色业态培育招引等，为文旅大项目破题提供基础保障；谋划打造小河子至场镇的彝汉风情老街文旅IP，打造峨边又一网红打卡地；创新发展“山歌”文化与彝族文化相融合，提升文旅知名度，毛坪山歌成为省级非遗。</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4、民生福祉持续改善。</w:t>
      </w:r>
      <w:r>
        <w:rPr>
          <w:rFonts w:hint="eastAsia" w:ascii="Times New Roman" w:hAnsi="Times New Roman" w:eastAsia="仿宋_GB2312" w:cs="Times New Roman"/>
          <w:color w:val="auto"/>
          <w:kern w:val="2"/>
          <w:sz w:val="32"/>
          <w:szCs w:val="32"/>
          <w:lang w:val="en-US" w:eastAsia="zh-CN" w:bidi="ar-SA"/>
        </w:rPr>
        <w:t>扎实开展我为群众办实事“百日攻坚”行动，办理“一老一小”等特殊困难群体民生实事43余件，民生实事完成年度计划的100%。持续打好“蓝天、碧水、净土”保卫战，扎实推进秸秆禁烧，查处露天焚烧秸秆火点23起，大气环境质量有效改善。全面实施水污染防治行动，杜绝污水直排现象，实现水质稳定达标。坚决守住“零确诊、零无症状感染病例”防线，累计排查登记低、中、高风险地区及境外、务工返乡人员1504余人次，18岁以上完成全程接种6682人，筑牢人民群众生命安全防线。排查矛盾纠纷67次，及时有效化解64件、化解成功率95.52%，有效确保了党的二十大、省党代会等关键节点社会大局稳定。</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ascii="仿宋" w:hAnsi="仿宋" w:eastAsia="仿宋" w:cs="宋体"/>
          <w:color w:val="000000"/>
          <w:kern w:val="0"/>
          <w:szCs w:val="32"/>
          <w:shd w:val="clear" w:color="auto" w:fill="FFFFFF"/>
          <w:lang w:val="zh-CN"/>
        </w:rPr>
      </w:pPr>
      <w:r>
        <w:rPr>
          <w:rFonts w:hint="eastAsia" w:ascii="仿宋" w:hAnsi="仿宋" w:eastAsia="仿宋" w:cs="宋体"/>
          <w:color w:val="000000"/>
          <w:kern w:val="0"/>
          <w:szCs w:val="32"/>
          <w:shd w:val="clear" w:color="auto" w:fill="FFFFFF"/>
          <w:lang w:val="zh-CN"/>
        </w:rPr>
        <w:t>我镇2022年完成了如下：峨边彝族自治县“积分超市”工作经费</w:t>
      </w:r>
      <w:r>
        <w:rPr>
          <w:rFonts w:hint="eastAsia" w:ascii="仿宋" w:hAnsi="仿宋" w:eastAsia="仿宋" w:cs="宋体"/>
          <w:color w:val="000000"/>
          <w:kern w:val="0"/>
          <w:szCs w:val="32"/>
          <w:shd w:val="clear" w:color="auto" w:fill="FFFFFF"/>
          <w:lang w:val="en-US" w:eastAsia="zh-CN"/>
        </w:rPr>
        <w:t>22</w:t>
      </w:r>
      <w:r>
        <w:rPr>
          <w:rFonts w:hint="eastAsia" w:ascii="仿宋" w:hAnsi="仿宋" w:eastAsia="仿宋" w:cs="宋体"/>
          <w:color w:val="000000"/>
          <w:kern w:val="0"/>
          <w:szCs w:val="32"/>
          <w:shd w:val="clear" w:color="auto" w:fill="FFFFFF"/>
          <w:lang w:val="zh-CN"/>
        </w:rPr>
        <w:t>万元和乡镇城乡环境治理管理中队公益性岗位补贴9.6万元这三个项目。已按实际拨付完毕。</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580" w:lineRule="exact"/>
        <w:ind w:firstLine="800" w:firstLineChars="250"/>
        <w:contextualSpacing/>
        <w:jc w:val="left"/>
        <w:rPr>
          <w:rFonts w:ascii="仿宋" w:hAnsi="仿宋" w:eastAsia="仿宋" w:cs="宋体"/>
          <w:color w:val="000000"/>
          <w:kern w:val="0"/>
          <w:szCs w:val="32"/>
          <w:shd w:val="clear" w:color="auto" w:fill="FFFFFF"/>
          <w:lang w:val="zh-CN"/>
        </w:rPr>
      </w:pPr>
      <w:r>
        <w:rPr>
          <w:rFonts w:hint="eastAsia" w:ascii="仿宋" w:hAnsi="仿宋" w:eastAsia="仿宋" w:cs="宋体"/>
          <w:szCs w:val="32"/>
        </w:rPr>
        <w:t>2022年度部门收入总额</w:t>
      </w:r>
      <w:r>
        <w:rPr>
          <w:rFonts w:hint="eastAsia" w:ascii="楷体_GB2312" w:hAnsi="宋体" w:eastAsia="楷体_GB2312" w:cs="宋体"/>
          <w:color w:val="auto"/>
          <w:kern w:val="0"/>
          <w:szCs w:val="32"/>
          <w:shd w:val="clear" w:color="auto" w:fill="FFFFFF"/>
          <w:lang w:val="en-US" w:eastAsia="zh-CN"/>
        </w:rPr>
        <w:t>1141.24</w:t>
      </w:r>
      <w:r>
        <w:rPr>
          <w:rFonts w:hint="eastAsia" w:ascii="仿宋" w:hAnsi="仿宋" w:eastAsia="仿宋" w:cs="宋体"/>
          <w:szCs w:val="32"/>
        </w:rPr>
        <w:t>万元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（二）部门财政资金支出情况。</w:t>
      </w:r>
    </w:p>
    <w:p>
      <w:pPr>
        <w:widowControl/>
        <w:adjustRightInd w:val="0"/>
        <w:snapToGrid w:val="0"/>
        <w:spacing w:line="580" w:lineRule="exact"/>
        <w:ind w:firstLine="800" w:firstLineChars="250"/>
        <w:contextualSpacing/>
        <w:jc w:val="left"/>
        <w:rPr>
          <w:rFonts w:ascii="楷体_GB2312" w:hAnsi="宋体" w:eastAsia="楷体_GB2312" w:cs="宋体"/>
          <w:color w:val="000000"/>
          <w:kern w:val="0"/>
          <w:szCs w:val="32"/>
          <w:shd w:val="clear" w:color="auto" w:fill="FFFFFF"/>
          <w:lang w:val="zh-CN"/>
        </w:rPr>
      </w:pPr>
      <w:r>
        <w:rPr>
          <w:rFonts w:hint="eastAsia" w:ascii="仿宋" w:hAnsi="仿宋" w:eastAsia="仿宋" w:cs="宋体"/>
          <w:szCs w:val="32"/>
        </w:rPr>
        <w:t>2022年度部门支出总额</w:t>
      </w:r>
      <w:r>
        <w:rPr>
          <w:rFonts w:hint="eastAsia" w:ascii="楷体_GB2312" w:hAnsi="宋体" w:eastAsia="楷体_GB2312" w:cs="宋体"/>
          <w:color w:val="auto"/>
          <w:kern w:val="0"/>
          <w:szCs w:val="32"/>
          <w:shd w:val="clear" w:color="auto" w:fill="FFFFFF"/>
          <w:lang w:val="en-US" w:eastAsia="zh-CN"/>
        </w:rPr>
        <w:t>1141.24</w:t>
      </w:r>
      <w:r>
        <w:rPr>
          <w:rFonts w:hint="eastAsia" w:ascii="仿宋" w:hAnsi="仿宋" w:eastAsia="仿宋" w:cs="宋体"/>
          <w:szCs w:val="32"/>
        </w:rPr>
        <w:t>万元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widowControl/>
        <w:adjustRightInd w:val="0"/>
        <w:snapToGrid w:val="0"/>
        <w:spacing w:line="580" w:lineRule="exact"/>
        <w:ind w:firstLine="800" w:firstLineChars="250"/>
        <w:contextualSpacing/>
        <w:jc w:val="left"/>
        <w:rPr>
          <w:rFonts w:ascii="仿宋" w:hAnsi="仿宋" w:eastAsia="仿宋"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 xml:space="preserve"> </w:t>
      </w:r>
      <w:r>
        <w:rPr>
          <w:rFonts w:hint="eastAsia" w:ascii="仿宋" w:hAnsi="仿宋" w:eastAsia="仿宋" w:cs="宋体"/>
          <w:szCs w:val="32"/>
        </w:rPr>
        <w:t>无结转结余</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rPr>
      </w:pPr>
      <w:r>
        <w:rPr>
          <w:rFonts w:ascii="仿宋_GB2312" w:hAnsi="宋体" w:cs="宋体"/>
          <w:color w:val="000000"/>
          <w:kern w:val="0"/>
          <w:szCs w:val="32"/>
          <w:shd w:val="clear" w:color="auto" w:fill="FFFFFF"/>
          <w:lang w:val="zh-CN"/>
        </w:rPr>
        <w:t>预算管理方面，编制内在职人员控制率小于100%，支出总额控制在预算总额以内。制度执行总体较为有效，但仍需进一步强化，资金使用管理需进一步加强。</w:t>
      </w:r>
      <w:r>
        <w:rPr>
          <w:rFonts w:hint="eastAsia" w:ascii="仿宋_GB2312" w:hAnsi="宋体" w:cs="宋体"/>
          <w:color w:val="000000"/>
          <w:kern w:val="0"/>
          <w:szCs w:val="32"/>
          <w:shd w:val="clear" w:color="auto" w:fill="FFFFFF"/>
        </w:rPr>
        <w:t>单位内部控制制度需进一步健全，内控制度执行还需进一步规范。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ascii="仿宋_GB2312" w:hAnsi="宋体" w:cs="宋体"/>
          <w:color w:val="000000"/>
          <w:kern w:val="0"/>
          <w:szCs w:val="32"/>
          <w:highlight w:val="red"/>
          <w:shd w:val="clear" w:color="auto" w:fill="FFFFFF"/>
        </w:rPr>
      </w:pPr>
      <w:r>
        <w:rPr>
          <w:rFonts w:hint="eastAsia" w:ascii="仿宋_GB2312" w:hAnsi="宋体" w:cs="宋体"/>
          <w:color w:val="000000"/>
          <w:kern w:val="0"/>
          <w:szCs w:val="32"/>
          <w:shd w:val="clear" w:color="auto" w:fill="FFFFFF"/>
          <w:lang w:val="zh-CN"/>
        </w:rPr>
        <w:t>毛坪镇人民政府绩效目标按要求向社会公开，部门整体绩效自评情况和自行组织的评价情况向社会公开，及时整改了绩效管理发现问题，向财政部门反馈结果应用情况。资金主要投入峨边彝族自治县“积分超市”工作经费</w:t>
      </w:r>
      <w:r>
        <w:rPr>
          <w:rFonts w:hint="eastAsia" w:ascii="仿宋_GB2312" w:hAnsi="宋体" w:cs="宋体"/>
          <w:color w:val="000000"/>
          <w:kern w:val="0"/>
          <w:szCs w:val="32"/>
          <w:shd w:val="clear" w:color="auto" w:fill="FFFFFF"/>
          <w:lang w:val="en-US" w:eastAsia="zh-CN"/>
        </w:rPr>
        <w:t>22万</w:t>
      </w:r>
      <w:r>
        <w:rPr>
          <w:rFonts w:hint="eastAsia" w:ascii="仿宋_GB2312" w:hAnsi="宋体" w:cs="宋体"/>
          <w:color w:val="000000"/>
          <w:kern w:val="0"/>
          <w:szCs w:val="32"/>
          <w:shd w:val="clear" w:color="auto" w:fill="FFFFFF"/>
          <w:lang w:val="zh-CN"/>
        </w:rPr>
        <w:t>元，乡镇城乡环境治理管理中队公益性岗位补贴</w:t>
      </w:r>
      <w:r>
        <w:rPr>
          <w:rFonts w:hint="eastAsia" w:ascii="仿宋_GB2312" w:hAnsi="宋体" w:cs="宋体"/>
          <w:color w:val="000000"/>
          <w:kern w:val="0"/>
          <w:szCs w:val="32"/>
          <w:shd w:val="clear" w:color="auto" w:fill="FFFFFF"/>
          <w:lang w:val="en-US" w:eastAsia="zh-CN"/>
        </w:rPr>
        <w:t>9.6万</w:t>
      </w:r>
      <w:r>
        <w:rPr>
          <w:rFonts w:hint="eastAsia" w:ascii="仿宋_GB2312" w:hAnsi="宋体" w:cs="宋体"/>
          <w:color w:val="000000"/>
          <w:kern w:val="0"/>
          <w:szCs w:val="32"/>
          <w:shd w:val="clear" w:color="auto" w:fill="FFFFFF"/>
          <w:lang w:val="zh-CN"/>
        </w:rPr>
        <w:t>元。</w:t>
      </w:r>
      <w:r>
        <w:rPr>
          <w:rFonts w:ascii="仿宋_GB2312" w:hAnsi="宋体" w:cs="宋体"/>
          <w:color w:val="000000"/>
          <w:kern w:val="0"/>
          <w:szCs w:val="32"/>
          <w:shd w:val="clear" w:color="auto" w:fill="FFFFFF"/>
          <w:lang w:val="zh-CN"/>
        </w:rPr>
        <w:t>通过统计分析获取了人民群众对生态环境的健康度、居住生活的舒适度、工作出行的便捷度、居住生活的安全度各方面的</w:t>
      </w:r>
      <w:r>
        <w:rPr>
          <w:rFonts w:hint="eastAsia" w:ascii="仿宋_GB2312" w:hAnsi="宋体" w:cs="宋体"/>
          <w:color w:val="000000"/>
          <w:kern w:val="0"/>
          <w:szCs w:val="32"/>
          <w:shd w:val="clear" w:color="auto" w:fill="FFFFFF"/>
          <w:lang w:val="zh-CN"/>
        </w:rPr>
        <w:t>良好</w:t>
      </w:r>
      <w:r>
        <w:rPr>
          <w:rFonts w:ascii="仿宋_GB2312" w:hAnsi="宋体" w:cs="宋体"/>
          <w:color w:val="000000"/>
          <w:kern w:val="0"/>
          <w:szCs w:val="32"/>
          <w:shd w:val="clear" w:color="auto" w:fill="FFFFFF"/>
          <w:lang w:val="zh-CN"/>
        </w:rPr>
        <w:t>评价</w:t>
      </w:r>
      <w:r>
        <w:rPr>
          <w:rFonts w:hint="eastAsia" w:ascii="仿宋_GB2312" w:hAnsi="宋体" w:cs="宋体"/>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2.100万以上项目：无</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ascii="仿宋_GB2312" w:hAnsi="宋体" w:cs="宋体"/>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本单位按照财政局下达的预算指标，严格执行预算内开支，保障了单位正常运转。本部门的预决算编制均按照县财政局下达的相关文件指标进行了编制，按时完成经、编制工作，决算报表和说明均在</w:t>
      </w:r>
      <w:r>
        <w:rPr>
          <w:rFonts w:hint="eastAsia" w:ascii="仿宋_GB2312" w:hAnsi="宋体" w:cs="宋体"/>
          <w:color w:val="000000"/>
          <w:kern w:val="0"/>
          <w:szCs w:val="32"/>
          <w:shd w:val="clear" w:color="auto" w:fill="FFFFFF"/>
          <w:lang w:val="zh-CN"/>
        </w:rPr>
        <w:t>峨边彝族自治</w:t>
      </w:r>
      <w:r>
        <w:rPr>
          <w:rFonts w:ascii="仿宋_GB2312" w:hAnsi="宋体" w:cs="宋体"/>
          <w:color w:val="000000"/>
          <w:kern w:val="0"/>
          <w:szCs w:val="32"/>
          <w:shd w:val="clear" w:color="auto" w:fill="FFFFFF"/>
          <w:lang w:val="zh-CN"/>
        </w:rPr>
        <w:t>县政府门户网站公开。绩效目标也按照有关文件如实进行了填报。</w:t>
      </w:r>
      <w:r>
        <w:rPr>
          <w:rFonts w:hint="eastAsia" w:ascii="仿宋_GB2312" w:hAnsi="宋体" w:eastAsia="仿宋_GB2312" w:cs="宋体"/>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根据《峨边彝族自治县财政局 关于开展20</w:t>
      </w:r>
      <w:r>
        <w:rPr>
          <w:rFonts w:hint="eastAsia" w:ascii="仿宋_GB2312" w:hAnsi="宋体" w:cs="宋体"/>
          <w:color w:val="000000"/>
          <w:kern w:val="0"/>
          <w:szCs w:val="32"/>
          <w:shd w:val="clear" w:color="auto" w:fill="FFFFFF"/>
        </w:rPr>
        <w:t>22</w:t>
      </w:r>
      <w:r>
        <w:rPr>
          <w:rFonts w:hint="eastAsia" w:ascii="仿宋_GB2312" w:hAnsi="宋体" w:cs="宋体"/>
          <w:color w:val="000000"/>
          <w:kern w:val="0"/>
          <w:szCs w:val="32"/>
          <w:shd w:val="clear" w:color="auto" w:fill="FFFFFF"/>
          <w:lang w:val="zh-CN"/>
        </w:rPr>
        <w:t>年度部门整体、项目支出预算绩效评价工作的通知》文件精神，毛坪镇人民政府</w:t>
      </w:r>
      <w:r>
        <w:rPr>
          <w:rFonts w:hint="eastAsia" w:ascii="仿宋_GB2312" w:hAnsi="宋体" w:cs="宋体"/>
          <w:color w:val="000000"/>
          <w:kern w:val="0"/>
          <w:szCs w:val="32"/>
          <w:shd w:val="clear" w:color="auto" w:fill="FFFFFF"/>
        </w:rPr>
        <w:t>认真组织开展了部门整体支出绩效评价工作，绩效评价</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rPr>
        <w:t xml:space="preserve"> 98 </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bookmarkStart w:id="0" w:name="_GoBack"/>
      <w:bookmarkEnd w:id="0"/>
    </w:p>
    <w:p>
      <w:pPr>
        <w:widowControl/>
        <w:numPr>
          <w:ilvl w:val="0"/>
          <w:numId w:val="0"/>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Style w:val="8"/>
          <w:rFonts w:ascii="仿宋_GB2312" w:hAnsi="宋体" w:eastAsia="仿宋_GB2312" w:cs="仿宋_GB2312"/>
          <w:b w:val="0"/>
          <w:bCs w:val="0"/>
          <w:i w:val="0"/>
          <w:iCs w:val="0"/>
          <w:caps w:val="0"/>
          <w:color w:val="000000"/>
          <w:spacing w:val="0"/>
          <w:sz w:val="32"/>
          <w:szCs w:val="32"/>
          <w:shd w:val="clear" w:color="auto" w:fill="FFFFFF"/>
        </w:rPr>
        <w:t>在资金管理过程中，</w:t>
      </w:r>
      <w:r>
        <w:rPr>
          <w:rStyle w:val="8"/>
          <w:rFonts w:hint="default" w:ascii="仿宋_GB2312" w:hAnsi="宋体" w:eastAsia="仿宋_GB2312" w:cs="仿宋_GB2312"/>
          <w:b w:val="0"/>
          <w:bCs w:val="0"/>
          <w:i w:val="0"/>
          <w:iCs w:val="0"/>
          <w:caps w:val="0"/>
          <w:color w:val="000000"/>
          <w:spacing w:val="0"/>
          <w:sz w:val="32"/>
          <w:szCs w:val="32"/>
          <w:shd w:val="clear" w:color="auto" w:fill="FFFFFF"/>
        </w:rPr>
        <w:t>还存在部分支出依据不合规，财务管理制度不够健全，财务人员业务水平还需加强等问题</w:t>
      </w:r>
      <w:r>
        <w:rPr>
          <w:rFonts w:hint="eastAsia" w:ascii="仿宋_GB2312" w:hAnsi="宋体" w:cs="宋体"/>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（三）改进建议。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40"/>
        <w:jc w:val="left"/>
        <w:rPr>
          <w:rFonts w:hint="default" w:ascii="Times New Roman" w:hAnsi="Times New Roman" w:cs="Times New Roman"/>
          <w:i w:val="0"/>
          <w:iCs w:val="0"/>
          <w:caps w:val="0"/>
          <w:color w:val="333333"/>
          <w:spacing w:val="0"/>
          <w:sz w:val="32"/>
          <w:szCs w:val="32"/>
        </w:rPr>
      </w:pPr>
      <w:r>
        <w:rPr>
          <w:rStyle w:val="8"/>
          <w:rFonts w:ascii="仿宋_GB2312" w:hAnsi="Times New Roman" w:eastAsia="仿宋_GB2312" w:cs="仿宋_GB2312"/>
          <w:b w:val="0"/>
          <w:bCs w:val="0"/>
          <w:i w:val="0"/>
          <w:iCs w:val="0"/>
          <w:caps w:val="0"/>
          <w:color w:val="000000"/>
          <w:spacing w:val="0"/>
          <w:sz w:val="32"/>
          <w:szCs w:val="32"/>
          <w:shd w:val="clear" w:color="auto" w:fill="FFFFFF"/>
        </w:rPr>
        <w:t>1.</w:t>
      </w:r>
      <w:r>
        <w:rPr>
          <w:rStyle w:val="8"/>
          <w:rFonts w:hint="default" w:ascii="仿宋_GB2312" w:hAnsi="Times New Roman" w:eastAsia="仿宋_GB2312" w:cs="仿宋_GB2312"/>
          <w:b w:val="0"/>
          <w:bCs w:val="0"/>
          <w:i w:val="0"/>
          <w:iCs w:val="0"/>
          <w:caps w:val="0"/>
          <w:color w:val="000000"/>
          <w:spacing w:val="0"/>
          <w:sz w:val="32"/>
          <w:szCs w:val="32"/>
          <w:shd w:val="clear" w:color="auto" w:fill="FFFFFF"/>
        </w:rPr>
        <w:t>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40"/>
        <w:jc w:val="left"/>
        <w:rPr>
          <w:rFonts w:hint="default" w:ascii="Times New Roman" w:hAnsi="Times New Roman" w:cs="Times New Roman"/>
          <w:i w:val="0"/>
          <w:iCs w:val="0"/>
          <w:caps w:val="0"/>
          <w:color w:val="333333"/>
          <w:spacing w:val="0"/>
          <w:sz w:val="32"/>
          <w:szCs w:val="32"/>
        </w:rPr>
      </w:pPr>
      <w:r>
        <w:rPr>
          <w:rStyle w:val="8"/>
          <w:rFonts w:hint="default" w:ascii="仿宋_GB2312" w:hAnsi="Times New Roman" w:eastAsia="仿宋_GB2312" w:cs="仿宋_GB2312"/>
          <w:b w:val="0"/>
          <w:bCs w:val="0"/>
          <w:i w:val="0"/>
          <w:iCs w:val="0"/>
          <w:caps w:val="0"/>
          <w:color w:val="000000"/>
          <w:spacing w:val="0"/>
          <w:sz w:val="32"/>
          <w:szCs w:val="32"/>
          <w:shd w:val="clear" w:color="auto" w:fill="FFFFFF"/>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40"/>
        <w:jc w:val="left"/>
        <w:rPr>
          <w:rFonts w:hint="default" w:ascii="Times New Roman" w:hAnsi="Times New Roman" w:cs="Times New Roman"/>
          <w:i w:val="0"/>
          <w:iCs w:val="0"/>
          <w:caps w:val="0"/>
          <w:color w:val="333333"/>
          <w:spacing w:val="0"/>
          <w:sz w:val="32"/>
          <w:szCs w:val="32"/>
        </w:rPr>
      </w:pPr>
      <w:r>
        <w:rPr>
          <w:rStyle w:val="8"/>
          <w:rFonts w:hint="default" w:ascii="仿宋_GB2312" w:hAnsi="Times New Roman" w:eastAsia="仿宋_GB2312" w:cs="仿宋_GB2312"/>
          <w:b w:val="0"/>
          <w:bCs w:val="0"/>
          <w:i w:val="0"/>
          <w:iCs w:val="0"/>
          <w:caps w:val="0"/>
          <w:color w:val="000000"/>
          <w:spacing w:val="0"/>
          <w:sz w:val="32"/>
          <w:szCs w:val="32"/>
          <w:shd w:val="clear" w:color="auto" w:fill="FFFFFF"/>
        </w:rP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w:t>
      </w:r>
    </w:p>
    <w:p>
      <w:pPr>
        <w:widowControl/>
        <w:numPr>
          <w:ilvl w:val="0"/>
          <w:numId w:val="0"/>
        </w:numPr>
        <w:adjustRightInd w:val="0"/>
        <w:snapToGrid w:val="0"/>
        <w:spacing w:line="580" w:lineRule="exact"/>
        <w:ind w:leftChars="200"/>
        <w:contextualSpacing/>
        <w:jc w:val="left"/>
        <w:rPr>
          <w:rFonts w:hint="eastAsia" w:ascii="楷体_GB2312" w:hAnsi="宋体" w:eastAsia="楷体_GB2312" w:cs="宋体"/>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p/>
    <w:sectPr>
      <w:headerReference r:id="rId3" w:type="default"/>
      <w:footerReference r:id="rId4" w:type="even"/>
      <w:pgSz w:w="11906" w:h="16838"/>
      <w:pgMar w:top="907" w:right="1361" w:bottom="851" w:left="1361" w:header="851" w:footer="992" w:gutter="0"/>
      <w:pgNumType w:fmt="numberInDash" w:start="12"/>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90214"/>
    <w:rsid w:val="47210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正文"/>
    <w:basedOn w:val="1"/>
    <w:qFormat/>
    <w:uiPriority w:val="99"/>
    <w:pPr>
      <w:spacing w:line="480" w:lineRule="exact"/>
      <w:ind w:firstLine="200" w:firstLineChars="200"/>
    </w:pPr>
    <w:rPr>
      <w:sz w:val="24"/>
      <w:szCs w:val="24"/>
      <w:lang w:val="zh-CN"/>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Emphasis"/>
    <w:basedOn w:val="7"/>
    <w:qFormat/>
    <w:uiPriority w:val="2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2023-06-26T02:51:00Z</dcterms:created>
  <dc:creator>Administrator</dc:creator>
  <cp:lastModifiedBy>Administrator</cp:lastModifiedBy>
  <dcterms:modified xsi:type="dcterms:W3CDTF">2023-06-26T02:51:45Z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2285922541AF4317B64A171C8CF03CAA</vt:lpwstr>
  </property>
</Properties>
</file>