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ind w:firstLine="883" w:firstLineChars="200"/>
        <w:contextualSpacing/>
        <w:jc w:val="center"/>
        <w:rPr>
          <w:rFonts w:ascii="宋体"/>
          <w:b/>
          <w:sz w:val="44"/>
          <w:szCs w:val="44"/>
          <w:shd w:val="clear" w:color="auto" w:fill="FFFFFF"/>
        </w:rPr>
      </w:pPr>
    </w:p>
    <w:p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  <w:lang w:eastAsia="zh-CN"/>
        </w:rPr>
        <w:t>县</w:t>
      </w: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级部门整体支出绩效自评报告范本</w:t>
      </w:r>
    </w:p>
    <w:p>
      <w:pPr>
        <w:widowControl/>
        <w:spacing w:line="580" w:lineRule="exact"/>
        <w:ind w:firstLine="640" w:firstLineChars="200"/>
        <w:contextualSpacing/>
        <w:jc w:val="center"/>
        <w:rPr>
          <w:rFonts w:ascii="仿宋_GB2312" w:hAnsi="宋体" w:eastAsia="仿宋_GB2312"/>
          <w:szCs w:val="32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60" w:firstLineChars="200"/>
        <w:contextualSpacing/>
        <w:jc w:val="left"/>
        <w:rPr>
          <w:rFonts w:ascii="方正仿宋_GBK" w:hAnsi="宋体" w:eastAsia="方正仿宋_GBK" w:cs="宋体"/>
          <w:color w:val="000000"/>
          <w:kern w:val="0"/>
          <w:sz w:val="33"/>
          <w:szCs w:val="33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  <w:t>部门（单位）概况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毛坪镇</w:t>
      </w:r>
      <w:r>
        <w:rPr>
          <w:rStyle w:val="10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人民政府属行政单位，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内设六办一所四中心。包括党政办、党建办公室、社会事务办公室、规划建设管理办公室、乡村振兴办公室、综合执法办公室、财政所、便民服务中心、农业综合服务中心、综治中心、文化旅游服务中心。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机构职能。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Style w:val="10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落实国家政策，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严格依法行政，发挥经济管理职能，加强政策引导，制定发展规划，服务市场主体和营造发展环境，搞好市场监管，大力促进社会事业发展，发展镇村经济、文化和社会事业，提供公共服务，维护社会稳定，执行本级人民代表大会的决议和上级国家行政机关的决定和命令，发布决定和命令，执行本行政区域内的经济和社会发展计划、预算，管理本行政区域内的经济、教育、科学、文化、卫生、体育事业和财政、民政、公安、司法行政、计划生育等行政工作，构建社会主义和谐社会。</w:t>
      </w:r>
    </w:p>
    <w:p>
      <w:pPr>
        <w:widowControl/>
        <w:numPr>
          <w:ilvl w:val="0"/>
          <w:numId w:val="1"/>
        </w:numPr>
        <w:tabs>
          <w:tab w:val="left" w:pos="3840"/>
        </w:tabs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人员概况。</w:t>
      </w:r>
      <w:r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ab/>
      </w:r>
    </w:p>
    <w:p>
      <w:pPr>
        <w:widowControl/>
        <w:numPr>
          <w:ilvl w:val="0"/>
          <w:numId w:val="0"/>
        </w:numPr>
        <w:tabs>
          <w:tab w:val="left" w:pos="3840"/>
        </w:tabs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毛坪镇</w:t>
      </w:r>
      <w:r>
        <w:rPr>
          <w:rStyle w:val="10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总编制</w:t>
      </w: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40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名，其中：行政编制</w:t>
      </w: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20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名，工勤编制0名，事业编制</w:t>
      </w: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20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名。在职人员总数</w:t>
      </w: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32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名，其中：行政</w:t>
      </w: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18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名，工勤</w:t>
      </w: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0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名，事业</w:t>
      </w: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14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名。离休0名。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毛坪镇人民政府</w:t>
      </w:r>
      <w:r>
        <w:rPr>
          <w:rFonts w:hint="default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202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1</w:t>
      </w:r>
      <w:r>
        <w:rPr>
          <w:rFonts w:hint="default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年财政拨款预算收入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1183.54</w:t>
      </w:r>
      <w:r>
        <w:rPr>
          <w:rFonts w:hint="default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万元，其中上级资金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61</w:t>
      </w:r>
      <w:r>
        <w:rPr>
          <w:rFonts w:hint="default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万元，县级资金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1122.54</w:t>
      </w:r>
      <w:r>
        <w:rPr>
          <w:rFonts w:hint="default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万元。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部门财政资金支出情况。</w:t>
      </w:r>
      <w:bookmarkStart w:id="0" w:name="_GoBack"/>
      <w:bookmarkEnd w:id="0"/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auto"/>
          <w:kern w:val="0"/>
          <w:szCs w:val="32"/>
          <w:highlight w:val="none"/>
          <w:shd w:val="clear" w:color="auto" w:fill="FFFFFF"/>
        </w:rPr>
      </w:pP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部门财政资金支出情况。基本支出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950.98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万元，项目支出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232.56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万元。其中项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目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16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个，具体为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：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民宗局彝族年慰问经费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8万元；两馆一站”免费开放资金5万元；在职村干部养老保险12.1万元；城乡环境整治费20万元；村组干部意外保险2.53万元；2021年森林防火经费3.9万元；建党100周年信访维稳经费10万元；积分超市工作经费16.71万元；驻村工作队经费、</w:t>
      </w:r>
      <w:r>
        <w:rPr>
          <w:rFonts w:hint="eastAsia" w:ascii="仿宋" w:hAnsi="仿宋" w:eastAsia="仿宋" w:cs="仿宋"/>
          <w:color w:val="auto"/>
          <w:highlight w:val="none"/>
        </w:rPr>
        <w:t>第一书记及驻村工作队队员一次性生活补助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待遇保障经费合计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16.84万元；脱贫攻坚工作经费8万元；脱贫攻坚档案经费5.5万元；2021年脱贫成果同乡村振兴有效衔接、接续奋斗、疫情放控工作经费22万元；农村公共服务运行88万元；社区专项经费2.99万；2020年自然灾害（机械清淤）经费3万元，民政局环境卫生治理经费8万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（一）部门预算管理。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0"/>
          <w:rFonts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(1)预算管理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0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预算管理方面，编制内在职人员控制率小于100%，支出总额控制在预算总额以内。制度执行总体较为有效，但仍需进一步强化，资金使用管理需进一步加强。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0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(2)内部控制管理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   </w:t>
      </w:r>
      <w:r>
        <w:rPr>
          <w:rStyle w:val="10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单位内部控制制度不够健全，内控制度执行还需进一步规范。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0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(3)完成结果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0"/>
          <w:rFonts w:hint="eastAsia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毛坪镇</w:t>
      </w:r>
      <w:r>
        <w:rPr>
          <w:rStyle w:val="10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绩效目标按要求向社会公开，部门整体绩效自评情况和自行组织的评价情况向社会公开，及时整改了绩效管理发现问题，向财政部门反馈结果应用情况。资金主要投入在城乡环境整治、人居环境改善、乡村及镇区风貌、村民活动场所建设、文化设施建设、治安维稳、基础设施建设等方面，通过统计分析获取了人民群众对生态环境的健康度、居住生活的舒适度、工作出行的便捷度、居住生活的安全度各方面的良好评价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（二）项目预算管理。（有项目预算的部门需要阐述此部分）</w:t>
      </w:r>
    </w:p>
    <w:p>
      <w:pPr>
        <w:widowControl/>
        <w:adjustRightInd w:val="0"/>
        <w:snapToGrid w:val="0"/>
        <w:spacing w:line="580" w:lineRule="exact"/>
        <w:ind w:firstLine="60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en-US" w:eastAsia="zh-CN"/>
        </w:rPr>
        <w:t>2021年我部门预算项目16个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具体为：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农村公共服务运行88万元，保障村组办公正常运转，改善村民的基本生活，提高群众生活质量，完善农村基础设施功能，取得较好的社会效益，全面完成；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民宗局彝族年慰问经费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8万元，对全镇彝族困难群众、老党员、学生等进行慰问，全部完成；“两馆一站”免费开放资金5万元，提升了我镇文化活动，全面完成；在职村干部养老保险12万元，保障村组干部购买养老保险补助需要，全面完成任务；城乡环境整治费20万元，提升7个行政村1个社区人居环境治理达到良好，强化环境治理宣传，保障整治工作经费需要，全面完成目标任务；村组干部意外保险2.53万元，保证全镇村组干部意外保险购买，提升群组干部服务积极性，全面完成；2021年森林防火经费3.9万元，加强了我镇森林防灭火工作开展，提高了群众防火意识，全面完成目标任务；建党100周年信访维稳经费10万元，加强特殊人群信访维稳监管，全面完成目标任务；积分超市工作经费16.71万元，提高村民环境卫生意识等积极性，全面完成；驻村工作队经费、</w:t>
      </w:r>
      <w:r>
        <w:rPr>
          <w:rFonts w:hint="eastAsia" w:ascii="仿宋" w:hAnsi="仿宋" w:eastAsia="仿宋" w:cs="仿宋"/>
          <w:highlight w:val="none"/>
        </w:rPr>
        <w:t>第一书记及驻村工作队队员一次性生活补助</w:t>
      </w:r>
      <w:r>
        <w:rPr>
          <w:rFonts w:hint="eastAsia" w:ascii="仿宋" w:hAnsi="仿宋" w:eastAsia="仿宋" w:cs="仿宋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highlight w:val="none"/>
          <w:lang w:val="en-US" w:eastAsia="zh-CN"/>
        </w:rPr>
        <w:t>待遇保障经费合计</w:t>
      </w:r>
      <w:r>
        <w:rPr>
          <w:rStyle w:val="1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16.84万元，保障全镇驻村工作队日常办公、生活等条件，便于开展驻村工作，全面完成；脱贫攻坚工作经费8万元，保障2021年脱贫攻坚成果同乡村振兴有效衔接，全面完成；脱贫攻坚档案经费5.5万元，装订完善脱贫共计档案，达到标准化存档，全面完成；2021年脱贫成果同乡村振兴有效衔接、接续奋斗、疫情放控工作经费22万元，保障2021年脱贫攻坚成果同乡村振兴有效衔接及疫情防控工作有效开展，全面完成；社区专项经费2.99万，保障了社区办公正常运转；2020年自然灾害（机械清淤）经费3万元，解决了自然灾害导致的道路堵塞等问题，全面完成；民政局环境卫生治理经费8万，提升了人居环境，加强了群众保洁意识，全面完成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结果应用情况。</w:t>
      </w:r>
    </w:p>
    <w:p>
      <w:pPr>
        <w:widowControl/>
        <w:adjustRightInd w:val="0"/>
        <w:snapToGrid w:val="0"/>
        <w:spacing w:line="580" w:lineRule="exact"/>
        <w:ind w:firstLine="60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en-US" w:eastAsia="zh-CN"/>
        </w:rPr>
        <w:t>2021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en-US" w:eastAsia="zh-CN"/>
        </w:rPr>
        <w:t>镇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  <w:t>部门财政资金收入为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1199.96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  <w:t>万元，支出为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1199.96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  <w:t>万元，预算执行情况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shd w:val="clear" w:color="auto" w:fill="FFFFFF"/>
          <w:lang w:val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shd w:val="clear" w:color="auto" w:fill="FFFFFF"/>
          <w:lang w:val="zh-CN"/>
          <w14:textFill>
            <w14:solidFill>
              <w14:schemeClr w14:val="tx1"/>
            </w14:solidFill>
          </w14:textFill>
        </w:rPr>
        <w:t>，较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  <w:t>好地完成了县委政府下达的目标任务，部门支出自评质量高，绩效目标及时公开，社会反映良好。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Style w:val="10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根据《</w:t>
      </w: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峨边彝族自治县财政局关于开展2022年部门整体、项目和政策支出绩效评价工作的通知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》文件精神，</w:t>
      </w: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毛坪镇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人民政府认真组织开展了部门整体支出绩效评价工作，绩效评价得分：</w:t>
      </w:r>
      <w:r>
        <w:rPr>
          <w:rStyle w:val="10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94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分。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存在问题。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Style w:val="10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在资金管理过程中，</w:t>
      </w:r>
      <w:r>
        <w:rPr>
          <w:rStyle w:val="10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还存在部分支出依据不合规，财务管理制度不够健全，财务人员业务水平还需加强等问题。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0"/>
          <w:rFonts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1.</w:t>
      </w:r>
      <w:r>
        <w:rPr>
          <w:rStyle w:val="10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进一步加强单位内部机构各股室的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0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、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0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、完善资产管理，抓好“三公”经费控制。严格编制政府采购年初预算和计划，规范各类资产的购置审批制度、资产出租出借和收入管理制度、资产采购制度、使用管理制度、资产处置和报废审批制度、资产管理岗位职责制度等，加强单位内部的资产管理工作。严格控制“三公”经费的规模和比例，把关“三公”经费支出的审核、审批，杜绝挪用和挤占其他预算资金行为：进一步细化“三公”经费的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01959A"/>
    <w:multiLevelType w:val="singleLevel"/>
    <w:tmpl w:val="DA01959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EA86C7B"/>
    <w:multiLevelType w:val="singleLevel"/>
    <w:tmpl w:val="2EA86C7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 w:val="0"/>
  <w:bordersDoNotSurroundFooter w:val="0"/>
  <w:doNotTrackMoves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1NGQxZWQyNGNmY2YwZWJhODc2YTVmYzc2MWI5YTcifQ=="/>
  </w:docVars>
  <w:rsids>
    <w:rsidRoot w:val="00EC0174"/>
    <w:rsid w:val="00006E4D"/>
    <w:rsid w:val="00021652"/>
    <w:rsid w:val="00030311"/>
    <w:rsid w:val="00030782"/>
    <w:rsid w:val="00030B66"/>
    <w:rsid w:val="0006068D"/>
    <w:rsid w:val="0006102A"/>
    <w:rsid w:val="00065B0F"/>
    <w:rsid w:val="00065E7E"/>
    <w:rsid w:val="000820BB"/>
    <w:rsid w:val="0008241B"/>
    <w:rsid w:val="00092280"/>
    <w:rsid w:val="0009488B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82BBB"/>
    <w:rsid w:val="007A0690"/>
    <w:rsid w:val="007A078F"/>
    <w:rsid w:val="007B34D4"/>
    <w:rsid w:val="007C0633"/>
    <w:rsid w:val="007D086C"/>
    <w:rsid w:val="007F1BE1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A7605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047A1C27"/>
    <w:rsid w:val="054971D8"/>
    <w:rsid w:val="06CB676A"/>
    <w:rsid w:val="07F341CA"/>
    <w:rsid w:val="0AA936F9"/>
    <w:rsid w:val="0AC41E4E"/>
    <w:rsid w:val="0ACF434F"/>
    <w:rsid w:val="0CC53C5B"/>
    <w:rsid w:val="0D8458C4"/>
    <w:rsid w:val="10456A3D"/>
    <w:rsid w:val="123437CA"/>
    <w:rsid w:val="19927F78"/>
    <w:rsid w:val="1B3F107D"/>
    <w:rsid w:val="1C522B42"/>
    <w:rsid w:val="1DDC214C"/>
    <w:rsid w:val="1F501056"/>
    <w:rsid w:val="20036B1D"/>
    <w:rsid w:val="21AE59D8"/>
    <w:rsid w:val="22E204FB"/>
    <w:rsid w:val="23490CEA"/>
    <w:rsid w:val="24205056"/>
    <w:rsid w:val="274912B9"/>
    <w:rsid w:val="28506677"/>
    <w:rsid w:val="286F56EA"/>
    <w:rsid w:val="2AEF2177"/>
    <w:rsid w:val="2D527252"/>
    <w:rsid w:val="2E0B376C"/>
    <w:rsid w:val="2E2B7C75"/>
    <w:rsid w:val="2FFE29BF"/>
    <w:rsid w:val="329102D6"/>
    <w:rsid w:val="3A9520B3"/>
    <w:rsid w:val="3DBD4858"/>
    <w:rsid w:val="3DE562B7"/>
    <w:rsid w:val="3E6507EA"/>
    <w:rsid w:val="3F2301EA"/>
    <w:rsid w:val="428C42F8"/>
    <w:rsid w:val="430D4E13"/>
    <w:rsid w:val="46E36DD6"/>
    <w:rsid w:val="47550EBA"/>
    <w:rsid w:val="47BC742D"/>
    <w:rsid w:val="4B21606D"/>
    <w:rsid w:val="4DE666A1"/>
    <w:rsid w:val="4E704ACE"/>
    <w:rsid w:val="50BB3388"/>
    <w:rsid w:val="510F33AC"/>
    <w:rsid w:val="51990256"/>
    <w:rsid w:val="52283D51"/>
    <w:rsid w:val="53C41B44"/>
    <w:rsid w:val="54DF71B7"/>
    <w:rsid w:val="574B6785"/>
    <w:rsid w:val="59050C34"/>
    <w:rsid w:val="5AE605F2"/>
    <w:rsid w:val="5C5872CD"/>
    <w:rsid w:val="5EBF3633"/>
    <w:rsid w:val="60956D42"/>
    <w:rsid w:val="623B56C7"/>
    <w:rsid w:val="63FC70D8"/>
    <w:rsid w:val="640512C2"/>
    <w:rsid w:val="65C85DE8"/>
    <w:rsid w:val="65F544DA"/>
    <w:rsid w:val="6636451A"/>
    <w:rsid w:val="677156E7"/>
    <w:rsid w:val="689C0228"/>
    <w:rsid w:val="69FF6FDA"/>
    <w:rsid w:val="6A415844"/>
    <w:rsid w:val="6BE94116"/>
    <w:rsid w:val="6E712470"/>
    <w:rsid w:val="6E742528"/>
    <w:rsid w:val="6FDA2517"/>
    <w:rsid w:val="70837671"/>
    <w:rsid w:val="730F3856"/>
    <w:rsid w:val="74924B58"/>
    <w:rsid w:val="75412B9C"/>
    <w:rsid w:val="76124539"/>
    <w:rsid w:val="779F004E"/>
    <w:rsid w:val="78916378"/>
    <w:rsid w:val="79A656C4"/>
    <w:rsid w:val="7AFD5A16"/>
    <w:rsid w:val="7BC20073"/>
    <w:rsid w:val="7C631402"/>
    <w:rsid w:val="7D9677FD"/>
    <w:rsid w:val="7DCC0F6E"/>
    <w:rsid w:val="7E140770"/>
    <w:rsid w:val="7F5071DC"/>
    <w:rsid w:val="9B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qFormat/>
    <w:uiPriority w:val="99"/>
    <w:rPr>
      <w:rFonts w:ascii="宋体"/>
      <w:sz w:val="18"/>
      <w:szCs w:val="18"/>
    </w:rPr>
  </w:style>
  <w:style w:type="paragraph" w:styleId="3">
    <w:name w:val="annotation text"/>
    <w:basedOn w:val="1"/>
    <w:semiHidden/>
    <w:unhideWhenUsed/>
    <w:qFormat/>
    <w:locked/>
    <w:uiPriority w:val="99"/>
    <w:pPr>
      <w:jc w:val="left"/>
    </w:p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lock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qFormat/>
    <w:uiPriority w:val="99"/>
    <w:rPr>
      <w:rFonts w:cs="Times New Roman"/>
    </w:rPr>
  </w:style>
  <w:style w:type="character" w:styleId="10">
    <w:name w:val="Emphasis"/>
    <w:basedOn w:val="8"/>
    <w:qFormat/>
    <w:locked/>
    <w:uiPriority w:val="20"/>
    <w:rPr>
      <w:i/>
    </w:rPr>
  </w:style>
  <w:style w:type="table" w:styleId="12">
    <w:name w:val="Table Grid"/>
    <w:basedOn w:val="1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文档结构图 Char"/>
    <w:link w:val="2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4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页眉 Char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17">
    <w:name w:val="四号正文"/>
    <w:basedOn w:val="1"/>
    <w:link w:val="18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8">
    <w:name w:val="四号正文 Char"/>
    <w:link w:val="17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9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5</Pages>
  <Words>2247</Words>
  <Characters>2384</Characters>
  <Lines>2</Lines>
  <Paragraphs>1</Paragraphs>
  <TotalTime>37</TotalTime>
  <ScaleCrop>false</ScaleCrop>
  <LinksUpToDate>false</LinksUpToDate>
  <CharactersWithSpaces>2393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NTKO</cp:lastModifiedBy>
  <cp:lastPrinted>2022-03-15T02:17:00Z</cp:lastPrinted>
  <dcterms:modified xsi:type="dcterms:W3CDTF">2022-08-18T07:49:25Z</dcterms:modified>
  <dc:title>区域性就业培训基地建设项目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ICV">
    <vt:lpwstr>2F5B26ADCB314DA8AAFF6A137D0AB5DA</vt:lpwstr>
  </property>
</Properties>
</file>