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8DB688">
      <w:pPr>
        <w:spacing w:line="600" w:lineRule="exact"/>
        <w:jc w:val="center"/>
        <w:outlineLvl w:val="0"/>
        <w:rPr>
          <w:rFonts w:ascii="方正小标宋简体" w:hAnsi="宋体" w:eastAsia="方正小标宋简体"/>
          <w:sz w:val="72"/>
          <w:szCs w:val="72"/>
        </w:rPr>
      </w:pPr>
      <w:bookmarkStart w:id="0" w:name="_Toc15377425"/>
      <w:bookmarkStart w:id="1" w:name="_Toc15378441"/>
      <w:bookmarkStart w:id="2" w:name="_Toc15377193"/>
      <w:bookmarkStart w:id="3" w:name="_Toc15396475"/>
      <w:bookmarkStart w:id="4" w:name="_Toc15396597"/>
      <w:bookmarkStart w:id="5" w:name="_Toc15306267"/>
    </w:p>
    <w:p w14:paraId="25557797">
      <w:pPr>
        <w:pStyle w:val="2"/>
        <w:rPr>
          <w:rFonts w:ascii="方正小标宋简体" w:hAnsi="宋体" w:eastAsia="方正小标宋简体"/>
          <w:sz w:val="72"/>
          <w:szCs w:val="72"/>
        </w:rPr>
      </w:pPr>
    </w:p>
    <w:p w14:paraId="57BBB761">
      <w:pPr>
        <w:rPr>
          <w:rFonts w:ascii="方正小标宋简体" w:hAnsi="宋体" w:eastAsia="方正小标宋简体"/>
          <w:sz w:val="72"/>
          <w:szCs w:val="72"/>
        </w:rPr>
      </w:pPr>
    </w:p>
    <w:p w14:paraId="632E6A18">
      <w:pPr>
        <w:pStyle w:val="2"/>
        <w:rPr>
          <w:rFonts w:ascii="方正小标宋简体" w:hAnsi="宋体" w:eastAsia="方正小标宋简体"/>
          <w:sz w:val="72"/>
          <w:szCs w:val="72"/>
        </w:rPr>
      </w:pPr>
    </w:p>
    <w:p w14:paraId="2409F272"/>
    <w:p w14:paraId="5DC5E29B">
      <w:pPr>
        <w:pStyle w:val="6"/>
        <w:spacing w:before="93"/>
      </w:pPr>
    </w:p>
    <w:p w14:paraId="103FE03B">
      <w:pPr>
        <w:spacing w:line="600" w:lineRule="exact"/>
        <w:jc w:val="center"/>
        <w:outlineLvl w:val="0"/>
        <w:rPr>
          <w:rFonts w:ascii="方正小标宋简体" w:hAnsi="宋体" w:eastAsia="方正小标宋简体"/>
          <w:sz w:val="72"/>
          <w:szCs w:val="72"/>
        </w:rPr>
      </w:pPr>
    </w:p>
    <w:p w14:paraId="066D0CF7">
      <w:pPr>
        <w:spacing w:line="600" w:lineRule="exact"/>
        <w:jc w:val="center"/>
        <w:outlineLvl w:val="0"/>
        <w:rPr>
          <w:rFonts w:ascii="方正小标宋简体" w:hAnsi="宋体" w:eastAsia="方正小标宋简体"/>
          <w:sz w:val="72"/>
          <w:szCs w:val="72"/>
        </w:rPr>
      </w:pPr>
    </w:p>
    <w:p w14:paraId="1616FF22">
      <w:pPr>
        <w:adjustRightInd w:val="0"/>
        <w:snapToGrid w:val="0"/>
        <w:spacing w:line="360" w:lineRule="auto"/>
        <w:jc w:val="center"/>
        <w:outlineLvl w:val="0"/>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2023年度</w:t>
      </w:r>
      <w:bookmarkEnd w:id="0"/>
      <w:bookmarkEnd w:id="1"/>
      <w:bookmarkEnd w:id="2"/>
      <w:bookmarkEnd w:id="3"/>
      <w:bookmarkEnd w:id="4"/>
    </w:p>
    <w:bookmarkEnd w:id="5"/>
    <w:p w14:paraId="39D4746F">
      <w:pPr>
        <w:pStyle w:val="6"/>
        <w:spacing w:before="93"/>
        <w:jc w:val="center"/>
        <w:rPr>
          <w:rFonts w:ascii="方正小标宋简体" w:hAnsi="方正小标宋简体" w:eastAsia="方正小标宋简体" w:cs="方正小标宋简体"/>
          <w:kern w:val="2"/>
          <w:sz w:val="72"/>
          <w:szCs w:val="72"/>
        </w:rPr>
      </w:pPr>
      <w:bookmarkStart w:id="6" w:name="_Toc15396476"/>
      <w:bookmarkStart w:id="7" w:name="_Toc15378442"/>
      <w:bookmarkStart w:id="8" w:name="_Toc15377194"/>
      <w:bookmarkStart w:id="9" w:name="_Toc15396598"/>
      <w:bookmarkStart w:id="10" w:name="_Toc15306268"/>
      <w:bookmarkStart w:id="11" w:name="_Toc15377426"/>
      <w:r>
        <w:rPr>
          <w:rFonts w:hint="eastAsia" w:ascii="方正小标宋简体" w:hAnsi="方正小标宋简体" w:eastAsia="方正小标宋简体" w:cs="方正小标宋简体"/>
          <w:kern w:val="2"/>
          <w:sz w:val="72"/>
          <w:szCs w:val="72"/>
        </w:rPr>
        <w:t>勒乌乡人民政府</w:t>
      </w:r>
      <w:r>
        <w:rPr>
          <w:rFonts w:hint="eastAsia" w:ascii="方正小标宋简体" w:hAnsi="方正小标宋简体" w:eastAsia="方正小标宋简体" w:cs="方正小标宋简体"/>
          <w:sz w:val="72"/>
          <w:szCs w:val="72"/>
        </w:rPr>
        <w:t>部门决算</w:t>
      </w:r>
      <w:bookmarkEnd w:id="6"/>
      <w:bookmarkEnd w:id="7"/>
      <w:bookmarkEnd w:id="8"/>
      <w:bookmarkEnd w:id="9"/>
      <w:bookmarkEnd w:id="10"/>
      <w:bookmarkEnd w:id="11"/>
    </w:p>
    <w:p w14:paraId="44E6DE02">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14:paraId="33448EE6">
      <w:pPr>
        <w:widowControl/>
        <w:jc w:val="center"/>
        <w:rPr>
          <w:rFonts w:ascii="黑体" w:hAnsi="黑体" w:eastAsia="黑体" w:cstheme="minorBidi"/>
          <w:sz w:val="28"/>
          <w:szCs w:val="28"/>
        </w:rPr>
      </w:pPr>
    </w:p>
    <w:p w14:paraId="75575434">
      <w:pPr>
        <w:pStyle w:val="12"/>
      </w:pPr>
      <w:r>
        <w:rPr>
          <w:rFonts w:hint="eastAsia"/>
        </w:rPr>
        <w:t>公开时间：202</w:t>
      </w:r>
      <w:r>
        <w:rPr>
          <w:rFonts w:hint="eastAsia"/>
          <w:lang w:val="en-US" w:eastAsia="zh-CN"/>
        </w:rPr>
        <w:t>4</w:t>
      </w:r>
      <w:r>
        <w:rPr>
          <w:rFonts w:hint="eastAsia"/>
        </w:rPr>
        <w:t xml:space="preserve">年10月 </w:t>
      </w:r>
      <w:r>
        <w:rPr>
          <w:rFonts w:hint="eastAsia"/>
          <w:lang w:val="en-US" w:eastAsia="zh-CN"/>
        </w:rPr>
        <w:t>29</w:t>
      </w:r>
      <w:r>
        <w:rPr>
          <w:rFonts w:hint="eastAsia"/>
        </w:rPr>
        <w:t>日</w:t>
      </w:r>
    </w:p>
    <w:p w14:paraId="1ACF9681"/>
    <w:p w14:paraId="0D924D9A">
      <w:pPr>
        <w:pStyle w:val="12"/>
        <w:adjustRightInd w:val="0"/>
        <w:snapToGrid w:val="0"/>
        <w:spacing w:before="0"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第一部分 部门概况......................................................................................................4</w:t>
      </w:r>
    </w:p>
    <w:p w14:paraId="03573008">
      <w:pPr>
        <w:pStyle w:val="13"/>
        <w:adjustRightInd w:val="0"/>
        <w:snapToGrid w:val="0"/>
        <w:spacing w:line="440" w:lineRule="exact"/>
        <w:jc w:val="left"/>
        <w:rPr>
          <w:rFonts w:hint="eastAsia" w:ascii="Times New Roman" w:hAnsi="Times New Roman" w:eastAsia="宋体" w:cs="Times New Roman"/>
          <w:kern w:val="2"/>
          <w:sz w:val="24"/>
          <w:szCs w:val="24"/>
          <w:lang w:val="en-US" w:eastAsia="zh-CN" w:bidi="ar-SA"/>
        </w:rPr>
      </w:pPr>
      <w:r>
        <w:rPr>
          <w:rFonts w:hint="eastAsia"/>
          <w:sz w:val="24"/>
        </w:rPr>
        <w:t>一、部门职责</w:t>
      </w:r>
      <w:r>
        <w:rPr>
          <w:rFonts w:hint="eastAsia"/>
          <w:sz w:val="24"/>
          <w:lang w:val="en-US" w:eastAsia="zh-CN"/>
        </w:rPr>
        <w:t>...........................................................................................................4</w:t>
      </w:r>
      <w:r>
        <w:rPr>
          <w:rFonts w:hint="eastAsia" w:ascii="Times New Roman" w:hAnsi="Times New Roman" w:eastAsia="宋体" w:cs="Times New Roman"/>
          <w:kern w:val="2"/>
          <w:sz w:val="24"/>
          <w:szCs w:val="24"/>
          <w:lang w:val="en-US" w:eastAsia="zh-CN" w:bidi="ar-SA"/>
        </w:rPr>
        <w:t>二、机构设置...............................................................................................</w:t>
      </w:r>
      <w:r>
        <w:rPr>
          <w:rFonts w:hint="eastAsia"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.......6</w:t>
      </w:r>
    </w:p>
    <w:p w14:paraId="160EC919">
      <w:pPr>
        <w:pStyle w:val="12"/>
        <w:adjustRightInd w:val="0"/>
        <w:snapToGrid w:val="0"/>
        <w:spacing w:before="0"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第二部分 2023年度部门决算情况说明.....................................................................7</w:t>
      </w:r>
    </w:p>
    <w:p w14:paraId="78F4B900">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一、收入支出决算总体情况说明...........................................................................7</w:t>
      </w:r>
    </w:p>
    <w:p w14:paraId="0A745A3D">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二、收入决算情况说明...........................................................................................7</w:t>
      </w:r>
    </w:p>
    <w:p w14:paraId="2A0EBCE0">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三、支出决算情况说明...........................................................................................8</w:t>
      </w:r>
    </w:p>
    <w:p w14:paraId="270C9A26">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四、财政拨款收入支出决算总体情况说明...........................................................9</w:t>
      </w:r>
    </w:p>
    <w:p w14:paraId="63D4642E">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五、一般公共预算财政拨款支出决算情况说明...................................................9</w:t>
      </w:r>
    </w:p>
    <w:p w14:paraId="72D17977">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六、一般公共预算财政拨款基本支出决算情况说明.........................................13</w:t>
      </w:r>
    </w:p>
    <w:p w14:paraId="7329A309">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七、财政拨款“三公”经费支出决算情况说明.....................................................14</w:t>
      </w:r>
    </w:p>
    <w:p w14:paraId="58495CEA">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八、政府性基金预算支出决算情况说明.............................................................14</w:t>
      </w:r>
    </w:p>
    <w:p w14:paraId="5601511D">
      <w:pPr>
        <w:pStyle w:val="13"/>
        <w:adjustRightInd w:val="0"/>
        <w:snapToGrid w:val="0"/>
        <w:spacing w:line="440" w:lineRule="exact"/>
        <w:ind w:leftChars="0"/>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九、国有资本经营预算支出决算情况说明.........................................................14</w:t>
      </w:r>
    </w:p>
    <w:p w14:paraId="7B8C891B">
      <w:pPr>
        <w:adjustRightInd w:val="0"/>
        <w:snapToGrid w:val="0"/>
        <w:spacing w:line="440" w:lineRule="exact"/>
        <w:ind w:firstLine="420" w:firstLineChars="175"/>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十、其他重要事项的情况说明.............................................................................15</w:t>
      </w:r>
    </w:p>
    <w:p w14:paraId="2A76C976">
      <w:pPr>
        <w:pStyle w:val="12"/>
        <w:adjustRightInd w:val="0"/>
        <w:snapToGrid w:val="0"/>
        <w:spacing w:before="0"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第三部分 名词解释....................................................................................................17</w:t>
      </w:r>
    </w:p>
    <w:p w14:paraId="723563C2">
      <w:pPr>
        <w:pStyle w:val="12"/>
        <w:adjustRightInd w:val="0"/>
        <w:snapToGrid w:val="0"/>
        <w:spacing w:before="0"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第四部分 附件............................................................................................................22</w:t>
      </w:r>
    </w:p>
    <w:p w14:paraId="788EB3BA">
      <w:pPr>
        <w:pStyle w:val="12"/>
        <w:adjustRightInd w:val="0"/>
        <w:snapToGrid w:val="0"/>
        <w:spacing w:before="0"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第五部分 附表............................................................................................................49</w:t>
      </w:r>
    </w:p>
    <w:p w14:paraId="458145AA">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一、收入支出决算总表........................................................................................49</w:t>
      </w:r>
    </w:p>
    <w:p w14:paraId="73898EB2">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二、收入决算表....................................................................................................49</w:t>
      </w:r>
    </w:p>
    <w:p w14:paraId="4D876328">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三、支出决算表</w:t>
      </w:r>
      <w:r>
        <w:rPr>
          <w:rFonts w:hint="eastAsia" w:cs="Times New Roman"/>
          <w:kern w:val="2"/>
          <w:sz w:val="24"/>
          <w:szCs w:val="24"/>
          <w:lang w:val="en-US" w:eastAsia="zh-CN" w:bidi="ar-SA"/>
        </w:rPr>
        <w:t>....................................................................................................49</w:t>
      </w:r>
    </w:p>
    <w:p w14:paraId="79D3B860">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四、财政拨款收入支出决算总表</w:t>
      </w:r>
      <w:r>
        <w:rPr>
          <w:rFonts w:hint="eastAsia" w:cs="Times New Roman"/>
          <w:kern w:val="2"/>
          <w:sz w:val="24"/>
          <w:szCs w:val="24"/>
          <w:lang w:val="en-US" w:eastAsia="zh-CN" w:bidi="ar-SA"/>
        </w:rPr>
        <w:t>........................................................................49</w:t>
      </w:r>
    </w:p>
    <w:p w14:paraId="257AA53B">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五、财政拨款支出决算明细表</w:t>
      </w:r>
      <w:r>
        <w:rPr>
          <w:rFonts w:hint="eastAsia" w:cs="Times New Roman"/>
          <w:kern w:val="2"/>
          <w:sz w:val="24"/>
          <w:szCs w:val="24"/>
          <w:lang w:val="en-US" w:eastAsia="zh-CN" w:bidi="ar-SA"/>
        </w:rPr>
        <w:t>.............................................................................49</w:t>
      </w:r>
    </w:p>
    <w:p w14:paraId="2D8E36C8">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六、一般公共预算财政拨款支出决算表</w:t>
      </w:r>
      <w:r>
        <w:rPr>
          <w:rFonts w:hint="eastAsia" w:cs="Times New Roman"/>
          <w:kern w:val="2"/>
          <w:sz w:val="24"/>
          <w:szCs w:val="24"/>
          <w:lang w:val="en-US" w:eastAsia="zh-CN" w:bidi="ar-SA"/>
        </w:rPr>
        <w:t>............................................................49</w:t>
      </w:r>
    </w:p>
    <w:p w14:paraId="6A87930E">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七、一般公共预算财政拨款支出决算明细表</w:t>
      </w:r>
      <w:r>
        <w:rPr>
          <w:rFonts w:hint="eastAsia" w:cs="Times New Roman"/>
          <w:kern w:val="2"/>
          <w:sz w:val="24"/>
          <w:szCs w:val="24"/>
          <w:lang w:val="en-US" w:eastAsia="zh-CN" w:bidi="ar-SA"/>
        </w:rPr>
        <w:t>....................................................49</w:t>
      </w:r>
    </w:p>
    <w:p w14:paraId="601A986F">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八、一般公共预算财政拨款基本支出决算明细表</w:t>
      </w:r>
      <w:r>
        <w:rPr>
          <w:rFonts w:hint="eastAsia" w:cs="Times New Roman"/>
          <w:kern w:val="2"/>
          <w:sz w:val="24"/>
          <w:szCs w:val="24"/>
          <w:lang w:val="en-US" w:eastAsia="zh-CN" w:bidi="ar-SA"/>
        </w:rPr>
        <w:t>............................................49</w:t>
      </w:r>
    </w:p>
    <w:p w14:paraId="5C2A83F6">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九、一般公共预算财政拨款项目支出决算表</w:t>
      </w:r>
      <w:r>
        <w:rPr>
          <w:rFonts w:hint="eastAsia" w:cs="Times New Roman"/>
          <w:kern w:val="2"/>
          <w:sz w:val="24"/>
          <w:szCs w:val="24"/>
          <w:lang w:val="en-US" w:eastAsia="zh-CN" w:bidi="ar-SA"/>
        </w:rPr>
        <w:t>....................................................49</w:t>
      </w:r>
    </w:p>
    <w:p w14:paraId="3DD30433">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十、政府性基金预算财政拨款收入支出决算表</w:t>
      </w:r>
      <w:r>
        <w:rPr>
          <w:rFonts w:hint="eastAsia" w:cs="Times New Roman"/>
          <w:kern w:val="2"/>
          <w:sz w:val="24"/>
          <w:szCs w:val="24"/>
          <w:lang w:val="en-US" w:eastAsia="zh-CN" w:bidi="ar-SA"/>
        </w:rPr>
        <w:t>.................................................49</w:t>
      </w:r>
    </w:p>
    <w:p w14:paraId="21F89E6A">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十一、国有资本经营预算财政拨款收入支出决算表</w:t>
      </w:r>
      <w:r>
        <w:rPr>
          <w:rFonts w:hint="eastAsia" w:cs="Times New Roman"/>
          <w:kern w:val="2"/>
          <w:sz w:val="24"/>
          <w:szCs w:val="24"/>
          <w:lang w:val="en-US" w:eastAsia="zh-CN" w:bidi="ar-SA"/>
        </w:rPr>
        <w:t>........................................49</w:t>
      </w:r>
    </w:p>
    <w:p w14:paraId="2B25AFF0">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十二、国有资本经营预算财政拨款支出决算表</w:t>
      </w:r>
      <w:r>
        <w:rPr>
          <w:rFonts w:hint="eastAsia" w:cs="Times New Roman"/>
          <w:kern w:val="2"/>
          <w:sz w:val="24"/>
          <w:szCs w:val="24"/>
          <w:lang w:val="en-US" w:eastAsia="zh-CN" w:bidi="ar-SA"/>
        </w:rPr>
        <w:t>.................................................49</w:t>
      </w:r>
    </w:p>
    <w:p w14:paraId="161E7E83">
      <w:pPr>
        <w:pStyle w:val="13"/>
        <w:adjustRightInd w:val="0"/>
        <w:snapToGrid w:val="0"/>
        <w:spacing w:line="440" w:lineRule="exact"/>
        <w:jc w:val="left"/>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十三、财政拨款“三公”经费支出决算表</w:t>
      </w:r>
      <w:r>
        <w:rPr>
          <w:rFonts w:hint="eastAsia" w:cs="Times New Roman"/>
          <w:kern w:val="2"/>
          <w:sz w:val="24"/>
          <w:szCs w:val="24"/>
          <w:lang w:val="en-US" w:eastAsia="zh-CN" w:bidi="ar-SA"/>
        </w:rPr>
        <w:t>.........................................................49</w:t>
      </w:r>
    </w:p>
    <w:p w14:paraId="1F624604">
      <w:pPr>
        <w:widowControl/>
        <w:spacing w:line="440" w:lineRule="exact"/>
        <w:jc w:val="left"/>
        <w:rPr>
          <w:rFonts w:ascii="仿宋" w:hAnsi="仿宋" w:eastAsia="仿宋"/>
          <w:bCs/>
          <w:kern w:val="44"/>
          <w:sz w:val="24"/>
        </w:rPr>
      </w:pPr>
      <w:bookmarkStart w:id="12" w:name="_Toc15377196"/>
      <w:bookmarkStart w:id="13" w:name="_Toc15396599"/>
      <w:r>
        <w:rPr>
          <w:rFonts w:ascii="仿宋" w:hAnsi="仿宋" w:eastAsia="仿宋"/>
          <w:b/>
          <w:sz w:val="24"/>
        </w:rPr>
        <w:br w:type="page"/>
      </w:r>
    </w:p>
    <w:p w14:paraId="72489B8B">
      <w:pPr>
        <w:pStyle w:val="3"/>
        <w:jc w:val="center"/>
        <w:rPr>
          <w:rStyle w:val="31"/>
          <w:rFonts w:ascii="黑体" w:hAnsi="黑体" w:eastAsia="黑体"/>
          <w:b/>
          <w:bCs w:val="0"/>
        </w:rPr>
      </w:pPr>
      <w:r>
        <w:rPr>
          <w:rFonts w:hint="eastAsia" w:ascii="黑体" w:hAnsi="黑体" w:eastAsia="黑体"/>
          <w:b w:val="0"/>
        </w:rPr>
        <w:t xml:space="preserve">第一部分 </w:t>
      </w:r>
      <w:r>
        <w:rPr>
          <w:rStyle w:val="31"/>
          <w:rFonts w:hint="eastAsia" w:ascii="黑体" w:hAnsi="黑体" w:eastAsia="黑体"/>
          <w:b w:val="0"/>
          <w:bCs w:val="0"/>
        </w:rPr>
        <w:t>部门概况</w:t>
      </w:r>
      <w:bookmarkEnd w:id="12"/>
      <w:bookmarkEnd w:id="13"/>
    </w:p>
    <w:p w14:paraId="79F64E5F">
      <w:pPr>
        <w:widowControl/>
        <w:jc w:val="left"/>
        <w:rPr>
          <w:rFonts w:ascii="黑体" w:eastAsia="黑体"/>
          <w:sz w:val="32"/>
          <w:szCs w:val="32"/>
        </w:rPr>
      </w:pPr>
    </w:p>
    <w:p w14:paraId="34D241A1">
      <w:pPr>
        <w:pStyle w:val="4"/>
        <w:numPr>
          <w:ilvl w:val="0"/>
          <w:numId w:val="1"/>
        </w:numPr>
        <w:rPr>
          <w:rFonts w:ascii="黑体" w:hAnsi="黑体" w:eastAsia="黑体"/>
          <w:b w:val="0"/>
        </w:rPr>
      </w:pPr>
      <w:r>
        <w:rPr>
          <w:rFonts w:hint="eastAsia" w:ascii="黑体" w:hAnsi="黑体" w:eastAsia="黑体"/>
          <w:b w:val="0"/>
        </w:rPr>
        <w:t>部门职责</w:t>
      </w:r>
    </w:p>
    <w:p w14:paraId="03441286">
      <w:pPr>
        <w:pStyle w:val="14"/>
        <w:widowControl/>
        <w:shd w:val="clear" w:color="auto" w:fill="FFFFFF"/>
        <w:spacing w:before="315" w:beforeAutospacing="0" w:after="315" w:afterAutospacing="0" w:line="23" w:lineRule="atLeast"/>
        <w:jc w:val="both"/>
        <w:rPr>
          <w:rFonts w:ascii="仿宋" w:hAnsi="仿宋" w:eastAsia="仿宋"/>
          <w:color w:val="000000"/>
          <w:kern w:val="2"/>
          <w:sz w:val="32"/>
          <w:szCs w:val="32"/>
          <w:shd w:val="clear" w:color="auto" w:fill="FFFFFF"/>
        </w:rPr>
      </w:pPr>
      <w:r>
        <w:rPr>
          <w:rFonts w:hint="eastAsia" w:ascii="仿宋" w:hAnsi="仿宋" w:eastAsia="仿宋"/>
          <w:color w:val="000000"/>
          <w:kern w:val="2"/>
          <w:sz w:val="32"/>
          <w:szCs w:val="32"/>
          <w:shd w:val="clear" w:color="auto" w:fill="FFFFFF"/>
        </w:rPr>
        <w:t>1、勒乌乡党委的职能：宣传和执行党的路线．方针．政策和执行党中央．上级组织和本组织的决议．发挥党组织的战斗堡垒和党员的先锋模范作用．支持和协助行政负责人完成本单位所担负的任务；组织党员认真学习马克思列宁主义．毛泽东思想．邓小平理论和党的路线．方针．政策以及决议，学习科学．文化和业务知识；对党员进行严格管理，督促党员履行义务，保障党员的权利不受侵犯；对党员进行监督，严格执行党的纪律，加强党风廉政建设，坚决同腐败现象作斗争；做好机关工作人员的思想政治工作，推进机关社会主义精神文明建设。了解．反映群众意见，维护群众的正当利益，帮助群众解决实际困难；对入党积极分子进行教育．培养和考察，做好发展党员工作；协助党</w:t>
      </w:r>
      <w:r>
        <w:rPr>
          <w:rFonts w:hint="eastAsia" w:ascii="仿宋" w:hAnsi="仿宋" w:eastAsia="仿宋"/>
          <w:color w:val="000000"/>
          <w:kern w:val="2"/>
          <w:sz w:val="32"/>
          <w:szCs w:val="32"/>
          <w:shd w:val="clear" w:color="auto" w:fill="FFFFFF"/>
          <w:lang w:eastAsia="zh-CN"/>
        </w:rPr>
        <w:t>组织</w:t>
      </w:r>
      <w:r>
        <w:rPr>
          <w:rFonts w:hint="eastAsia" w:ascii="仿宋" w:hAnsi="仿宋" w:eastAsia="仿宋"/>
          <w:color w:val="000000"/>
          <w:kern w:val="2"/>
          <w:sz w:val="32"/>
          <w:szCs w:val="32"/>
          <w:shd w:val="clear" w:color="auto" w:fill="FFFFFF"/>
        </w:rPr>
        <w:t>管理机关党组织和群众组织的干部，配合干部人事部门对机关行政领导干部进行考核和民主评议；对机关行政干部的任免．调动和奖惩提出意见和建议；领导机关工会．共青团．妇联等群众组织，支持这些组织依照各自的章程独立负责地开展工作；按照党组织的隶属关系，领导直属单位的工作。</w:t>
      </w:r>
    </w:p>
    <w:p w14:paraId="27604DD0">
      <w:pPr>
        <w:pStyle w:val="14"/>
        <w:widowControl/>
        <w:shd w:val="clear" w:color="auto" w:fill="FFFFFF"/>
        <w:spacing w:before="315" w:beforeAutospacing="0" w:after="315" w:afterAutospacing="0" w:line="23" w:lineRule="atLeast"/>
        <w:ind w:firstLine="320" w:firstLineChars="100"/>
        <w:jc w:val="both"/>
        <w:rPr>
          <w:rFonts w:ascii="仿宋" w:hAnsi="仿宋" w:eastAsia="仿宋"/>
          <w:color w:val="000000"/>
          <w:kern w:val="2"/>
          <w:sz w:val="32"/>
          <w:szCs w:val="32"/>
          <w:shd w:val="clear" w:color="auto" w:fill="FFFFFF"/>
        </w:rPr>
      </w:pPr>
      <w:r>
        <w:rPr>
          <w:rFonts w:hint="eastAsia" w:ascii="仿宋" w:hAnsi="仿宋" w:eastAsia="仿宋"/>
          <w:color w:val="000000"/>
          <w:kern w:val="2"/>
          <w:sz w:val="32"/>
          <w:szCs w:val="32"/>
          <w:shd w:val="clear" w:color="auto" w:fill="FFFFFF"/>
        </w:rPr>
        <w:t>2、勒乌乡政府职能：宣传落实好党的路线．方针．政策和国家的法律．法规，稳定农村基本经济制度，坚持依法行政，推进政务公开，加强对村民委员会的指导，提高．培养村民委员会自治能力；科学制定发展规划，营造农村经济发展环境，加强农村市场监督，培育．提高市场功能，搞活市场流通，推广农业技术，完善农业社会化服务体系，引导农民发展现代农业，调整产业结构，加强农村劳动力技能培训，引导农村劳动力转移和就业，不断提高社会主义新农村建设水平；要坚持“</w:t>
      </w:r>
      <w:r>
        <w:rPr>
          <w:rFonts w:hint="eastAsia" w:ascii="仿宋" w:hAnsi="仿宋" w:eastAsia="仿宋"/>
          <w:color w:val="000000"/>
          <w:kern w:val="2"/>
          <w:sz w:val="32"/>
          <w:szCs w:val="32"/>
          <w:shd w:val="clear" w:color="auto" w:fill="FFFFFF"/>
          <w:lang w:eastAsia="zh-CN"/>
        </w:rPr>
        <w:t>立党为公、执政为民</w:t>
      </w:r>
      <w:r>
        <w:rPr>
          <w:rFonts w:hint="eastAsia" w:ascii="仿宋" w:hAnsi="仿宋" w:eastAsia="仿宋"/>
          <w:color w:val="000000"/>
          <w:kern w:val="2"/>
          <w:sz w:val="32"/>
          <w:szCs w:val="32"/>
          <w:shd w:val="clear" w:color="auto" w:fill="FFFFFF"/>
        </w:rPr>
        <w:t>”，紧紧围绕实现和维护群众利益开展工作。突出解决人民群众最关心．最直接．最现实的利益问题。要加强和巩固农村基层政权建设和民主</w:t>
      </w:r>
      <w:r>
        <w:rPr>
          <w:rFonts w:hint="eastAsia" w:ascii="仿宋" w:hAnsi="仿宋" w:eastAsia="仿宋"/>
          <w:color w:val="000000"/>
          <w:kern w:val="2"/>
          <w:sz w:val="32"/>
          <w:szCs w:val="32"/>
          <w:shd w:val="clear" w:color="auto" w:fill="FFFFFF"/>
          <w:lang w:eastAsia="zh-CN"/>
        </w:rPr>
        <w:t>法治建设</w:t>
      </w:r>
      <w:r>
        <w:rPr>
          <w:rFonts w:hint="eastAsia" w:ascii="仿宋" w:hAnsi="仿宋" w:eastAsia="仿宋"/>
          <w:color w:val="000000"/>
          <w:kern w:val="2"/>
          <w:sz w:val="32"/>
          <w:szCs w:val="32"/>
          <w:shd w:val="clear" w:color="auto" w:fill="FFFFFF"/>
        </w:rPr>
        <w:t>，加强社会治安综合治理，加强对突发事件的预警和管理，建立健全各种应急机制，加强民事纠纷调解，化解农村社会矛盾，开展农村扶贫和社会救助，切实保障农民合法权益，维护农村社会稳定；加强民政．教育．科技．文化．卫生．计划生育．安全生产．劳动保障和乡村规划等社会管理，加强社会主义精神文明建设，做好防灾减灾工作。加强环境保护，努力改善农村人居环境，不断提高农村人口素质和农民生活质量；进一步发展和完善农业社会服务体系，引导各类协会和农村专业合作经济组织发展并充分发挥其作用，发展农村社会公益事业和集体公益事业，加强农村基础设施建设，增加公益产品，提供政策．科技．市场信息和社会救济．救助服务，及时向上级党委．政府反映社情民意，进一步密切党和政府与人民群众的关系。</w:t>
      </w:r>
    </w:p>
    <w:p w14:paraId="52521185">
      <w:pPr>
        <w:suppressAutoHyphens/>
        <w:ind w:firstLine="320" w:firstLineChars="100"/>
      </w:pPr>
      <w:r>
        <w:rPr>
          <w:rFonts w:hint="eastAsia" w:ascii="仿宋" w:hAnsi="仿宋" w:eastAsia="仿宋"/>
          <w:color w:val="000000"/>
          <w:sz w:val="32"/>
          <w:szCs w:val="32"/>
          <w:shd w:val="clear" w:color="auto" w:fill="FFFFFF"/>
        </w:rPr>
        <w:t>3、勒乌乡事业单位主要承担公益性职能：计划生育技术服务．宣传咨询．人员培训和药具发放；农林牧业生产中关键技术和新品种．新农具的引进．实验．示范；农作物和林木病虫害．动物疫病及农业灾害的监测．预报</w:t>
      </w:r>
      <w:r>
        <w:rPr>
          <w:rFonts w:hint="eastAsia" w:ascii="仿宋" w:hAnsi="仿宋" w:eastAsia="仿宋"/>
          <w:color w:val="000000"/>
          <w:sz w:val="32"/>
          <w:szCs w:val="32"/>
          <w:shd w:val="clear" w:color="auto" w:fill="FFFFFF"/>
          <w:lang w:eastAsia="zh-CN"/>
        </w:rPr>
        <w:t>防</w:t>
      </w:r>
      <w:r>
        <w:rPr>
          <w:rFonts w:hint="eastAsia" w:ascii="仿宋" w:hAnsi="仿宋" w:eastAsia="仿宋"/>
          <w:color w:val="000000"/>
          <w:sz w:val="32"/>
          <w:szCs w:val="32"/>
          <w:shd w:val="clear" w:color="auto" w:fill="FFFFFF"/>
        </w:rPr>
        <w:t>治和处置；农作物苗情监测和农牧产品生产过程中的质量安全检查．监测和强制性检验；农业资源．林业资源．农业生态环境和农业投入品使用监测；农业公共信息和培训教育服务；小型水利工程及病害水库的整治；水资源管理和防汛抗旱技术服务；水土保持的预防及水土流失的治理；农机安全检查和事故的预防．报告及处理；乡村机耕道德规划．建设；承担农村低保．农村医疗救助．农村医疗合作保险的组织实施．及初步审核；城乡登记失业人员和农村劳动力转移就业人员的社会化管理服务；广播电视“村村通”工程的建设．运行．维护和节目的安全播出；制订年度农村公益性文化项目实施计划；开展多种形式的文娱体育活动和宣传教育活动。</w:t>
      </w:r>
    </w:p>
    <w:p w14:paraId="46BDC89E"/>
    <w:p w14:paraId="1CF96F39">
      <w:pPr>
        <w:pStyle w:val="4"/>
        <w:rPr>
          <w:rStyle w:val="32"/>
          <w:b w:val="0"/>
          <w:bCs w:val="0"/>
        </w:rPr>
      </w:pPr>
      <w:bookmarkStart w:id="14" w:name="_Toc15377200"/>
      <w:bookmarkStart w:id="15" w:name="_Toc15396601"/>
      <w:r>
        <w:rPr>
          <w:rFonts w:hint="eastAsia" w:ascii="黑体" w:eastAsia="黑体"/>
          <w:b w:val="0"/>
        </w:rPr>
        <w:t>二、</w:t>
      </w:r>
      <w:r>
        <w:rPr>
          <w:rFonts w:hint="eastAsia" w:ascii="黑体" w:hAnsi="黑体" w:eastAsia="黑体"/>
          <w:b w:val="0"/>
        </w:rPr>
        <w:t>机</w:t>
      </w:r>
      <w:r>
        <w:rPr>
          <w:rStyle w:val="32"/>
          <w:rFonts w:hint="eastAsia" w:ascii="黑体" w:hAnsi="黑体" w:eastAsia="黑体"/>
          <w:b w:val="0"/>
          <w:bCs w:val="0"/>
        </w:rPr>
        <w:t>构设置</w:t>
      </w:r>
      <w:bookmarkEnd w:id="14"/>
      <w:bookmarkEnd w:id="15"/>
    </w:p>
    <w:p w14:paraId="52E9BBBB">
      <w:pPr>
        <w:pStyle w:val="14"/>
        <w:widowControl/>
        <w:shd w:val="clear" w:color="auto" w:fill="FFFFFF"/>
        <w:spacing w:before="315" w:beforeAutospacing="0" w:after="315" w:afterAutospacing="0" w:line="23" w:lineRule="atLeast"/>
        <w:ind w:firstLine="640"/>
        <w:jc w:val="both"/>
        <w:rPr>
          <w:rFonts w:ascii="宋体" w:hAnsi="宋体" w:cs="宋体"/>
          <w:color w:val="333333"/>
        </w:rPr>
      </w:pPr>
      <w:bookmarkStart w:id="16" w:name="_Toc15396602"/>
      <w:bookmarkStart w:id="17" w:name="_Toc15377204"/>
      <w:r>
        <w:rPr>
          <w:rFonts w:hint="eastAsia" w:ascii="仿宋" w:hAnsi="仿宋" w:eastAsia="仿宋"/>
          <w:color w:val="000000"/>
          <w:kern w:val="2"/>
          <w:sz w:val="32"/>
          <w:szCs w:val="32"/>
          <w:shd w:val="clear" w:color="auto" w:fill="FFFFFF"/>
        </w:rPr>
        <w:t>勒乌乡人民政府预算单位1个，其中：行政单位1个，事业单位0个。</w:t>
      </w:r>
    </w:p>
    <w:p w14:paraId="19967F71">
      <w:pPr>
        <w:pStyle w:val="3"/>
        <w:ind w:right="440"/>
        <w:jc w:val="center"/>
        <w:rPr>
          <w:rStyle w:val="31"/>
          <w:rFonts w:ascii="黑体" w:hAnsi="黑体" w:eastAsia="黑体"/>
          <w:b w:val="0"/>
          <w:bCs/>
        </w:rPr>
      </w:pPr>
      <w:r>
        <w:rPr>
          <w:rFonts w:hint="eastAsia" w:ascii="黑体" w:hAnsi="黑体" w:eastAsia="黑体"/>
          <w:b w:val="0"/>
        </w:rPr>
        <w:t>第二部分 2023年度</w:t>
      </w:r>
      <w:r>
        <w:rPr>
          <w:rStyle w:val="31"/>
          <w:rFonts w:hint="eastAsia" w:ascii="黑体" w:hAnsi="黑体" w:eastAsia="黑体"/>
          <w:b w:val="0"/>
          <w:bCs/>
        </w:rPr>
        <w:t>部门决算情况说明</w:t>
      </w:r>
      <w:bookmarkEnd w:id="16"/>
      <w:bookmarkEnd w:id="17"/>
    </w:p>
    <w:p w14:paraId="1C21A5A3"/>
    <w:p w14:paraId="187AFDAD">
      <w:pPr>
        <w:pStyle w:val="30"/>
        <w:numPr>
          <w:ilvl w:val="0"/>
          <w:numId w:val="0"/>
        </w:numPr>
        <w:spacing w:line="600" w:lineRule="exact"/>
        <w:ind w:left="1360" w:leftChars="0" w:hanging="720" w:firstLineChars="0"/>
        <w:outlineLvl w:val="1"/>
        <w:rPr>
          <w:rStyle w:val="32"/>
          <w:rFonts w:ascii="黑体" w:hAnsi="黑体" w:eastAsia="黑体"/>
          <w:b w:val="0"/>
        </w:rPr>
      </w:pPr>
      <w:bookmarkStart w:id="18" w:name="_Toc15377205"/>
      <w:bookmarkStart w:id="19" w:name="_Toc15396603"/>
      <w:r>
        <w:rPr>
          <w:rFonts w:hint="default" w:ascii="黑体" w:hAnsi="黑体" w:eastAsia="黑体" w:cstheme="majorBidi"/>
          <w:b w:val="0"/>
          <w:bCs/>
          <w:kern w:val="2"/>
          <w:sz w:val="32"/>
          <w:szCs w:val="32"/>
          <w:lang w:val="en-US" w:eastAsia="zh-CN" w:bidi="ar-SA"/>
        </w:rPr>
        <w:t>一、</w:t>
      </w:r>
      <w:r>
        <w:rPr>
          <w:rFonts w:hint="eastAsia" w:ascii="黑体" w:hAnsi="黑体" w:eastAsia="黑体"/>
          <w:sz w:val="32"/>
          <w:szCs w:val="32"/>
        </w:rPr>
        <w:t>收</w:t>
      </w:r>
      <w:r>
        <w:rPr>
          <w:rStyle w:val="32"/>
          <w:rFonts w:hint="eastAsia" w:ascii="黑体" w:hAnsi="黑体" w:eastAsia="黑体"/>
          <w:b w:val="0"/>
        </w:rPr>
        <w:t>入支出决算总体情况说明</w:t>
      </w:r>
      <w:bookmarkEnd w:id="18"/>
      <w:bookmarkEnd w:id="19"/>
    </w:p>
    <w:p w14:paraId="1424A64A">
      <w:pPr>
        <w:spacing w:line="600" w:lineRule="exact"/>
        <w:ind w:firstLine="640" w:firstLineChars="200"/>
        <w:jc w:val="left"/>
        <w:rPr>
          <w:rFonts w:ascii="仿宋" w:hAnsi="仿宋" w:eastAsia="仿宋"/>
          <w:sz w:val="32"/>
          <w:szCs w:val="32"/>
        </w:rPr>
      </w:pPr>
      <w:r>
        <w:rPr>
          <w:rFonts w:hint="eastAsia" w:ascii="仿宋" w:hAnsi="仿宋" w:eastAsia="仿宋"/>
          <w:sz w:val="32"/>
          <w:szCs w:val="32"/>
        </w:rPr>
        <w:t>2023年度收、支总计均为</w:t>
      </w:r>
      <w:r>
        <w:rPr>
          <w:rFonts w:hint="eastAsia"/>
          <w:sz w:val="32"/>
          <w:szCs w:val="32"/>
        </w:rPr>
        <w:t>753.55</w:t>
      </w:r>
      <w:r>
        <w:rPr>
          <w:rFonts w:hint="eastAsia" w:ascii="仿宋" w:hAnsi="仿宋" w:eastAsia="仿宋"/>
          <w:sz w:val="32"/>
          <w:szCs w:val="32"/>
        </w:rPr>
        <w:t>万元</w:t>
      </w:r>
      <w:r>
        <w:rPr>
          <w:rFonts w:hint="eastAsia"/>
          <w:sz w:val="32"/>
          <w:szCs w:val="32"/>
        </w:rPr>
        <w:t>。</w:t>
      </w:r>
      <w:r>
        <w:rPr>
          <w:rFonts w:hint="eastAsia" w:ascii="仿宋" w:hAnsi="仿宋" w:eastAsia="仿宋"/>
          <w:sz w:val="32"/>
          <w:szCs w:val="32"/>
        </w:rPr>
        <w:t>与2022年度相比，收、支总计各减少12.41万元，下降1.62</w:t>
      </w:r>
      <w:r>
        <w:rPr>
          <w:rFonts w:ascii="仿宋" w:hAnsi="仿宋" w:eastAsia="仿宋"/>
          <w:sz w:val="32"/>
          <w:szCs w:val="32"/>
        </w:rPr>
        <w:t>%</w:t>
      </w:r>
      <w:r>
        <w:rPr>
          <w:rFonts w:hint="eastAsia" w:ascii="仿宋" w:hAnsi="仿宋" w:eastAsia="仿宋"/>
          <w:sz w:val="32"/>
          <w:szCs w:val="32"/>
        </w:rPr>
        <w:t>。主要变动原因是人员经费和办公费用的减少。</w:t>
      </w:r>
    </w:p>
    <w:p w14:paraId="3F45C0B3">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：收、支决算总计变动情况图）（柱状图）</w:t>
      </w:r>
    </w:p>
    <w:p w14:paraId="40787D8D">
      <w:pPr>
        <w:spacing w:line="600" w:lineRule="exact"/>
        <w:ind w:firstLine="640" w:firstLineChars="200"/>
        <w:jc w:val="left"/>
        <w:rPr>
          <w:rFonts w:hint="eastAsia" w:ascii="仿宋_GB2312" w:eastAsia="仿宋_GB2312"/>
          <w:sz w:val="32"/>
          <w:szCs w:val="32"/>
          <w:lang w:eastAsia="zh-CN"/>
        </w:rPr>
      </w:pPr>
      <w:r>
        <w:rPr>
          <w:rFonts w:hint="eastAsia" w:ascii="仿宋_GB2312" w:eastAsia="仿宋_GB2312"/>
          <w:sz w:val="32"/>
          <w:szCs w:val="32"/>
          <w:lang w:eastAsia="zh-CN"/>
        </w:rPr>
        <w:drawing>
          <wp:anchor distT="0" distB="0" distL="114300" distR="114300" simplePos="0" relativeHeight="251660288" behindDoc="0" locked="0" layoutInCell="1" allowOverlap="1">
            <wp:simplePos x="0" y="0"/>
            <wp:positionH relativeFrom="column">
              <wp:posOffset>177800</wp:posOffset>
            </wp:positionH>
            <wp:positionV relativeFrom="paragraph">
              <wp:posOffset>130810</wp:posOffset>
            </wp:positionV>
            <wp:extent cx="5256530" cy="2988310"/>
            <wp:effectExtent l="5080" t="4445" r="15240" b="17145"/>
            <wp:wrapSquare wrapText="bothSides"/>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2892DA76">
      <w:pPr>
        <w:pStyle w:val="30"/>
        <w:numPr>
          <w:ilvl w:val="0"/>
          <w:numId w:val="0"/>
        </w:numPr>
        <w:spacing w:line="600" w:lineRule="exact"/>
        <w:ind w:left="1360" w:leftChars="0" w:hanging="720" w:firstLineChars="0"/>
        <w:outlineLvl w:val="1"/>
        <w:rPr>
          <w:rStyle w:val="32"/>
          <w:rFonts w:ascii="黑体" w:hAnsi="黑体" w:eastAsia="黑体"/>
          <w:b w:val="0"/>
        </w:rPr>
      </w:pPr>
      <w:bookmarkStart w:id="20" w:name="_Toc15396604"/>
      <w:bookmarkStart w:id="21" w:name="_Toc15377206"/>
      <w:r>
        <w:rPr>
          <w:rFonts w:hint="default" w:ascii="黑体" w:hAnsi="黑体" w:eastAsia="黑体" w:cstheme="majorBidi"/>
          <w:b w:val="0"/>
          <w:bCs/>
          <w:kern w:val="2"/>
          <w:sz w:val="32"/>
          <w:szCs w:val="32"/>
          <w:lang w:val="en-US" w:eastAsia="zh-CN" w:bidi="ar-SA"/>
        </w:rPr>
        <w:t>二、</w:t>
      </w:r>
      <w:r>
        <w:rPr>
          <w:rFonts w:hint="eastAsia" w:ascii="黑体" w:hAnsi="黑体" w:eastAsia="黑体"/>
          <w:sz w:val="32"/>
          <w:szCs w:val="32"/>
        </w:rPr>
        <w:t>收</w:t>
      </w:r>
      <w:r>
        <w:rPr>
          <w:rStyle w:val="32"/>
          <w:rFonts w:hint="eastAsia" w:ascii="黑体" w:hAnsi="黑体" w:eastAsia="黑体"/>
          <w:b w:val="0"/>
        </w:rPr>
        <w:t>入决算情况说明</w:t>
      </w:r>
      <w:bookmarkEnd w:id="20"/>
      <w:bookmarkEnd w:id="21"/>
    </w:p>
    <w:p w14:paraId="7ED003B5">
      <w:pPr>
        <w:spacing w:line="600" w:lineRule="exact"/>
        <w:ind w:firstLine="640" w:firstLineChars="200"/>
        <w:jc w:val="left"/>
        <w:outlineLvl w:val="1"/>
        <w:rPr>
          <w:rFonts w:ascii="仿宋" w:hAnsi="仿宋" w:eastAsia="仿宋"/>
          <w:sz w:val="32"/>
          <w:szCs w:val="32"/>
        </w:rPr>
      </w:pPr>
      <w:r>
        <w:rPr>
          <w:rFonts w:hint="eastAsia" w:ascii="仿宋" w:hAnsi="仿宋" w:eastAsia="仿宋"/>
          <w:sz w:val="32"/>
          <w:szCs w:val="32"/>
        </w:rPr>
        <w:t>2023年度本年收入合计</w:t>
      </w:r>
      <w:r>
        <w:rPr>
          <w:sz w:val="32"/>
          <w:szCs w:val="32"/>
        </w:rPr>
        <w:t>740.75</w:t>
      </w:r>
      <w:r>
        <w:rPr>
          <w:rFonts w:hint="eastAsia" w:ascii="仿宋" w:hAnsi="仿宋" w:eastAsia="仿宋"/>
          <w:sz w:val="32"/>
          <w:szCs w:val="32"/>
        </w:rPr>
        <w:t>万元，其中：一般公共预算财政拨款收入</w:t>
      </w:r>
      <w:r>
        <w:rPr>
          <w:sz w:val="32"/>
          <w:szCs w:val="32"/>
        </w:rPr>
        <w:t>700.25</w:t>
      </w:r>
      <w:r>
        <w:rPr>
          <w:rFonts w:hint="eastAsia" w:ascii="仿宋" w:hAnsi="仿宋" w:eastAsia="仿宋"/>
          <w:sz w:val="32"/>
          <w:szCs w:val="32"/>
        </w:rPr>
        <w:t>万元，占</w:t>
      </w:r>
      <w:r>
        <w:rPr>
          <w:sz w:val="32"/>
          <w:szCs w:val="32"/>
        </w:rPr>
        <w:t>94.53</w:t>
      </w:r>
      <w:r>
        <w:rPr>
          <w:rFonts w:ascii="仿宋" w:hAnsi="仿宋" w:eastAsia="仿宋"/>
          <w:sz w:val="32"/>
          <w:szCs w:val="32"/>
        </w:rPr>
        <w:t>%</w:t>
      </w:r>
      <w:r>
        <w:rPr>
          <w:rFonts w:hint="eastAsia" w:ascii="仿宋" w:hAnsi="仿宋" w:eastAsia="仿宋"/>
          <w:sz w:val="32"/>
          <w:szCs w:val="32"/>
        </w:rPr>
        <w:t>；政府性基金预算财政拨款收入</w:t>
      </w:r>
      <w:r>
        <w:rPr>
          <w:sz w:val="32"/>
          <w:szCs w:val="32"/>
        </w:rPr>
        <w:t>40.5</w:t>
      </w:r>
      <w:r>
        <w:rPr>
          <w:rFonts w:hint="eastAsia" w:ascii="仿宋" w:hAnsi="仿宋" w:eastAsia="仿宋"/>
          <w:sz w:val="32"/>
          <w:szCs w:val="32"/>
        </w:rPr>
        <w:t>万元，占</w:t>
      </w:r>
      <w:r>
        <w:rPr>
          <w:sz w:val="32"/>
          <w:szCs w:val="32"/>
        </w:rPr>
        <w:t>5.46</w:t>
      </w:r>
      <w:r>
        <w:rPr>
          <w:rFonts w:ascii="仿宋" w:hAnsi="仿宋" w:eastAsia="仿宋"/>
          <w:sz w:val="32"/>
          <w:szCs w:val="32"/>
        </w:rPr>
        <w:t>%</w:t>
      </w:r>
      <w:r>
        <w:rPr>
          <w:rFonts w:hint="eastAsia" w:ascii="仿宋" w:hAnsi="仿宋" w:eastAsia="仿宋"/>
          <w:sz w:val="32"/>
          <w:szCs w:val="32"/>
        </w:rPr>
        <w:t>。</w:t>
      </w:r>
    </w:p>
    <w:p w14:paraId="299BE0AE">
      <w:pPr>
        <w:spacing w:line="600" w:lineRule="exact"/>
        <w:outlineLvl w:val="1"/>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01表</w:t>
      </w:r>
      <w:r>
        <w:rPr>
          <w:rFonts w:hint="eastAsia" w:ascii="仿宋" w:hAnsi="仿宋" w:eastAsia="仿宋"/>
          <w:b/>
          <w:sz w:val="32"/>
          <w:szCs w:val="32"/>
        </w:rPr>
        <w:t>，仅罗列本部门涉及的收入</w:t>
      </w:r>
      <w:r>
        <w:rPr>
          <w:rFonts w:ascii="仿宋" w:hAnsi="仿宋" w:eastAsia="仿宋"/>
          <w:b/>
          <w:sz w:val="32"/>
          <w:szCs w:val="32"/>
        </w:rPr>
        <w:t>）</w:t>
      </w:r>
    </w:p>
    <w:p w14:paraId="6A31C5E0">
      <w:pPr>
        <w:spacing w:line="600" w:lineRule="exact"/>
        <w:ind w:firstLine="640" w:firstLineChars="200"/>
        <w:outlineLvl w:val="1"/>
        <w:rPr>
          <w:rFonts w:ascii="仿宋" w:hAnsi="仿宋" w:eastAsia="仿宋"/>
          <w:sz w:val="32"/>
          <w:szCs w:val="32"/>
        </w:rPr>
      </w:pPr>
    </w:p>
    <w:p w14:paraId="182B25B3">
      <w:pPr>
        <w:spacing w:line="600" w:lineRule="exact"/>
        <w:ind w:firstLine="640" w:firstLineChars="200"/>
        <w:rPr>
          <w:rFonts w:hint="eastAsia" w:ascii="仿宋_GB2312" w:eastAsia="仿宋_GB2312"/>
          <w:sz w:val="32"/>
          <w:szCs w:val="32"/>
          <w:lang w:eastAsia="zh-CN"/>
        </w:rPr>
      </w:pPr>
      <w:r>
        <w:rPr>
          <w:rFonts w:hint="eastAsia" w:ascii="仿宋" w:hAnsi="仿宋" w:eastAsia="仿宋"/>
          <w:sz w:val="32"/>
          <w:szCs w:val="32"/>
        </w:rPr>
        <w:t>（图2：收入决算结构图）（饼状图）</w:t>
      </w:r>
    </w:p>
    <w:p w14:paraId="5BC1248E">
      <w:pPr>
        <w:pStyle w:val="30"/>
        <w:numPr>
          <w:ilvl w:val="0"/>
          <w:numId w:val="0"/>
        </w:numPr>
        <w:spacing w:line="600" w:lineRule="exact"/>
        <w:ind w:left="1360" w:leftChars="0" w:hanging="720" w:firstLineChars="0"/>
        <w:outlineLvl w:val="1"/>
        <w:rPr>
          <w:rFonts w:hint="default" w:ascii="黑体" w:hAnsi="黑体" w:eastAsia="黑体" w:cstheme="majorBidi"/>
          <w:b w:val="0"/>
          <w:bCs/>
          <w:kern w:val="2"/>
          <w:sz w:val="32"/>
          <w:szCs w:val="32"/>
          <w:lang w:val="en-US" w:eastAsia="zh-CN" w:bidi="ar-SA"/>
        </w:rPr>
      </w:pPr>
      <w:bookmarkStart w:id="22" w:name="_Toc15396605"/>
      <w:bookmarkStart w:id="23" w:name="_Toc15377207"/>
      <w:r>
        <w:rPr>
          <w:rFonts w:hint="eastAsia" w:ascii="仿宋_GB2312" w:eastAsia="仿宋_GB2312"/>
          <w:sz w:val="32"/>
          <w:szCs w:val="32"/>
          <w:lang w:eastAsia="zh-CN"/>
        </w:rPr>
        <w:drawing>
          <wp:anchor distT="0" distB="0" distL="114300" distR="114300" simplePos="0" relativeHeight="251661312" behindDoc="0" locked="0" layoutInCell="1" allowOverlap="1">
            <wp:simplePos x="0" y="0"/>
            <wp:positionH relativeFrom="column">
              <wp:posOffset>300355</wp:posOffset>
            </wp:positionH>
            <wp:positionV relativeFrom="paragraph">
              <wp:posOffset>275590</wp:posOffset>
            </wp:positionV>
            <wp:extent cx="4773295" cy="2822575"/>
            <wp:effectExtent l="4445" t="4445" r="22860" b="11430"/>
            <wp:wrapSquare wrapText="bothSides"/>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0E7492F9">
      <w:pPr>
        <w:pStyle w:val="30"/>
        <w:numPr>
          <w:ilvl w:val="0"/>
          <w:numId w:val="0"/>
        </w:numPr>
        <w:spacing w:line="600" w:lineRule="exact"/>
        <w:ind w:left="1360" w:leftChars="0" w:hanging="720" w:firstLineChars="0"/>
        <w:outlineLvl w:val="1"/>
        <w:rPr>
          <w:rStyle w:val="32"/>
          <w:rFonts w:ascii="黑体" w:hAnsi="黑体" w:eastAsia="黑体"/>
          <w:b w:val="0"/>
        </w:rPr>
      </w:pPr>
      <w:r>
        <w:rPr>
          <w:rFonts w:hint="default" w:ascii="黑体" w:hAnsi="黑体" w:eastAsia="黑体" w:cstheme="majorBidi"/>
          <w:b w:val="0"/>
          <w:bCs/>
          <w:kern w:val="2"/>
          <w:sz w:val="32"/>
          <w:szCs w:val="32"/>
          <w:lang w:val="en-US" w:eastAsia="zh-CN" w:bidi="ar-SA"/>
        </w:rPr>
        <w:t>三、</w:t>
      </w:r>
      <w:r>
        <w:rPr>
          <w:rFonts w:hint="eastAsia" w:ascii="黑体" w:hAnsi="黑体" w:eastAsia="黑体"/>
          <w:sz w:val="32"/>
          <w:szCs w:val="32"/>
        </w:rPr>
        <w:t>支</w:t>
      </w:r>
      <w:r>
        <w:rPr>
          <w:rStyle w:val="32"/>
          <w:rFonts w:hint="eastAsia" w:ascii="黑体" w:hAnsi="黑体" w:eastAsia="黑体"/>
          <w:b w:val="0"/>
        </w:rPr>
        <w:t>出决算情况说明</w:t>
      </w:r>
      <w:bookmarkEnd w:id="22"/>
      <w:bookmarkEnd w:id="23"/>
    </w:p>
    <w:p w14:paraId="52408308">
      <w:pPr>
        <w:spacing w:line="600" w:lineRule="exact"/>
        <w:ind w:firstLine="640" w:firstLineChars="200"/>
        <w:outlineLvl w:val="1"/>
        <w:rPr>
          <w:rFonts w:ascii="仿宋" w:hAnsi="仿宋" w:eastAsia="仿宋"/>
          <w:sz w:val="32"/>
          <w:szCs w:val="32"/>
        </w:rPr>
      </w:pPr>
      <w:r>
        <w:rPr>
          <w:rFonts w:hint="eastAsia" w:ascii="仿宋" w:hAnsi="仿宋" w:eastAsia="仿宋"/>
          <w:sz w:val="32"/>
          <w:szCs w:val="32"/>
        </w:rPr>
        <w:t>2023年度本年支出合计</w:t>
      </w:r>
      <w:r>
        <w:rPr>
          <w:sz w:val="32"/>
          <w:szCs w:val="32"/>
        </w:rPr>
        <w:t>753.55</w:t>
      </w:r>
      <w:r>
        <w:rPr>
          <w:rFonts w:hint="eastAsia" w:ascii="仿宋" w:hAnsi="仿宋" w:eastAsia="仿宋"/>
          <w:sz w:val="32"/>
          <w:szCs w:val="32"/>
        </w:rPr>
        <w:t>万元，其中：基本支出</w:t>
      </w:r>
      <w:r>
        <w:rPr>
          <w:sz w:val="32"/>
          <w:szCs w:val="32"/>
        </w:rPr>
        <w:t>598.4</w:t>
      </w:r>
      <w:r>
        <w:rPr>
          <w:rFonts w:hint="eastAsia" w:ascii="仿宋" w:hAnsi="仿宋" w:eastAsia="仿宋"/>
          <w:sz w:val="32"/>
          <w:szCs w:val="32"/>
        </w:rPr>
        <w:t>万元，占</w:t>
      </w:r>
      <w:r>
        <w:rPr>
          <w:sz w:val="32"/>
          <w:szCs w:val="32"/>
        </w:rPr>
        <w:t>79.41</w:t>
      </w:r>
      <w:r>
        <w:rPr>
          <w:rFonts w:ascii="仿宋" w:hAnsi="仿宋" w:eastAsia="仿宋"/>
          <w:sz w:val="32"/>
          <w:szCs w:val="32"/>
        </w:rPr>
        <w:t>%</w:t>
      </w:r>
      <w:r>
        <w:rPr>
          <w:rFonts w:hint="eastAsia" w:ascii="仿宋" w:hAnsi="仿宋" w:eastAsia="仿宋"/>
          <w:sz w:val="32"/>
          <w:szCs w:val="32"/>
        </w:rPr>
        <w:t>；项目支出</w:t>
      </w:r>
      <w:r>
        <w:rPr>
          <w:sz w:val="32"/>
          <w:szCs w:val="32"/>
        </w:rPr>
        <w:t>155.16</w:t>
      </w:r>
      <w:r>
        <w:rPr>
          <w:rFonts w:hint="eastAsia" w:ascii="仿宋" w:hAnsi="仿宋" w:eastAsia="仿宋"/>
          <w:sz w:val="32"/>
          <w:szCs w:val="32"/>
        </w:rPr>
        <w:t>万元，占</w:t>
      </w:r>
      <w:r>
        <w:rPr>
          <w:sz w:val="32"/>
          <w:szCs w:val="32"/>
        </w:rPr>
        <w:t>20.58</w:t>
      </w:r>
      <w:r>
        <w:rPr>
          <w:rFonts w:ascii="仿宋" w:hAnsi="仿宋" w:eastAsia="仿宋"/>
          <w:sz w:val="32"/>
          <w:szCs w:val="32"/>
        </w:rPr>
        <w:t>%</w:t>
      </w:r>
      <w:r>
        <w:rPr>
          <w:rFonts w:hint="eastAsia" w:ascii="仿宋" w:hAnsi="仿宋" w:eastAsia="仿宋"/>
          <w:sz w:val="32"/>
          <w:szCs w:val="32"/>
        </w:rPr>
        <w:t>。</w:t>
      </w:r>
    </w:p>
    <w:p w14:paraId="121ED05A">
      <w:pPr>
        <w:spacing w:line="600" w:lineRule="exact"/>
        <w:outlineLvl w:val="1"/>
        <w:rPr>
          <w:rFonts w:hint="eastAsia"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04</w:t>
      </w:r>
      <w:r>
        <w:rPr>
          <w:rFonts w:hint="eastAsia" w:ascii="仿宋" w:hAnsi="仿宋" w:eastAsia="仿宋"/>
          <w:b/>
          <w:sz w:val="32"/>
          <w:szCs w:val="32"/>
        </w:rPr>
        <w:t>表，仅罗列本部门涉及的支出）</w:t>
      </w:r>
    </w:p>
    <w:p w14:paraId="6658A47D">
      <w:pPr>
        <w:spacing w:line="600" w:lineRule="exact"/>
        <w:rPr>
          <w:rFonts w:ascii="仿宋" w:hAnsi="仿宋" w:eastAsia="仿宋"/>
          <w:sz w:val="32"/>
          <w:szCs w:val="32"/>
        </w:rPr>
      </w:pPr>
      <w:r>
        <w:rPr>
          <w:rFonts w:hint="eastAsia" w:ascii="仿宋" w:hAnsi="仿宋" w:eastAsia="仿宋"/>
          <w:sz w:val="32"/>
          <w:szCs w:val="32"/>
        </w:rPr>
        <w:t>（图3：支出决算结构图）（饼状图）</w:t>
      </w:r>
    </w:p>
    <w:p w14:paraId="2C94E286">
      <w:pPr>
        <w:spacing w:line="600" w:lineRule="exact"/>
        <w:ind w:firstLine="640" w:firstLineChars="200"/>
        <w:outlineLvl w:val="1"/>
        <w:rPr>
          <w:rFonts w:hint="eastAsia" w:ascii="黑体" w:hAnsi="黑体" w:eastAsia="黑体"/>
          <w:sz w:val="32"/>
          <w:szCs w:val="32"/>
        </w:rPr>
      </w:pPr>
      <w:bookmarkStart w:id="24" w:name="_Toc15377208"/>
      <w:bookmarkStart w:id="25" w:name="_Toc15396606"/>
      <w:r>
        <w:rPr>
          <w:rFonts w:hint="eastAsia" w:ascii="仿宋_GB2312" w:eastAsia="仿宋_GB2312"/>
          <w:sz w:val="32"/>
          <w:szCs w:val="32"/>
          <w:lang w:eastAsia="zh-CN"/>
        </w:rPr>
        <w:drawing>
          <wp:anchor distT="0" distB="0" distL="114300" distR="114300" simplePos="0" relativeHeight="251662336" behindDoc="0" locked="0" layoutInCell="1" allowOverlap="1">
            <wp:simplePos x="0" y="0"/>
            <wp:positionH relativeFrom="column">
              <wp:posOffset>558165</wp:posOffset>
            </wp:positionH>
            <wp:positionV relativeFrom="paragraph">
              <wp:posOffset>186055</wp:posOffset>
            </wp:positionV>
            <wp:extent cx="4234180" cy="2666365"/>
            <wp:effectExtent l="4445" t="4445" r="9525" b="15240"/>
            <wp:wrapSquare wrapText="bothSides"/>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00BFD610">
      <w:pPr>
        <w:spacing w:line="600" w:lineRule="exact"/>
        <w:ind w:firstLine="640" w:firstLineChars="200"/>
        <w:outlineLvl w:val="1"/>
        <w:rPr>
          <w:rStyle w:val="32"/>
          <w:rFonts w:ascii="黑体" w:hAnsi="黑体" w:eastAsia="黑体"/>
          <w:b w:val="0"/>
        </w:rPr>
      </w:pPr>
      <w:r>
        <w:rPr>
          <w:rFonts w:hint="eastAsia" w:ascii="黑体" w:hAnsi="黑体" w:eastAsia="黑体"/>
          <w:sz w:val="32"/>
          <w:szCs w:val="32"/>
        </w:rPr>
        <w:t>四、财</w:t>
      </w:r>
      <w:r>
        <w:rPr>
          <w:rStyle w:val="32"/>
          <w:rFonts w:hint="eastAsia" w:ascii="黑体" w:hAnsi="黑体" w:eastAsia="黑体"/>
          <w:b w:val="0"/>
        </w:rPr>
        <w:t>政拨款收入支出决算总体情况说明</w:t>
      </w:r>
      <w:bookmarkEnd w:id="24"/>
      <w:bookmarkEnd w:id="25"/>
    </w:p>
    <w:p w14:paraId="290E41E2">
      <w:pPr>
        <w:spacing w:line="600" w:lineRule="exact"/>
        <w:ind w:firstLine="640"/>
        <w:rPr>
          <w:rFonts w:ascii="仿宋" w:hAnsi="仿宋" w:eastAsia="仿宋"/>
          <w:b/>
          <w:sz w:val="32"/>
          <w:szCs w:val="32"/>
        </w:rPr>
      </w:pPr>
      <w:r>
        <w:rPr>
          <w:rFonts w:hint="eastAsia" w:ascii="仿宋" w:hAnsi="仿宋" w:eastAsia="仿宋"/>
          <w:sz w:val="32"/>
          <w:szCs w:val="32"/>
        </w:rPr>
        <w:t>2023年度财政拨款收、支总计均为</w:t>
      </w:r>
      <w:r>
        <w:rPr>
          <w:sz w:val="32"/>
          <w:szCs w:val="32"/>
        </w:rPr>
        <w:t>753.55</w:t>
      </w:r>
      <w:r>
        <w:rPr>
          <w:rFonts w:hint="eastAsia" w:ascii="仿宋" w:hAnsi="仿宋" w:eastAsia="仿宋"/>
          <w:sz w:val="32"/>
          <w:szCs w:val="32"/>
        </w:rPr>
        <w:t>万元。与2022年度相比，财政拨款收、支总计各减少12.41万元，下降1.62</w:t>
      </w:r>
      <w:r>
        <w:rPr>
          <w:rFonts w:ascii="仿宋" w:hAnsi="仿宋" w:eastAsia="仿宋"/>
          <w:sz w:val="32"/>
          <w:szCs w:val="32"/>
        </w:rPr>
        <w:t>%</w:t>
      </w:r>
      <w:r>
        <w:rPr>
          <w:rFonts w:hint="eastAsia" w:ascii="仿宋" w:hAnsi="仿宋" w:eastAsia="仿宋"/>
          <w:sz w:val="32"/>
          <w:szCs w:val="32"/>
        </w:rPr>
        <w:t>。主要变动原因是人员经费和办公费用的减少。</w:t>
      </w:r>
      <w:r>
        <w:rPr>
          <w:rFonts w:hint="eastAsia" w:ascii="仿宋" w:hAnsi="仿宋" w:eastAsia="仿宋"/>
          <w:b/>
          <w:sz w:val="32"/>
          <w:szCs w:val="32"/>
        </w:rPr>
        <w:t>（注：数据来源于财决</w:t>
      </w:r>
      <w:r>
        <w:rPr>
          <w:rFonts w:ascii="仿宋" w:hAnsi="仿宋" w:eastAsia="仿宋"/>
          <w:b/>
          <w:sz w:val="32"/>
          <w:szCs w:val="32"/>
        </w:rPr>
        <w:t>01-1</w:t>
      </w:r>
      <w:r>
        <w:rPr>
          <w:rFonts w:hint="eastAsia" w:ascii="仿宋" w:hAnsi="仿宋" w:eastAsia="仿宋"/>
          <w:b/>
          <w:sz w:val="32"/>
          <w:szCs w:val="32"/>
        </w:rPr>
        <w:t>表</w:t>
      </w:r>
      <w:r>
        <w:rPr>
          <w:rFonts w:ascii="仿宋" w:hAnsi="仿宋" w:eastAsia="仿宋"/>
          <w:b/>
          <w:sz w:val="32"/>
          <w:szCs w:val="32"/>
        </w:rPr>
        <w:t>）</w:t>
      </w:r>
    </w:p>
    <w:p w14:paraId="3D3AF234">
      <w:pPr>
        <w:spacing w:line="600" w:lineRule="exact"/>
        <w:ind w:firstLine="321" w:firstLineChars="100"/>
        <w:rPr>
          <w:rFonts w:ascii="仿宋" w:hAnsi="仿宋" w:eastAsia="仿宋"/>
          <w:sz w:val="32"/>
          <w:szCs w:val="32"/>
        </w:rPr>
      </w:pPr>
      <w:r>
        <w:rPr>
          <w:rFonts w:hint="eastAsia" w:ascii="仿宋" w:hAnsi="仿宋" w:eastAsia="仿宋"/>
          <w:b/>
          <w:sz w:val="32"/>
          <w:szCs w:val="32"/>
          <w:lang w:eastAsia="zh-CN"/>
        </w:rPr>
        <w:drawing>
          <wp:anchor distT="0" distB="0" distL="114300" distR="114300" simplePos="0" relativeHeight="251663360" behindDoc="0" locked="0" layoutInCell="1" allowOverlap="1">
            <wp:simplePos x="0" y="0"/>
            <wp:positionH relativeFrom="column">
              <wp:posOffset>90805</wp:posOffset>
            </wp:positionH>
            <wp:positionV relativeFrom="paragraph">
              <wp:posOffset>139065</wp:posOffset>
            </wp:positionV>
            <wp:extent cx="5256530" cy="2988310"/>
            <wp:effectExtent l="5080" t="4445" r="15240" b="17145"/>
            <wp:wrapTopAndBottom/>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hint="eastAsia" w:ascii="仿宋" w:hAnsi="仿宋" w:eastAsia="仿宋"/>
          <w:sz w:val="32"/>
          <w:szCs w:val="32"/>
        </w:rPr>
        <w:t>（图4：财政拨款收、支决算总计变动情况）（柱状图）</w:t>
      </w:r>
    </w:p>
    <w:p w14:paraId="28C5E805">
      <w:pPr>
        <w:spacing w:line="600" w:lineRule="exact"/>
        <w:ind w:firstLine="640"/>
        <w:rPr>
          <w:rFonts w:hint="eastAsia" w:ascii="仿宋" w:hAnsi="仿宋" w:eastAsia="仿宋"/>
          <w:b/>
          <w:sz w:val="32"/>
          <w:szCs w:val="32"/>
          <w:lang w:eastAsia="zh-CN"/>
        </w:rPr>
      </w:pPr>
    </w:p>
    <w:p w14:paraId="7A1EBA15">
      <w:pPr>
        <w:spacing w:line="600" w:lineRule="exact"/>
        <w:ind w:firstLine="640" w:firstLineChars="200"/>
        <w:outlineLvl w:val="1"/>
        <w:rPr>
          <w:rStyle w:val="32"/>
          <w:rFonts w:ascii="黑体" w:hAnsi="黑体" w:eastAsia="黑体"/>
          <w:b w:val="0"/>
        </w:rPr>
      </w:pPr>
      <w:bookmarkStart w:id="26" w:name="_Toc15396607"/>
      <w:bookmarkStart w:id="27" w:name="_Toc15377209"/>
      <w:r>
        <w:rPr>
          <w:rFonts w:hint="eastAsia" w:ascii="黑体" w:hAnsi="黑体" w:eastAsia="黑体"/>
          <w:sz w:val="32"/>
          <w:szCs w:val="32"/>
        </w:rPr>
        <w:t>五、</w:t>
      </w:r>
      <w:r>
        <w:rPr>
          <w:rFonts w:hint="eastAsia" w:ascii="黑体" w:hAnsi="黑体" w:eastAsia="黑体"/>
          <w:b/>
          <w:sz w:val="32"/>
          <w:szCs w:val="32"/>
        </w:rPr>
        <w:t>一</w:t>
      </w:r>
      <w:r>
        <w:rPr>
          <w:rStyle w:val="32"/>
          <w:rFonts w:hint="eastAsia" w:ascii="黑体" w:hAnsi="黑体" w:eastAsia="黑体"/>
          <w:b w:val="0"/>
        </w:rPr>
        <w:t>般公共预算财政拨款支出决算情况说明</w:t>
      </w:r>
      <w:bookmarkEnd w:id="26"/>
      <w:bookmarkEnd w:id="27"/>
    </w:p>
    <w:p w14:paraId="4BF07B83">
      <w:pPr>
        <w:spacing w:line="600" w:lineRule="exact"/>
        <w:ind w:firstLine="643" w:firstLineChars="200"/>
        <w:outlineLvl w:val="2"/>
        <w:rPr>
          <w:rFonts w:ascii="仿宋" w:hAnsi="仿宋" w:eastAsia="仿宋"/>
          <w:b/>
          <w:sz w:val="32"/>
          <w:szCs w:val="32"/>
        </w:rPr>
      </w:pPr>
      <w:bookmarkStart w:id="28" w:name="_Toc15377210"/>
      <w:r>
        <w:rPr>
          <w:rFonts w:hint="eastAsia" w:ascii="仿宋" w:hAnsi="仿宋" w:eastAsia="仿宋"/>
          <w:b/>
          <w:sz w:val="32"/>
          <w:szCs w:val="32"/>
        </w:rPr>
        <w:t>（一）一般公共预算财政拨款支出决算总体情况</w:t>
      </w:r>
      <w:bookmarkEnd w:id="28"/>
    </w:p>
    <w:p w14:paraId="381295CB">
      <w:pPr>
        <w:spacing w:line="600" w:lineRule="exact"/>
        <w:ind w:firstLine="640" w:firstLineChars="200"/>
        <w:rPr>
          <w:rFonts w:ascii="仿宋" w:hAnsi="仿宋" w:eastAsia="仿宋"/>
          <w:sz w:val="32"/>
          <w:szCs w:val="32"/>
        </w:rPr>
      </w:pPr>
      <w:r>
        <w:rPr>
          <w:rFonts w:hint="eastAsia" w:ascii="仿宋" w:hAnsi="仿宋" w:eastAsia="仿宋"/>
          <w:sz w:val="32"/>
          <w:szCs w:val="32"/>
        </w:rPr>
        <w:t>2023年度一般公共预算财政拨款支出</w:t>
      </w:r>
      <w:r>
        <w:rPr>
          <w:sz w:val="32"/>
          <w:szCs w:val="32"/>
        </w:rPr>
        <w:t>713.05</w:t>
      </w:r>
      <w:r>
        <w:rPr>
          <w:rFonts w:hint="eastAsia" w:ascii="仿宋" w:hAnsi="仿宋" w:eastAsia="仿宋"/>
          <w:sz w:val="32"/>
          <w:szCs w:val="32"/>
        </w:rPr>
        <w:t>万元，占本年支出合计的</w:t>
      </w:r>
      <w:r>
        <w:rPr>
          <w:sz w:val="32"/>
          <w:szCs w:val="32"/>
        </w:rPr>
        <w:t>94.62</w:t>
      </w:r>
      <w:r>
        <w:rPr>
          <w:rFonts w:ascii="仿宋" w:hAnsi="仿宋" w:eastAsia="仿宋"/>
          <w:sz w:val="32"/>
          <w:szCs w:val="32"/>
        </w:rPr>
        <w:t>%</w:t>
      </w:r>
      <w:r>
        <w:rPr>
          <w:rFonts w:hint="eastAsia" w:ascii="仿宋" w:hAnsi="仿宋" w:eastAsia="仿宋"/>
          <w:sz w:val="32"/>
          <w:szCs w:val="32"/>
        </w:rPr>
        <w:t>。与2022年度相比，一般公共预算财政拨款支出减少39.41万元，下降5.24</w:t>
      </w:r>
      <w:r>
        <w:rPr>
          <w:rFonts w:ascii="仿宋" w:hAnsi="仿宋" w:eastAsia="仿宋"/>
          <w:sz w:val="32"/>
          <w:szCs w:val="32"/>
        </w:rPr>
        <w:t>%</w:t>
      </w:r>
      <w:r>
        <w:rPr>
          <w:rFonts w:hint="eastAsia" w:ascii="仿宋" w:hAnsi="仿宋" w:eastAsia="仿宋"/>
          <w:sz w:val="32"/>
          <w:szCs w:val="32"/>
        </w:rPr>
        <w:t>。主要变动原因是人员缩减和办公费用的减少。</w:t>
      </w:r>
    </w:p>
    <w:p w14:paraId="16B87761">
      <w:pPr>
        <w:spacing w:line="600" w:lineRule="exact"/>
        <w:rPr>
          <w:rFonts w:ascii="仿宋" w:hAnsi="仿宋" w:eastAsia="仿宋"/>
          <w:sz w:val="32"/>
          <w:szCs w:val="32"/>
        </w:rPr>
      </w:pPr>
      <w:r>
        <w:rPr>
          <w:rFonts w:hint="eastAsia" w:ascii="仿宋" w:hAnsi="仿宋" w:eastAsia="仿宋"/>
          <w:sz w:val="32"/>
          <w:szCs w:val="32"/>
          <w:lang w:eastAsia="zh-CN"/>
        </w:rPr>
        <w:drawing>
          <wp:anchor distT="0" distB="0" distL="114300" distR="114300" simplePos="0" relativeHeight="251664384" behindDoc="0" locked="0" layoutInCell="1" allowOverlap="1">
            <wp:simplePos x="0" y="0"/>
            <wp:positionH relativeFrom="column">
              <wp:posOffset>160020</wp:posOffset>
            </wp:positionH>
            <wp:positionV relativeFrom="paragraph">
              <wp:posOffset>1107440</wp:posOffset>
            </wp:positionV>
            <wp:extent cx="5256530" cy="2988310"/>
            <wp:effectExtent l="5080" t="4445" r="15240" b="17145"/>
            <wp:wrapSquare wrapText="bothSides"/>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hint="eastAsia" w:ascii="仿宋" w:hAnsi="仿宋" w:eastAsia="仿宋"/>
          <w:sz w:val="32"/>
          <w:szCs w:val="32"/>
        </w:rPr>
        <w:t>（图5：一般公共预算财政拨款支出决算变动情况）（柱状图）</w:t>
      </w:r>
    </w:p>
    <w:p w14:paraId="52116F3F">
      <w:pPr>
        <w:spacing w:line="600" w:lineRule="exact"/>
        <w:ind w:firstLine="640" w:firstLineChars="200"/>
        <w:rPr>
          <w:rFonts w:hint="eastAsia" w:ascii="仿宋" w:hAnsi="仿宋" w:eastAsia="仿宋"/>
          <w:sz w:val="32"/>
          <w:szCs w:val="32"/>
          <w:lang w:eastAsia="zh-CN"/>
        </w:rPr>
      </w:pPr>
    </w:p>
    <w:p w14:paraId="290A0E00">
      <w:pPr>
        <w:spacing w:line="600" w:lineRule="exact"/>
        <w:ind w:firstLine="643" w:firstLineChars="200"/>
        <w:outlineLvl w:val="2"/>
        <w:rPr>
          <w:rFonts w:ascii="仿宋" w:hAnsi="仿宋" w:eastAsia="仿宋"/>
          <w:b/>
          <w:sz w:val="32"/>
          <w:szCs w:val="32"/>
        </w:rPr>
      </w:pPr>
      <w:bookmarkStart w:id="29" w:name="_Toc15377211"/>
      <w:r>
        <w:rPr>
          <w:rFonts w:hint="eastAsia" w:ascii="仿宋" w:hAnsi="仿宋" w:eastAsia="仿宋"/>
          <w:b/>
          <w:sz w:val="32"/>
          <w:szCs w:val="32"/>
        </w:rPr>
        <w:t>（二）一般公共预算财政拨款支出决算结构情况</w:t>
      </w:r>
      <w:bookmarkEnd w:id="29"/>
    </w:p>
    <w:p w14:paraId="3D026D1C">
      <w:pPr>
        <w:spacing w:line="600" w:lineRule="exact"/>
        <w:ind w:firstLine="640"/>
        <w:rPr>
          <w:rFonts w:ascii="仿宋" w:hAnsi="仿宋" w:eastAsia="仿宋"/>
          <w:sz w:val="32"/>
          <w:szCs w:val="32"/>
        </w:rPr>
      </w:pPr>
      <w:r>
        <w:rPr>
          <w:rFonts w:hint="eastAsia" w:ascii="仿宋" w:hAnsi="仿宋" w:eastAsia="仿宋"/>
          <w:sz w:val="32"/>
          <w:szCs w:val="32"/>
        </w:rPr>
        <w:t>2023年度一般公共预算财政拨款支出</w:t>
      </w:r>
      <w:r>
        <w:rPr>
          <w:sz w:val="32"/>
          <w:szCs w:val="32"/>
        </w:rPr>
        <w:t>713.05</w:t>
      </w:r>
      <w:r>
        <w:rPr>
          <w:rFonts w:hint="eastAsia" w:ascii="仿宋" w:hAnsi="仿宋" w:eastAsia="仿宋"/>
          <w:sz w:val="32"/>
          <w:szCs w:val="32"/>
        </w:rPr>
        <w:t>万元，主要用于以下方面</w:t>
      </w:r>
      <w:r>
        <w:rPr>
          <w:rFonts w:hint="eastAsia" w:ascii="仿宋" w:hAnsi="仿宋" w:eastAsia="仿宋"/>
          <w:sz w:val="32"/>
          <w:szCs w:val="32"/>
          <w:lang w:eastAsia="zh-CN"/>
        </w:rPr>
        <w:t>：</w:t>
      </w:r>
      <w:r>
        <w:rPr>
          <w:rFonts w:hint="eastAsia" w:ascii="仿宋" w:hAnsi="仿宋" w:eastAsia="仿宋"/>
          <w:b/>
          <w:sz w:val="32"/>
          <w:szCs w:val="32"/>
        </w:rPr>
        <w:t>一般公共服务</w:t>
      </w:r>
      <w:r>
        <w:rPr>
          <w:rFonts w:hint="eastAsia" w:ascii="仿宋" w:hAnsi="仿宋" w:eastAsia="仿宋"/>
          <w:b/>
          <w:bCs/>
          <w:sz w:val="32"/>
          <w:szCs w:val="32"/>
        </w:rPr>
        <w:t>支出</w:t>
      </w:r>
      <w:r>
        <w:rPr>
          <w:rFonts w:hint="eastAsia" w:ascii="仿宋" w:hAnsi="仿宋" w:eastAsia="仿宋"/>
          <w:sz w:val="32"/>
          <w:szCs w:val="32"/>
        </w:rPr>
        <w:t>409.58万元，占57.4</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hint="eastAsia" w:ascii="仿宋" w:hAnsi="仿宋" w:eastAsia="仿宋"/>
          <w:sz w:val="32"/>
          <w:szCs w:val="32"/>
        </w:rPr>
        <w:t>58.21万元，占8.2</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rPr>
        <w:t>10.68万元，占1.5</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农林水支出</w:t>
      </w:r>
      <w:r>
        <w:rPr>
          <w:rFonts w:hint="eastAsia" w:ascii="仿宋" w:hAnsi="仿宋" w:eastAsia="仿宋"/>
          <w:sz w:val="32"/>
          <w:szCs w:val="32"/>
        </w:rPr>
        <w:t>195.09万元，占27.4%，</w:t>
      </w:r>
      <w:r>
        <w:rPr>
          <w:rFonts w:hint="eastAsia" w:ascii="仿宋" w:hAnsi="仿宋" w:eastAsia="仿宋"/>
          <w:b/>
          <w:bCs/>
          <w:sz w:val="32"/>
          <w:szCs w:val="32"/>
        </w:rPr>
        <w:t>住房保障支出</w:t>
      </w:r>
      <w:r>
        <w:rPr>
          <w:rFonts w:hint="eastAsia" w:ascii="仿宋" w:hAnsi="仿宋" w:eastAsia="仿宋"/>
          <w:sz w:val="32"/>
          <w:szCs w:val="32"/>
        </w:rPr>
        <w:t>39.49万元，占5.5</w:t>
      </w:r>
      <w:r>
        <w:rPr>
          <w:rFonts w:ascii="仿宋" w:hAnsi="仿宋" w:eastAsia="仿宋"/>
          <w:sz w:val="32"/>
          <w:szCs w:val="32"/>
        </w:rPr>
        <w:t>%</w:t>
      </w:r>
      <w:r>
        <w:rPr>
          <w:rFonts w:hint="eastAsia" w:ascii="仿宋" w:hAnsi="仿宋" w:eastAsia="仿宋"/>
          <w:sz w:val="32"/>
          <w:szCs w:val="32"/>
        </w:rPr>
        <w:t>。</w:t>
      </w:r>
    </w:p>
    <w:p w14:paraId="59EDAEB1">
      <w:pPr>
        <w:spacing w:line="600" w:lineRule="exact"/>
        <w:ind w:firstLine="640"/>
        <w:rPr>
          <w:rFonts w:ascii="仿宋" w:hAnsi="仿宋" w:eastAsia="仿宋"/>
          <w:b/>
          <w:sz w:val="32"/>
          <w:szCs w:val="32"/>
        </w:rPr>
      </w:pPr>
      <w:r>
        <w:rPr>
          <w:rFonts w:hint="eastAsia" w:ascii="仿宋" w:hAnsi="仿宋" w:eastAsia="仿宋"/>
          <w:b/>
          <w:sz w:val="32"/>
          <w:szCs w:val="32"/>
        </w:rPr>
        <w:t>（注：数据来源于财决01-1表，仅罗列本部门涉及的全部功能分类科目，至类级）</w:t>
      </w:r>
    </w:p>
    <w:p w14:paraId="3632CD11">
      <w:pPr>
        <w:spacing w:line="600" w:lineRule="exact"/>
        <w:ind w:firstLine="640" w:firstLineChars="200"/>
        <w:rPr>
          <w:rFonts w:hint="eastAsia" w:ascii="仿宋" w:hAnsi="仿宋" w:eastAsia="仿宋"/>
          <w:sz w:val="32"/>
          <w:szCs w:val="32"/>
        </w:rPr>
      </w:pPr>
    </w:p>
    <w:p w14:paraId="1040BD6A">
      <w:pPr>
        <w:spacing w:line="600" w:lineRule="exact"/>
        <w:ind w:firstLine="640" w:firstLineChars="200"/>
        <w:rPr>
          <w:rFonts w:hint="eastAsia" w:ascii="仿宋" w:hAnsi="仿宋" w:eastAsia="仿宋"/>
          <w:sz w:val="32"/>
          <w:szCs w:val="32"/>
        </w:rPr>
      </w:pPr>
    </w:p>
    <w:p w14:paraId="6B99B1F6">
      <w:pPr>
        <w:spacing w:line="600" w:lineRule="exact"/>
        <w:ind w:firstLine="640" w:firstLineChars="200"/>
        <w:rPr>
          <w:rFonts w:hint="eastAsia" w:ascii="仿宋" w:hAnsi="仿宋" w:eastAsia="仿宋"/>
          <w:sz w:val="32"/>
          <w:szCs w:val="32"/>
        </w:rPr>
      </w:pPr>
    </w:p>
    <w:p w14:paraId="4215BC62">
      <w:pPr>
        <w:spacing w:line="600" w:lineRule="exact"/>
        <w:rPr>
          <w:rFonts w:ascii="仿宋" w:hAnsi="仿宋" w:eastAsia="仿宋"/>
          <w:sz w:val="32"/>
          <w:szCs w:val="32"/>
        </w:rPr>
      </w:pPr>
      <w:r>
        <w:rPr>
          <w:rFonts w:hint="eastAsia" w:ascii="仿宋" w:hAnsi="仿宋" w:eastAsia="仿宋"/>
          <w:sz w:val="32"/>
          <w:szCs w:val="32"/>
        </w:rPr>
        <w:t>（图6：一般公共预算财政拨款支出决算结构）（饼状图）</w:t>
      </w:r>
    </w:p>
    <w:p w14:paraId="60A3EA3A">
      <w:pPr>
        <w:spacing w:line="600" w:lineRule="exact"/>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drawing>
          <wp:anchor distT="0" distB="0" distL="114300" distR="114300" simplePos="0" relativeHeight="251665408" behindDoc="0" locked="0" layoutInCell="1" allowOverlap="1">
            <wp:simplePos x="0" y="0"/>
            <wp:positionH relativeFrom="column">
              <wp:posOffset>38735</wp:posOffset>
            </wp:positionH>
            <wp:positionV relativeFrom="paragraph">
              <wp:posOffset>163195</wp:posOffset>
            </wp:positionV>
            <wp:extent cx="5256530" cy="2988310"/>
            <wp:effectExtent l="5080" t="4445" r="15240" b="17145"/>
            <wp:wrapSquare wrapText="bothSides"/>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135FA133">
      <w:pPr>
        <w:spacing w:line="600" w:lineRule="exact"/>
        <w:ind w:firstLine="643" w:firstLineChars="200"/>
        <w:outlineLvl w:val="2"/>
        <w:rPr>
          <w:rFonts w:ascii="仿宋" w:hAnsi="仿宋" w:eastAsia="仿宋"/>
          <w:b/>
          <w:sz w:val="32"/>
          <w:szCs w:val="32"/>
        </w:rPr>
      </w:pPr>
      <w:bookmarkStart w:id="30" w:name="_Toc15377212"/>
      <w:r>
        <w:rPr>
          <w:rFonts w:hint="eastAsia" w:ascii="仿宋" w:hAnsi="仿宋" w:eastAsia="仿宋"/>
          <w:b/>
          <w:sz w:val="32"/>
          <w:szCs w:val="32"/>
        </w:rPr>
        <w:t>（三）一般公共预算财政拨款支出决算具体情况</w:t>
      </w:r>
      <w:bookmarkEnd w:id="30"/>
    </w:p>
    <w:p w14:paraId="6BA9E3BD">
      <w:pPr>
        <w:spacing w:line="600" w:lineRule="exact"/>
        <w:ind w:firstLine="643" w:firstLineChars="200"/>
        <w:outlineLvl w:val="2"/>
        <w:rPr>
          <w:rFonts w:ascii="仿宋" w:hAnsi="仿宋" w:eastAsia="仿宋"/>
          <w:sz w:val="32"/>
          <w:szCs w:val="32"/>
        </w:rPr>
      </w:pPr>
      <w:bookmarkStart w:id="31" w:name="_Toc15377444"/>
      <w:bookmarkStart w:id="32" w:name="_Toc15378460"/>
      <w:bookmarkStart w:id="33" w:name="_Toc15377213"/>
      <w:r>
        <w:rPr>
          <w:rFonts w:hint="eastAsia" w:ascii="仿宋" w:hAnsi="仿宋" w:eastAsia="仿宋"/>
          <w:b/>
          <w:sz w:val="32"/>
          <w:szCs w:val="32"/>
        </w:rPr>
        <w:t>2023年度一般公共预算支出决算数为</w:t>
      </w:r>
      <w:r>
        <w:rPr>
          <w:sz w:val="32"/>
          <w:szCs w:val="32"/>
        </w:rPr>
        <w:t>713.05</w:t>
      </w:r>
      <w:r>
        <w:rPr>
          <w:rFonts w:hint="eastAsia" w:ascii="仿宋" w:hAnsi="仿宋" w:eastAsia="仿宋"/>
          <w:sz w:val="32"/>
          <w:szCs w:val="32"/>
        </w:rPr>
        <w:t>，</w:t>
      </w:r>
      <w:r>
        <w:rPr>
          <w:rStyle w:val="19"/>
          <w:rFonts w:hint="eastAsia" w:ascii="仿宋" w:hAnsi="仿宋" w:eastAsia="仿宋"/>
          <w:bCs/>
          <w:sz w:val="32"/>
          <w:szCs w:val="32"/>
        </w:rPr>
        <w:t>完成预算100</w:t>
      </w:r>
      <w:r>
        <w:rPr>
          <w:rStyle w:val="19"/>
          <w:rFonts w:ascii="仿宋" w:hAnsi="仿宋" w:eastAsia="仿宋"/>
          <w:bCs/>
          <w:sz w:val="32"/>
          <w:szCs w:val="32"/>
        </w:rPr>
        <w:t>%</w:t>
      </w:r>
      <w:r>
        <w:rPr>
          <w:rStyle w:val="19"/>
          <w:rFonts w:hint="eastAsia" w:ascii="仿宋" w:hAnsi="仿宋" w:eastAsia="仿宋"/>
          <w:bCs/>
          <w:sz w:val="32"/>
          <w:szCs w:val="32"/>
        </w:rPr>
        <w:t>。其中：</w:t>
      </w:r>
      <w:bookmarkEnd w:id="31"/>
      <w:bookmarkEnd w:id="32"/>
      <w:bookmarkEnd w:id="33"/>
    </w:p>
    <w:p w14:paraId="60ED512E">
      <w:pPr>
        <w:tabs>
          <w:tab w:val="left" w:pos="312"/>
        </w:tabs>
        <w:spacing w:line="600" w:lineRule="exact"/>
        <w:ind w:firstLine="643" w:firstLineChars="200"/>
        <w:rPr>
          <w:rStyle w:val="19"/>
          <w:rFonts w:ascii="仿宋" w:hAnsi="仿宋" w:eastAsia="仿宋"/>
          <w:b w:val="0"/>
          <w:bCs/>
          <w:sz w:val="32"/>
          <w:szCs w:val="32"/>
        </w:rPr>
      </w:pPr>
      <w:r>
        <w:rPr>
          <w:rStyle w:val="19"/>
          <w:rFonts w:hint="eastAsia" w:ascii="仿宋" w:hAnsi="仿宋" w:eastAsia="仿宋"/>
          <w:bCs/>
          <w:sz w:val="32"/>
          <w:szCs w:val="32"/>
        </w:rPr>
        <w:t>1.一般公共服务（类）政府办公厅（室）及相关机构事务（款）行政运行（项）</w:t>
      </w:r>
      <w:r>
        <w:rPr>
          <w:rStyle w:val="19"/>
          <w:rFonts w:hint="eastAsia" w:ascii="仿宋" w:hAnsi="仿宋" w:eastAsia="仿宋"/>
          <w:bCs/>
          <w:sz w:val="32"/>
          <w:szCs w:val="32"/>
          <w:lang w:eastAsia="zh-CN"/>
        </w:rPr>
        <w:t>：</w:t>
      </w:r>
      <w:r>
        <w:rPr>
          <w:rStyle w:val="19"/>
          <w:rFonts w:ascii="仿宋" w:hAnsi="仿宋" w:eastAsia="仿宋"/>
          <w:b w:val="0"/>
          <w:bCs/>
          <w:sz w:val="32"/>
          <w:szCs w:val="32"/>
        </w:rPr>
        <w:t xml:space="preserve"> </w:t>
      </w:r>
      <w:r>
        <w:rPr>
          <w:rStyle w:val="19"/>
          <w:rFonts w:hint="eastAsia" w:ascii="仿宋" w:hAnsi="仿宋" w:eastAsia="仿宋"/>
          <w:b w:val="0"/>
          <w:bCs/>
          <w:sz w:val="32"/>
          <w:szCs w:val="32"/>
        </w:rPr>
        <w:t>支出决算为321.83万元，完成预算100</w:t>
      </w:r>
      <w:r>
        <w:rPr>
          <w:rStyle w:val="19"/>
          <w:rFonts w:ascii="仿宋" w:hAnsi="仿宋" w:eastAsia="仿宋"/>
          <w:b w:val="0"/>
          <w:bCs/>
          <w:sz w:val="32"/>
          <w:szCs w:val="32"/>
        </w:rPr>
        <w:t>%</w:t>
      </w:r>
      <w:r>
        <w:rPr>
          <w:rStyle w:val="19"/>
          <w:rFonts w:hint="eastAsia" w:ascii="仿宋" w:hAnsi="仿宋" w:eastAsia="仿宋"/>
          <w:b w:val="0"/>
          <w:bCs/>
          <w:sz w:val="32"/>
          <w:szCs w:val="32"/>
        </w:rPr>
        <w:t>，决算数与预算数持平。</w:t>
      </w:r>
    </w:p>
    <w:p w14:paraId="6C5EFAB2">
      <w:pPr>
        <w:spacing w:line="600" w:lineRule="exact"/>
        <w:ind w:firstLine="643" w:firstLineChars="200"/>
        <w:rPr>
          <w:rStyle w:val="19"/>
          <w:rFonts w:ascii="仿宋" w:hAnsi="仿宋" w:eastAsia="仿宋"/>
          <w:b w:val="0"/>
          <w:bCs/>
          <w:sz w:val="32"/>
          <w:szCs w:val="32"/>
        </w:rPr>
      </w:pPr>
      <w:r>
        <w:rPr>
          <w:rStyle w:val="19"/>
          <w:rFonts w:hint="eastAsia" w:ascii="仿宋" w:hAnsi="仿宋" w:eastAsia="仿宋"/>
          <w:bCs/>
          <w:sz w:val="32"/>
          <w:szCs w:val="32"/>
        </w:rPr>
        <w:t>2.一般公共服务（类）政府办公厅（室）及相关机构事务（款）事业运行（项）</w:t>
      </w:r>
      <w:r>
        <w:rPr>
          <w:rStyle w:val="19"/>
          <w:rFonts w:hint="eastAsia" w:ascii="仿宋" w:hAnsi="仿宋" w:eastAsia="仿宋"/>
          <w:bCs/>
          <w:sz w:val="32"/>
          <w:szCs w:val="32"/>
          <w:lang w:eastAsia="zh-CN"/>
        </w:rPr>
        <w:t>：</w:t>
      </w:r>
      <w:r>
        <w:rPr>
          <w:rStyle w:val="19"/>
          <w:rFonts w:ascii="仿宋" w:hAnsi="仿宋" w:eastAsia="仿宋"/>
          <w:b w:val="0"/>
          <w:bCs/>
          <w:sz w:val="32"/>
          <w:szCs w:val="32"/>
        </w:rPr>
        <w:t xml:space="preserve"> </w:t>
      </w:r>
      <w:r>
        <w:rPr>
          <w:rStyle w:val="19"/>
          <w:rFonts w:hint="eastAsia" w:ascii="仿宋" w:hAnsi="仿宋" w:eastAsia="仿宋"/>
          <w:b w:val="0"/>
          <w:bCs/>
          <w:sz w:val="32"/>
          <w:szCs w:val="32"/>
        </w:rPr>
        <w:t>支出决算为87.76万元，完成预算100</w:t>
      </w:r>
      <w:r>
        <w:rPr>
          <w:rStyle w:val="19"/>
          <w:rFonts w:ascii="仿宋" w:hAnsi="仿宋" w:eastAsia="仿宋"/>
          <w:b w:val="0"/>
          <w:bCs/>
          <w:sz w:val="32"/>
          <w:szCs w:val="32"/>
        </w:rPr>
        <w:t>%</w:t>
      </w:r>
      <w:r>
        <w:rPr>
          <w:rStyle w:val="19"/>
          <w:rFonts w:hint="eastAsia" w:ascii="仿宋" w:hAnsi="仿宋" w:eastAsia="仿宋"/>
          <w:b w:val="0"/>
          <w:bCs/>
          <w:sz w:val="32"/>
          <w:szCs w:val="32"/>
        </w:rPr>
        <w:t>，决算数与预算数持平。</w:t>
      </w:r>
    </w:p>
    <w:p w14:paraId="476234B1">
      <w:pPr>
        <w:spacing w:line="600" w:lineRule="exact"/>
        <w:ind w:firstLine="643" w:firstLineChars="200"/>
        <w:rPr>
          <w:rStyle w:val="19"/>
          <w:rFonts w:ascii="仿宋" w:hAnsi="仿宋" w:eastAsia="仿宋"/>
          <w:b w:val="0"/>
          <w:bCs/>
          <w:sz w:val="32"/>
          <w:szCs w:val="32"/>
        </w:rPr>
      </w:pPr>
      <w:r>
        <w:rPr>
          <w:rStyle w:val="19"/>
          <w:rFonts w:hint="eastAsia" w:ascii="仿宋" w:hAnsi="仿宋" w:eastAsia="仿宋"/>
          <w:bCs/>
          <w:sz w:val="32"/>
          <w:szCs w:val="32"/>
        </w:rPr>
        <w:t>3</w:t>
      </w:r>
      <w:r>
        <w:rPr>
          <w:rStyle w:val="19"/>
          <w:rFonts w:ascii="仿宋" w:hAnsi="仿宋" w:eastAsia="仿宋"/>
          <w:bCs/>
          <w:sz w:val="32"/>
          <w:szCs w:val="32"/>
        </w:rPr>
        <w:t xml:space="preserve">. </w:t>
      </w:r>
      <w:r>
        <w:rPr>
          <w:rFonts w:hint="eastAsia" w:ascii="仿宋" w:hAnsi="仿宋" w:eastAsia="仿宋"/>
          <w:b/>
          <w:sz w:val="32"/>
          <w:szCs w:val="32"/>
        </w:rPr>
        <w:t>社会保障和就业</w:t>
      </w:r>
      <w:r>
        <w:rPr>
          <w:rFonts w:hint="eastAsia" w:ascii="仿宋" w:hAnsi="仿宋" w:eastAsia="仿宋"/>
          <w:b/>
          <w:bCs/>
          <w:sz w:val="32"/>
          <w:szCs w:val="32"/>
        </w:rPr>
        <w:t>支出</w:t>
      </w:r>
      <w:r>
        <w:rPr>
          <w:rStyle w:val="19"/>
          <w:rFonts w:hint="eastAsia" w:ascii="仿宋" w:hAnsi="仿宋" w:eastAsia="仿宋"/>
          <w:bCs/>
          <w:sz w:val="32"/>
          <w:szCs w:val="32"/>
        </w:rPr>
        <w:t>（类）行政事业单位养老支出（款）  机关事业单位基本养老保险缴费支出（项）</w:t>
      </w:r>
      <w:r>
        <w:rPr>
          <w:rStyle w:val="19"/>
          <w:rFonts w:hint="eastAsia" w:ascii="仿宋" w:hAnsi="仿宋" w:eastAsia="仿宋"/>
          <w:bCs/>
          <w:sz w:val="32"/>
          <w:szCs w:val="32"/>
          <w:lang w:eastAsia="zh-CN"/>
        </w:rPr>
        <w:t>：</w:t>
      </w:r>
      <w:r>
        <w:rPr>
          <w:rStyle w:val="19"/>
          <w:rFonts w:ascii="仿宋" w:hAnsi="仿宋" w:eastAsia="仿宋"/>
          <w:b w:val="0"/>
          <w:bCs/>
          <w:sz w:val="32"/>
          <w:szCs w:val="32"/>
        </w:rPr>
        <w:t xml:space="preserve"> </w:t>
      </w:r>
      <w:r>
        <w:rPr>
          <w:rStyle w:val="19"/>
          <w:rFonts w:hint="eastAsia" w:ascii="仿宋" w:hAnsi="仿宋" w:eastAsia="仿宋"/>
          <w:b w:val="0"/>
          <w:bCs/>
          <w:sz w:val="32"/>
          <w:szCs w:val="32"/>
        </w:rPr>
        <w:t>支出决算为37.87万元，完成预算100</w:t>
      </w:r>
      <w:r>
        <w:rPr>
          <w:rStyle w:val="19"/>
          <w:rFonts w:ascii="仿宋" w:hAnsi="仿宋" w:eastAsia="仿宋"/>
          <w:b w:val="0"/>
          <w:bCs/>
          <w:sz w:val="32"/>
          <w:szCs w:val="32"/>
        </w:rPr>
        <w:t>%</w:t>
      </w:r>
      <w:r>
        <w:rPr>
          <w:rStyle w:val="19"/>
          <w:rFonts w:hint="eastAsia" w:ascii="仿宋" w:hAnsi="仿宋" w:eastAsia="仿宋"/>
          <w:b w:val="0"/>
          <w:bCs/>
          <w:sz w:val="32"/>
          <w:szCs w:val="32"/>
        </w:rPr>
        <w:t>，决算数与预算数持平。</w:t>
      </w:r>
    </w:p>
    <w:p w14:paraId="1D457D33">
      <w:pPr>
        <w:spacing w:line="600" w:lineRule="exact"/>
        <w:ind w:firstLine="643" w:firstLineChars="200"/>
        <w:rPr>
          <w:rStyle w:val="19"/>
          <w:rFonts w:ascii="仿宋" w:hAnsi="仿宋" w:eastAsia="仿宋"/>
          <w:b w:val="0"/>
          <w:bCs/>
          <w:sz w:val="32"/>
          <w:szCs w:val="32"/>
        </w:rPr>
      </w:pPr>
      <w:r>
        <w:rPr>
          <w:rFonts w:hint="eastAsia" w:ascii="仿宋" w:hAnsi="仿宋" w:eastAsia="仿宋"/>
          <w:b/>
          <w:sz w:val="32"/>
          <w:szCs w:val="32"/>
        </w:rPr>
        <w:t>4.社会保障和就业</w:t>
      </w:r>
      <w:r>
        <w:rPr>
          <w:rFonts w:hint="eastAsia" w:ascii="仿宋" w:hAnsi="仿宋" w:eastAsia="仿宋"/>
          <w:b/>
          <w:bCs/>
          <w:sz w:val="32"/>
          <w:szCs w:val="32"/>
        </w:rPr>
        <w:t>支出</w:t>
      </w:r>
      <w:r>
        <w:rPr>
          <w:rStyle w:val="19"/>
          <w:rFonts w:hint="eastAsia" w:ascii="仿宋" w:hAnsi="仿宋" w:eastAsia="仿宋"/>
          <w:bCs/>
          <w:sz w:val="32"/>
          <w:szCs w:val="32"/>
        </w:rPr>
        <w:t>（类）行政事业单位养老支出（款）    机关事业单位职业年金缴费支出（项）</w:t>
      </w:r>
      <w:r>
        <w:rPr>
          <w:rStyle w:val="19"/>
          <w:rFonts w:hint="eastAsia" w:ascii="仿宋" w:hAnsi="仿宋" w:eastAsia="仿宋"/>
          <w:bCs/>
          <w:sz w:val="32"/>
          <w:szCs w:val="32"/>
          <w:lang w:eastAsia="zh-CN"/>
        </w:rPr>
        <w:t>：</w:t>
      </w:r>
      <w:r>
        <w:rPr>
          <w:rStyle w:val="19"/>
          <w:rFonts w:ascii="仿宋" w:hAnsi="仿宋" w:eastAsia="仿宋"/>
          <w:b w:val="0"/>
          <w:bCs/>
          <w:sz w:val="32"/>
          <w:szCs w:val="32"/>
        </w:rPr>
        <w:t xml:space="preserve"> </w:t>
      </w:r>
      <w:r>
        <w:rPr>
          <w:rStyle w:val="19"/>
          <w:rFonts w:hint="eastAsia" w:ascii="仿宋" w:hAnsi="仿宋" w:eastAsia="仿宋"/>
          <w:b w:val="0"/>
          <w:bCs/>
          <w:sz w:val="32"/>
          <w:szCs w:val="32"/>
        </w:rPr>
        <w:t>支出决算为15.09万元，完成预算100</w:t>
      </w:r>
      <w:r>
        <w:rPr>
          <w:rStyle w:val="19"/>
          <w:rFonts w:ascii="仿宋" w:hAnsi="仿宋" w:eastAsia="仿宋"/>
          <w:b w:val="0"/>
          <w:bCs/>
          <w:sz w:val="32"/>
          <w:szCs w:val="32"/>
        </w:rPr>
        <w:t>%</w:t>
      </w:r>
      <w:r>
        <w:rPr>
          <w:rStyle w:val="19"/>
          <w:rFonts w:hint="eastAsia" w:ascii="仿宋" w:hAnsi="仿宋" w:eastAsia="仿宋"/>
          <w:b w:val="0"/>
          <w:bCs/>
          <w:sz w:val="32"/>
          <w:szCs w:val="32"/>
        </w:rPr>
        <w:t>，决算数与预算数持平。</w:t>
      </w:r>
    </w:p>
    <w:p w14:paraId="0AA10CED">
      <w:pPr>
        <w:spacing w:line="600" w:lineRule="exact"/>
        <w:ind w:firstLine="643" w:firstLineChars="200"/>
        <w:rPr>
          <w:rStyle w:val="19"/>
          <w:rFonts w:ascii="仿宋" w:hAnsi="仿宋" w:eastAsia="仿宋"/>
          <w:b w:val="0"/>
          <w:bCs/>
          <w:sz w:val="32"/>
          <w:szCs w:val="32"/>
        </w:rPr>
      </w:pPr>
      <w:r>
        <w:rPr>
          <w:rFonts w:hint="eastAsia" w:ascii="仿宋" w:hAnsi="仿宋" w:eastAsia="仿宋"/>
          <w:b/>
          <w:sz w:val="32"/>
          <w:szCs w:val="32"/>
        </w:rPr>
        <w:t>5.社会保障和就业</w:t>
      </w:r>
      <w:r>
        <w:rPr>
          <w:rFonts w:hint="eastAsia" w:ascii="仿宋" w:hAnsi="仿宋" w:eastAsia="仿宋"/>
          <w:b/>
          <w:bCs/>
          <w:sz w:val="32"/>
          <w:szCs w:val="32"/>
        </w:rPr>
        <w:t>支出</w:t>
      </w:r>
      <w:r>
        <w:rPr>
          <w:rStyle w:val="19"/>
          <w:rFonts w:hint="eastAsia" w:ascii="仿宋" w:hAnsi="仿宋" w:eastAsia="仿宋"/>
          <w:bCs/>
          <w:sz w:val="32"/>
          <w:szCs w:val="32"/>
        </w:rPr>
        <w:t>（类）其他社会保障和就业支出（款）其他社会保障和就业支出（项）</w:t>
      </w:r>
      <w:r>
        <w:rPr>
          <w:rStyle w:val="19"/>
          <w:rFonts w:hint="eastAsia" w:ascii="仿宋" w:hAnsi="仿宋" w:eastAsia="仿宋"/>
          <w:bCs/>
          <w:sz w:val="32"/>
          <w:szCs w:val="32"/>
          <w:lang w:eastAsia="zh-CN"/>
        </w:rPr>
        <w:t>：</w:t>
      </w:r>
      <w:r>
        <w:rPr>
          <w:rStyle w:val="19"/>
          <w:rFonts w:ascii="仿宋" w:hAnsi="仿宋" w:eastAsia="仿宋"/>
          <w:b w:val="0"/>
          <w:bCs/>
          <w:sz w:val="32"/>
          <w:szCs w:val="32"/>
        </w:rPr>
        <w:t xml:space="preserve"> </w:t>
      </w:r>
      <w:r>
        <w:rPr>
          <w:rStyle w:val="19"/>
          <w:rFonts w:hint="eastAsia" w:ascii="仿宋" w:hAnsi="仿宋" w:eastAsia="仿宋"/>
          <w:b w:val="0"/>
          <w:bCs/>
          <w:sz w:val="32"/>
          <w:szCs w:val="32"/>
        </w:rPr>
        <w:t>支出决算为5.25万元，完成预算100</w:t>
      </w:r>
      <w:r>
        <w:rPr>
          <w:rStyle w:val="19"/>
          <w:rFonts w:ascii="仿宋" w:hAnsi="仿宋" w:eastAsia="仿宋"/>
          <w:b w:val="0"/>
          <w:bCs/>
          <w:sz w:val="32"/>
          <w:szCs w:val="32"/>
        </w:rPr>
        <w:t>%</w:t>
      </w:r>
      <w:r>
        <w:rPr>
          <w:rStyle w:val="19"/>
          <w:rFonts w:hint="eastAsia" w:ascii="仿宋" w:hAnsi="仿宋" w:eastAsia="仿宋"/>
          <w:b w:val="0"/>
          <w:bCs/>
          <w:sz w:val="32"/>
          <w:szCs w:val="32"/>
        </w:rPr>
        <w:t>，决算数与预算数持平。</w:t>
      </w:r>
    </w:p>
    <w:p w14:paraId="4387A565">
      <w:pPr>
        <w:spacing w:line="600" w:lineRule="exact"/>
        <w:ind w:firstLine="643" w:firstLineChars="200"/>
        <w:rPr>
          <w:rStyle w:val="19"/>
          <w:rFonts w:ascii="仿宋" w:hAnsi="仿宋" w:eastAsia="仿宋"/>
          <w:b w:val="0"/>
          <w:bCs/>
          <w:sz w:val="32"/>
          <w:szCs w:val="32"/>
        </w:rPr>
      </w:pPr>
      <w:r>
        <w:rPr>
          <w:rFonts w:hint="eastAsia" w:ascii="仿宋" w:hAnsi="仿宋" w:eastAsia="仿宋"/>
          <w:b/>
          <w:bCs/>
          <w:sz w:val="32"/>
          <w:szCs w:val="32"/>
        </w:rPr>
        <w:t>6.卫生健康支出</w:t>
      </w:r>
      <w:r>
        <w:rPr>
          <w:rStyle w:val="19"/>
          <w:rFonts w:hint="eastAsia" w:ascii="仿宋" w:hAnsi="仿宋" w:eastAsia="仿宋"/>
          <w:bCs/>
          <w:sz w:val="32"/>
          <w:szCs w:val="32"/>
        </w:rPr>
        <w:t>（类）</w:t>
      </w:r>
      <w:r>
        <w:rPr>
          <w:rFonts w:hint="eastAsia" w:ascii="仿宋" w:hAnsi="仿宋" w:eastAsia="仿宋"/>
          <w:b/>
          <w:bCs/>
          <w:sz w:val="32"/>
          <w:szCs w:val="32"/>
        </w:rPr>
        <w:t>行政事业单位医疗</w:t>
      </w:r>
      <w:r>
        <w:rPr>
          <w:rStyle w:val="19"/>
          <w:rFonts w:hint="eastAsia" w:ascii="仿宋" w:hAnsi="仿宋" w:eastAsia="仿宋"/>
          <w:bCs/>
          <w:sz w:val="32"/>
          <w:szCs w:val="32"/>
        </w:rPr>
        <w:t>（款）</w:t>
      </w:r>
      <w:r>
        <w:rPr>
          <w:rFonts w:hint="eastAsia" w:ascii="仿宋" w:hAnsi="仿宋" w:eastAsia="仿宋" w:cs="宋体"/>
          <w:b/>
          <w:bCs/>
          <w:color w:val="000000" w:themeColor="text1"/>
          <w:kern w:val="0"/>
          <w:sz w:val="32"/>
          <w:szCs w:val="32"/>
          <w14:textFill>
            <w14:solidFill>
              <w14:schemeClr w14:val="tx1"/>
            </w14:solidFill>
          </w14:textFill>
        </w:rPr>
        <w:t>行政单位医疗</w:t>
      </w:r>
      <w:r>
        <w:rPr>
          <w:rStyle w:val="19"/>
          <w:rFonts w:hint="eastAsia" w:ascii="仿宋" w:hAnsi="仿宋" w:eastAsia="仿宋"/>
          <w:bCs/>
          <w:sz w:val="32"/>
          <w:szCs w:val="32"/>
        </w:rPr>
        <w:t>（项）</w:t>
      </w:r>
      <w:r>
        <w:rPr>
          <w:rStyle w:val="19"/>
          <w:rFonts w:hint="eastAsia" w:ascii="仿宋" w:hAnsi="仿宋" w:eastAsia="仿宋"/>
          <w:bCs/>
          <w:sz w:val="32"/>
          <w:szCs w:val="32"/>
          <w:lang w:eastAsia="zh-CN"/>
        </w:rPr>
        <w:t>：</w:t>
      </w:r>
      <w:r>
        <w:rPr>
          <w:rStyle w:val="19"/>
          <w:rFonts w:ascii="仿宋" w:hAnsi="仿宋" w:eastAsia="仿宋"/>
          <w:b w:val="0"/>
          <w:bCs/>
          <w:sz w:val="32"/>
          <w:szCs w:val="32"/>
        </w:rPr>
        <w:t xml:space="preserve"> </w:t>
      </w:r>
      <w:r>
        <w:rPr>
          <w:rStyle w:val="19"/>
          <w:rFonts w:hint="eastAsia" w:ascii="仿宋" w:hAnsi="仿宋" w:eastAsia="仿宋"/>
          <w:b w:val="0"/>
          <w:bCs/>
          <w:sz w:val="32"/>
          <w:szCs w:val="32"/>
        </w:rPr>
        <w:t>支出决算为9.06万元，完成预算100</w:t>
      </w:r>
      <w:r>
        <w:rPr>
          <w:rStyle w:val="19"/>
          <w:rFonts w:ascii="仿宋" w:hAnsi="仿宋" w:eastAsia="仿宋"/>
          <w:b w:val="0"/>
          <w:bCs/>
          <w:sz w:val="32"/>
          <w:szCs w:val="32"/>
        </w:rPr>
        <w:t>%</w:t>
      </w:r>
      <w:r>
        <w:rPr>
          <w:rStyle w:val="19"/>
          <w:rFonts w:hint="eastAsia" w:ascii="仿宋" w:hAnsi="仿宋" w:eastAsia="仿宋"/>
          <w:b w:val="0"/>
          <w:bCs/>
          <w:sz w:val="32"/>
          <w:szCs w:val="32"/>
        </w:rPr>
        <w:t>，决算数与预算数持平。</w:t>
      </w:r>
    </w:p>
    <w:p w14:paraId="3F4F57BE">
      <w:pPr>
        <w:spacing w:line="600" w:lineRule="exact"/>
        <w:ind w:firstLine="643" w:firstLineChars="200"/>
        <w:rPr>
          <w:rStyle w:val="19"/>
          <w:rFonts w:ascii="仿宋" w:hAnsi="仿宋" w:eastAsia="仿宋"/>
          <w:b w:val="0"/>
          <w:bCs/>
          <w:sz w:val="32"/>
          <w:szCs w:val="32"/>
        </w:rPr>
      </w:pPr>
      <w:r>
        <w:rPr>
          <w:rFonts w:hint="eastAsia" w:ascii="仿宋" w:hAnsi="仿宋" w:eastAsia="仿宋"/>
          <w:b/>
          <w:bCs/>
          <w:sz w:val="32"/>
          <w:szCs w:val="32"/>
        </w:rPr>
        <w:t>7.卫生健康支出</w:t>
      </w:r>
      <w:r>
        <w:rPr>
          <w:rStyle w:val="19"/>
          <w:rFonts w:hint="eastAsia" w:ascii="仿宋" w:hAnsi="仿宋" w:eastAsia="仿宋"/>
          <w:bCs/>
          <w:sz w:val="32"/>
          <w:szCs w:val="32"/>
        </w:rPr>
        <w:t>（类）</w:t>
      </w:r>
      <w:r>
        <w:rPr>
          <w:rFonts w:hint="eastAsia" w:ascii="仿宋" w:hAnsi="仿宋" w:eastAsia="仿宋"/>
          <w:b/>
          <w:bCs/>
          <w:sz w:val="32"/>
          <w:szCs w:val="32"/>
        </w:rPr>
        <w:t>行政事业单位医疗</w:t>
      </w:r>
      <w:r>
        <w:rPr>
          <w:rStyle w:val="19"/>
          <w:rFonts w:hint="eastAsia" w:ascii="仿宋" w:hAnsi="仿宋" w:eastAsia="仿宋"/>
          <w:bCs/>
          <w:sz w:val="32"/>
          <w:szCs w:val="32"/>
        </w:rPr>
        <w:t>（款）</w:t>
      </w:r>
      <w:r>
        <w:rPr>
          <w:rFonts w:hint="eastAsia" w:ascii="仿宋" w:hAnsi="仿宋" w:eastAsia="仿宋" w:cs="宋体"/>
          <w:b/>
          <w:bCs/>
          <w:color w:val="000000" w:themeColor="text1"/>
          <w:kern w:val="0"/>
          <w:sz w:val="32"/>
          <w:szCs w:val="32"/>
          <w14:textFill>
            <w14:solidFill>
              <w14:schemeClr w14:val="tx1"/>
            </w14:solidFill>
          </w14:textFill>
        </w:rPr>
        <w:t>公务员医疗补助</w:t>
      </w:r>
      <w:r>
        <w:rPr>
          <w:rStyle w:val="19"/>
          <w:rFonts w:hint="eastAsia" w:ascii="仿宋" w:hAnsi="仿宋" w:eastAsia="仿宋"/>
          <w:bCs/>
          <w:sz w:val="32"/>
          <w:szCs w:val="32"/>
        </w:rPr>
        <w:t>（项）</w:t>
      </w:r>
      <w:r>
        <w:rPr>
          <w:rStyle w:val="19"/>
          <w:rFonts w:hint="eastAsia" w:ascii="仿宋" w:hAnsi="仿宋" w:eastAsia="仿宋"/>
          <w:bCs/>
          <w:sz w:val="32"/>
          <w:szCs w:val="32"/>
          <w:lang w:eastAsia="zh-CN"/>
        </w:rPr>
        <w:t>：</w:t>
      </w:r>
      <w:r>
        <w:rPr>
          <w:rStyle w:val="19"/>
          <w:rFonts w:ascii="仿宋" w:hAnsi="仿宋" w:eastAsia="仿宋"/>
          <w:b w:val="0"/>
          <w:bCs/>
          <w:sz w:val="32"/>
          <w:szCs w:val="32"/>
        </w:rPr>
        <w:t xml:space="preserve"> </w:t>
      </w:r>
      <w:r>
        <w:rPr>
          <w:rStyle w:val="19"/>
          <w:rFonts w:hint="eastAsia" w:ascii="仿宋" w:hAnsi="仿宋" w:eastAsia="仿宋"/>
          <w:b w:val="0"/>
          <w:bCs/>
          <w:sz w:val="32"/>
          <w:szCs w:val="32"/>
        </w:rPr>
        <w:t>支出决算为1.62万元，完成预算100</w:t>
      </w:r>
      <w:r>
        <w:rPr>
          <w:rStyle w:val="19"/>
          <w:rFonts w:ascii="仿宋" w:hAnsi="仿宋" w:eastAsia="仿宋"/>
          <w:b w:val="0"/>
          <w:bCs/>
          <w:sz w:val="32"/>
          <w:szCs w:val="32"/>
        </w:rPr>
        <w:t>%</w:t>
      </w:r>
      <w:r>
        <w:rPr>
          <w:rStyle w:val="19"/>
          <w:rFonts w:hint="eastAsia" w:ascii="仿宋" w:hAnsi="仿宋" w:eastAsia="仿宋"/>
          <w:b w:val="0"/>
          <w:bCs/>
          <w:sz w:val="32"/>
          <w:szCs w:val="32"/>
        </w:rPr>
        <w:t>，决算数与预算数持平。</w:t>
      </w:r>
    </w:p>
    <w:p w14:paraId="54CD0860">
      <w:pPr>
        <w:pStyle w:val="22"/>
        <w:ind w:firstLine="643" w:firstLineChars="200"/>
        <w:jc w:val="both"/>
        <w:rPr>
          <w:rStyle w:val="19"/>
          <w:rFonts w:ascii="仿宋" w:hAnsi="仿宋" w:eastAsia="仿宋"/>
          <w:b w:val="0"/>
          <w:bCs/>
          <w:sz w:val="32"/>
          <w:szCs w:val="32"/>
        </w:rPr>
      </w:pPr>
      <w:r>
        <w:rPr>
          <w:rStyle w:val="19"/>
          <w:rFonts w:hint="eastAsia" w:ascii="仿宋" w:hAnsi="仿宋" w:eastAsia="仿宋"/>
          <w:b/>
          <w:bCs/>
          <w:sz w:val="32"/>
          <w:szCs w:val="32"/>
        </w:rPr>
        <w:t>8.农林水支出（类）农业农村（款）行政运行（项）</w:t>
      </w:r>
      <w:r>
        <w:rPr>
          <w:rStyle w:val="19"/>
          <w:rFonts w:hint="eastAsia" w:ascii="仿宋" w:hAnsi="仿宋" w:eastAsia="仿宋"/>
          <w:b/>
          <w:bCs/>
          <w:sz w:val="32"/>
          <w:szCs w:val="32"/>
          <w:lang w:eastAsia="zh-CN"/>
        </w:rPr>
        <w:t>：</w:t>
      </w:r>
      <w:r>
        <w:rPr>
          <w:rStyle w:val="19"/>
          <w:rFonts w:ascii="仿宋" w:hAnsi="仿宋" w:eastAsia="仿宋"/>
          <w:b w:val="0"/>
          <w:bCs/>
          <w:sz w:val="32"/>
          <w:szCs w:val="32"/>
        </w:rPr>
        <w:t xml:space="preserve"> </w:t>
      </w:r>
      <w:r>
        <w:rPr>
          <w:rStyle w:val="19"/>
          <w:rFonts w:hint="eastAsia" w:ascii="仿宋" w:hAnsi="仿宋" w:eastAsia="仿宋"/>
          <w:b w:val="0"/>
          <w:bCs/>
          <w:sz w:val="32"/>
          <w:szCs w:val="32"/>
        </w:rPr>
        <w:t>支出决算为1.39万元，完成预算100</w:t>
      </w:r>
      <w:r>
        <w:rPr>
          <w:rStyle w:val="19"/>
          <w:rFonts w:ascii="仿宋" w:hAnsi="仿宋" w:eastAsia="仿宋"/>
          <w:b w:val="0"/>
          <w:bCs/>
          <w:sz w:val="32"/>
          <w:szCs w:val="32"/>
        </w:rPr>
        <w:t>%</w:t>
      </w:r>
      <w:r>
        <w:rPr>
          <w:rStyle w:val="19"/>
          <w:rFonts w:hint="eastAsia" w:ascii="仿宋" w:hAnsi="仿宋" w:eastAsia="仿宋"/>
          <w:b w:val="0"/>
          <w:bCs/>
          <w:sz w:val="32"/>
          <w:szCs w:val="32"/>
        </w:rPr>
        <w:t>，决算数与预算数持平。</w:t>
      </w:r>
    </w:p>
    <w:p w14:paraId="7940A7E4">
      <w:pPr>
        <w:spacing w:line="600" w:lineRule="exact"/>
        <w:ind w:firstLine="643" w:firstLineChars="200"/>
        <w:rPr>
          <w:rStyle w:val="19"/>
          <w:rFonts w:ascii="仿宋" w:hAnsi="仿宋" w:eastAsia="仿宋"/>
          <w:b w:val="0"/>
          <w:bCs/>
          <w:sz w:val="32"/>
          <w:szCs w:val="32"/>
        </w:rPr>
      </w:pPr>
      <w:r>
        <w:rPr>
          <w:rStyle w:val="19"/>
          <w:rFonts w:hint="eastAsia" w:ascii="仿宋" w:hAnsi="仿宋" w:eastAsia="仿宋"/>
          <w:bCs/>
          <w:sz w:val="32"/>
          <w:szCs w:val="32"/>
        </w:rPr>
        <w:t>9.农业水支出（类）巩固脱贫衔接乡村振兴（款）一般行政管理事务（项）</w:t>
      </w:r>
      <w:r>
        <w:rPr>
          <w:rStyle w:val="19"/>
          <w:rFonts w:hint="eastAsia" w:ascii="仿宋" w:hAnsi="仿宋" w:eastAsia="仿宋"/>
          <w:bCs/>
          <w:sz w:val="32"/>
          <w:szCs w:val="32"/>
          <w:lang w:eastAsia="zh-CN"/>
        </w:rPr>
        <w:t>：</w:t>
      </w:r>
      <w:r>
        <w:rPr>
          <w:rStyle w:val="19"/>
          <w:rFonts w:ascii="仿宋" w:hAnsi="仿宋" w:eastAsia="仿宋"/>
          <w:b w:val="0"/>
          <w:bCs/>
          <w:sz w:val="32"/>
          <w:szCs w:val="32"/>
        </w:rPr>
        <w:t xml:space="preserve"> </w:t>
      </w:r>
      <w:r>
        <w:rPr>
          <w:rStyle w:val="19"/>
          <w:rFonts w:hint="eastAsia" w:ascii="仿宋" w:hAnsi="仿宋" w:eastAsia="仿宋"/>
          <w:b w:val="0"/>
          <w:bCs/>
          <w:sz w:val="32"/>
          <w:szCs w:val="32"/>
        </w:rPr>
        <w:t>支出决算为4.88万元，完成预算100</w:t>
      </w:r>
      <w:r>
        <w:rPr>
          <w:rStyle w:val="19"/>
          <w:rFonts w:ascii="仿宋" w:hAnsi="仿宋" w:eastAsia="仿宋"/>
          <w:b w:val="0"/>
          <w:bCs/>
          <w:sz w:val="32"/>
          <w:szCs w:val="32"/>
        </w:rPr>
        <w:t>%</w:t>
      </w:r>
      <w:r>
        <w:rPr>
          <w:rStyle w:val="19"/>
          <w:rFonts w:hint="eastAsia" w:ascii="仿宋" w:hAnsi="仿宋" w:eastAsia="仿宋"/>
          <w:b w:val="0"/>
          <w:bCs/>
          <w:sz w:val="32"/>
          <w:szCs w:val="32"/>
        </w:rPr>
        <w:t>，决算数与预算数持平。</w:t>
      </w:r>
    </w:p>
    <w:p w14:paraId="32492EEE">
      <w:pPr>
        <w:spacing w:line="600" w:lineRule="exact"/>
        <w:ind w:firstLine="643" w:firstLineChars="200"/>
        <w:rPr>
          <w:rStyle w:val="19"/>
          <w:rFonts w:ascii="仿宋" w:hAnsi="仿宋" w:eastAsia="仿宋"/>
          <w:b w:val="0"/>
          <w:bCs/>
          <w:sz w:val="32"/>
          <w:szCs w:val="32"/>
        </w:rPr>
      </w:pPr>
      <w:r>
        <w:rPr>
          <w:rStyle w:val="19"/>
          <w:rFonts w:hint="eastAsia" w:ascii="仿宋" w:hAnsi="仿宋" w:eastAsia="仿宋"/>
          <w:bCs/>
          <w:sz w:val="32"/>
          <w:szCs w:val="32"/>
        </w:rPr>
        <w:t>10.农业水支出（类）巩固脱贫衔接乡村振兴（款）</w:t>
      </w:r>
      <w:r>
        <w:rPr>
          <w:rFonts w:hint="eastAsia" w:ascii="仿宋" w:hAnsi="仿宋" w:eastAsia="仿宋"/>
          <w:b/>
          <w:bCs/>
          <w:sz w:val="32"/>
          <w:szCs w:val="32"/>
        </w:rPr>
        <w:t>农村基础设施建设</w:t>
      </w:r>
      <w:r>
        <w:rPr>
          <w:rStyle w:val="19"/>
          <w:rFonts w:hint="eastAsia" w:ascii="仿宋" w:hAnsi="仿宋" w:eastAsia="仿宋"/>
          <w:bCs/>
          <w:sz w:val="32"/>
          <w:szCs w:val="32"/>
        </w:rPr>
        <w:t>（项）</w:t>
      </w:r>
      <w:r>
        <w:rPr>
          <w:rStyle w:val="19"/>
          <w:rFonts w:hint="eastAsia" w:ascii="仿宋" w:hAnsi="仿宋" w:eastAsia="仿宋"/>
          <w:bCs/>
          <w:sz w:val="32"/>
          <w:szCs w:val="32"/>
          <w:lang w:eastAsia="zh-CN"/>
        </w:rPr>
        <w:t>：</w:t>
      </w:r>
      <w:r>
        <w:rPr>
          <w:rStyle w:val="19"/>
          <w:rFonts w:ascii="仿宋" w:hAnsi="仿宋" w:eastAsia="仿宋"/>
          <w:b w:val="0"/>
          <w:bCs/>
          <w:sz w:val="32"/>
          <w:szCs w:val="32"/>
        </w:rPr>
        <w:t xml:space="preserve"> </w:t>
      </w:r>
      <w:r>
        <w:rPr>
          <w:rStyle w:val="19"/>
          <w:rFonts w:hint="eastAsia" w:ascii="仿宋" w:hAnsi="仿宋" w:eastAsia="仿宋"/>
          <w:b w:val="0"/>
          <w:bCs/>
          <w:sz w:val="32"/>
          <w:szCs w:val="32"/>
        </w:rPr>
        <w:t>支出决算为12.81万元，完成预算100</w:t>
      </w:r>
      <w:r>
        <w:rPr>
          <w:rStyle w:val="19"/>
          <w:rFonts w:ascii="仿宋" w:hAnsi="仿宋" w:eastAsia="仿宋"/>
          <w:b w:val="0"/>
          <w:bCs/>
          <w:sz w:val="32"/>
          <w:szCs w:val="32"/>
        </w:rPr>
        <w:t>%</w:t>
      </w:r>
      <w:r>
        <w:rPr>
          <w:rStyle w:val="19"/>
          <w:rFonts w:hint="eastAsia" w:ascii="仿宋" w:hAnsi="仿宋" w:eastAsia="仿宋"/>
          <w:b w:val="0"/>
          <w:bCs/>
          <w:sz w:val="32"/>
          <w:szCs w:val="32"/>
        </w:rPr>
        <w:t>，决算数与预算数持平。</w:t>
      </w:r>
    </w:p>
    <w:p w14:paraId="79EEC8D3">
      <w:pPr>
        <w:spacing w:line="600" w:lineRule="exact"/>
        <w:ind w:firstLine="643" w:firstLineChars="200"/>
        <w:rPr>
          <w:rStyle w:val="19"/>
          <w:rFonts w:ascii="仿宋" w:hAnsi="仿宋" w:eastAsia="仿宋"/>
          <w:b w:val="0"/>
          <w:bCs/>
          <w:sz w:val="32"/>
          <w:szCs w:val="32"/>
        </w:rPr>
      </w:pPr>
      <w:r>
        <w:rPr>
          <w:rStyle w:val="19"/>
          <w:rFonts w:hint="eastAsia" w:ascii="仿宋" w:hAnsi="仿宋" w:eastAsia="仿宋"/>
          <w:bCs/>
          <w:sz w:val="32"/>
          <w:szCs w:val="32"/>
        </w:rPr>
        <w:t>11.农业水支出（类）巩固脱贫衔接乡村振兴（款）</w:t>
      </w:r>
      <w:r>
        <w:rPr>
          <w:rFonts w:hint="eastAsia" w:ascii="仿宋" w:hAnsi="仿宋" w:eastAsia="仿宋"/>
          <w:b/>
          <w:bCs/>
          <w:sz w:val="32"/>
          <w:szCs w:val="32"/>
        </w:rPr>
        <w:t>农社会发展</w:t>
      </w:r>
      <w:r>
        <w:rPr>
          <w:rStyle w:val="19"/>
          <w:rFonts w:hint="eastAsia" w:ascii="仿宋" w:hAnsi="仿宋" w:eastAsia="仿宋"/>
          <w:bCs/>
          <w:sz w:val="32"/>
          <w:szCs w:val="32"/>
        </w:rPr>
        <w:t>（项）</w:t>
      </w:r>
      <w:r>
        <w:rPr>
          <w:rStyle w:val="19"/>
          <w:rFonts w:hint="eastAsia" w:ascii="仿宋" w:hAnsi="仿宋" w:eastAsia="仿宋"/>
          <w:bCs/>
          <w:sz w:val="32"/>
          <w:szCs w:val="32"/>
          <w:lang w:eastAsia="zh-CN"/>
        </w:rPr>
        <w:t>：</w:t>
      </w:r>
      <w:r>
        <w:rPr>
          <w:rStyle w:val="19"/>
          <w:rFonts w:ascii="仿宋" w:hAnsi="仿宋" w:eastAsia="仿宋"/>
          <w:b w:val="0"/>
          <w:bCs/>
          <w:sz w:val="32"/>
          <w:szCs w:val="32"/>
        </w:rPr>
        <w:t xml:space="preserve"> </w:t>
      </w:r>
      <w:r>
        <w:rPr>
          <w:rStyle w:val="19"/>
          <w:rFonts w:hint="eastAsia" w:ascii="仿宋" w:hAnsi="仿宋" w:eastAsia="仿宋"/>
          <w:b w:val="0"/>
          <w:bCs/>
          <w:sz w:val="32"/>
          <w:szCs w:val="32"/>
        </w:rPr>
        <w:t>支出决算为4万元，完成预算100</w:t>
      </w:r>
      <w:r>
        <w:rPr>
          <w:rStyle w:val="19"/>
          <w:rFonts w:ascii="仿宋" w:hAnsi="仿宋" w:eastAsia="仿宋"/>
          <w:b w:val="0"/>
          <w:bCs/>
          <w:sz w:val="32"/>
          <w:szCs w:val="32"/>
        </w:rPr>
        <w:t>%</w:t>
      </w:r>
      <w:r>
        <w:rPr>
          <w:rStyle w:val="19"/>
          <w:rFonts w:hint="eastAsia" w:ascii="仿宋" w:hAnsi="仿宋" w:eastAsia="仿宋"/>
          <w:b w:val="0"/>
          <w:bCs/>
          <w:sz w:val="32"/>
          <w:szCs w:val="32"/>
        </w:rPr>
        <w:t>，决算数与预算数持平。</w:t>
      </w:r>
    </w:p>
    <w:p w14:paraId="142A5799">
      <w:pPr>
        <w:spacing w:line="600" w:lineRule="exact"/>
        <w:ind w:firstLine="643" w:firstLineChars="200"/>
        <w:rPr>
          <w:rStyle w:val="19"/>
          <w:rFonts w:ascii="仿宋" w:hAnsi="仿宋" w:eastAsia="仿宋"/>
          <w:b w:val="0"/>
          <w:bCs/>
          <w:sz w:val="32"/>
          <w:szCs w:val="32"/>
        </w:rPr>
      </w:pPr>
      <w:r>
        <w:rPr>
          <w:rStyle w:val="19"/>
          <w:rFonts w:hint="eastAsia" w:ascii="仿宋" w:hAnsi="仿宋" w:eastAsia="仿宋"/>
          <w:bCs/>
          <w:sz w:val="32"/>
          <w:szCs w:val="32"/>
        </w:rPr>
        <w:t>12.农业水支出（类）农村综合改革（款）对村民委员会和村党支部的补助（项）</w:t>
      </w:r>
      <w:r>
        <w:rPr>
          <w:rStyle w:val="19"/>
          <w:rFonts w:hint="eastAsia" w:ascii="仿宋" w:hAnsi="仿宋" w:eastAsia="仿宋"/>
          <w:bCs/>
          <w:sz w:val="32"/>
          <w:szCs w:val="32"/>
          <w:lang w:eastAsia="zh-CN"/>
        </w:rPr>
        <w:t>：</w:t>
      </w:r>
      <w:r>
        <w:rPr>
          <w:rStyle w:val="19"/>
          <w:rFonts w:ascii="仿宋" w:hAnsi="仿宋" w:eastAsia="仿宋"/>
          <w:b w:val="0"/>
          <w:bCs/>
          <w:sz w:val="32"/>
          <w:szCs w:val="32"/>
        </w:rPr>
        <w:t xml:space="preserve"> </w:t>
      </w:r>
      <w:r>
        <w:rPr>
          <w:rStyle w:val="19"/>
          <w:rFonts w:hint="eastAsia" w:ascii="仿宋" w:hAnsi="仿宋" w:eastAsia="仿宋"/>
          <w:b w:val="0"/>
          <w:bCs/>
          <w:sz w:val="32"/>
          <w:szCs w:val="32"/>
        </w:rPr>
        <w:t>支出决算为84.02万元，完成预算100</w:t>
      </w:r>
      <w:r>
        <w:rPr>
          <w:rStyle w:val="19"/>
          <w:rFonts w:ascii="仿宋" w:hAnsi="仿宋" w:eastAsia="仿宋"/>
          <w:b w:val="0"/>
          <w:bCs/>
          <w:sz w:val="32"/>
          <w:szCs w:val="32"/>
        </w:rPr>
        <w:t>%</w:t>
      </w:r>
      <w:r>
        <w:rPr>
          <w:rStyle w:val="19"/>
          <w:rFonts w:hint="eastAsia" w:ascii="仿宋" w:hAnsi="仿宋" w:eastAsia="仿宋"/>
          <w:b w:val="0"/>
          <w:bCs/>
          <w:sz w:val="32"/>
          <w:szCs w:val="32"/>
        </w:rPr>
        <w:t>，决算数与预算数持平。</w:t>
      </w:r>
    </w:p>
    <w:p w14:paraId="15F812EC">
      <w:pPr>
        <w:spacing w:line="600" w:lineRule="exact"/>
        <w:ind w:firstLine="643" w:firstLineChars="200"/>
        <w:rPr>
          <w:rStyle w:val="19"/>
          <w:rFonts w:ascii="仿宋" w:hAnsi="仿宋" w:eastAsia="仿宋"/>
          <w:b w:val="0"/>
          <w:bCs/>
          <w:sz w:val="32"/>
          <w:szCs w:val="32"/>
        </w:rPr>
      </w:pPr>
      <w:r>
        <w:rPr>
          <w:rStyle w:val="19"/>
          <w:rFonts w:hint="eastAsia" w:ascii="仿宋" w:hAnsi="仿宋" w:eastAsia="仿宋"/>
          <w:bCs/>
          <w:sz w:val="32"/>
          <w:szCs w:val="32"/>
        </w:rPr>
        <w:t>13.农业水支出（类）农村综合改革（款）农村综合改革示范试点补助（项）</w:t>
      </w:r>
      <w:r>
        <w:rPr>
          <w:rStyle w:val="19"/>
          <w:rFonts w:hint="eastAsia" w:ascii="仿宋" w:hAnsi="仿宋" w:eastAsia="仿宋"/>
          <w:bCs/>
          <w:sz w:val="32"/>
          <w:szCs w:val="32"/>
          <w:lang w:eastAsia="zh-CN"/>
        </w:rPr>
        <w:t>：</w:t>
      </w:r>
      <w:r>
        <w:rPr>
          <w:rStyle w:val="19"/>
          <w:rFonts w:ascii="仿宋" w:hAnsi="仿宋" w:eastAsia="仿宋"/>
          <w:b w:val="0"/>
          <w:bCs/>
          <w:sz w:val="32"/>
          <w:szCs w:val="32"/>
        </w:rPr>
        <w:t xml:space="preserve"> </w:t>
      </w:r>
      <w:r>
        <w:rPr>
          <w:rStyle w:val="19"/>
          <w:rFonts w:hint="eastAsia" w:ascii="仿宋" w:hAnsi="仿宋" w:eastAsia="仿宋"/>
          <w:b w:val="0"/>
          <w:bCs/>
          <w:sz w:val="32"/>
          <w:szCs w:val="32"/>
        </w:rPr>
        <w:t>支出决算为88万元，完成预算100</w:t>
      </w:r>
      <w:r>
        <w:rPr>
          <w:rStyle w:val="19"/>
          <w:rFonts w:ascii="仿宋" w:hAnsi="仿宋" w:eastAsia="仿宋"/>
          <w:b w:val="0"/>
          <w:bCs/>
          <w:sz w:val="32"/>
          <w:szCs w:val="32"/>
        </w:rPr>
        <w:t>%</w:t>
      </w:r>
      <w:r>
        <w:rPr>
          <w:rStyle w:val="19"/>
          <w:rFonts w:hint="eastAsia" w:ascii="仿宋" w:hAnsi="仿宋" w:eastAsia="仿宋"/>
          <w:b w:val="0"/>
          <w:bCs/>
          <w:sz w:val="32"/>
          <w:szCs w:val="32"/>
        </w:rPr>
        <w:t>，决算数与预算数持平。</w:t>
      </w:r>
    </w:p>
    <w:p w14:paraId="10B5423D">
      <w:pPr>
        <w:spacing w:line="600" w:lineRule="exact"/>
        <w:ind w:firstLine="643" w:firstLineChars="200"/>
        <w:rPr>
          <w:rStyle w:val="19"/>
          <w:rFonts w:ascii="仿宋" w:hAnsi="仿宋" w:eastAsia="仿宋"/>
          <w:b w:val="0"/>
          <w:bCs/>
          <w:sz w:val="32"/>
          <w:szCs w:val="32"/>
        </w:rPr>
      </w:pPr>
      <w:r>
        <w:rPr>
          <w:rStyle w:val="19"/>
          <w:rFonts w:hint="eastAsia" w:ascii="仿宋" w:hAnsi="仿宋" w:eastAsia="仿宋"/>
          <w:bCs/>
          <w:sz w:val="32"/>
          <w:szCs w:val="32"/>
        </w:rPr>
        <w:t>14.住房保障支出（类）住房改革支出（款）住房公积金（项）</w:t>
      </w:r>
      <w:r>
        <w:rPr>
          <w:rStyle w:val="19"/>
          <w:rFonts w:hint="eastAsia" w:ascii="仿宋" w:hAnsi="仿宋" w:eastAsia="仿宋"/>
          <w:bCs/>
          <w:sz w:val="32"/>
          <w:szCs w:val="32"/>
          <w:lang w:eastAsia="zh-CN"/>
        </w:rPr>
        <w:t>：</w:t>
      </w:r>
      <w:r>
        <w:rPr>
          <w:rStyle w:val="19"/>
          <w:rFonts w:ascii="仿宋" w:hAnsi="仿宋" w:eastAsia="仿宋"/>
          <w:b w:val="0"/>
          <w:bCs/>
          <w:sz w:val="32"/>
          <w:szCs w:val="32"/>
        </w:rPr>
        <w:t xml:space="preserve"> </w:t>
      </w:r>
      <w:r>
        <w:rPr>
          <w:rStyle w:val="19"/>
          <w:rFonts w:hint="eastAsia" w:ascii="仿宋" w:hAnsi="仿宋" w:eastAsia="仿宋"/>
          <w:b w:val="0"/>
          <w:bCs/>
          <w:sz w:val="32"/>
          <w:szCs w:val="32"/>
        </w:rPr>
        <w:t>支出决算为39.49万元，完成预算100</w:t>
      </w:r>
      <w:r>
        <w:rPr>
          <w:rStyle w:val="19"/>
          <w:rFonts w:ascii="仿宋" w:hAnsi="仿宋" w:eastAsia="仿宋"/>
          <w:b w:val="0"/>
          <w:bCs/>
          <w:sz w:val="32"/>
          <w:szCs w:val="32"/>
        </w:rPr>
        <w:t>%</w:t>
      </w:r>
      <w:r>
        <w:rPr>
          <w:rStyle w:val="19"/>
          <w:rFonts w:hint="eastAsia" w:ascii="仿宋" w:hAnsi="仿宋" w:eastAsia="仿宋"/>
          <w:b w:val="0"/>
          <w:bCs/>
          <w:sz w:val="32"/>
          <w:szCs w:val="32"/>
        </w:rPr>
        <w:t>，决算数与预算数持平。</w:t>
      </w:r>
    </w:p>
    <w:p w14:paraId="21DA1798">
      <w:pPr>
        <w:spacing w:line="600" w:lineRule="exact"/>
        <w:ind w:firstLine="640"/>
        <w:rPr>
          <w:rFonts w:ascii="仿宋" w:hAnsi="仿宋" w:eastAsia="仿宋"/>
          <w:b/>
          <w:sz w:val="32"/>
          <w:szCs w:val="32"/>
        </w:rPr>
      </w:pPr>
    </w:p>
    <w:p w14:paraId="239A00BC">
      <w:pPr>
        <w:tabs>
          <w:tab w:val="right" w:pos="8306"/>
        </w:tabs>
        <w:spacing w:line="600" w:lineRule="exact"/>
        <w:ind w:firstLine="640"/>
        <w:outlineLvl w:val="1"/>
        <w:rPr>
          <w:rStyle w:val="32"/>
        </w:rPr>
      </w:pPr>
      <w:bookmarkStart w:id="34" w:name="_Toc15377214"/>
      <w:bookmarkStart w:id="35" w:name="_Toc15396608"/>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32"/>
          <w:rFonts w:hint="eastAsia" w:ascii="黑体" w:hAnsi="黑体" w:eastAsia="黑体"/>
          <w:b w:val="0"/>
        </w:rPr>
        <w:t>般公共预算财政拨款基本支出决算情况说明</w:t>
      </w:r>
      <w:bookmarkEnd w:id="34"/>
      <w:bookmarkEnd w:id="35"/>
      <w:r>
        <w:rPr>
          <w:rStyle w:val="32"/>
          <w:rFonts w:ascii="黑体" w:hAnsi="黑体" w:eastAsia="黑体"/>
          <w:b w:val="0"/>
        </w:rPr>
        <w:tab/>
      </w:r>
    </w:p>
    <w:p w14:paraId="7B38E9D9">
      <w:pPr>
        <w:spacing w:line="600" w:lineRule="exact"/>
        <w:ind w:firstLine="645"/>
        <w:rPr>
          <w:rFonts w:ascii="仿宋" w:hAnsi="仿宋" w:eastAsia="仿宋"/>
          <w:sz w:val="32"/>
          <w:szCs w:val="32"/>
        </w:rPr>
      </w:pPr>
      <w:r>
        <w:rPr>
          <w:rFonts w:hint="eastAsia" w:ascii="仿宋" w:hAnsi="仿宋" w:eastAsia="仿宋"/>
          <w:sz w:val="32"/>
          <w:szCs w:val="32"/>
        </w:rPr>
        <w:t>2023年度一般公共预算财政拨款基本支出</w:t>
      </w:r>
      <w:r>
        <w:rPr>
          <w:sz w:val="32"/>
          <w:szCs w:val="32"/>
        </w:rPr>
        <w:t>598.4</w:t>
      </w:r>
      <w:r>
        <w:rPr>
          <w:rFonts w:hint="eastAsia" w:ascii="仿宋" w:hAnsi="仿宋" w:eastAsia="仿宋"/>
          <w:sz w:val="32"/>
          <w:szCs w:val="32"/>
        </w:rPr>
        <w:t>万元，其中：</w:t>
      </w:r>
    </w:p>
    <w:p w14:paraId="6737AF4E">
      <w:pPr>
        <w:spacing w:line="600" w:lineRule="exact"/>
        <w:ind w:firstLine="645"/>
        <w:rPr>
          <w:rFonts w:ascii="仿宋" w:hAnsi="仿宋" w:eastAsia="仿宋"/>
          <w:sz w:val="32"/>
          <w:szCs w:val="32"/>
        </w:rPr>
      </w:pPr>
      <w:r>
        <w:rPr>
          <w:rFonts w:hint="eastAsia" w:ascii="仿宋" w:hAnsi="仿宋" w:eastAsia="仿宋"/>
          <w:sz w:val="32"/>
          <w:szCs w:val="32"/>
        </w:rPr>
        <w:t>人员经费</w:t>
      </w:r>
      <w:r>
        <w:rPr>
          <w:sz w:val="32"/>
          <w:szCs w:val="32"/>
        </w:rPr>
        <w:t>506.4</w:t>
      </w:r>
      <w:r>
        <w:rPr>
          <w:rFonts w:hint="eastAsia" w:ascii="仿宋" w:hAnsi="仿宋" w:eastAsia="仿宋"/>
          <w:sz w:val="32"/>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ascii="仿宋" w:hAnsi="仿宋" w:eastAsia="仿宋"/>
          <w:sz w:val="32"/>
          <w:szCs w:val="32"/>
        </w:rPr>
        <w:br w:type="textWrapping"/>
      </w:r>
      <w:r>
        <w:rPr>
          <w:rFonts w:hint="eastAsia" w:ascii="仿宋" w:hAnsi="仿宋" w:eastAsia="仿宋"/>
          <w:sz w:val="32"/>
          <w:szCs w:val="32"/>
        </w:rPr>
        <w:t>　　公用经费</w:t>
      </w:r>
      <w:r>
        <w:rPr>
          <w:sz w:val="32"/>
          <w:szCs w:val="32"/>
        </w:rPr>
        <w:t>92</w:t>
      </w:r>
      <w:r>
        <w:rPr>
          <w:rFonts w:hint="eastAsia" w:ascii="仿宋" w:hAnsi="仿宋" w:eastAsia="仿宋"/>
          <w:sz w:val="32"/>
          <w:szCs w:val="32"/>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5D52CC11">
      <w:pPr>
        <w:spacing w:line="600" w:lineRule="exact"/>
        <w:ind w:firstLine="645"/>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7表和财决08-1表，仅罗列本部门实际支出涉及的经济分类科目）</w:t>
      </w:r>
    </w:p>
    <w:p w14:paraId="6339D342">
      <w:pPr>
        <w:spacing w:line="600" w:lineRule="exact"/>
        <w:ind w:firstLine="640"/>
        <w:outlineLvl w:val="1"/>
        <w:rPr>
          <w:rStyle w:val="32"/>
          <w:rFonts w:ascii="黑体" w:hAnsi="黑体" w:eastAsia="黑体"/>
          <w:b w:val="0"/>
        </w:rPr>
      </w:pPr>
      <w:bookmarkStart w:id="36" w:name="_Toc15377215"/>
      <w:bookmarkStart w:id="37" w:name="_Toc15396609"/>
      <w:r>
        <w:rPr>
          <w:rFonts w:hint="eastAsia" w:ascii="黑体" w:eastAsia="黑体"/>
          <w:sz w:val="32"/>
          <w:szCs w:val="32"/>
        </w:rPr>
        <w:t>七、</w:t>
      </w:r>
      <w:r>
        <w:rPr>
          <w:rStyle w:val="32"/>
          <w:rFonts w:hint="eastAsia" w:ascii="黑体" w:hAnsi="黑体" w:eastAsia="黑体"/>
          <w:b w:val="0"/>
        </w:rPr>
        <w:t>财政拨款</w:t>
      </w:r>
      <w:r>
        <w:rPr>
          <w:rStyle w:val="32"/>
          <w:rFonts w:hint="eastAsia" w:ascii="黑体" w:hAnsi="黑体" w:eastAsia="黑体"/>
        </w:rPr>
        <w:t>“</w:t>
      </w:r>
      <w:r>
        <w:rPr>
          <w:rStyle w:val="32"/>
          <w:rFonts w:hint="eastAsia" w:ascii="黑体" w:hAnsi="黑体" w:eastAsia="黑体"/>
          <w:b w:val="0"/>
        </w:rPr>
        <w:t>三公”经费支出决算情况说明</w:t>
      </w:r>
      <w:bookmarkEnd w:id="36"/>
      <w:bookmarkEnd w:id="37"/>
    </w:p>
    <w:p w14:paraId="5741C227">
      <w:pPr>
        <w:spacing w:line="600" w:lineRule="exact"/>
        <w:ind w:firstLine="640"/>
        <w:outlineLvl w:val="2"/>
        <w:rPr>
          <w:rFonts w:ascii="仿宋" w:hAnsi="仿宋" w:eastAsia="仿宋"/>
          <w:b/>
          <w:sz w:val="32"/>
          <w:szCs w:val="32"/>
        </w:rPr>
      </w:pPr>
      <w:bookmarkStart w:id="38" w:name="_Toc15377216"/>
      <w:r>
        <w:rPr>
          <w:rFonts w:hint="eastAsia" w:ascii="仿宋" w:hAnsi="仿宋" w:eastAsia="仿宋"/>
          <w:b/>
          <w:sz w:val="32"/>
          <w:szCs w:val="32"/>
        </w:rPr>
        <w:t>（一）“三公”经费财政拨款支出决算总体情况说明</w:t>
      </w:r>
      <w:bookmarkEnd w:id="38"/>
    </w:p>
    <w:p w14:paraId="4BAFBE63">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2023年度“三公”经费财政拨款支出决算为</w:t>
      </w:r>
      <w:r>
        <w:rPr>
          <w:sz w:val="32"/>
          <w:szCs w:val="32"/>
        </w:rPr>
        <w:t>8.8</w:t>
      </w:r>
      <w:r>
        <w:rPr>
          <w:rFonts w:hint="eastAsia" w:ascii="仿宋" w:hAnsi="仿宋" w:eastAsia="仿宋"/>
          <w:sz w:val="32"/>
          <w:szCs w:val="32"/>
        </w:rPr>
        <w:t>万元，完成预算</w:t>
      </w:r>
      <w:r>
        <w:rPr>
          <w:sz w:val="32"/>
          <w:szCs w:val="32"/>
        </w:rPr>
        <w:t>100</w:t>
      </w:r>
      <w:r>
        <w:rPr>
          <w:rFonts w:ascii="仿宋" w:hAnsi="仿宋" w:eastAsia="仿宋"/>
          <w:sz w:val="32"/>
          <w:szCs w:val="32"/>
        </w:rPr>
        <w:t>%</w:t>
      </w:r>
      <w:r>
        <w:rPr>
          <w:rFonts w:hint="eastAsia" w:ascii="仿宋" w:hAnsi="仿宋" w:eastAsia="仿宋"/>
          <w:sz w:val="32"/>
          <w:szCs w:val="32"/>
        </w:rPr>
        <w:t>，较上年度减少24.68万元，下降73.7%。</w:t>
      </w:r>
    </w:p>
    <w:p w14:paraId="2BC1034C">
      <w:pPr>
        <w:spacing w:line="600" w:lineRule="exact"/>
        <w:ind w:firstLine="640"/>
        <w:rPr>
          <w:rFonts w:ascii="仿宋" w:hAnsi="仿宋" w:eastAsia="仿宋"/>
          <w:b/>
          <w:sz w:val="32"/>
          <w:szCs w:val="32"/>
        </w:rPr>
      </w:pPr>
      <w:r>
        <w:rPr>
          <w:rFonts w:hint="eastAsia" w:ascii="仿宋" w:hAnsi="仿宋" w:eastAsia="仿宋"/>
          <w:b/>
          <w:sz w:val="32"/>
          <w:szCs w:val="32"/>
        </w:rPr>
        <w:t>（注：上述“预算”口径为全年预算数，包括一般公共预算和政府性基金预算财政拨款支出决算情况）</w:t>
      </w:r>
    </w:p>
    <w:p w14:paraId="18244ADB">
      <w:pPr>
        <w:spacing w:line="600" w:lineRule="exact"/>
        <w:ind w:firstLine="640"/>
        <w:outlineLvl w:val="2"/>
        <w:rPr>
          <w:rFonts w:ascii="仿宋" w:hAnsi="仿宋" w:eastAsia="仿宋"/>
          <w:b/>
          <w:sz w:val="32"/>
          <w:szCs w:val="32"/>
        </w:rPr>
      </w:pPr>
      <w:bookmarkStart w:id="39" w:name="_Toc15377217"/>
      <w:r>
        <w:rPr>
          <w:rFonts w:hint="eastAsia" w:ascii="仿宋" w:hAnsi="仿宋" w:eastAsia="仿宋"/>
          <w:b/>
          <w:sz w:val="32"/>
          <w:szCs w:val="32"/>
        </w:rPr>
        <w:t>（二）“三公”经费财政拨款支出决算具体情况说明</w:t>
      </w:r>
      <w:bookmarkEnd w:id="39"/>
    </w:p>
    <w:p w14:paraId="157B80CC">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2023年度“三公”经费财政拨款支出决算中，公务用车购置及运行维护费支出决算</w:t>
      </w:r>
      <w:r>
        <w:rPr>
          <w:sz w:val="32"/>
          <w:szCs w:val="32"/>
        </w:rPr>
        <w:t>5</w:t>
      </w:r>
      <w:r>
        <w:rPr>
          <w:rFonts w:hint="eastAsia" w:ascii="仿宋" w:hAnsi="仿宋" w:eastAsia="仿宋"/>
          <w:sz w:val="32"/>
          <w:szCs w:val="32"/>
        </w:rPr>
        <w:t>万元，占</w:t>
      </w:r>
      <w:r>
        <w:rPr>
          <w:sz w:val="32"/>
          <w:szCs w:val="32"/>
        </w:rPr>
        <w:t>56.81</w:t>
      </w:r>
      <w:r>
        <w:rPr>
          <w:rFonts w:ascii="仿宋" w:hAnsi="仿宋" w:eastAsia="仿宋"/>
          <w:sz w:val="32"/>
          <w:szCs w:val="32"/>
        </w:rPr>
        <w:t>%</w:t>
      </w:r>
      <w:r>
        <w:rPr>
          <w:rFonts w:hint="eastAsia" w:ascii="仿宋" w:hAnsi="仿宋" w:eastAsia="仿宋"/>
          <w:sz w:val="32"/>
          <w:szCs w:val="32"/>
        </w:rPr>
        <w:t>；公务接待费支出决算</w:t>
      </w:r>
      <w:r>
        <w:rPr>
          <w:sz w:val="32"/>
          <w:szCs w:val="32"/>
        </w:rPr>
        <w:t>3.8</w:t>
      </w:r>
      <w:r>
        <w:rPr>
          <w:rFonts w:hint="eastAsia" w:ascii="仿宋" w:hAnsi="仿宋" w:eastAsia="仿宋"/>
          <w:sz w:val="32"/>
          <w:szCs w:val="32"/>
        </w:rPr>
        <w:t>万元，占</w:t>
      </w:r>
      <w:r>
        <w:rPr>
          <w:sz w:val="32"/>
          <w:szCs w:val="32"/>
        </w:rPr>
        <w:t>43.18</w:t>
      </w:r>
      <w:r>
        <w:rPr>
          <w:rFonts w:ascii="仿宋" w:hAnsi="仿宋" w:eastAsia="仿宋"/>
          <w:sz w:val="32"/>
          <w:szCs w:val="32"/>
        </w:rPr>
        <w:t>%</w:t>
      </w:r>
      <w:r>
        <w:rPr>
          <w:rFonts w:hint="eastAsia" w:ascii="仿宋" w:hAnsi="仿宋" w:eastAsia="仿宋"/>
          <w:sz w:val="32"/>
          <w:szCs w:val="32"/>
        </w:rPr>
        <w:t>。具体情况如下：</w:t>
      </w:r>
    </w:p>
    <w:p w14:paraId="316B2D9A">
      <w:pPr>
        <w:spacing w:line="600" w:lineRule="exact"/>
        <w:ind w:firstLine="640"/>
        <w:rPr>
          <w:rFonts w:ascii="仿宋" w:hAnsi="仿宋" w:eastAsia="仿宋"/>
          <w:sz w:val="32"/>
          <w:szCs w:val="32"/>
        </w:rPr>
      </w:pPr>
      <w:r>
        <w:rPr>
          <w:rFonts w:hint="eastAsia" w:ascii="仿宋" w:hAnsi="仿宋" w:eastAsia="仿宋"/>
          <w:sz w:val="32"/>
          <w:szCs w:val="32"/>
        </w:rPr>
        <w:t>（图7：“三公”经费财政拨款支出结构）（饼状图）</w:t>
      </w:r>
    </w:p>
    <w:p w14:paraId="3ED15EEC">
      <w:pPr>
        <w:spacing w:line="600" w:lineRule="exact"/>
        <w:ind w:firstLine="640"/>
        <w:rPr>
          <w:rFonts w:ascii="仿宋_GB2312" w:eastAsia="仿宋_GB2312"/>
          <w:b/>
          <w:sz w:val="32"/>
          <w:szCs w:val="32"/>
        </w:rPr>
      </w:pPr>
      <w:r>
        <w:rPr>
          <w:rFonts w:hint="eastAsia" w:ascii="仿宋_GB2312" w:eastAsia="仿宋_GB2312"/>
          <w:b/>
          <w:sz w:val="32"/>
          <w:szCs w:val="32"/>
        </w:rPr>
        <w:t>1</w:t>
      </w:r>
      <w:r>
        <w:rPr>
          <w:rFonts w:ascii="仿宋_GB2312" w:eastAsia="仿宋_GB2312"/>
          <w:b/>
          <w:sz w:val="32"/>
          <w:szCs w:val="32"/>
        </w:rPr>
        <w:t>.</w:t>
      </w:r>
      <w:r>
        <w:rPr>
          <w:rFonts w:hint="eastAsia" w:ascii="仿宋_GB2312" w:eastAsia="仿宋_GB2312"/>
          <w:b/>
          <w:sz w:val="32"/>
          <w:szCs w:val="32"/>
        </w:rPr>
        <w:t>公务用车购置及运行维护费支出</w:t>
      </w:r>
      <w:r>
        <w:rPr>
          <w:sz w:val="32"/>
          <w:szCs w:val="32"/>
        </w:rPr>
        <w:t>5</w:t>
      </w:r>
      <w:r>
        <w:rPr>
          <w:rFonts w:hint="eastAsia" w:ascii="仿宋_GB2312" w:eastAsia="仿宋_GB2312"/>
          <w:sz w:val="32"/>
          <w:szCs w:val="32"/>
        </w:rPr>
        <w:t>万元</w:t>
      </w:r>
      <w:r>
        <w:rPr>
          <w:rFonts w:hint="eastAsia" w:ascii="仿宋_GB2312" w:eastAsia="仿宋_GB2312"/>
          <w:sz w:val="32"/>
          <w:szCs w:val="32"/>
          <w:lang w:eastAsia="zh-CN"/>
        </w:rPr>
        <w:t>，</w:t>
      </w:r>
      <w:bookmarkStart w:id="49" w:name="_GoBack"/>
      <w:bookmarkEnd w:id="49"/>
      <w:r>
        <w:rPr>
          <w:rStyle w:val="19"/>
          <w:rFonts w:hint="eastAsia" w:ascii="仿宋" w:hAnsi="仿宋" w:eastAsia="仿宋"/>
          <w:b w:val="0"/>
          <w:bCs/>
          <w:sz w:val="32"/>
          <w:szCs w:val="32"/>
        </w:rPr>
        <w:t>完成预算</w:t>
      </w:r>
      <w:r>
        <w:rPr>
          <w:sz w:val="32"/>
          <w:szCs w:val="32"/>
        </w:rPr>
        <w:t>100</w:t>
      </w:r>
      <w:r>
        <w:rPr>
          <w:rStyle w:val="19"/>
          <w:rFonts w:ascii="仿宋" w:hAnsi="仿宋" w:eastAsia="仿宋"/>
          <w:b w:val="0"/>
          <w:bCs/>
          <w:sz w:val="32"/>
          <w:szCs w:val="32"/>
        </w:rPr>
        <w:t>%</w:t>
      </w:r>
      <w:r>
        <w:rPr>
          <w:rStyle w:val="19"/>
          <w:rFonts w:hint="eastAsia" w:ascii="仿宋" w:hAnsi="仿宋" w:eastAsia="仿宋"/>
          <w:b w:val="0"/>
          <w:bCs/>
          <w:sz w:val="32"/>
          <w:szCs w:val="32"/>
        </w:rPr>
        <w:t>。</w:t>
      </w:r>
      <w:r>
        <w:rPr>
          <w:rFonts w:hint="eastAsia" w:ascii="仿宋_GB2312" w:eastAsia="仿宋_GB2312"/>
          <w:sz w:val="32"/>
          <w:szCs w:val="32"/>
        </w:rPr>
        <w:t>公务用车购置及运行维护费支出决算比2022年度减少24.8万元，下降3.4</w:t>
      </w:r>
      <w:r>
        <w:rPr>
          <w:rFonts w:ascii="仿宋_GB2312" w:eastAsia="仿宋_GB2312"/>
          <w:sz w:val="32"/>
          <w:szCs w:val="32"/>
        </w:rPr>
        <w:t>%</w:t>
      </w:r>
      <w:r>
        <w:rPr>
          <w:rFonts w:hint="eastAsia" w:ascii="仿宋_GB2312" w:eastAsia="仿宋_GB2312"/>
          <w:sz w:val="32"/>
          <w:szCs w:val="32"/>
        </w:rPr>
        <w:t>。主要原因是厉行节约，减少经费支出。</w:t>
      </w:r>
    </w:p>
    <w:p w14:paraId="40F90A24">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公务用车运行维护费支出</w:t>
      </w:r>
      <w:r>
        <w:rPr>
          <w:sz w:val="32"/>
          <w:szCs w:val="32"/>
        </w:rPr>
        <w:t>5</w:t>
      </w:r>
      <w:r>
        <w:rPr>
          <w:rFonts w:hint="eastAsia" w:ascii="仿宋_GB2312" w:eastAsia="仿宋_GB2312"/>
          <w:sz w:val="32"/>
          <w:szCs w:val="32"/>
        </w:rPr>
        <w:t>万元。主要用于乡村振兴等日常工作等所需的公务用车燃料费、维修费、过路过桥费、保险费等支出。</w:t>
      </w:r>
    </w:p>
    <w:p w14:paraId="316B74D9">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sz w:val="32"/>
          <w:szCs w:val="32"/>
        </w:rPr>
        <w:t>3.8</w:t>
      </w:r>
      <w:r>
        <w:rPr>
          <w:rFonts w:hint="eastAsia" w:ascii="仿宋_GB2312" w:eastAsia="仿宋_GB2312"/>
          <w:sz w:val="32"/>
          <w:szCs w:val="32"/>
        </w:rPr>
        <w:t>万元，</w:t>
      </w:r>
      <w:r>
        <w:rPr>
          <w:rStyle w:val="19"/>
          <w:rFonts w:hint="eastAsia" w:ascii="仿宋" w:hAnsi="仿宋" w:eastAsia="仿宋"/>
          <w:b w:val="0"/>
          <w:bCs/>
          <w:sz w:val="32"/>
          <w:szCs w:val="32"/>
        </w:rPr>
        <w:t>完成预算</w:t>
      </w:r>
      <w:r>
        <w:rPr>
          <w:sz w:val="32"/>
          <w:szCs w:val="32"/>
        </w:rPr>
        <w:t>100%</w:t>
      </w:r>
      <w:r>
        <w:rPr>
          <w:rStyle w:val="19"/>
          <w:rFonts w:hint="eastAsia" w:ascii="仿宋" w:hAnsi="仿宋" w:eastAsia="仿宋"/>
          <w:b w:val="0"/>
          <w:bCs/>
          <w:sz w:val="32"/>
          <w:szCs w:val="32"/>
        </w:rPr>
        <w:t>。</w:t>
      </w:r>
      <w:r>
        <w:rPr>
          <w:rFonts w:hint="eastAsia" w:ascii="仿宋_GB2312" w:eastAsia="仿宋_GB2312"/>
          <w:sz w:val="32"/>
          <w:szCs w:val="32"/>
        </w:rPr>
        <w:t>公务接待费支出决算比2022年度增加0.12万元，增长3.3</w:t>
      </w:r>
      <w:r>
        <w:rPr>
          <w:rFonts w:ascii="仿宋_GB2312" w:eastAsia="仿宋_GB2312"/>
          <w:sz w:val="32"/>
          <w:szCs w:val="32"/>
        </w:rPr>
        <w:t>%</w:t>
      </w:r>
      <w:r>
        <w:rPr>
          <w:rFonts w:hint="eastAsia" w:ascii="仿宋_GB2312" w:eastAsia="仿宋_GB2312"/>
          <w:sz w:val="32"/>
          <w:szCs w:val="32"/>
        </w:rPr>
        <w:t>。主要原因是向上衔接工作增多。其中：</w:t>
      </w:r>
    </w:p>
    <w:p w14:paraId="584E44EE">
      <w:pPr>
        <w:spacing w:line="600" w:lineRule="exact"/>
        <w:ind w:firstLine="640"/>
        <w:rPr>
          <w:rFonts w:ascii="仿宋_GB2312" w:eastAsia="仿宋_GB2312"/>
          <w:sz w:val="32"/>
          <w:szCs w:val="32"/>
        </w:rPr>
      </w:pPr>
      <w:r>
        <w:rPr>
          <w:rFonts w:hint="eastAsia" w:ascii="仿宋" w:hAnsi="仿宋" w:eastAsia="仿宋"/>
          <w:b/>
          <w:sz w:val="32"/>
          <w:szCs w:val="32"/>
        </w:rPr>
        <w:t>国内公务接待支出3.8</w:t>
      </w:r>
      <w:r>
        <w:rPr>
          <w:rFonts w:hint="eastAsia" w:ascii="仿宋_GB2312" w:eastAsia="仿宋_GB2312"/>
          <w:sz w:val="32"/>
          <w:szCs w:val="32"/>
        </w:rPr>
        <w:t>万元，主要用于乡村振兴、疫情防控、森林防火等调研指导工作和各级部门党委来我单位交流学习等执行公务、开展业务活动开支的交通费、住宿费、用餐费等。国内公务接待60批次，340人次（不包括陪同人员），共计支出3.8万元。</w:t>
      </w:r>
    </w:p>
    <w:p w14:paraId="7D8F9AAC">
      <w:pPr>
        <w:spacing w:line="600" w:lineRule="exact"/>
        <w:ind w:firstLine="640"/>
        <w:outlineLvl w:val="1"/>
        <w:rPr>
          <w:rFonts w:ascii="黑体" w:eastAsia="黑体"/>
          <w:sz w:val="32"/>
          <w:szCs w:val="32"/>
        </w:rPr>
      </w:pPr>
      <w:bookmarkStart w:id="40" w:name="_Toc15377218"/>
      <w:bookmarkStart w:id="41" w:name="_Toc15396610"/>
    </w:p>
    <w:p w14:paraId="3E220688">
      <w:pPr>
        <w:spacing w:line="600" w:lineRule="exact"/>
        <w:ind w:firstLine="640"/>
        <w:outlineLvl w:val="1"/>
        <w:rPr>
          <w:rStyle w:val="32"/>
          <w:rFonts w:ascii="黑体" w:hAnsi="黑体" w:eastAsia="黑体"/>
        </w:rPr>
      </w:pPr>
      <w:r>
        <w:rPr>
          <w:rFonts w:hint="eastAsia" w:ascii="黑体" w:eastAsia="黑体"/>
          <w:sz w:val="32"/>
          <w:szCs w:val="32"/>
        </w:rPr>
        <w:t>八、</w:t>
      </w:r>
      <w:r>
        <w:rPr>
          <w:rStyle w:val="32"/>
          <w:rFonts w:hint="eastAsia" w:ascii="黑体" w:hAnsi="黑体" w:eastAsia="黑体"/>
          <w:b w:val="0"/>
        </w:rPr>
        <w:t>政府性基金预算支出决算情况说明</w:t>
      </w:r>
      <w:bookmarkEnd w:id="40"/>
      <w:bookmarkEnd w:id="41"/>
    </w:p>
    <w:p w14:paraId="7FE75EAC">
      <w:pPr>
        <w:spacing w:line="600" w:lineRule="exact"/>
        <w:ind w:firstLine="640"/>
        <w:rPr>
          <w:rFonts w:ascii="仿宋_GB2312" w:eastAsia="仿宋_GB2312"/>
          <w:sz w:val="32"/>
          <w:szCs w:val="32"/>
        </w:rPr>
      </w:pPr>
      <w:r>
        <w:rPr>
          <w:rFonts w:hint="eastAsia" w:ascii="仿宋_GB2312" w:eastAsia="仿宋_GB2312"/>
          <w:sz w:val="32"/>
          <w:szCs w:val="32"/>
        </w:rPr>
        <w:t>2023年度政府性基金预算财政拨款支出</w:t>
      </w:r>
      <w:r>
        <w:rPr>
          <w:sz w:val="32"/>
          <w:szCs w:val="32"/>
        </w:rPr>
        <w:t>40.5</w:t>
      </w:r>
      <w:r>
        <w:rPr>
          <w:rFonts w:hint="eastAsia" w:ascii="仿宋_GB2312" w:eastAsia="仿宋_GB2312"/>
          <w:sz w:val="32"/>
          <w:szCs w:val="32"/>
        </w:rPr>
        <w:t>万元。</w:t>
      </w:r>
    </w:p>
    <w:p w14:paraId="291E9A7E">
      <w:pPr>
        <w:spacing w:line="600" w:lineRule="exact"/>
        <w:ind w:firstLine="640"/>
        <w:rPr>
          <w:rFonts w:ascii="仿宋_GB2312" w:eastAsia="仿宋_GB2312"/>
          <w:sz w:val="32"/>
          <w:szCs w:val="32"/>
        </w:rPr>
      </w:pPr>
    </w:p>
    <w:p w14:paraId="6CF1D3D2">
      <w:pPr>
        <w:numPr>
          <w:ilvl w:val="0"/>
          <w:numId w:val="2"/>
        </w:numPr>
        <w:spacing w:line="600" w:lineRule="exact"/>
        <w:ind w:firstLine="640"/>
        <w:outlineLvl w:val="1"/>
        <w:rPr>
          <w:rStyle w:val="32"/>
          <w:rFonts w:ascii="黑体" w:hAnsi="黑体" w:eastAsia="黑体"/>
          <w:b w:val="0"/>
        </w:rPr>
      </w:pPr>
      <w:bookmarkStart w:id="42" w:name="_Toc15396611"/>
      <w:bookmarkStart w:id="43" w:name="_Toc15377219"/>
      <w:r>
        <w:rPr>
          <w:rStyle w:val="32"/>
          <w:rFonts w:hint="eastAsia" w:ascii="黑体" w:hAnsi="黑体" w:eastAsia="黑体"/>
          <w:b w:val="0"/>
        </w:rPr>
        <w:t>国有资本经营预算支出决算情况说明</w:t>
      </w:r>
      <w:bookmarkEnd w:id="42"/>
      <w:bookmarkEnd w:id="43"/>
    </w:p>
    <w:p w14:paraId="5C6C9943">
      <w:pPr>
        <w:spacing w:line="600" w:lineRule="exact"/>
        <w:ind w:firstLine="640"/>
        <w:rPr>
          <w:rFonts w:ascii="仿宋_GB2312" w:eastAsia="仿宋_GB2312"/>
          <w:sz w:val="32"/>
          <w:szCs w:val="32"/>
        </w:rPr>
      </w:pPr>
      <w:r>
        <w:rPr>
          <w:rFonts w:hint="eastAsia" w:ascii="仿宋_GB2312" w:eastAsia="仿宋_GB2312"/>
          <w:sz w:val="32"/>
          <w:szCs w:val="32"/>
        </w:rPr>
        <w:t>2023年度国有资本经营预算财政拨款支出</w:t>
      </w:r>
      <w:r>
        <w:rPr>
          <w:sz w:val="32"/>
          <w:szCs w:val="32"/>
        </w:rPr>
        <w:t>0</w:t>
      </w:r>
      <w:r>
        <w:rPr>
          <w:rFonts w:hint="eastAsia" w:ascii="仿宋_GB2312" w:eastAsia="仿宋_GB2312"/>
          <w:sz w:val="32"/>
          <w:szCs w:val="32"/>
        </w:rPr>
        <w:t>万元。</w:t>
      </w:r>
    </w:p>
    <w:p w14:paraId="1AD33E02">
      <w:pPr>
        <w:spacing w:line="580" w:lineRule="exact"/>
        <w:jc w:val="center"/>
        <w:rPr>
          <w:rFonts w:ascii="方正小标宋简体" w:hAnsi="方正小标宋简体" w:eastAsia="方正小标宋简体" w:cs="方正小标宋简体"/>
          <w:sz w:val="44"/>
          <w:szCs w:val="44"/>
        </w:rPr>
      </w:pPr>
    </w:p>
    <w:p w14:paraId="3BFDE069">
      <w:pPr>
        <w:numPr>
          <w:ilvl w:val="0"/>
          <w:numId w:val="2"/>
        </w:numPr>
        <w:spacing w:line="600" w:lineRule="exact"/>
        <w:ind w:firstLine="640"/>
        <w:outlineLvl w:val="1"/>
        <w:rPr>
          <w:rStyle w:val="32"/>
          <w:rFonts w:ascii="黑体" w:hAnsi="黑体" w:eastAsia="黑体"/>
          <w:b w:val="0"/>
        </w:rPr>
      </w:pPr>
      <w:bookmarkStart w:id="44" w:name="_Toc15377221"/>
      <w:bookmarkStart w:id="45" w:name="_Toc15396612"/>
      <w:r>
        <w:rPr>
          <w:rStyle w:val="32"/>
          <w:rFonts w:hint="eastAsia" w:ascii="黑体" w:hAnsi="黑体" w:eastAsia="黑体"/>
          <w:b w:val="0"/>
        </w:rPr>
        <w:t>其他重要事项的情况说明</w:t>
      </w:r>
      <w:bookmarkEnd w:id="44"/>
      <w:bookmarkEnd w:id="45"/>
    </w:p>
    <w:p w14:paraId="7A5F04D0">
      <w:pPr>
        <w:spacing w:line="600" w:lineRule="exact"/>
        <w:ind w:firstLine="643" w:firstLineChars="200"/>
        <w:outlineLvl w:val="2"/>
        <w:rPr>
          <w:rFonts w:ascii="仿宋" w:hAnsi="仿宋" w:eastAsia="仿宋"/>
          <w:sz w:val="32"/>
          <w:szCs w:val="32"/>
        </w:rPr>
      </w:pPr>
      <w:bookmarkStart w:id="46" w:name="_Toc15377222"/>
      <w:r>
        <w:rPr>
          <w:rFonts w:hint="eastAsia" w:ascii="仿宋" w:hAnsi="仿宋" w:eastAsia="仿宋"/>
          <w:b/>
          <w:sz w:val="32"/>
          <w:szCs w:val="32"/>
        </w:rPr>
        <w:t>（一）机关运行经费支出情况</w:t>
      </w:r>
      <w:bookmarkEnd w:id="46"/>
    </w:p>
    <w:p w14:paraId="10F5C70E">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hint="eastAsia"/>
          <w:sz w:val="32"/>
          <w:szCs w:val="32"/>
        </w:rPr>
        <w:t>峨边彝族自治县勒乌乡人民政府</w:t>
      </w:r>
      <w:r>
        <w:rPr>
          <w:rFonts w:hint="eastAsia" w:ascii="仿宋_GB2312" w:eastAsia="仿宋_GB2312"/>
          <w:sz w:val="32"/>
          <w:szCs w:val="32"/>
        </w:rPr>
        <w:t>机关运行经费支出</w:t>
      </w:r>
      <w:r>
        <w:rPr>
          <w:sz w:val="32"/>
          <w:szCs w:val="32"/>
        </w:rPr>
        <w:t>92</w:t>
      </w:r>
      <w:r>
        <w:rPr>
          <w:rFonts w:hint="eastAsia" w:ascii="仿宋_GB2312" w:eastAsia="仿宋_GB2312"/>
          <w:sz w:val="32"/>
          <w:szCs w:val="32"/>
        </w:rPr>
        <w:t>万元，比2022年度减少24.49万元，下降21</w:t>
      </w:r>
      <w:r>
        <w:rPr>
          <w:rFonts w:ascii="仿宋_GB2312" w:eastAsia="仿宋_GB2312"/>
          <w:sz w:val="32"/>
          <w:szCs w:val="32"/>
        </w:rPr>
        <w:t>%</w:t>
      </w:r>
      <w:r>
        <w:rPr>
          <w:rFonts w:hint="eastAsia" w:ascii="仿宋_GB2312" w:eastAsia="仿宋_GB2312"/>
          <w:sz w:val="32"/>
          <w:szCs w:val="32"/>
        </w:rPr>
        <w:t>。主要原因是厉行节约，严格控制经费支出。</w:t>
      </w:r>
    </w:p>
    <w:p w14:paraId="0EFBEBAE">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62A06F1F">
      <w:pPr>
        <w:autoSpaceDE w:val="0"/>
        <w:autoSpaceDN w:val="0"/>
        <w:adjustRightInd w:val="0"/>
        <w:spacing w:line="600" w:lineRule="exact"/>
        <w:ind w:firstLine="643" w:firstLineChars="200"/>
        <w:jc w:val="left"/>
        <w:outlineLvl w:val="2"/>
        <w:rPr>
          <w:rFonts w:ascii="仿宋" w:hAnsi="仿宋" w:eastAsia="仿宋"/>
          <w:b/>
          <w:sz w:val="32"/>
          <w:szCs w:val="32"/>
        </w:rPr>
      </w:pPr>
      <w:bookmarkStart w:id="47" w:name="_Toc15377223"/>
      <w:r>
        <w:rPr>
          <w:rFonts w:hint="eastAsia" w:ascii="仿宋" w:hAnsi="仿宋" w:eastAsia="仿宋"/>
          <w:b/>
          <w:sz w:val="32"/>
          <w:szCs w:val="32"/>
        </w:rPr>
        <w:t>（二）政府采购支出情况</w:t>
      </w:r>
      <w:bookmarkEnd w:id="47"/>
    </w:p>
    <w:p w14:paraId="0DBF4E8E">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hint="eastAsia"/>
          <w:sz w:val="32"/>
          <w:szCs w:val="32"/>
        </w:rPr>
        <w:t>峨边彝族自治县勒乌乡人民政府</w:t>
      </w:r>
      <w:r>
        <w:rPr>
          <w:rFonts w:hint="eastAsia" w:ascii="仿宋_GB2312" w:eastAsia="仿宋_GB2312"/>
          <w:sz w:val="32"/>
          <w:szCs w:val="32"/>
        </w:rPr>
        <w:t>政府采购支出总额</w:t>
      </w:r>
      <w:r>
        <w:rPr>
          <w:sz w:val="32"/>
          <w:szCs w:val="32"/>
        </w:rPr>
        <w:t>0</w:t>
      </w:r>
      <w:r>
        <w:rPr>
          <w:rFonts w:hint="eastAsia" w:ascii="仿宋_GB2312" w:eastAsia="仿宋_GB2312"/>
          <w:sz w:val="32"/>
          <w:szCs w:val="32"/>
        </w:rPr>
        <w:t>万元。</w:t>
      </w:r>
    </w:p>
    <w:p w14:paraId="375E5F01">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1B06B8B5">
      <w:pPr>
        <w:autoSpaceDE w:val="0"/>
        <w:autoSpaceDN w:val="0"/>
        <w:adjustRightInd w:val="0"/>
        <w:spacing w:line="600" w:lineRule="exact"/>
        <w:ind w:firstLine="643" w:firstLineChars="200"/>
        <w:jc w:val="left"/>
        <w:outlineLvl w:val="2"/>
        <w:rPr>
          <w:rFonts w:ascii="仿宋" w:hAnsi="仿宋" w:eastAsia="仿宋"/>
          <w:b/>
          <w:sz w:val="32"/>
          <w:szCs w:val="32"/>
        </w:rPr>
      </w:pPr>
      <w:bookmarkStart w:id="48" w:name="_Toc15377224"/>
      <w:r>
        <w:rPr>
          <w:rFonts w:hint="eastAsia" w:ascii="仿宋" w:hAnsi="仿宋" w:eastAsia="仿宋"/>
          <w:b/>
          <w:sz w:val="32"/>
          <w:szCs w:val="32"/>
        </w:rPr>
        <w:t>（三）国有资产占有使用情况</w:t>
      </w:r>
      <w:bookmarkEnd w:id="48"/>
    </w:p>
    <w:p w14:paraId="05C63261">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r>
        <w:rPr>
          <w:rFonts w:hint="eastAsia"/>
          <w:sz w:val="32"/>
          <w:szCs w:val="32"/>
        </w:rPr>
        <w:t>峨边彝族自治县勒乌乡人民政府</w:t>
      </w:r>
      <w:r>
        <w:rPr>
          <w:rFonts w:hint="eastAsia" w:ascii="仿宋_GB2312" w:eastAsia="仿宋_GB2312"/>
          <w:sz w:val="32"/>
          <w:szCs w:val="32"/>
        </w:rPr>
        <w:t>共有车辆</w:t>
      </w:r>
      <w:r>
        <w:rPr>
          <w:rFonts w:ascii="仿宋_GB2312" w:eastAsia="仿宋_GB2312"/>
          <w:sz w:val="32"/>
          <w:szCs w:val="32"/>
        </w:rPr>
        <w:t>1</w:t>
      </w:r>
      <w:r>
        <w:rPr>
          <w:rFonts w:hint="eastAsia" w:ascii="仿宋_GB2312" w:eastAsia="仿宋_GB2312"/>
          <w:sz w:val="32"/>
          <w:szCs w:val="32"/>
        </w:rPr>
        <w:t>辆，其中：主要领导干部用车1辆。</w:t>
      </w:r>
    </w:p>
    <w:p w14:paraId="25D9409A">
      <w:pPr>
        <w:autoSpaceDE w:val="0"/>
        <w:autoSpaceDN w:val="0"/>
        <w:adjustRightInd w:val="0"/>
        <w:spacing w:line="600" w:lineRule="exact"/>
        <w:ind w:firstLine="643" w:firstLineChars="200"/>
        <w:jc w:val="left"/>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表，按部门决算报表填报数据罗列车辆情况）</w:t>
      </w:r>
    </w:p>
    <w:p w14:paraId="56304C8A">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2875B320">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根据预算绩效管理要求，本部门在2023年度预算编制阶段，组织对</w:t>
      </w:r>
      <w:r>
        <w:rPr>
          <w:rFonts w:ascii="仿宋_GB2312" w:hAnsi="仿宋_GB2312" w:eastAsia="仿宋_GB2312" w:cs="仿宋_GB2312"/>
          <w:sz w:val="32"/>
          <w:szCs w:val="32"/>
        </w:rPr>
        <w:t>乡镇农村人居环境整治</w:t>
      </w:r>
      <w:r>
        <w:rPr>
          <w:rFonts w:hint="eastAsia" w:ascii="仿宋_GB2312" w:hAnsi="仿宋_GB2312" w:eastAsia="仿宋_GB2312" w:cs="仿宋_GB2312"/>
          <w:sz w:val="32"/>
          <w:szCs w:val="32"/>
        </w:rPr>
        <w:t>考核奖补资金、垃圾车运营维护费、村（</w:t>
      </w:r>
      <w:r>
        <w:rPr>
          <w:rFonts w:hint="eastAsia" w:ascii="仿宋_GB2312" w:hAnsi="仿宋_GB2312" w:eastAsia="仿宋_GB2312" w:cs="仿宋_GB2312"/>
          <w:sz w:val="32"/>
          <w:szCs w:val="32"/>
          <w:lang w:eastAsia="zh-CN"/>
        </w:rPr>
        <w:t>社区</w:t>
      </w:r>
      <w:r>
        <w:rPr>
          <w:rFonts w:hint="eastAsia" w:ascii="仿宋_GB2312" w:hAnsi="仿宋_GB2312" w:eastAsia="仿宋_GB2312" w:cs="仿宋_GB2312"/>
          <w:sz w:val="32"/>
          <w:szCs w:val="32"/>
        </w:rPr>
        <w:t>）干部养老保险补助意外伤害保险、基层组织和农村公共服务运行维护费项目（项目名称）等</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个项目开展了预算事前绩效评估，对</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个项目编制了绩效目标，预算执行过程中，选取</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个项目开展绩效监控。</w:t>
      </w:r>
    </w:p>
    <w:p w14:paraId="6680D945">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织对2023年度一般公共预算、政府性基金预算、国有资本经营预算、社会保险基金预算以及资本资产、债券资金等全面开展绩效自评，形成峨边彝族自治县勒乌乡人民政府部门整体（含部门预算项目）绩效自评报告、</w:t>
      </w:r>
      <w:r>
        <w:rPr>
          <w:rFonts w:ascii="仿宋_GB2312" w:hAnsi="仿宋_GB2312" w:eastAsia="仿宋_GB2312" w:cs="仿宋_GB2312"/>
          <w:sz w:val="32"/>
          <w:szCs w:val="32"/>
        </w:rPr>
        <w:t>乡镇农村人居环境整治</w:t>
      </w:r>
      <w:r>
        <w:rPr>
          <w:rFonts w:hint="eastAsia" w:ascii="仿宋_GB2312" w:hAnsi="仿宋_GB2312" w:eastAsia="仿宋_GB2312" w:cs="仿宋_GB2312"/>
          <w:sz w:val="32"/>
          <w:szCs w:val="32"/>
        </w:rPr>
        <w:t>等专项预算项目绩效自评报告，其中，</w:t>
      </w:r>
      <w:r>
        <w:rPr>
          <w:rFonts w:ascii="仿宋_GB2312" w:hAnsi="仿宋_GB2312" w:eastAsia="仿宋_GB2312" w:cs="仿宋_GB2312"/>
          <w:sz w:val="32"/>
          <w:szCs w:val="32"/>
        </w:rPr>
        <w:t>乡镇农村人居环境整治</w:t>
      </w:r>
      <w:r>
        <w:rPr>
          <w:rFonts w:hint="eastAsia" w:ascii="仿宋_GB2312" w:hAnsi="仿宋_GB2312" w:eastAsia="仿宋_GB2312" w:cs="仿宋_GB2312"/>
          <w:sz w:val="32"/>
          <w:szCs w:val="32"/>
        </w:rPr>
        <w:t>整体（含部门预算项目）绩效自评得分为98分；垃圾车运营维护费专项预算项目绩效自评得分为9</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分；村（</w:t>
      </w:r>
      <w:r>
        <w:rPr>
          <w:rFonts w:hint="eastAsia" w:ascii="仿宋_GB2312" w:hAnsi="仿宋_GB2312" w:eastAsia="仿宋_GB2312" w:cs="仿宋_GB2312"/>
          <w:sz w:val="32"/>
          <w:szCs w:val="32"/>
          <w:lang w:eastAsia="zh-CN"/>
        </w:rPr>
        <w:t>社区</w:t>
      </w:r>
      <w:r>
        <w:rPr>
          <w:rFonts w:hint="eastAsia" w:ascii="仿宋_GB2312" w:hAnsi="仿宋_GB2312" w:eastAsia="仿宋_GB2312" w:cs="仿宋_GB2312"/>
          <w:sz w:val="32"/>
          <w:szCs w:val="32"/>
        </w:rPr>
        <w:t>）干部养老保险补助意外伤害保险专项预算项目绩效自评得分为9</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分；基层组织和农村公共服务运行维护费专项预算项目绩效自评得分为</w:t>
      </w:r>
      <w:r>
        <w:rPr>
          <w:rFonts w:hint="eastAsia" w:ascii="仿宋_GB2312" w:hAnsi="仿宋_GB2312" w:eastAsia="仿宋_GB2312" w:cs="仿宋_GB2312"/>
          <w:sz w:val="32"/>
          <w:szCs w:val="32"/>
          <w:lang w:val="en-US" w:eastAsia="zh-CN"/>
        </w:rPr>
        <w:t>99</w:t>
      </w:r>
      <w:r>
        <w:rPr>
          <w:rFonts w:hint="eastAsia" w:ascii="仿宋_GB2312" w:hAnsi="仿宋_GB2312" w:eastAsia="仿宋_GB2312" w:cs="仿宋_GB2312"/>
          <w:sz w:val="32"/>
          <w:szCs w:val="32"/>
        </w:rPr>
        <w:t>分。绩效自评报告详见附件。</w:t>
      </w:r>
    </w:p>
    <w:p w14:paraId="7CDF6732">
      <w:pPr>
        <w:pStyle w:val="3"/>
        <w:jc w:val="center"/>
      </w:pPr>
      <w:r>
        <w:rPr>
          <w:rFonts w:hint="eastAsia"/>
        </w:rPr>
        <w:t>第三部分 名词解释</w:t>
      </w:r>
    </w:p>
    <w:p w14:paraId="59C1D0F5"/>
    <w:p w14:paraId="7CFCD7ED">
      <w:pPr>
        <w:spacing w:line="576" w:lineRule="exact"/>
        <w:ind w:firstLine="64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1.财政拨款收入：指单位从同级财政部门取得的财政预算资金。</w:t>
      </w:r>
    </w:p>
    <w:p w14:paraId="13A7B095">
      <w:pPr>
        <w:spacing w:line="576" w:lineRule="exact"/>
        <w:ind w:firstLine="64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2.事业收入：指事业单位开展专业业务活动及辅助活动取得的收入。</w:t>
      </w:r>
    </w:p>
    <w:p w14:paraId="17570F3F">
      <w:pPr>
        <w:spacing w:line="576" w:lineRule="exact"/>
        <w:ind w:firstLine="64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3.经营收入：指事业单位在专业业务活动及其辅助活动之外开展非独立核算经营活动取得的收入。</w:t>
      </w:r>
    </w:p>
    <w:p w14:paraId="3A368C40">
      <w:pPr>
        <w:spacing w:line="576" w:lineRule="exact"/>
        <w:ind w:firstLine="64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4.其他收入：指单位取得的除上述收入以外的各项收入。</w:t>
      </w:r>
    </w:p>
    <w:p w14:paraId="45FC4925">
      <w:pPr>
        <w:spacing w:line="576" w:lineRule="exact"/>
        <w:ind w:firstLine="64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 xml:space="preserve">5.使用非财政拨款结余：指事业单位使用以前年度积累的非财政拨款结余弥补当年收支差额的金额。 </w:t>
      </w:r>
    </w:p>
    <w:p w14:paraId="33F46375">
      <w:pPr>
        <w:spacing w:line="576" w:lineRule="exact"/>
        <w:ind w:firstLine="64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 xml:space="preserve">6.年初结转和结余：指以前年度尚未完成、结转到本年按有关规定继续使用的资金。 </w:t>
      </w:r>
    </w:p>
    <w:p w14:paraId="0C29A26C">
      <w:pPr>
        <w:spacing w:line="576" w:lineRule="exact"/>
        <w:ind w:firstLine="64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7.结余分配：指事业单位按照会计制度规定缴纳的所得税、提取的专用结余以及转入非财政拨款结余的金额等。</w:t>
      </w:r>
    </w:p>
    <w:p w14:paraId="631F7F87">
      <w:pPr>
        <w:spacing w:line="576" w:lineRule="exact"/>
        <w:ind w:firstLine="64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8.年末结转和结余：指单位按有关规定结转到下年或以后年度继续使用的资金。</w:t>
      </w:r>
    </w:p>
    <w:p w14:paraId="598DCED7">
      <w:pPr>
        <w:ind w:firstLine="64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9、一般公共服务（类）政府办公厅（室）及相关机构事务（款）行政运行（项）</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 xml:space="preserve">  指反映行政单位（包括实行公务员管理的事业单位）的基本支出。</w:t>
      </w:r>
    </w:p>
    <w:p w14:paraId="35F25EB6">
      <w:pPr>
        <w:pStyle w:val="29"/>
        <w:spacing w:line="560" w:lineRule="exact"/>
        <w:ind w:firstLine="640" w:firstLineChars="200"/>
        <w:rPr>
          <w:rFonts w:hAnsi="仿宋" w:cs="宋体"/>
          <w:color w:val="000000" w:themeColor="text1"/>
          <w:sz w:val="32"/>
          <w:szCs w:val="32"/>
          <w14:textFill>
            <w14:solidFill>
              <w14:schemeClr w14:val="tx1"/>
            </w14:solidFill>
          </w14:textFill>
        </w:rPr>
      </w:pPr>
      <w:r>
        <w:rPr>
          <w:rFonts w:hint="eastAsia" w:hAnsi="仿宋" w:cs="宋体"/>
          <w:color w:val="000000" w:themeColor="text1"/>
          <w:sz w:val="32"/>
          <w:szCs w:val="32"/>
          <w14:textFill>
            <w14:solidFill>
              <w14:schemeClr w14:val="tx1"/>
            </w14:solidFill>
          </w14:textFill>
        </w:rPr>
        <w:t>10、一般公共服务（类）政府办公厅（室）及相关机构事务（款）事业运行（项）</w:t>
      </w:r>
      <w:r>
        <w:rPr>
          <w:rFonts w:hint="eastAsia" w:hAnsi="仿宋" w:cs="宋体"/>
          <w:color w:val="000000" w:themeColor="text1"/>
          <w:sz w:val="32"/>
          <w:szCs w:val="32"/>
          <w:lang w:eastAsia="zh-CN"/>
          <w14:textFill>
            <w14:solidFill>
              <w14:schemeClr w14:val="tx1"/>
            </w14:solidFill>
          </w14:textFill>
        </w:rPr>
        <w:t>：</w:t>
      </w:r>
      <w:r>
        <w:rPr>
          <w:rFonts w:hint="eastAsia" w:hAnsi="仿宋" w:cs="宋体"/>
          <w:color w:val="000000" w:themeColor="text1"/>
          <w:sz w:val="32"/>
          <w:szCs w:val="32"/>
          <w14:textFill>
            <w14:solidFill>
              <w14:schemeClr w14:val="tx1"/>
            </w14:solidFill>
          </w14:textFill>
        </w:rPr>
        <w:t>指反映事业单位的基本支出，不包括行政单位（包括实行公务员管理的事业单位）后勤服务中心、医务室等附属事业单位。</w:t>
      </w:r>
    </w:p>
    <w:p w14:paraId="6808FEAB">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11、一般公共服务（类）政府办公厅（室）及相关机构事务（款）一般行政管理事务（项）</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反映行政单位（包括实行公务员管理的事业单位）未单独设置项级科目的其他项目支出。</w:t>
      </w:r>
    </w:p>
    <w:p w14:paraId="7C66919E">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12、社会保障和就业支出（类）行政事业单位离退休（款）机关事业单位基本养老保险缴费支出（项）</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 xml:space="preserve"> 指反映机关事业单位实施养老保险制度由单位缴纳的基本养老保险费支出。</w:t>
      </w:r>
    </w:p>
    <w:p w14:paraId="77DCFE0D">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13、社会保障和就业支出（类）行政事业单位离退休（款）机关事业单位职业年金缴费支出（项）</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 xml:space="preserve"> 指反映机关事业单位实施养老保险制度由单位实际缴纳的职业年金支出。</w:t>
      </w:r>
    </w:p>
    <w:p w14:paraId="6A0834D3">
      <w:pPr>
        <w:pStyle w:val="15"/>
        <w:ind w:firstLine="640"/>
        <w:jc w:val="both"/>
        <w:rPr>
          <w:rFonts w:ascii="仿宋" w:hAnsi="仿宋" w:eastAsia="仿宋" w:cs="宋体"/>
          <w:b w:val="0"/>
          <w:bCs w:val="0"/>
          <w:color w:val="000000" w:themeColor="text1"/>
          <w:kern w:val="0"/>
          <w14:textFill>
            <w14:solidFill>
              <w14:schemeClr w14:val="tx1"/>
            </w14:solidFill>
          </w14:textFill>
        </w:rPr>
      </w:pPr>
      <w:r>
        <w:rPr>
          <w:rFonts w:hint="eastAsia" w:ascii="仿宋" w:hAnsi="仿宋" w:eastAsia="仿宋" w:cs="宋体"/>
          <w:b w:val="0"/>
          <w:bCs w:val="0"/>
          <w:color w:val="000000" w:themeColor="text1"/>
          <w:kern w:val="0"/>
          <w14:textFill>
            <w14:solidFill>
              <w14:schemeClr w14:val="tx1"/>
            </w14:solidFill>
          </w14:textFill>
        </w:rPr>
        <w:t>14、社会保障和就业支出（类）抚恤（款）死亡抚恤（项）：指反映按规定用于烈士和牺牲、病故人员家属的一次性和定期抚恤金、丧葬补助费以及烈士褒扬金。</w:t>
      </w:r>
    </w:p>
    <w:p w14:paraId="6C77811D">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15、社会保障和就业支出（类）其他社会保障和就业支出（款）其他社会保障和就业支出（项）</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 xml:space="preserve"> 指反映其他用于社会保障和就业方面的支出。</w:t>
      </w:r>
    </w:p>
    <w:p w14:paraId="23E0186B">
      <w:pPr>
        <w:pStyle w:val="15"/>
        <w:ind w:firstLine="640" w:firstLineChars="200"/>
        <w:jc w:val="both"/>
        <w:rPr>
          <w:rFonts w:ascii="仿宋" w:hAnsi="仿宋" w:eastAsia="仿宋" w:cs="宋体"/>
          <w:b w:val="0"/>
          <w:bCs w:val="0"/>
          <w:color w:val="000000" w:themeColor="text1"/>
          <w:kern w:val="0"/>
          <w14:textFill>
            <w14:solidFill>
              <w14:schemeClr w14:val="tx1"/>
            </w14:solidFill>
          </w14:textFill>
        </w:rPr>
      </w:pPr>
      <w:r>
        <w:rPr>
          <w:rFonts w:hint="eastAsia" w:ascii="仿宋" w:hAnsi="仿宋" w:eastAsia="仿宋" w:cs="宋体"/>
          <w:b w:val="0"/>
          <w:bCs w:val="0"/>
          <w:color w:val="000000" w:themeColor="text1"/>
          <w:kern w:val="0"/>
          <w14:textFill>
            <w14:solidFill>
              <w14:schemeClr w14:val="tx1"/>
            </w14:solidFill>
          </w14:textFill>
        </w:rPr>
        <w:t>16、卫生健康支出（类）计划生育事务（款）其他计划生育事务支出（项）</w:t>
      </w:r>
      <w:r>
        <w:rPr>
          <w:rFonts w:hint="eastAsia" w:ascii="仿宋" w:hAnsi="仿宋" w:eastAsia="仿宋" w:cs="宋体"/>
          <w:b w:val="0"/>
          <w:bCs w:val="0"/>
          <w:color w:val="000000" w:themeColor="text1"/>
          <w:kern w:val="0"/>
          <w:lang w:eastAsia="zh-CN"/>
          <w14:textFill>
            <w14:solidFill>
              <w14:schemeClr w14:val="tx1"/>
            </w14:solidFill>
          </w14:textFill>
        </w:rPr>
        <w:t>：</w:t>
      </w:r>
      <w:r>
        <w:rPr>
          <w:rFonts w:hint="eastAsia" w:ascii="仿宋" w:hAnsi="仿宋" w:eastAsia="仿宋" w:cs="宋体"/>
          <w:b w:val="0"/>
          <w:bCs w:val="0"/>
          <w:color w:val="000000" w:themeColor="text1"/>
          <w:kern w:val="0"/>
          <w14:textFill>
            <w14:solidFill>
              <w14:schemeClr w14:val="tx1"/>
            </w14:solidFill>
          </w14:textFill>
        </w:rPr>
        <w:t>指反映除卫生健康部门所属计划生育机构的支出和计划生育服务支出外其他用于计划生育管理事务方面的支出。</w:t>
      </w:r>
    </w:p>
    <w:p w14:paraId="3F826BDB">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17、卫生健康支出（类）行政事业单位医疗（款）行政单位医疗（项）</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 xml:space="preserve"> 指反映财政部门安排的行政单位（包括实行公务员管理的事业单位）基本医疗保险缴费经费，未参加医疗保险的行政单位的公费医疗经费，按国家规定享受离休人员、红军老战士待遇的医疗经费。</w:t>
      </w:r>
    </w:p>
    <w:p w14:paraId="53A41FAA">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18、卫生健康支出（类）行政事业单位医疗（款）公务员医疗补助（项）</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指反映财政部门安排的公务员医疗补助经费。</w:t>
      </w:r>
    </w:p>
    <w:p w14:paraId="09A7AE05">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19、农林水支出（类）巩固脱贫衔接乡村振兴（款）农村基础设施建设（项）</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指反映农村欠发达地区乡村道路、住房、基本农田、水利设施、人畜饮水、生态环境保护等生产生活条件改善方面的支出。</w:t>
      </w:r>
    </w:p>
    <w:p w14:paraId="6D8EFEEE">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20、农林水支出（类）农村综合改革（款）对村民委员会和村党支部的补助（项）</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指反映各级财政对村民委员会和村党支部的补助支出，以及支持建立县级基本财力保障机制安排的村级组织运转奖补资金。</w:t>
      </w:r>
    </w:p>
    <w:p w14:paraId="188F042C">
      <w:pPr>
        <w:pStyle w:val="15"/>
        <w:ind w:firstLine="640" w:firstLineChars="200"/>
        <w:jc w:val="both"/>
        <w:rPr>
          <w:rFonts w:ascii="仿宋" w:hAnsi="仿宋" w:eastAsia="仿宋" w:cs="宋体"/>
          <w:b w:val="0"/>
          <w:bCs w:val="0"/>
          <w:color w:val="000000" w:themeColor="text1"/>
          <w:kern w:val="0"/>
          <w14:textFill>
            <w14:solidFill>
              <w14:schemeClr w14:val="tx1"/>
            </w14:solidFill>
          </w14:textFill>
        </w:rPr>
      </w:pPr>
      <w:r>
        <w:rPr>
          <w:rFonts w:hint="eastAsia" w:ascii="仿宋" w:hAnsi="仿宋" w:eastAsia="仿宋" w:cs="宋体"/>
          <w:b w:val="0"/>
          <w:bCs w:val="0"/>
          <w:color w:val="000000" w:themeColor="text1"/>
          <w:kern w:val="0"/>
          <w14:textFill>
            <w14:solidFill>
              <w14:schemeClr w14:val="tx1"/>
            </w14:solidFill>
          </w14:textFill>
        </w:rPr>
        <w:t>21、农林水支出（类）巩固脱贫衔接乡村振兴（款）其他巩固脱贫衔接乡村振兴支出（项）</w:t>
      </w:r>
      <w:r>
        <w:rPr>
          <w:rFonts w:hint="eastAsia" w:ascii="仿宋" w:hAnsi="仿宋" w:eastAsia="仿宋" w:cs="宋体"/>
          <w:b w:val="0"/>
          <w:bCs w:val="0"/>
          <w:color w:val="000000" w:themeColor="text1"/>
          <w:kern w:val="0"/>
          <w:lang w:eastAsia="zh-CN"/>
          <w14:textFill>
            <w14:solidFill>
              <w14:schemeClr w14:val="tx1"/>
            </w14:solidFill>
          </w14:textFill>
        </w:rPr>
        <w:t>：</w:t>
      </w:r>
      <w:r>
        <w:rPr>
          <w:rFonts w:hint="eastAsia" w:ascii="仿宋" w:hAnsi="仿宋" w:eastAsia="仿宋" w:cs="宋体"/>
          <w:b w:val="0"/>
          <w:bCs w:val="0"/>
          <w:color w:val="000000" w:themeColor="text1"/>
          <w:kern w:val="0"/>
          <w14:textFill>
            <w14:solidFill>
              <w14:schemeClr w14:val="tx1"/>
            </w14:solidFill>
          </w14:textFill>
        </w:rPr>
        <w:t>指反映除行政运行、一般行政管理事务、机关服务、农村基础设施建设、生产发展、社会发展、贷款奖补和贴息、“三西”农业建设专项补助等项以外其他用于巩固拓展脱贫攻坚成果同乡村振兴有效衔接方面的支出。</w:t>
      </w:r>
    </w:p>
    <w:p w14:paraId="61CF1B10">
      <w:pPr>
        <w:pStyle w:val="15"/>
        <w:ind w:firstLine="640" w:firstLineChars="200"/>
        <w:jc w:val="both"/>
        <w:rPr>
          <w:rFonts w:ascii="仿宋" w:hAnsi="仿宋" w:eastAsia="仿宋" w:cs="宋体"/>
          <w:b w:val="0"/>
          <w:bCs w:val="0"/>
          <w:color w:val="000000" w:themeColor="text1"/>
          <w:kern w:val="0"/>
          <w14:textFill>
            <w14:solidFill>
              <w14:schemeClr w14:val="tx1"/>
            </w14:solidFill>
          </w14:textFill>
        </w:rPr>
      </w:pPr>
      <w:r>
        <w:rPr>
          <w:rFonts w:hint="eastAsia" w:ascii="仿宋" w:hAnsi="仿宋" w:eastAsia="仿宋" w:cs="宋体"/>
          <w:b w:val="0"/>
          <w:bCs w:val="0"/>
          <w:color w:val="000000" w:themeColor="text1"/>
          <w:kern w:val="0"/>
          <w14:textFill>
            <w14:solidFill>
              <w14:schemeClr w14:val="tx1"/>
            </w14:solidFill>
          </w14:textFill>
        </w:rPr>
        <w:t>22、农林水支出（类）农村综合改革（款）农村综合改革示范试点补助（项）</w:t>
      </w:r>
      <w:r>
        <w:rPr>
          <w:rFonts w:hint="eastAsia" w:ascii="仿宋" w:hAnsi="仿宋" w:eastAsia="仿宋" w:cs="宋体"/>
          <w:b w:val="0"/>
          <w:bCs w:val="0"/>
          <w:color w:val="000000" w:themeColor="text1"/>
          <w:kern w:val="0"/>
          <w:lang w:eastAsia="zh-CN"/>
          <w14:textFill>
            <w14:solidFill>
              <w14:schemeClr w14:val="tx1"/>
            </w14:solidFill>
          </w14:textFill>
        </w:rPr>
        <w:t>：</w:t>
      </w:r>
      <w:r>
        <w:rPr>
          <w:rFonts w:hint="eastAsia" w:ascii="仿宋" w:hAnsi="仿宋" w:eastAsia="仿宋" w:cs="宋体"/>
          <w:b w:val="0"/>
          <w:bCs w:val="0"/>
          <w:color w:val="000000" w:themeColor="text1"/>
          <w:kern w:val="0"/>
          <w14:textFill>
            <w14:solidFill>
              <w14:schemeClr w14:val="tx1"/>
            </w14:solidFill>
          </w14:textFill>
        </w:rPr>
        <w:t>指反映各级财政对农村综合改革示范试点、新型农业社会化服务体系建设等补助支出。</w:t>
      </w:r>
    </w:p>
    <w:p w14:paraId="0053C367">
      <w:pPr>
        <w:pStyle w:val="15"/>
        <w:autoSpaceDE w:val="0"/>
        <w:autoSpaceDN w:val="0"/>
        <w:adjustRightInd w:val="0"/>
        <w:ind w:firstLine="640" w:firstLineChars="200"/>
        <w:jc w:val="both"/>
        <w:rPr>
          <w:rFonts w:ascii="仿宋" w:hAnsi="仿宋" w:eastAsia="仿宋" w:cs="宋体"/>
          <w:b w:val="0"/>
          <w:bCs w:val="0"/>
          <w:color w:val="000000" w:themeColor="text1"/>
          <w:kern w:val="0"/>
          <w14:textFill>
            <w14:solidFill>
              <w14:schemeClr w14:val="tx1"/>
            </w14:solidFill>
          </w14:textFill>
        </w:rPr>
      </w:pPr>
      <w:r>
        <w:rPr>
          <w:rFonts w:hint="eastAsia" w:ascii="仿宋" w:hAnsi="仿宋" w:eastAsia="仿宋" w:cs="宋体"/>
          <w:b w:val="0"/>
          <w:bCs w:val="0"/>
          <w:color w:val="000000" w:themeColor="text1"/>
          <w:kern w:val="0"/>
          <w14:textFill>
            <w14:solidFill>
              <w14:schemeClr w14:val="tx1"/>
            </w14:solidFill>
          </w14:textFill>
        </w:rPr>
        <w:t>23、农林水支出（类）农村综合改革（款）对村级公益事业建设的补助（项）</w:t>
      </w:r>
      <w:r>
        <w:rPr>
          <w:rFonts w:hint="eastAsia" w:ascii="仿宋" w:hAnsi="仿宋" w:eastAsia="仿宋" w:cs="宋体"/>
          <w:b w:val="0"/>
          <w:bCs w:val="0"/>
          <w:color w:val="000000" w:themeColor="text1"/>
          <w:kern w:val="0"/>
          <w:lang w:eastAsia="zh-CN"/>
          <w14:textFill>
            <w14:solidFill>
              <w14:schemeClr w14:val="tx1"/>
            </w14:solidFill>
          </w14:textFill>
        </w:rPr>
        <w:t>：</w:t>
      </w:r>
      <w:r>
        <w:rPr>
          <w:rFonts w:hint="eastAsia" w:ascii="仿宋" w:hAnsi="仿宋" w:eastAsia="仿宋" w:cs="宋体"/>
          <w:b w:val="0"/>
          <w:bCs w:val="0"/>
          <w:color w:val="000000" w:themeColor="text1"/>
          <w:kern w:val="0"/>
          <w14:textFill>
            <w14:solidFill>
              <w14:schemeClr w14:val="tx1"/>
            </w14:solidFill>
          </w14:textFill>
        </w:rPr>
        <w:t>指反映农村税费改革后对村级公益事业建设的补助支出。</w:t>
      </w:r>
    </w:p>
    <w:p w14:paraId="39CACC6C">
      <w:pPr>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24、交通运输支出（类）公路水路运输（款）公路和运输安全（项）</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指反映公路和运输安全支出。</w:t>
      </w:r>
    </w:p>
    <w:p w14:paraId="67C1CAC9">
      <w:pPr>
        <w:pStyle w:val="29"/>
        <w:spacing w:line="560" w:lineRule="exact"/>
        <w:ind w:firstLine="640" w:firstLineChars="200"/>
        <w:rPr>
          <w:rFonts w:hAnsi="仿宋" w:cs="宋体"/>
          <w:color w:val="000000" w:themeColor="text1"/>
          <w:sz w:val="32"/>
          <w:szCs w:val="32"/>
          <w14:textFill>
            <w14:solidFill>
              <w14:schemeClr w14:val="tx1"/>
            </w14:solidFill>
          </w14:textFill>
        </w:rPr>
      </w:pPr>
      <w:r>
        <w:rPr>
          <w:rFonts w:hint="eastAsia" w:hAnsi="仿宋" w:cs="宋体"/>
          <w:color w:val="000000" w:themeColor="text1"/>
          <w:sz w:val="32"/>
          <w:szCs w:val="32"/>
          <w14:textFill>
            <w14:solidFill>
              <w14:schemeClr w14:val="tx1"/>
            </w14:solidFill>
          </w14:textFill>
        </w:rPr>
        <w:t>25、住房保障支出（类）住房改革支出（款）住房公积金（项）</w:t>
      </w:r>
      <w:r>
        <w:rPr>
          <w:rFonts w:hint="eastAsia" w:hAnsi="仿宋" w:cs="宋体"/>
          <w:color w:val="000000" w:themeColor="text1"/>
          <w:sz w:val="32"/>
          <w:szCs w:val="32"/>
          <w:lang w:eastAsia="zh-CN"/>
          <w14:textFill>
            <w14:solidFill>
              <w14:schemeClr w14:val="tx1"/>
            </w14:solidFill>
          </w14:textFill>
        </w:rPr>
        <w:t>：</w:t>
      </w:r>
      <w:r>
        <w:rPr>
          <w:rFonts w:hint="eastAsia" w:hAnsi="仿宋" w:cs="宋体"/>
          <w:color w:val="000000" w:themeColor="text1"/>
          <w:sz w:val="32"/>
          <w:szCs w:val="32"/>
          <w14:textFill>
            <w14:solidFill>
              <w14:schemeClr w14:val="tx1"/>
            </w14:solidFill>
          </w14:textFill>
        </w:rPr>
        <w:t>指反映行政事业单位按人力资源和社会保障部、财政部规定的基本工资和津贴补贴以及规定比例为职工缴纳的住房公积金。</w:t>
      </w:r>
    </w:p>
    <w:p w14:paraId="7987C89F">
      <w:pPr>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26、基本支出：指为保障机构正常运转、完成日常工作任务而发生的人员支出和公用支出。</w:t>
      </w:r>
    </w:p>
    <w:p w14:paraId="1BECA6FB">
      <w:pPr>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 xml:space="preserve">27、项目支出：指在基本支出之外为完成特定行政任务和事业发展目标所发生的支出。 </w:t>
      </w:r>
    </w:p>
    <w:p w14:paraId="37502B86">
      <w:pPr>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28、经营支出：指事业单位在专业业务活动及其辅助活动之外开展非独立核算经营活动发生的支出。</w:t>
      </w:r>
    </w:p>
    <w:p w14:paraId="754A7A15">
      <w:pPr>
        <w:pStyle w:val="29"/>
        <w:spacing w:line="560" w:lineRule="exact"/>
        <w:ind w:firstLine="640" w:firstLineChars="200"/>
        <w:rPr>
          <w:rFonts w:hAnsi="仿宋" w:cs="宋体"/>
          <w:color w:val="000000" w:themeColor="text1"/>
          <w:sz w:val="32"/>
          <w:szCs w:val="32"/>
          <w14:textFill>
            <w14:solidFill>
              <w14:schemeClr w14:val="tx1"/>
            </w14:solidFill>
          </w14:textFill>
        </w:rPr>
      </w:pPr>
      <w:r>
        <w:rPr>
          <w:rFonts w:hint="eastAsia" w:hAnsi="仿宋" w:cs="宋体"/>
          <w:color w:val="000000" w:themeColor="text1"/>
          <w:sz w:val="32"/>
          <w:szCs w:val="32"/>
          <w14:textFill>
            <w14:solidFill>
              <w14:schemeClr w14:val="tx1"/>
            </w14:solidFill>
          </w14:textFill>
        </w:rPr>
        <w:t>29、 “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3AA59C63">
      <w:pPr>
        <w:pStyle w:val="29"/>
        <w:spacing w:line="560" w:lineRule="exact"/>
        <w:ind w:firstLine="640" w:firstLineChars="200"/>
        <w:rPr>
          <w:rFonts w:hAnsi="仿宋" w:cs="宋体"/>
          <w:color w:val="000000" w:themeColor="text1"/>
          <w:sz w:val="32"/>
          <w:szCs w:val="32"/>
          <w14:textFill>
            <w14:solidFill>
              <w14:schemeClr w14:val="tx1"/>
            </w14:solidFill>
          </w14:textFill>
        </w:rPr>
      </w:pPr>
      <w:r>
        <w:rPr>
          <w:rFonts w:hint="eastAsia" w:hAnsi="仿宋" w:cs="宋体"/>
          <w:color w:val="000000" w:themeColor="text1"/>
          <w:sz w:val="32"/>
          <w:szCs w:val="32"/>
          <w14:textFill>
            <w14:solidFill>
              <w14:schemeClr w14:val="tx1"/>
            </w14:solidFill>
          </w14:textFill>
        </w:rPr>
        <w:t>30、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7D2F945A">
      <w:pPr>
        <w:ind w:firstLine="883" w:firstLineChars="200"/>
        <w:rPr>
          <w:rFonts w:ascii="仿宋" w:hAnsi="仿宋" w:eastAsia="仿宋"/>
          <w:b/>
          <w:sz w:val="32"/>
          <w:szCs w:val="32"/>
        </w:rPr>
      </w:pPr>
      <w:r>
        <w:rPr>
          <w:rFonts w:ascii="宋体"/>
          <w:b/>
          <w:sz w:val="44"/>
          <w:szCs w:val="44"/>
        </w:rPr>
        <w:br w:type="page"/>
      </w:r>
    </w:p>
    <w:p w14:paraId="019DB1DC">
      <w:pPr>
        <w:pStyle w:val="3"/>
        <w:jc w:val="center"/>
        <w:rPr>
          <w:rFonts w:ascii="黑体" w:hAnsi="黑体" w:eastAsia="黑体"/>
          <w:b w:val="0"/>
        </w:rPr>
      </w:pPr>
      <w:r>
        <w:rPr>
          <w:rFonts w:hint="eastAsia" w:ascii="黑体" w:hAnsi="黑体" w:eastAsia="黑体"/>
          <w:b w:val="0"/>
        </w:rPr>
        <w:t>第四部分 附件</w:t>
      </w:r>
    </w:p>
    <w:p w14:paraId="0D5722DC">
      <w:pPr>
        <w:widowControl/>
        <w:spacing w:line="580" w:lineRule="exact"/>
        <w:contextualSpacing/>
        <w:jc w:val="center"/>
        <w:rPr>
          <w:rFonts w:ascii="方正小标宋简体" w:eastAsia="方正小标宋简体"/>
          <w:sz w:val="44"/>
          <w:szCs w:val="44"/>
          <w:shd w:val="clear" w:color="auto" w:fill="FFFFFF"/>
        </w:rPr>
      </w:pPr>
      <w:r>
        <w:rPr>
          <w:rFonts w:hint="eastAsia" w:ascii="方正小标宋简体" w:hAnsi="宋体" w:eastAsia="方正小标宋简体"/>
          <w:sz w:val="44"/>
          <w:szCs w:val="44"/>
          <w:shd w:val="clear" w:color="auto" w:fill="FFFFFF"/>
          <w:lang w:eastAsia="zh-CN"/>
        </w:rPr>
        <w:t>县</w:t>
      </w:r>
      <w:r>
        <w:rPr>
          <w:rFonts w:hint="eastAsia" w:ascii="方正小标宋简体" w:hAnsi="宋体" w:eastAsia="方正小标宋简体"/>
          <w:sz w:val="44"/>
          <w:szCs w:val="44"/>
          <w:shd w:val="clear" w:color="auto" w:fill="FFFFFF"/>
        </w:rPr>
        <w:t>级部门整体绩效自评报告范本</w:t>
      </w:r>
    </w:p>
    <w:p w14:paraId="3975AFF0">
      <w:pPr>
        <w:widowControl/>
        <w:spacing w:line="580" w:lineRule="exact"/>
        <w:contextualSpacing/>
        <w:jc w:val="center"/>
        <w:rPr>
          <w:rFonts w:ascii="方正小标宋简体" w:eastAsia="方正小标宋简体"/>
          <w:sz w:val="44"/>
          <w:szCs w:val="44"/>
          <w:shd w:val="clear" w:color="auto" w:fill="FFFFFF"/>
        </w:rPr>
      </w:pPr>
      <w:r>
        <w:rPr>
          <w:rFonts w:hint="eastAsia" w:ascii="仿宋_GB2312" w:hAnsi="宋体" w:eastAsia="仿宋_GB2312"/>
          <w:szCs w:val="32"/>
          <w:shd w:val="clear" w:color="auto" w:fill="FFFFFF"/>
        </w:rPr>
        <w:t>（报告范围包括机关和下属单位）</w:t>
      </w:r>
    </w:p>
    <w:p w14:paraId="00D1C849">
      <w:pPr>
        <w:widowControl/>
        <w:adjustRightInd w:val="0"/>
        <w:snapToGrid w:val="0"/>
        <w:spacing w:line="580" w:lineRule="exact"/>
        <w:ind w:firstLine="660" w:firstLineChars="200"/>
        <w:contextualSpacing/>
        <w:jc w:val="left"/>
        <w:rPr>
          <w:rFonts w:ascii="方正仿宋_GBK" w:hAnsi="宋体" w:eastAsia="方正仿宋_GBK" w:cs="宋体"/>
          <w:color w:val="000000"/>
          <w:kern w:val="0"/>
          <w:sz w:val="33"/>
          <w:szCs w:val="33"/>
          <w:shd w:val="clear" w:color="auto" w:fill="FFFFFF"/>
        </w:rPr>
      </w:pPr>
    </w:p>
    <w:p w14:paraId="7C9C5418">
      <w:pPr>
        <w:widowControl/>
        <w:adjustRightInd w:val="0"/>
        <w:snapToGrid w:val="0"/>
        <w:spacing w:line="580" w:lineRule="exact"/>
        <w:ind w:firstLine="720" w:firstLineChars="200"/>
        <w:contextualSpacing/>
        <w:jc w:val="left"/>
        <w:rPr>
          <w:rFonts w:ascii="黑体" w:hAnsi="黑体" w:eastAsia="黑体" w:cs="宋体"/>
          <w:color w:val="000000"/>
          <w:kern w:val="0"/>
          <w:sz w:val="36"/>
          <w:szCs w:val="36"/>
          <w:shd w:val="clear" w:color="auto" w:fill="FFFFFF"/>
          <w:lang w:val="zh-CN"/>
        </w:rPr>
      </w:pPr>
      <w:r>
        <w:rPr>
          <w:rFonts w:hint="eastAsia" w:ascii="黑体" w:hAnsi="黑体" w:eastAsia="黑体" w:cs="宋体"/>
          <w:color w:val="000000"/>
          <w:kern w:val="0"/>
          <w:sz w:val="36"/>
          <w:szCs w:val="36"/>
          <w:shd w:val="clear" w:color="auto" w:fill="FFFFFF"/>
        </w:rPr>
        <w:t>一、</w:t>
      </w:r>
      <w:r>
        <w:rPr>
          <w:rFonts w:hint="eastAsia" w:ascii="黑体" w:hAnsi="黑体" w:eastAsia="黑体" w:cs="宋体"/>
          <w:color w:val="000000"/>
          <w:kern w:val="0"/>
          <w:sz w:val="36"/>
          <w:szCs w:val="36"/>
          <w:shd w:val="clear" w:color="auto" w:fill="FFFFFF"/>
          <w:lang w:val="zh-CN"/>
        </w:rPr>
        <w:t>部门基本情况</w:t>
      </w:r>
    </w:p>
    <w:p w14:paraId="2AA52014">
      <w:pPr>
        <w:widowControl/>
        <w:numPr>
          <w:ilvl w:val="0"/>
          <w:numId w:val="0"/>
        </w:numPr>
        <w:adjustRightInd w:val="0"/>
        <w:snapToGrid w:val="0"/>
        <w:spacing w:line="580" w:lineRule="exact"/>
        <w:ind w:firstLine="640" w:firstLineChars="200"/>
        <w:contextualSpacing/>
        <w:jc w:val="left"/>
        <w:rPr>
          <w:rFonts w:hint="eastAsia" w:ascii="楷体_GB2312" w:hAnsi="宋体" w:eastAsia="楷体_GB2312" w:cs="宋体"/>
          <w:color w:val="000000"/>
          <w:kern w:val="0"/>
          <w:sz w:val="32"/>
          <w:szCs w:val="48"/>
          <w:shd w:val="clear" w:color="auto" w:fill="FFFFFF"/>
          <w:lang w:val="zh-CN"/>
        </w:rPr>
      </w:pPr>
      <w:r>
        <w:rPr>
          <w:rFonts w:hint="eastAsia" w:ascii="楷体_GB2312" w:hAnsi="宋体" w:eastAsia="楷体_GB2312" w:cs="宋体"/>
          <w:color w:val="000000"/>
          <w:kern w:val="0"/>
          <w:sz w:val="32"/>
          <w:szCs w:val="48"/>
          <w:shd w:val="clear" w:color="auto" w:fill="FFFFFF"/>
          <w:lang w:val="zh-CN"/>
        </w:rPr>
        <w:t>（一）机构组成。</w:t>
      </w:r>
    </w:p>
    <w:p w14:paraId="1F6554B1">
      <w:pPr>
        <w:widowControl/>
        <w:adjustRightInd w:val="0"/>
        <w:snapToGrid w:val="0"/>
        <w:spacing w:line="580" w:lineRule="exact"/>
        <w:ind w:firstLine="640" w:firstLineChars="200"/>
        <w:contextualSpacing/>
        <w:jc w:val="left"/>
        <w:rPr>
          <w:rFonts w:hint="eastAsia" w:ascii="楷体_GB2312" w:hAnsi="宋体" w:eastAsia="楷体_GB2312" w:cs="宋体"/>
          <w:color w:val="000000"/>
          <w:kern w:val="0"/>
          <w:szCs w:val="32"/>
          <w:shd w:val="clear" w:color="auto" w:fill="FFFFFF"/>
          <w:lang w:val="zh-CN"/>
        </w:rPr>
      </w:pPr>
      <w:r>
        <w:rPr>
          <w:rStyle w:val="20"/>
          <w:rFonts w:hint="eastAsia" w:ascii="仿宋_GB2312" w:hAnsi="宋体" w:eastAsia="仿宋_GB2312" w:cs="仿宋_GB2312"/>
          <w:b w:val="0"/>
          <w:bCs w:val="0"/>
          <w:i w:val="0"/>
          <w:iCs w:val="0"/>
          <w:caps w:val="0"/>
          <w:color w:val="000000"/>
          <w:spacing w:val="0"/>
          <w:sz w:val="32"/>
          <w:szCs w:val="32"/>
          <w:shd w:val="clear" w:fill="FFFFFF"/>
          <w:lang w:val="en-US" w:eastAsia="zh-CN"/>
        </w:rPr>
        <w:t>勒乌乡</w:t>
      </w:r>
      <w:r>
        <w:rPr>
          <w:rStyle w:val="20"/>
          <w:rFonts w:ascii="仿宋_GB2312" w:hAnsi="宋体" w:eastAsia="仿宋_GB2312" w:cs="仿宋_GB2312"/>
          <w:b w:val="0"/>
          <w:bCs w:val="0"/>
          <w:i w:val="0"/>
          <w:iCs w:val="0"/>
          <w:caps w:val="0"/>
          <w:color w:val="000000"/>
          <w:spacing w:val="0"/>
          <w:sz w:val="32"/>
          <w:szCs w:val="32"/>
          <w:shd w:val="clear" w:fill="FFFFFF"/>
        </w:rPr>
        <w:t>人民政府属行政单位，</w:t>
      </w:r>
      <w:r>
        <w:rPr>
          <w:rStyle w:val="20"/>
          <w:rFonts w:hint="default" w:ascii="仿宋_GB2312" w:hAnsi="宋体" w:eastAsia="仿宋_GB2312" w:cs="仿宋_GB2312"/>
          <w:b w:val="0"/>
          <w:bCs w:val="0"/>
          <w:i w:val="0"/>
          <w:iCs w:val="0"/>
          <w:caps w:val="0"/>
          <w:color w:val="000000"/>
          <w:spacing w:val="0"/>
          <w:sz w:val="32"/>
          <w:szCs w:val="32"/>
          <w:shd w:val="clear" w:fill="FFFFFF"/>
        </w:rPr>
        <w:t>内设</w:t>
      </w:r>
      <w:r>
        <w:rPr>
          <w:rStyle w:val="20"/>
          <w:rFonts w:hint="eastAsia" w:ascii="仿宋_GB2312" w:hAnsi="宋体" w:eastAsia="仿宋_GB2312" w:cs="仿宋_GB2312"/>
          <w:b w:val="0"/>
          <w:bCs w:val="0"/>
          <w:i w:val="0"/>
          <w:iCs w:val="0"/>
          <w:caps w:val="0"/>
          <w:color w:val="000000"/>
          <w:spacing w:val="0"/>
          <w:sz w:val="32"/>
          <w:szCs w:val="32"/>
          <w:shd w:val="clear" w:fill="FFFFFF"/>
          <w:lang w:val="en-US" w:eastAsia="zh-CN"/>
        </w:rPr>
        <w:t>五</w:t>
      </w:r>
      <w:r>
        <w:rPr>
          <w:rStyle w:val="20"/>
          <w:rFonts w:hint="default" w:ascii="仿宋_GB2312" w:hAnsi="宋体" w:eastAsia="仿宋_GB2312" w:cs="仿宋_GB2312"/>
          <w:b w:val="0"/>
          <w:bCs w:val="0"/>
          <w:i w:val="0"/>
          <w:iCs w:val="0"/>
          <w:caps w:val="0"/>
          <w:color w:val="000000"/>
          <w:spacing w:val="0"/>
          <w:sz w:val="32"/>
          <w:szCs w:val="32"/>
          <w:shd w:val="clear" w:fill="FFFFFF"/>
        </w:rPr>
        <w:t>办一所</w:t>
      </w:r>
      <w:r>
        <w:rPr>
          <w:rStyle w:val="20"/>
          <w:rFonts w:hint="eastAsia" w:ascii="仿宋_GB2312" w:hAnsi="宋体" w:eastAsia="仿宋_GB2312" w:cs="仿宋_GB2312"/>
          <w:b w:val="0"/>
          <w:bCs w:val="0"/>
          <w:i w:val="0"/>
          <w:iCs w:val="0"/>
          <w:caps w:val="0"/>
          <w:color w:val="000000"/>
          <w:spacing w:val="0"/>
          <w:sz w:val="32"/>
          <w:szCs w:val="32"/>
          <w:shd w:val="clear" w:fill="FFFFFF"/>
          <w:lang w:val="en-US" w:eastAsia="zh-CN"/>
        </w:rPr>
        <w:t>两</w:t>
      </w:r>
      <w:r>
        <w:rPr>
          <w:rStyle w:val="20"/>
          <w:rFonts w:hint="default" w:ascii="仿宋_GB2312" w:hAnsi="宋体" w:eastAsia="仿宋_GB2312" w:cs="仿宋_GB2312"/>
          <w:b w:val="0"/>
          <w:bCs w:val="0"/>
          <w:i w:val="0"/>
          <w:iCs w:val="0"/>
          <w:caps w:val="0"/>
          <w:color w:val="000000"/>
          <w:spacing w:val="0"/>
          <w:sz w:val="32"/>
          <w:szCs w:val="32"/>
          <w:shd w:val="clear" w:fill="FFFFFF"/>
        </w:rPr>
        <w:t>中心。包括党政办、党建办公室、规划建设管理办公室、乡村振兴办公室、综合执法办公室、财政所、便民服务中心、农业综合服务中心、综治中心、文化旅游服务中心。</w:t>
      </w:r>
    </w:p>
    <w:p w14:paraId="37A2B3A3">
      <w:pPr>
        <w:widowControl/>
        <w:numPr>
          <w:ilvl w:val="0"/>
          <w:numId w:val="0"/>
        </w:numPr>
        <w:adjustRightInd w:val="0"/>
        <w:snapToGrid w:val="0"/>
        <w:spacing w:line="580" w:lineRule="exact"/>
        <w:ind w:firstLine="640" w:firstLineChars="200"/>
        <w:contextualSpacing/>
        <w:jc w:val="left"/>
        <w:rPr>
          <w:rFonts w:hint="eastAsia" w:ascii="楷体_GB2312" w:hAnsi="宋体" w:eastAsia="楷体_GB2312" w:cs="宋体"/>
          <w:color w:val="000000"/>
          <w:kern w:val="0"/>
          <w:sz w:val="32"/>
          <w:szCs w:val="48"/>
          <w:shd w:val="clear" w:color="auto" w:fill="FFFFFF"/>
          <w:lang w:val="zh-CN"/>
        </w:rPr>
      </w:pPr>
      <w:r>
        <w:rPr>
          <w:rFonts w:hint="eastAsia" w:ascii="楷体_GB2312" w:hAnsi="宋体" w:eastAsia="楷体_GB2312" w:cs="宋体"/>
          <w:color w:val="000000"/>
          <w:kern w:val="0"/>
          <w:sz w:val="32"/>
          <w:szCs w:val="48"/>
          <w:shd w:val="clear" w:fill="FFFFFF"/>
          <w:lang w:val="zh-CN" w:eastAsia="zh-CN" w:bidi="ar-SA"/>
        </w:rPr>
        <w:t>（</w:t>
      </w:r>
      <w:r>
        <w:rPr>
          <w:rFonts w:hint="eastAsia" w:ascii="楷体_GB2312" w:hAnsi="宋体" w:eastAsia="楷体_GB2312" w:cs="宋体"/>
          <w:color w:val="000000"/>
          <w:kern w:val="0"/>
          <w:sz w:val="32"/>
          <w:szCs w:val="48"/>
          <w:shd w:val="clear" w:fill="FFFFFF"/>
          <w:lang w:val="en-US" w:eastAsia="zh-CN" w:bidi="ar-SA"/>
        </w:rPr>
        <w:t>二</w:t>
      </w:r>
      <w:r>
        <w:rPr>
          <w:rFonts w:hint="eastAsia" w:ascii="楷体_GB2312" w:hAnsi="宋体" w:eastAsia="楷体_GB2312" w:cs="宋体"/>
          <w:color w:val="000000"/>
          <w:kern w:val="0"/>
          <w:sz w:val="32"/>
          <w:szCs w:val="48"/>
          <w:shd w:val="clear" w:fill="FFFFFF"/>
          <w:lang w:val="zh-CN" w:eastAsia="zh-CN" w:bidi="ar-SA"/>
        </w:rPr>
        <w:t>）</w:t>
      </w:r>
      <w:r>
        <w:rPr>
          <w:rFonts w:hint="eastAsia" w:ascii="楷体_GB2312" w:hAnsi="宋体" w:eastAsia="楷体_GB2312" w:cs="宋体"/>
          <w:color w:val="000000"/>
          <w:kern w:val="0"/>
          <w:sz w:val="32"/>
          <w:szCs w:val="48"/>
          <w:shd w:val="clear" w:color="auto" w:fill="FFFFFF"/>
          <w:lang w:val="zh-CN"/>
        </w:rPr>
        <w:t>机构职能和人员概况。</w:t>
      </w:r>
    </w:p>
    <w:p w14:paraId="52B9D016">
      <w:pPr>
        <w:widowControl/>
        <w:numPr>
          <w:ilvl w:val="0"/>
          <w:numId w:val="3"/>
        </w:numPr>
        <w:adjustRightInd w:val="0"/>
        <w:snapToGrid w:val="0"/>
        <w:spacing w:line="580" w:lineRule="exact"/>
        <w:ind w:firstLine="640" w:firstLineChars="200"/>
        <w:contextualSpacing/>
        <w:jc w:val="left"/>
        <w:rPr>
          <w:rStyle w:val="20"/>
          <w:rFonts w:hint="eastAsia" w:ascii="仿宋_GB2312" w:hAnsi="宋体" w:eastAsia="仿宋_GB2312" w:cs="仿宋_GB2312"/>
          <w:b w:val="0"/>
          <w:bCs w:val="0"/>
          <w:i w:val="0"/>
          <w:iCs w:val="0"/>
          <w:caps w:val="0"/>
          <w:color w:val="000000"/>
          <w:spacing w:val="0"/>
          <w:sz w:val="32"/>
          <w:szCs w:val="32"/>
          <w:shd w:val="clear" w:fill="FFFFFF"/>
          <w:lang w:eastAsia="zh-CN"/>
        </w:rPr>
      </w:pPr>
      <w:r>
        <w:rPr>
          <w:rStyle w:val="20"/>
          <w:rFonts w:ascii="仿宋_GB2312" w:hAnsi="宋体" w:eastAsia="仿宋_GB2312" w:cs="仿宋_GB2312"/>
          <w:b w:val="0"/>
          <w:bCs w:val="0"/>
          <w:i w:val="0"/>
          <w:iCs w:val="0"/>
          <w:caps w:val="0"/>
          <w:color w:val="000000"/>
          <w:spacing w:val="0"/>
          <w:sz w:val="32"/>
          <w:szCs w:val="32"/>
          <w:shd w:val="clear" w:fill="FFFFFF"/>
        </w:rPr>
        <w:t>落实国家政策，</w:t>
      </w:r>
      <w:r>
        <w:rPr>
          <w:rStyle w:val="20"/>
          <w:rFonts w:hint="default" w:ascii="仿宋_GB2312" w:hAnsi="宋体" w:eastAsia="仿宋_GB2312" w:cs="仿宋_GB2312"/>
          <w:b w:val="0"/>
          <w:bCs w:val="0"/>
          <w:i w:val="0"/>
          <w:iCs w:val="0"/>
          <w:caps w:val="0"/>
          <w:color w:val="000000"/>
          <w:spacing w:val="0"/>
          <w:sz w:val="32"/>
          <w:szCs w:val="32"/>
          <w:shd w:val="clear" w:fill="FFFFFF"/>
        </w:rPr>
        <w:t>严格依法行政，发挥经济管理职能，加强政策引导，制定发展规划，组织指导好各业生产</w:t>
      </w:r>
      <w:r>
        <w:rPr>
          <w:rStyle w:val="20"/>
          <w:rFonts w:hint="eastAsia" w:ascii="仿宋_GB2312" w:hAnsi="宋体" w:eastAsia="仿宋_GB2312" w:cs="仿宋_GB2312"/>
          <w:b w:val="0"/>
          <w:bCs w:val="0"/>
          <w:i w:val="0"/>
          <w:iCs w:val="0"/>
          <w:caps w:val="0"/>
          <w:color w:val="000000"/>
          <w:spacing w:val="0"/>
          <w:sz w:val="32"/>
          <w:szCs w:val="32"/>
          <w:shd w:val="clear" w:fill="FFFFFF"/>
          <w:lang w:eastAsia="zh-CN"/>
        </w:rPr>
        <w:t>，</w:t>
      </w:r>
      <w:r>
        <w:rPr>
          <w:rStyle w:val="20"/>
          <w:rFonts w:hint="default" w:ascii="仿宋_GB2312" w:hAnsi="宋体" w:eastAsia="仿宋_GB2312" w:cs="仿宋_GB2312"/>
          <w:b w:val="0"/>
          <w:bCs w:val="0"/>
          <w:i w:val="0"/>
          <w:iCs w:val="0"/>
          <w:caps w:val="0"/>
          <w:color w:val="000000"/>
          <w:spacing w:val="0"/>
          <w:sz w:val="32"/>
          <w:szCs w:val="32"/>
          <w:shd w:val="clear" w:fill="FFFFFF"/>
        </w:rPr>
        <w:t>发展</w:t>
      </w:r>
      <w:r>
        <w:rPr>
          <w:rStyle w:val="20"/>
          <w:rFonts w:hint="eastAsia" w:ascii="仿宋_GB2312" w:hAnsi="宋体" w:eastAsia="仿宋_GB2312" w:cs="仿宋_GB2312"/>
          <w:b w:val="0"/>
          <w:bCs w:val="0"/>
          <w:i w:val="0"/>
          <w:iCs w:val="0"/>
          <w:caps w:val="0"/>
          <w:color w:val="000000"/>
          <w:spacing w:val="0"/>
          <w:sz w:val="32"/>
          <w:szCs w:val="32"/>
          <w:shd w:val="clear" w:fill="FFFFFF"/>
          <w:lang w:val="en-US" w:eastAsia="zh-CN"/>
        </w:rPr>
        <w:t>好乡</w:t>
      </w:r>
      <w:r>
        <w:rPr>
          <w:rStyle w:val="20"/>
          <w:rFonts w:hint="default" w:ascii="仿宋_GB2312" w:hAnsi="宋体" w:eastAsia="仿宋_GB2312" w:cs="仿宋_GB2312"/>
          <w:b w:val="0"/>
          <w:bCs w:val="0"/>
          <w:i w:val="0"/>
          <w:iCs w:val="0"/>
          <w:caps w:val="0"/>
          <w:color w:val="000000"/>
          <w:spacing w:val="0"/>
          <w:sz w:val="32"/>
          <w:szCs w:val="32"/>
          <w:shd w:val="clear" w:fill="FFFFFF"/>
        </w:rPr>
        <w:t>村</w:t>
      </w:r>
      <w:r>
        <w:rPr>
          <w:rStyle w:val="20"/>
          <w:rFonts w:hint="eastAsia" w:ascii="仿宋_GB2312" w:hAnsi="宋体" w:eastAsia="仿宋_GB2312" w:cs="仿宋_GB2312"/>
          <w:b w:val="0"/>
          <w:bCs w:val="0"/>
          <w:i w:val="0"/>
          <w:iCs w:val="0"/>
          <w:caps w:val="0"/>
          <w:color w:val="000000"/>
          <w:spacing w:val="0"/>
          <w:sz w:val="32"/>
          <w:szCs w:val="32"/>
          <w:shd w:val="clear" w:fill="FFFFFF"/>
          <w:lang w:val="en-US" w:eastAsia="zh-CN"/>
        </w:rPr>
        <w:t>集体</w:t>
      </w:r>
      <w:r>
        <w:rPr>
          <w:rStyle w:val="20"/>
          <w:rFonts w:hint="default" w:ascii="仿宋_GB2312" w:hAnsi="宋体" w:eastAsia="仿宋_GB2312" w:cs="仿宋_GB2312"/>
          <w:b w:val="0"/>
          <w:bCs w:val="0"/>
          <w:i w:val="0"/>
          <w:iCs w:val="0"/>
          <w:caps w:val="0"/>
          <w:color w:val="000000"/>
          <w:spacing w:val="0"/>
          <w:sz w:val="32"/>
          <w:szCs w:val="32"/>
          <w:shd w:val="clear" w:fill="FFFFFF"/>
        </w:rPr>
        <w:t>经济</w:t>
      </w:r>
      <w:r>
        <w:rPr>
          <w:rStyle w:val="20"/>
          <w:rFonts w:hint="eastAsia" w:ascii="仿宋_GB2312" w:hAnsi="宋体" w:eastAsia="仿宋_GB2312" w:cs="仿宋_GB2312"/>
          <w:b w:val="0"/>
          <w:bCs w:val="0"/>
          <w:i w:val="0"/>
          <w:iCs w:val="0"/>
          <w:caps w:val="0"/>
          <w:color w:val="000000"/>
          <w:spacing w:val="0"/>
          <w:sz w:val="32"/>
          <w:szCs w:val="32"/>
          <w:shd w:val="clear" w:fill="FFFFFF"/>
          <w:lang w:eastAsia="zh-CN"/>
        </w:rPr>
        <w:t>。</w:t>
      </w:r>
    </w:p>
    <w:p w14:paraId="57AA559C">
      <w:pPr>
        <w:widowControl/>
        <w:numPr>
          <w:ilvl w:val="0"/>
          <w:numId w:val="3"/>
        </w:numPr>
        <w:adjustRightInd w:val="0"/>
        <w:snapToGrid w:val="0"/>
        <w:spacing w:line="580" w:lineRule="exact"/>
        <w:ind w:firstLine="640" w:firstLineChars="200"/>
        <w:contextualSpacing/>
        <w:jc w:val="left"/>
        <w:rPr>
          <w:rStyle w:val="20"/>
          <w:rFonts w:hint="default" w:ascii="仿宋_GB2312" w:hAnsi="宋体" w:eastAsia="仿宋_GB2312" w:cs="仿宋_GB2312"/>
          <w:b w:val="0"/>
          <w:bCs w:val="0"/>
          <w:i w:val="0"/>
          <w:iCs w:val="0"/>
          <w:caps w:val="0"/>
          <w:color w:val="000000"/>
          <w:spacing w:val="0"/>
          <w:sz w:val="32"/>
          <w:szCs w:val="32"/>
          <w:shd w:val="clear" w:fill="FFFFFF"/>
        </w:rPr>
      </w:pPr>
      <w:r>
        <w:rPr>
          <w:rStyle w:val="20"/>
          <w:rFonts w:hint="default" w:ascii="仿宋_GB2312" w:hAnsi="宋体" w:eastAsia="仿宋_GB2312" w:cs="仿宋_GB2312"/>
          <w:b w:val="0"/>
          <w:bCs w:val="0"/>
          <w:i w:val="0"/>
          <w:iCs w:val="0"/>
          <w:caps w:val="0"/>
          <w:color w:val="000000"/>
          <w:spacing w:val="0"/>
          <w:sz w:val="32"/>
          <w:szCs w:val="32"/>
          <w:shd w:val="clear" w:fill="FFFFFF"/>
        </w:rPr>
        <w:t>制定并组织实施村镇建设规划，部署重点工程建设，地</w:t>
      </w:r>
    </w:p>
    <w:p w14:paraId="247E0623">
      <w:pPr>
        <w:widowControl/>
        <w:numPr>
          <w:ilvl w:val="0"/>
          <w:numId w:val="0"/>
        </w:numPr>
        <w:adjustRightInd w:val="0"/>
        <w:snapToGrid w:val="0"/>
        <w:spacing w:line="580" w:lineRule="exact"/>
        <w:contextualSpacing/>
        <w:jc w:val="left"/>
        <w:rPr>
          <w:rStyle w:val="20"/>
          <w:rFonts w:hint="default" w:ascii="仿宋_GB2312" w:hAnsi="宋体" w:eastAsia="仿宋_GB2312" w:cs="仿宋_GB2312"/>
          <w:b w:val="0"/>
          <w:bCs w:val="0"/>
          <w:i w:val="0"/>
          <w:iCs w:val="0"/>
          <w:caps w:val="0"/>
          <w:color w:val="000000"/>
          <w:spacing w:val="0"/>
          <w:sz w:val="32"/>
          <w:szCs w:val="32"/>
          <w:shd w:val="clear" w:fill="FFFFFF"/>
        </w:rPr>
      </w:pPr>
      <w:r>
        <w:rPr>
          <w:rStyle w:val="20"/>
          <w:rFonts w:hint="default" w:ascii="仿宋_GB2312" w:hAnsi="宋体" w:eastAsia="仿宋_GB2312" w:cs="仿宋_GB2312"/>
          <w:b w:val="0"/>
          <w:bCs w:val="0"/>
          <w:i w:val="0"/>
          <w:iCs w:val="0"/>
          <w:caps w:val="0"/>
          <w:color w:val="000000"/>
          <w:spacing w:val="0"/>
          <w:sz w:val="32"/>
          <w:szCs w:val="32"/>
          <w:shd w:val="clear" w:fill="FFFFFF"/>
        </w:rPr>
        <w:t>方道路建设及公共设施，水利设施的管理，负责土地、林木、水等自然资源和生态环境的保护，做好护林防火工作。</w:t>
      </w:r>
    </w:p>
    <w:p w14:paraId="19E798B8">
      <w:pPr>
        <w:widowControl/>
        <w:numPr>
          <w:ilvl w:val="0"/>
          <w:numId w:val="0"/>
        </w:numPr>
        <w:adjustRightInd w:val="0"/>
        <w:snapToGrid w:val="0"/>
        <w:spacing w:line="580" w:lineRule="exact"/>
        <w:ind w:firstLine="640" w:firstLineChars="200"/>
        <w:contextualSpacing/>
        <w:jc w:val="left"/>
        <w:rPr>
          <w:rStyle w:val="20"/>
          <w:rFonts w:hint="default" w:ascii="仿宋_GB2312" w:hAnsi="宋体" w:eastAsia="仿宋_GB2312" w:cs="仿宋_GB2312"/>
          <w:b w:val="0"/>
          <w:bCs w:val="0"/>
          <w:i w:val="0"/>
          <w:iCs w:val="0"/>
          <w:caps w:val="0"/>
          <w:color w:val="000000"/>
          <w:spacing w:val="0"/>
          <w:sz w:val="32"/>
          <w:szCs w:val="32"/>
          <w:shd w:val="clear" w:fill="FFFFFF"/>
        </w:rPr>
      </w:pPr>
      <w:r>
        <w:rPr>
          <w:rStyle w:val="20"/>
          <w:rFonts w:hint="eastAsia" w:ascii="仿宋_GB2312" w:hAnsi="宋体" w:eastAsia="仿宋_GB2312" w:cs="仿宋_GB2312"/>
          <w:b w:val="0"/>
          <w:bCs w:val="0"/>
          <w:i w:val="0"/>
          <w:iCs w:val="0"/>
          <w:caps w:val="0"/>
          <w:color w:val="000000"/>
          <w:spacing w:val="0"/>
          <w:sz w:val="32"/>
          <w:szCs w:val="32"/>
          <w:shd w:val="clear" w:fill="FFFFFF"/>
          <w:lang w:val="en-US" w:eastAsia="zh-CN"/>
        </w:rPr>
        <w:t>三、</w:t>
      </w:r>
      <w:r>
        <w:rPr>
          <w:rStyle w:val="20"/>
          <w:rFonts w:hint="default" w:ascii="仿宋_GB2312" w:hAnsi="宋体" w:eastAsia="仿宋_GB2312" w:cs="仿宋_GB2312"/>
          <w:b w:val="0"/>
          <w:bCs w:val="0"/>
          <w:i w:val="0"/>
          <w:iCs w:val="0"/>
          <w:caps w:val="0"/>
          <w:color w:val="000000"/>
          <w:spacing w:val="0"/>
          <w:sz w:val="32"/>
          <w:szCs w:val="32"/>
          <w:shd w:val="clear" w:fill="FFFFFF"/>
        </w:rPr>
        <w:t>负责本行政区域内的民政、计划生育、文化教育、卫生、体育等社会公益事业的综合性工作，维护一切经济单位和个人的正当经济权益，取缔非法经济活动，调解和处理民事纠纷，打击刑事犯罪维护社会稳定。</w:t>
      </w:r>
    </w:p>
    <w:p w14:paraId="442AB2A1">
      <w:pPr>
        <w:widowControl/>
        <w:numPr>
          <w:ilvl w:val="0"/>
          <w:numId w:val="0"/>
        </w:numPr>
        <w:tabs>
          <w:tab w:val="left" w:pos="3840"/>
        </w:tabs>
        <w:adjustRightInd w:val="0"/>
        <w:snapToGrid w:val="0"/>
        <w:spacing w:line="580" w:lineRule="exact"/>
        <w:ind w:firstLine="640" w:firstLineChars="200"/>
        <w:contextualSpacing/>
        <w:jc w:val="left"/>
        <w:rPr>
          <w:rStyle w:val="20"/>
          <w:rFonts w:hint="default" w:ascii="仿宋_GB2312" w:hAnsi="宋体" w:eastAsia="仿宋_GB2312" w:cs="仿宋_GB2312"/>
          <w:b w:val="0"/>
          <w:bCs w:val="0"/>
          <w:i w:val="0"/>
          <w:iCs w:val="0"/>
          <w:caps w:val="0"/>
          <w:color w:val="000000"/>
          <w:spacing w:val="0"/>
          <w:sz w:val="32"/>
          <w:szCs w:val="32"/>
        </w:rPr>
      </w:pPr>
      <w:r>
        <w:rPr>
          <w:rStyle w:val="20"/>
          <w:rFonts w:hint="eastAsia" w:ascii="仿宋_GB2312" w:hAnsi="宋体" w:eastAsia="仿宋_GB2312" w:cs="仿宋_GB2312"/>
          <w:b w:val="0"/>
          <w:bCs w:val="0"/>
          <w:i w:val="0"/>
          <w:iCs w:val="0"/>
          <w:caps w:val="0"/>
          <w:color w:val="000000"/>
          <w:spacing w:val="0"/>
          <w:sz w:val="32"/>
          <w:szCs w:val="32"/>
          <w:lang w:val="en-US" w:eastAsia="zh-CN"/>
        </w:rPr>
        <w:t>勒乌乡</w:t>
      </w:r>
      <w:r>
        <w:rPr>
          <w:rStyle w:val="20"/>
          <w:rFonts w:ascii="仿宋_GB2312" w:hAnsi="宋体" w:eastAsia="仿宋_GB2312" w:cs="仿宋_GB2312"/>
          <w:b w:val="0"/>
          <w:bCs w:val="0"/>
          <w:i w:val="0"/>
          <w:iCs w:val="0"/>
          <w:caps w:val="0"/>
          <w:color w:val="000000"/>
          <w:spacing w:val="0"/>
          <w:sz w:val="32"/>
          <w:szCs w:val="32"/>
        </w:rPr>
        <w:t>总编制</w:t>
      </w:r>
      <w:r>
        <w:rPr>
          <w:rStyle w:val="20"/>
          <w:rFonts w:hint="eastAsia" w:ascii="仿宋_GB2312" w:hAnsi="宋体" w:eastAsia="仿宋_GB2312" w:cs="仿宋_GB2312"/>
          <w:b w:val="0"/>
          <w:bCs w:val="0"/>
          <w:i w:val="0"/>
          <w:iCs w:val="0"/>
          <w:caps w:val="0"/>
          <w:color w:val="000000"/>
          <w:spacing w:val="0"/>
          <w:sz w:val="32"/>
          <w:szCs w:val="32"/>
          <w:lang w:val="en-US" w:eastAsia="zh-CN"/>
        </w:rPr>
        <w:t>21</w:t>
      </w:r>
      <w:r>
        <w:rPr>
          <w:rStyle w:val="20"/>
          <w:rFonts w:hint="default" w:ascii="仿宋_GB2312" w:hAnsi="宋体" w:eastAsia="仿宋_GB2312" w:cs="仿宋_GB2312"/>
          <w:b w:val="0"/>
          <w:bCs w:val="0"/>
          <w:i w:val="0"/>
          <w:iCs w:val="0"/>
          <w:caps w:val="0"/>
          <w:color w:val="000000"/>
          <w:spacing w:val="0"/>
          <w:sz w:val="32"/>
          <w:szCs w:val="32"/>
        </w:rPr>
        <w:t>名，其中：行政编制</w:t>
      </w:r>
      <w:r>
        <w:rPr>
          <w:rStyle w:val="20"/>
          <w:rFonts w:hint="eastAsia" w:ascii="仿宋_GB2312" w:hAnsi="宋体" w:eastAsia="仿宋_GB2312" w:cs="仿宋_GB2312"/>
          <w:b w:val="0"/>
          <w:bCs w:val="0"/>
          <w:i w:val="0"/>
          <w:iCs w:val="0"/>
          <w:caps w:val="0"/>
          <w:color w:val="000000"/>
          <w:spacing w:val="0"/>
          <w:sz w:val="32"/>
          <w:szCs w:val="32"/>
          <w:lang w:val="en-US" w:eastAsia="zh-CN"/>
        </w:rPr>
        <w:t>15</w:t>
      </w:r>
      <w:r>
        <w:rPr>
          <w:rStyle w:val="20"/>
          <w:rFonts w:hint="default" w:ascii="仿宋_GB2312" w:hAnsi="宋体" w:eastAsia="仿宋_GB2312" w:cs="仿宋_GB2312"/>
          <w:b w:val="0"/>
          <w:bCs w:val="0"/>
          <w:i w:val="0"/>
          <w:iCs w:val="0"/>
          <w:caps w:val="0"/>
          <w:color w:val="000000"/>
          <w:spacing w:val="0"/>
          <w:sz w:val="32"/>
          <w:szCs w:val="32"/>
        </w:rPr>
        <w:t>名，工勤编制0名，事业编制</w:t>
      </w:r>
      <w:r>
        <w:rPr>
          <w:rStyle w:val="20"/>
          <w:rFonts w:hint="eastAsia" w:ascii="仿宋_GB2312" w:hAnsi="宋体" w:eastAsia="仿宋_GB2312" w:cs="仿宋_GB2312"/>
          <w:b w:val="0"/>
          <w:bCs w:val="0"/>
          <w:i w:val="0"/>
          <w:iCs w:val="0"/>
          <w:caps w:val="0"/>
          <w:color w:val="000000"/>
          <w:spacing w:val="0"/>
          <w:sz w:val="32"/>
          <w:szCs w:val="32"/>
          <w:lang w:val="en-US" w:eastAsia="zh-CN"/>
        </w:rPr>
        <w:t>6</w:t>
      </w:r>
      <w:r>
        <w:rPr>
          <w:rStyle w:val="20"/>
          <w:rFonts w:hint="default" w:ascii="仿宋_GB2312" w:hAnsi="宋体" w:eastAsia="仿宋_GB2312" w:cs="仿宋_GB2312"/>
          <w:b w:val="0"/>
          <w:bCs w:val="0"/>
          <w:i w:val="0"/>
          <w:iCs w:val="0"/>
          <w:caps w:val="0"/>
          <w:color w:val="000000"/>
          <w:spacing w:val="0"/>
          <w:sz w:val="32"/>
          <w:szCs w:val="32"/>
        </w:rPr>
        <w:t>名。在职人员总数</w:t>
      </w:r>
      <w:r>
        <w:rPr>
          <w:rStyle w:val="20"/>
          <w:rFonts w:hint="eastAsia" w:ascii="仿宋_GB2312" w:hAnsi="宋体" w:eastAsia="仿宋_GB2312" w:cs="仿宋_GB2312"/>
          <w:b w:val="0"/>
          <w:bCs w:val="0"/>
          <w:i w:val="0"/>
          <w:iCs w:val="0"/>
          <w:caps w:val="0"/>
          <w:color w:val="000000"/>
          <w:spacing w:val="0"/>
          <w:sz w:val="32"/>
          <w:szCs w:val="32"/>
          <w:lang w:val="en-US" w:eastAsia="zh-CN"/>
        </w:rPr>
        <w:t>15</w:t>
      </w:r>
      <w:r>
        <w:rPr>
          <w:rStyle w:val="20"/>
          <w:rFonts w:hint="default" w:ascii="仿宋_GB2312" w:hAnsi="宋体" w:eastAsia="仿宋_GB2312" w:cs="仿宋_GB2312"/>
          <w:b w:val="0"/>
          <w:bCs w:val="0"/>
          <w:i w:val="0"/>
          <w:iCs w:val="0"/>
          <w:caps w:val="0"/>
          <w:color w:val="000000"/>
          <w:spacing w:val="0"/>
          <w:sz w:val="32"/>
          <w:szCs w:val="32"/>
        </w:rPr>
        <w:t>名，其中：行政</w:t>
      </w:r>
      <w:r>
        <w:rPr>
          <w:rStyle w:val="20"/>
          <w:rFonts w:hint="eastAsia" w:ascii="仿宋_GB2312" w:hAnsi="宋体" w:eastAsia="仿宋_GB2312" w:cs="仿宋_GB2312"/>
          <w:b w:val="0"/>
          <w:bCs w:val="0"/>
          <w:i w:val="0"/>
          <w:iCs w:val="0"/>
          <w:caps w:val="0"/>
          <w:color w:val="000000"/>
          <w:spacing w:val="0"/>
          <w:sz w:val="32"/>
          <w:szCs w:val="32"/>
          <w:lang w:val="en-US" w:eastAsia="zh-CN"/>
        </w:rPr>
        <w:t>10</w:t>
      </w:r>
      <w:r>
        <w:rPr>
          <w:rStyle w:val="20"/>
          <w:rFonts w:hint="default" w:ascii="仿宋_GB2312" w:hAnsi="宋体" w:eastAsia="仿宋_GB2312" w:cs="仿宋_GB2312"/>
          <w:b w:val="0"/>
          <w:bCs w:val="0"/>
          <w:i w:val="0"/>
          <w:iCs w:val="0"/>
          <w:caps w:val="0"/>
          <w:color w:val="000000"/>
          <w:spacing w:val="0"/>
          <w:sz w:val="32"/>
          <w:szCs w:val="32"/>
        </w:rPr>
        <w:t>名，工勤</w:t>
      </w:r>
      <w:r>
        <w:rPr>
          <w:rStyle w:val="20"/>
          <w:rFonts w:hint="eastAsia" w:ascii="仿宋_GB2312" w:hAnsi="宋体" w:eastAsia="仿宋_GB2312" w:cs="仿宋_GB2312"/>
          <w:b w:val="0"/>
          <w:bCs w:val="0"/>
          <w:i w:val="0"/>
          <w:iCs w:val="0"/>
          <w:caps w:val="0"/>
          <w:color w:val="000000"/>
          <w:spacing w:val="0"/>
          <w:sz w:val="32"/>
          <w:szCs w:val="32"/>
          <w:lang w:val="en-US" w:eastAsia="zh-CN"/>
        </w:rPr>
        <w:t>0</w:t>
      </w:r>
      <w:r>
        <w:rPr>
          <w:rStyle w:val="20"/>
          <w:rFonts w:hint="default" w:ascii="仿宋_GB2312" w:hAnsi="宋体" w:eastAsia="仿宋_GB2312" w:cs="仿宋_GB2312"/>
          <w:b w:val="0"/>
          <w:bCs w:val="0"/>
          <w:i w:val="0"/>
          <w:iCs w:val="0"/>
          <w:caps w:val="0"/>
          <w:color w:val="000000"/>
          <w:spacing w:val="0"/>
          <w:sz w:val="32"/>
          <w:szCs w:val="32"/>
        </w:rPr>
        <w:t>名，事业</w:t>
      </w:r>
      <w:r>
        <w:rPr>
          <w:rStyle w:val="20"/>
          <w:rFonts w:hint="eastAsia" w:ascii="仿宋_GB2312" w:hAnsi="宋体" w:eastAsia="仿宋_GB2312" w:cs="仿宋_GB2312"/>
          <w:b w:val="0"/>
          <w:bCs w:val="0"/>
          <w:i w:val="0"/>
          <w:iCs w:val="0"/>
          <w:caps w:val="0"/>
          <w:color w:val="000000"/>
          <w:spacing w:val="0"/>
          <w:sz w:val="32"/>
          <w:szCs w:val="32"/>
          <w:lang w:val="en-US" w:eastAsia="zh-CN"/>
        </w:rPr>
        <w:t>5</w:t>
      </w:r>
      <w:r>
        <w:rPr>
          <w:rStyle w:val="20"/>
          <w:rFonts w:hint="default" w:ascii="仿宋_GB2312" w:hAnsi="宋体" w:eastAsia="仿宋_GB2312" w:cs="仿宋_GB2312"/>
          <w:b w:val="0"/>
          <w:bCs w:val="0"/>
          <w:i w:val="0"/>
          <w:iCs w:val="0"/>
          <w:caps w:val="0"/>
          <w:color w:val="000000"/>
          <w:spacing w:val="0"/>
          <w:sz w:val="32"/>
          <w:szCs w:val="32"/>
        </w:rPr>
        <w:t>名。离休0名。</w:t>
      </w:r>
    </w:p>
    <w:p w14:paraId="4D1CE92F">
      <w:pPr>
        <w:pStyle w:val="2"/>
        <w:rPr>
          <w:rFonts w:hint="eastAsia"/>
          <w:lang w:val="zh-CN"/>
        </w:rPr>
      </w:pPr>
    </w:p>
    <w:p w14:paraId="419AD1C7">
      <w:pPr>
        <w:widowControl/>
        <w:numPr>
          <w:ilvl w:val="0"/>
          <w:numId w:val="0"/>
        </w:numPr>
        <w:adjustRightInd w:val="0"/>
        <w:snapToGrid w:val="0"/>
        <w:spacing w:line="580" w:lineRule="exact"/>
        <w:ind w:left="0" w:leftChars="0" w:firstLine="640" w:firstLineChars="200"/>
        <w:contextualSpacing/>
        <w:jc w:val="left"/>
        <w:rPr>
          <w:rFonts w:hint="eastAsia" w:ascii="楷体_GB2312" w:hAnsi="宋体" w:eastAsia="楷体_GB2312" w:cs="宋体"/>
          <w:color w:val="000000"/>
          <w:kern w:val="0"/>
          <w:sz w:val="32"/>
          <w:szCs w:val="48"/>
          <w:shd w:val="clear" w:color="auto" w:fill="FFFFFF"/>
          <w:lang w:val="zh-CN"/>
        </w:rPr>
      </w:pPr>
      <w:r>
        <w:rPr>
          <w:rFonts w:hint="eastAsia" w:ascii="楷体_GB2312" w:hAnsi="宋体" w:eastAsia="楷体_GB2312" w:cs="宋体"/>
          <w:color w:val="000000"/>
          <w:kern w:val="0"/>
          <w:sz w:val="32"/>
          <w:szCs w:val="48"/>
          <w:shd w:val="clear" w:fill="FFFFFF"/>
          <w:lang w:val="zh-CN" w:eastAsia="zh-CN" w:bidi="ar-SA"/>
        </w:rPr>
        <w:t>（四）</w:t>
      </w:r>
      <w:r>
        <w:rPr>
          <w:rFonts w:hint="eastAsia" w:ascii="楷体_GB2312" w:hAnsi="宋体" w:eastAsia="楷体_GB2312" w:cs="宋体"/>
          <w:color w:val="000000"/>
          <w:kern w:val="0"/>
          <w:sz w:val="32"/>
          <w:szCs w:val="48"/>
          <w:shd w:val="clear" w:color="auto" w:fill="FFFFFF"/>
          <w:lang w:val="zh-CN"/>
        </w:rPr>
        <w:t>年度主要工作任务。</w:t>
      </w:r>
    </w:p>
    <w:p w14:paraId="6E88E1B4">
      <w:pPr>
        <w:overflowPunct w:val="0"/>
        <w:spacing w:line="600" w:lineRule="exact"/>
        <w:ind w:firstLine="640" w:firstLineChars="200"/>
        <w:rPr>
          <w:rFonts w:ascii="仿宋_GB2312" w:hAnsi="仿宋_GB2312" w:eastAsia="仿宋_GB2312" w:cs="仿宋_GB2312"/>
          <w:kern w:val="0"/>
          <w:sz w:val="32"/>
          <w:szCs w:val="32"/>
        </w:rPr>
      </w:pPr>
      <w:r>
        <w:rPr>
          <w:rFonts w:hint="eastAsia" w:ascii="楷体_GB2312" w:hAnsi="楷体_GB2312" w:eastAsia="楷体_GB2312" w:cs="楷体_GB2312"/>
          <w:kern w:val="0"/>
          <w:sz w:val="32"/>
          <w:szCs w:val="32"/>
          <w:lang w:val="en-US" w:eastAsia="zh-CN"/>
        </w:rPr>
        <w:t>1.</w:t>
      </w:r>
      <w:r>
        <w:rPr>
          <w:rFonts w:hint="eastAsia" w:ascii="楷体_GB2312" w:hAnsi="楷体_GB2312" w:eastAsia="楷体_GB2312" w:cs="楷体_GB2312"/>
          <w:kern w:val="0"/>
          <w:sz w:val="32"/>
          <w:szCs w:val="32"/>
        </w:rPr>
        <w:t>聚焦凝心聚魂，抓学习、强基础。</w:t>
      </w: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始终把习近平新时代中国特色社会主义思想</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党的二十大精神、习近平总书记最新重要讲话和重要指示批示精神，列为党委会议、“三会一课”的第一议题，党委会会前学习</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次，周例会学习</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rPr>
        <w:t>次，业务专题会和“三会一课”等学习</w:t>
      </w:r>
      <w:r>
        <w:rPr>
          <w:rFonts w:hint="eastAsia" w:ascii="仿宋_GB2312" w:hAnsi="仿宋_GB2312" w:eastAsia="仿宋_GB2312" w:cs="仿宋_GB2312"/>
          <w:sz w:val="32"/>
          <w:szCs w:val="32"/>
          <w:lang w:val="en-US" w:eastAsia="zh-CN"/>
        </w:rPr>
        <w:t>41</w:t>
      </w:r>
      <w:r>
        <w:rPr>
          <w:rFonts w:hint="eastAsia" w:ascii="仿宋_GB2312" w:hAnsi="仿宋_GB2312" w:eastAsia="仿宋_GB2312" w:cs="仿宋_GB2312"/>
          <w:sz w:val="32"/>
          <w:szCs w:val="32"/>
        </w:rPr>
        <w:t>次，确保会议精神传达学习到位。</w:t>
      </w:r>
      <w:r>
        <w:rPr>
          <w:rFonts w:hint="eastAsia" w:ascii="仿宋_GB2312" w:hAnsi="仿宋_GB2312" w:eastAsia="仿宋_GB2312" w:cs="仿宋_GB2312"/>
          <w:b/>
          <w:bCs/>
          <w:sz w:val="32"/>
          <w:szCs w:val="40"/>
        </w:rPr>
        <w:t>二是</w:t>
      </w:r>
      <w:r>
        <w:rPr>
          <w:rFonts w:hint="eastAsia" w:ascii="仿宋_GB2312" w:hAnsi="仿宋_GB2312" w:eastAsia="仿宋_GB2312" w:cs="仿宋_GB2312"/>
          <w:sz w:val="32"/>
          <w:szCs w:val="32"/>
        </w:rPr>
        <w:t>组织开展“七一”讲党课和优秀党课展播活动</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次、培训党员干部2期</w:t>
      </w:r>
      <w:r>
        <w:rPr>
          <w:rFonts w:hint="eastAsia" w:ascii="仿宋_GB2312" w:hAnsi="仿宋_GB2312" w:eastAsia="仿宋_GB2312" w:cs="仿宋_GB2312"/>
          <w:sz w:val="32"/>
          <w:szCs w:val="32"/>
          <w:lang w:val="en-US" w:eastAsia="zh-CN"/>
        </w:rPr>
        <w:t>218</w:t>
      </w:r>
      <w:r>
        <w:rPr>
          <w:rFonts w:hint="eastAsia" w:ascii="仿宋_GB2312" w:hAnsi="仿宋_GB2312" w:eastAsia="仿宋_GB2312" w:cs="仿宋_GB2312"/>
          <w:sz w:val="32"/>
          <w:szCs w:val="32"/>
        </w:rPr>
        <w:t>人，开展“强根基，壮枝干”村常职干部、村民小组长培训1期</w:t>
      </w:r>
      <w:r>
        <w:rPr>
          <w:rFonts w:hint="eastAsia" w:ascii="仿宋_GB2312" w:hAnsi="仿宋_GB2312" w:eastAsia="仿宋_GB2312" w:cs="仿宋_GB2312"/>
          <w:sz w:val="32"/>
          <w:szCs w:val="32"/>
          <w:lang w:val="en-US" w:eastAsia="zh-CN"/>
        </w:rPr>
        <w:t>48</w:t>
      </w:r>
      <w:r>
        <w:rPr>
          <w:rFonts w:hint="eastAsia" w:ascii="仿宋_GB2312" w:hAnsi="仿宋_GB2312" w:eastAsia="仿宋_GB2312" w:cs="仿宋_GB2312"/>
          <w:sz w:val="32"/>
          <w:szCs w:val="32"/>
        </w:rPr>
        <w:t>人；组织</w:t>
      </w:r>
      <w:r>
        <w:rPr>
          <w:rFonts w:hint="eastAsia" w:ascii="仿宋_GB2312" w:hAnsi="仿宋_GB2312" w:eastAsia="仿宋_GB2312" w:cs="仿宋_GB2312"/>
          <w:sz w:val="32"/>
          <w:szCs w:val="32"/>
          <w:lang w:val="en-US" w:eastAsia="zh-CN"/>
        </w:rPr>
        <w:t>39</w:t>
      </w:r>
      <w:r>
        <w:rPr>
          <w:rFonts w:hint="eastAsia" w:ascii="仿宋_GB2312" w:hAnsi="仿宋_GB2312" w:eastAsia="仿宋_GB2312" w:cs="仿宋_GB2312"/>
          <w:sz w:val="32"/>
          <w:szCs w:val="32"/>
        </w:rPr>
        <w:t>人次开展安全知识考试和党建知识竞赛。</w:t>
      </w:r>
    </w:p>
    <w:p w14:paraId="05E0503A">
      <w:pPr>
        <w:pStyle w:val="30"/>
        <w:spacing w:line="600" w:lineRule="exact"/>
        <w:ind w:firstLine="640"/>
        <w:rPr>
          <w:rFonts w:hint="eastAsia" w:ascii="仿宋_GB2312" w:hAnsi="仿宋_GB2312" w:eastAsia="仿宋_GB2312" w:cs="仿宋_GB2312"/>
          <w:sz w:val="32"/>
          <w:szCs w:val="40"/>
          <w:lang w:eastAsia="zh-CN"/>
        </w:rPr>
      </w:pPr>
      <w:r>
        <w:rPr>
          <w:rFonts w:hint="eastAsia" w:ascii="楷体_GB2312" w:hAnsi="楷体_GB2312" w:eastAsia="楷体_GB2312" w:cs="楷体_GB2312"/>
          <w:kern w:val="0"/>
          <w:sz w:val="32"/>
          <w:szCs w:val="32"/>
          <w:lang w:val="en-US" w:eastAsia="zh-CN"/>
        </w:rPr>
        <w:t>2.</w:t>
      </w:r>
      <w:r>
        <w:rPr>
          <w:rFonts w:hint="eastAsia" w:ascii="楷体_GB2312" w:hAnsi="楷体_GB2312" w:eastAsia="楷体_GB2312" w:cs="楷体_GB2312"/>
          <w:kern w:val="0"/>
          <w:sz w:val="32"/>
          <w:szCs w:val="32"/>
        </w:rPr>
        <w:t>聚焦主题教育，强部署、见实效。</w:t>
      </w: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实行“1+9”党建引领，制定党委、支部、个人学习计划，落实“常态提示、每周汇总、每月研判、阶段部署”学习机制，压茬推进学习任务，确保主题教育走深走实。</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b/>
          <w:sz w:val="32"/>
          <w:szCs w:val="40"/>
        </w:rPr>
        <w:t>是</w:t>
      </w:r>
      <w:r>
        <w:rPr>
          <w:rFonts w:hint="eastAsia" w:ascii="仿宋_GB2312" w:hAnsi="仿宋_GB2312" w:eastAsia="仿宋_GB2312" w:cs="仿宋_GB2312"/>
          <w:sz w:val="32"/>
          <w:szCs w:val="40"/>
        </w:rPr>
        <w:t>为民办实事走深走实，开展</w:t>
      </w:r>
      <w:r>
        <w:rPr>
          <w:rFonts w:hint="eastAsia" w:ascii="仿宋_GB2312" w:hAnsi="楷体_GB2312" w:eastAsia="仿宋_GB2312"/>
          <w:color w:val="000000"/>
          <w:sz w:val="32"/>
          <w:szCs w:val="40"/>
        </w:rPr>
        <w:t>“座谈问计”“一线问政”“走访问需”活动，收集建议意见</w:t>
      </w:r>
      <w:r>
        <w:rPr>
          <w:rFonts w:hint="eastAsia" w:ascii="仿宋_GB2312" w:hAnsi="楷体_GB2312" w:eastAsia="仿宋_GB2312"/>
          <w:color w:val="000000"/>
          <w:sz w:val="32"/>
          <w:szCs w:val="40"/>
          <w:lang w:val="en-US" w:eastAsia="zh-CN"/>
        </w:rPr>
        <w:t>27</w:t>
      </w:r>
      <w:r>
        <w:rPr>
          <w:rFonts w:hint="eastAsia" w:ascii="仿宋_GB2312" w:hAnsi="楷体_GB2312" w:eastAsia="仿宋_GB2312"/>
          <w:color w:val="000000"/>
          <w:sz w:val="32"/>
          <w:szCs w:val="40"/>
        </w:rPr>
        <w:t>条、问题</w:t>
      </w:r>
      <w:r>
        <w:rPr>
          <w:rFonts w:hint="eastAsia" w:ascii="仿宋_GB2312" w:hAnsi="楷体_GB2312" w:eastAsia="仿宋_GB2312"/>
          <w:color w:val="000000"/>
          <w:sz w:val="32"/>
          <w:szCs w:val="40"/>
          <w:lang w:val="en-US" w:eastAsia="zh-CN"/>
        </w:rPr>
        <w:t>34</w:t>
      </w:r>
      <w:r>
        <w:rPr>
          <w:rFonts w:hint="eastAsia" w:ascii="仿宋_GB2312" w:hAnsi="楷体_GB2312" w:eastAsia="仿宋_GB2312"/>
          <w:color w:val="000000"/>
          <w:sz w:val="32"/>
          <w:szCs w:val="40"/>
        </w:rPr>
        <w:t>条、需求</w:t>
      </w:r>
      <w:r>
        <w:rPr>
          <w:rFonts w:hint="eastAsia" w:ascii="仿宋_GB2312" w:hAnsi="楷体_GB2312" w:eastAsia="仿宋_GB2312"/>
          <w:color w:val="000000"/>
          <w:sz w:val="32"/>
          <w:szCs w:val="40"/>
          <w:lang w:val="en-US" w:eastAsia="zh-CN"/>
        </w:rPr>
        <w:t>11</w:t>
      </w:r>
      <w:r>
        <w:rPr>
          <w:rFonts w:hint="eastAsia" w:ascii="仿宋_GB2312" w:hAnsi="楷体_GB2312" w:eastAsia="仿宋_GB2312"/>
          <w:color w:val="000000"/>
          <w:sz w:val="32"/>
          <w:szCs w:val="40"/>
        </w:rPr>
        <w:t>条，搭建</w:t>
      </w:r>
      <w:r>
        <w:rPr>
          <w:rFonts w:hint="eastAsia" w:ascii="仿宋_GB2312" w:hAnsi="楷体_GB2312" w:eastAsia="仿宋_GB2312"/>
          <w:color w:val="000000"/>
          <w:sz w:val="32"/>
          <w:szCs w:val="40"/>
          <w:lang w:val="en-US" w:eastAsia="zh-CN"/>
        </w:rPr>
        <w:t>乡</w:t>
      </w:r>
      <w:r>
        <w:rPr>
          <w:rFonts w:hint="eastAsia" w:ascii="仿宋_GB2312" w:hAnsi="楷体_GB2312" w:eastAsia="仿宋_GB2312"/>
          <w:color w:val="000000"/>
          <w:sz w:val="32"/>
          <w:szCs w:val="40"/>
        </w:rPr>
        <w:t>人大民生实事票决、</w:t>
      </w:r>
      <w:r>
        <w:rPr>
          <w:rFonts w:hint="eastAsia" w:ascii="仿宋_GB2312" w:hAnsi="楷体_GB2312" w:eastAsia="仿宋_GB2312"/>
          <w:color w:val="000000"/>
          <w:sz w:val="32"/>
          <w:szCs w:val="40"/>
          <w:lang w:val="en-US" w:eastAsia="zh-CN"/>
        </w:rPr>
        <w:t>乡</w:t>
      </w:r>
      <w:r>
        <w:rPr>
          <w:rFonts w:hint="eastAsia" w:ascii="仿宋_GB2312" w:hAnsi="楷体_GB2312" w:eastAsia="仿宋_GB2312"/>
          <w:color w:val="000000"/>
          <w:sz w:val="32"/>
          <w:szCs w:val="40"/>
        </w:rPr>
        <w:t>村政协有事来协商、“四走”三个平台，深入解决群众问题</w:t>
      </w:r>
      <w:r>
        <w:rPr>
          <w:rFonts w:hint="eastAsia" w:ascii="仿宋_GB2312" w:hAnsi="楷体_GB2312" w:eastAsia="仿宋_GB2312"/>
          <w:color w:val="000000"/>
          <w:sz w:val="32"/>
          <w:szCs w:val="40"/>
          <w:lang w:val="en-US" w:eastAsia="zh-CN"/>
        </w:rPr>
        <w:t>53</w:t>
      </w:r>
      <w:r>
        <w:rPr>
          <w:rFonts w:hint="eastAsia" w:ascii="仿宋_GB2312" w:hAnsi="楷体_GB2312" w:eastAsia="仿宋_GB2312"/>
          <w:color w:val="000000"/>
          <w:sz w:val="32"/>
          <w:szCs w:val="40"/>
        </w:rPr>
        <w:t>个，</w:t>
      </w:r>
      <w:r>
        <w:rPr>
          <w:rFonts w:hint="eastAsia" w:ascii="仿宋_GB2312" w:hAnsi="仿宋_GB2312" w:eastAsia="仿宋_GB2312"/>
          <w:color w:val="000000"/>
          <w:sz w:val="32"/>
          <w:szCs w:val="32"/>
          <w:shd w:val="clear" w:color="auto" w:fill="FFFFFF"/>
        </w:rPr>
        <w:t>充分宣传动员群众参加医疗保险</w:t>
      </w:r>
      <w:r>
        <w:rPr>
          <w:rFonts w:hint="eastAsia" w:ascii="仿宋_GB2312" w:hAnsi="仿宋_GB2312" w:eastAsia="仿宋_GB2312"/>
          <w:color w:val="000000"/>
          <w:sz w:val="32"/>
          <w:szCs w:val="32"/>
          <w:shd w:val="clear" w:color="auto" w:fill="FFFFFF"/>
          <w:lang w:val="en-US" w:eastAsia="zh-CN"/>
        </w:rPr>
        <w:t>3418</w:t>
      </w:r>
      <w:r>
        <w:rPr>
          <w:rFonts w:hint="eastAsia" w:ascii="仿宋_GB2312" w:hAnsi="仿宋_GB2312" w:eastAsia="仿宋_GB2312"/>
          <w:color w:val="000000"/>
          <w:sz w:val="32"/>
          <w:szCs w:val="32"/>
          <w:shd w:val="clear" w:color="auto" w:fill="FFFFFF"/>
        </w:rPr>
        <w:t>人，做到已脱贫户、特殊群众全覆盖</w:t>
      </w:r>
      <w:r>
        <w:rPr>
          <w:rFonts w:hint="eastAsia" w:ascii="仿宋_GB2312" w:hAnsi="仿宋_GB2312" w:eastAsia="仿宋_GB2312"/>
          <w:color w:val="000000"/>
          <w:sz w:val="32"/>
          <w:szCs w:val="32"/>
          <w:shd w:val="clear" w:color="auto" w:fill="FFFFFF"/>
          <w:lang w:eastAsia="zh-CN"/>
        </w:rPr>
        <w:t>。</w:t>
      </w:r>
    </w:p>
    <w:p w14:paraId="33C08880">
      <w:pPr>
        <w:widowControl/>
        <w:numPr>
          <w:ilvl w:val="0"/>
          <w:numId w:val="0"/>
        </w:numPr>
        <w:adjustRightInd w:val="0"/>
        <w:snapToGrid w:val="0"/>
        <w:spacing w:line="580" w:lineRule="exact"/>
        <w:ind w:left="0" w:leftChars="0" w:firstLine="640" w:firstLineChars="200"/>
        <w:contextualSpacing/>
        <w:jc w:val="left"/>
        <w:rPr>
          <w:rFonts w:hint="eastAsia" w:ascii="楷体_GB2312" w:hAnsi="宋体" w:eastAsia="楷体_GB2312" w:cs="宋体"/>
          <w:color w:val="000000"/>
          <w:kern w:val="0"/>
          <w:sz w:val="32"/>
          <w:szCs w:val="48"/>
          <w:shd w:val="clear" w:fill="FFFFFF"/>
          <w:lang w:val="zh-CN" w:eastAsia="zh-CN" w:bidi="ar-SA"/>
        </w:rPr>
      </w:pPr>
      <w:r>
        <w:rPr>
          <w:rFonts w:hint="eastAsia" w:ascii="楷体_GB2312" w:hAnsi="宋体" w:eastAsia="楷体_GB2312" w:cs="宋体"/>
          <w:color w:val="000000"/>
          <w:kern w:val="0"/>
          <w:sz w:val="32"/>
          <w:szCs w:val="48"/>
          <w:shd w:val="clear" w:fill="FFFFFF"/>
          <w:lang w:val="zh-CN" w:eastAsia="zh-CN" w:bidi="ar-SA"/>
        </w:rPr>
        <w:t>（五）部门整体支出绩效目标。</w:t>
      </w:r>
    </w:p>
    <w:p w14:paraId="62BEDD1F">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仿宋_GB2312" w:hAnsi="仿宋_GB2312" w:eastAsia="仿宋_GB2312" w:cs="仿宋_GB2312"/>
          <w:kern w:val="2"/>
          <w:sz w:val="32"/>
          <w:szCs w:val="40"/>
          <w:lang w:val="en-US" w:eastAsia="zh-CN" w:bidi="ar-SA"/>
        </w:rPr>
      </w:pPr>
      <w:r>
        <w:rPr>
          <w:rFonts w:hint="eastAsia" w:ascii="仿宋_GB2312" w:hAnsi="仿宋_GB2312" w:eastAsia="仿宋_GB2312" w:cs="仿宋_GB2312"/>
          <w:kern w:val="2"/>
          <w:sz w:val="32"/>
          <w:szCs w:val="40"/>
          <w:lang w:val="en-US" w:eastAsia="zh-CN" w:bidi="ar-SA"/>
        </w:rPr>
        <w:t>保障乡镇机关运行，保障村干部缴纳养老保险、村组干部缴纳意外保险缴纳，解决全乡5个行政村村民最关心、最直接、最现实的问题，包括村各项公益事业建设，改善农村人居环境，保障为全乡辖区内群众办实事、做好事，解难事等支出。</w:t>
      </w:r>
    </w:p>
    <w:p w14:paraId="2CE9FD02">
      <w:pPr>
        <w:widowControl/>
        <w:numPr>
          <w:ilvl w:val="0"/>
          <w:numId w:val="0"/>
        </w:numPr>
        <w:adjustRightInd w:val="0"/>
        <w:snapToGrid w:val="0"/>
        <w:spacing w:line="580" w:lineRule="exact"/>
        <w:ind w:leftChars="200"/>
        <w:contextualSpacing/>
        <w:jc w:val="left"/>
        <w:rPr>
          <w:rFonts w:hint="eastAsia" w:ascii="楷体_GB2312" w:hAnsi="宋体" w:eastAsia="楷体_GB2312" w:cs="宋体"/>
          <w:color w:val="000000"/>
          <w:kern w:val="0"/>
          <w:szCs w:val="32"/>
          <w:shd w:val="clear" w:color="auto" w:fill="FFFFFF"/>
          <w:lang w:val="zh-CN"/>
        </w:rPr>
      </w:pPr>
    </w:p>
    <w:p w14:paraId="5F4D216C">
      <w:pPr>
        <w:widowControl/>
        <w:adjustRightInd w:val="0"/>
        <w:snapToGrid w:val="0"/>
        <w:spacing w:line="580" w:lineRule="exact"/>
        <w:ind w:firstLine="720" w:firstLineChars="200"/>
        <w:contextualSpacing/>
        <w:jc w:val="left"/>
        <w:rPr>
          <w:rFonts w:ascii="黑体" w:hAnsi="黑体" w:eastAsia="黑体" w:cs="宋体"/>
          <w:color w:val="000000"/>
          <w:kern w:val="0"/>
          <w:sz w:val="36"/>
          <w:szCs w:val="36"/>
          <w:shd w:val="clear" w:color="auto" w:fill="FFFFFF"/>
        </w:rPr>
      </w:pPr>
      <w:r>
        <w:rPr>
          <w:rFonts w:hint="eastAsia" w:ascii="黑体" w:hAnsi="黑体" w:eastAsia="黑体" w:cs="宋体"/>
          <w:color w:val="000000"/>
          <w:kern w:val="0"/>
          <w:sz w:val="36"/>
          <w:szCs w:val="36"/>
          <w:shd w:val="clear" w:color="auto" w:fill="FFFFFF"/>
        </w:rPr>
        <w:t>二、部门财政资金收支情况</w:t>
      </w:r>
    </w:p>
    <w:p w14:paraId="5F84C538">
      <w:pPr>
        <w:widowControl/>
        <w:adjustRightInd w:val="0"/>
        <w:snapToGrid w:val="0"/>
        <w:spacing w:line="580" w:lineRule="exact"/>
        <w:ind w:firstLine="640" w:firstLineChars="200"/>
        <w:contextualSpacing/>
        <w:jc w:val="left"/>
        <w:rPr>
          <w:rStyle w:val="20"/>
          <w:rFonts w:hint="eastAsia" w:ascii="仿宋_GB2312" w:hAnsi="Times New Roman" w:eastAsia="仿宋_GB2312" w:cs="仿宋_GB2312"/>
          <w:b w:val="0"/>
          <w:bCs w:val="0"/>
          <w:i w:val="0"/>
          <w:iCs w:val="0"/>
          <w:caps w:val="0"/>
          <w:color w:val="000000"/>
          <w:spacing w:val="0"/>
          <w:kern w:val="0"/>
          <w:sz w:val="32"/>
          <w:szCs w:val="32"/>
          <w:shd w:val="clear" w:fill="FFFFFF"/>
          <w:lang w:val="zh-CN" w:eastAsia="zh-CN" w:bidi="ar-SA"/>
        </w:rPr>
      </w:pPr>
      <w:r>
        <w:rPr>
          <w:rStyle w:val="20"/>
          <w:rFonts w:hint="eastAsia" w:ascii="仿宋_GB2312" w:hAnsi="Times New Roman" w:eastAsia="仿宋_GB2312" w:cs="仿宋_GB2312"/>
          <w:b w:val="0"/>
          <w:bCs w:val="0"/>
          <w:i w:val="0"/>
          <w:iCs w:val="0"/>
          <w:caps w:val="0"/>
          <w:color w:val="000000"/>
          <w:spacing w:val="0"/>
          <w:kern w:val="0"/>
          <w:sz w:val="32"/>
          <w:szCs w:val="32"/>
          <w:shd w:val="clear" w:fill="FFFFFF"/>
          <w:lang w:val="zh-CN" w:eastAsia="zh-CN" w:bidi="ar-SA"/>
        </w:rPr>
        <w:t>（一）部门财政资金收入情况。</w:t>
      </w:r>
    </w:p>
    <w:p w14:paraId="7CA62012">
      <w:pPr>
        <w:pStyle w:val="2"/>
        <w:rPr>
          <w:rStyle w:val="20"/>
          <w:rFonts w:hint="default" w:ascii="仿宋_GB2312" w:hAnsi="Times New Roman" w:eastAsia="仿宋_GB2312" w:cs="仿宋_GB2312"/>
          <w:b w:val="0"/>
          <w:bCs w:val="0"/>
          <w:i w:val="0"/>
          <w:iCs w:val="0"/>
          <w:caps w:val="0"/>
          <w:color w:val="000000"/>
          <w:spacing w:val="0"/>
          <w:kern w:val="0"/>
          <w:sz w:val="32"/>
          <w:szCs w:val="32"/>
          <w:shd w:val="clear" w:fill="FFFFFF"/>
          <w:lang w:val="en-US" w:eastAsia="zh-CN" w:bidi="ar-SA"/>
        </w:rPr>
      </w:pPr>
      <w:r>
        <w:rPr>
          <w:rStyle w:val="20"/>
          <w:rFonts w:hint="eastAsia" w:ascii="仿宋_GB2312" w:hAnsi="Times New Roman" w:eastAsia="仿宋_GB2312" w:cs="仿宋_GB2312"/>
          <w:b w:val="0"/>
          <w:bCs w:val="0"/>
          <w:i w:val="0"/>
          <w:iCs w:val="0"/>
          <w:caps w:val="0"/>
          <w:color w:val="000000"/>
          <w:spacing w:val="0"/>
          <w:kern w:val="0"/>
          <w:sz w:val="32"/>
          <w:szCs w:val="32"/>
          <w:shd w:val="clear" w:fill="FFFFFF"/>
          <w:lang w:val="en-US" w:eastAsia="zh-CN" w:bidi="ar-SA"/>
        </w:rPr>
        <w:t>2023年度财政拨款收入740.7473万元，其中：上年结转为0万元，一般公共预算拨款收入740.7473万元，政府性基金预算拨款收入0万元。</w:t>
      </w:r>
    </w:p>
    <w:p w14:paraId="23A213A5">
      <w:pPr>
        <w:widowControl/>
        <w:numPr>
          <w:ilvl w:val="0"/>
          <w:numId w:val="4"/>
        </w:numPr>
        <w:adjustRightInd w:val="0"/>
        <w:snapToGrid w:val="0"/>
        <w:spacing w:line="580" w:lineRule="exact"/>
        <w:ind w:firstLine="640" w:firstLineChars="200"/>
        <w:contextualSpacing/>
        <w:jc w:val="left"/>
        <w:rPr>
          <w:rStyle w:val="20"/>
          <w:rFonts w:hint="eastAsia" w:ascii="仿宋_GB2312" w:hAnsi="Times New Roman" w:eastAsia="仿宋_GB2312" w:cs="仿宋_GB2312"/>
          <w:b w:val="0"/>
          <w:bCs w:val="0"/>
          <w:i w:val="0"/>
          <w:iCs w:val="0"/>
          <w:caps w:val="0"/>
          <w:color w:val="000000"/>
          <w:spacing w:val="0"/>
          <w:kern w:val="0"/>
          <w:sz w:val="32"/>
          <w:szCs w:val="32"/>
          <w:shd w:val="clear" w:fill="FFFFFF"/>
          <w:lang w:val="zh-CN" w:eastAsia="zh-CN" w:bidi="ar-SA"/>
        </w:rPr>
      </w:pPr>
      <w:r>
        <w:rPr>
          <w:rStyle w:val="20"/>
          <w:rFonts w:hint="eastAsia" w:ascii="仿宋_GB2312" w:hAnsi="Times New Roman" w:eastAsia="仿宋_GB2312" w:cs="仿宋_GB2312"/>
          <w:b w:val="0"/>
          <w:bCs w:val="0"/>
          <w:i w:val="0"/>
          <w:iCs w:val="0"/>
          <w:caps w:val="0"/>
          <w:color w:val="000000"/>
          <w:spacing w:val="0"/>
          <w:kern w:val="0"/>
          <w:sz w:val="32"/>
          <w:szCs w:val="32"/>
          <w:shd w:val="clear" w:fill="FFFFFF"/>
          <w:lang w:val="zh-CN" w:eastAsia="zh-CN" w:bidi="ar-SA"/>
        </w:rPr>
        <w:t>部门财政资金支出情况。</w:t>
      </w:r>
    </w:p>
    <w:p w14:paraId="0C940709">
      <w:pPr>
        <w:pStyle w:val="2"/>
        <w:rPr>
          <w:rStyle w:val="20"/>
          <w:rFonts w:hint="default" w:ascii="仿宋_GB2312" w:hAnsi="Times New Roman" w:eastAsia="仿宋_GB2312" w:cs="仿宋_GB2312"/>
          <w:b w:val="0"/>
          <w:bCs w:val="0"/>
          <w:i w:val="0"/>
          <w:iCs w:val="0"/>
          <w:caps w:val="0"/>
          <w:color w:val="000000"/>
          <w:spacing w:val="0"/>
          <w:kern w:val="0"/>
          <w:sz w:val="32"/>
          <w:szCs w:val="32"/>
          <w:shd w:val="clear" w:fill="FFFFFF"/>
          <w:lang w:val="zh-CN" w:eastAsia="zh-CN" w:bidi="ar-SA"/>
        </w:rPr>
      </w:pPr>
      <w:r>
        <w:rPr>
          <w:rStyle w:val="20"/>
          <w:rFonts w:hint="eastAsia" w:ascii="仿宋_GB2312" w:hAnsi="Times New Roman" w:eastAsia="仿宋_GB2312" w:cs="仿宋_GB2312"/>
          <w:b w:val="0"/>
          <w:bCs w:val="0"/>
          <w:i w:val="0"/>
          <w:iCs w:val="0"/>
          <w:caps w:val="0"/>
          <w:color w:val="000000"/>
          <w:spacing w:val="0"/>
          <w:kern w:val="0"/>
          <w:sz w:val="32"/>
          <w:szCs w:val="32"/>
          <w:shd w:val="clear" w:fill="FFFFFF"/>
          <w:lang w:val="en-US" w:eastAsia="zh-CN" w:bidi="ar-SA"/>
        </w:rPr>
        <w:t>2023年度财政资金支出753.5532万元，其中：基本支出598.3968万元；项目支出155.1565万元</w:t>
      </w:r>
    </w:p>
    <w:p w14:paraId="43BC4607">
      <w:pPr>
        <w:widowControl/>
        <w:numPr>
          <w:ilvl w:val="0"/>
          <w:numId w:val="4"/>
        </w:numPr>
        <w:adjustRightInd w:val="0"/>
        <w:snapToGrid w:val="0"/>
        <w:spacing w:line="580" w:lineRule="exact"/>
        <w:ind w:left="0" w:leftChars="0" w:firstLine="640" w:firstLineChars="200"/>
        <w:contextualSpacing/>
        <w:jc w:val="left"/>
        <w:rPr>
          <w:rStyle w:val="20"/>
          <w:rFonts w:hint="eastAsia" w:ascii="仿宋_GB2312" w:hAnsi="Times New Roman" w:eastAsia="仿宋_GB2312" w:cs="仿宋_GB2312"/>
          <w:b w:val="0"/>
          <w:bCs w:val="0"/>
          <w:i w:val="0"/>
          <w:iCs w:val="0"/>
          <w:caps w:val="0"/>
          <w:color w:val="000000"/>
          <w:spacing w:val="0"/>
          <w:kern w:val="0"/>
          <w:sz w:val="32"/>
          <w:szCs w:val="32"/>
          <w:shd w:val="clear" w:fill="FFFFFF"/>
          <w:lang w:val="zh-CN" w:eastAsia="zh-CN" w:bidi="ar-SA"/>
        </w:rPr>
      </w:pPr>
      <w:r>
        <w:rPr>
          <w:rStyle w:val="20"/>
          <w:rFonts w:hint="eastAsia" w:ascii="仿宋_GB2312" w:hAnsi="Times New Roman" w:eastAsia="仿宋_GB2312" w:cs="仿宋_GB2312"/>
          <w:b w:val="0"/>
          <w:bCs w:val="0"/>
          <w:i w:val="0"/>
          <w:iCs w:val="0"/>
          <w:caps w:val="0"/>
          <w:color w:val="000000"/>
          <w:spacing w:val="0"/>
          <w:kern w:val="0"/>
          <w:sz w:val="32"/>
          <w:szCs w:val="32"/>
          <w:shd w:val="clear" w:fill="FFFFFF"/>
          <w:lang w:val="zh-CN" w:eastAsia="zh-CN" w:bidi="ar-SA"/>
        </w:rPr>
        <w:t>部门财政资金结转结余情况。</w:t>
      </w:r>
    </w:p>
    <w:p w14:paraId="2CE702A7">
      <w:pPr>
        <w:pStyle w:val="2"/>
        <w:numPr>
          <w:ilvl w:val="0"/>
          <w:numId w:val="0"/>
        </w:numPr>
        <w:ind w:leftChars="200"/>
        <w:rPr>
          <w:rStyle w:val="20"/>
          <w:rFonts w:hint="default" w:ascii="仿宋_GB2312" w:hAnsi="Times New Roman" w:eastAsia="仿宋_GB2312" w:cs="仿宋_GB2312"/>
          <w:b w:val="0"/>
          <w:bCs w:val="0"/>
          <w:i w:val="0"/>
          <w:iCs w:val="0"/>
          <w:caps w:val="0"/>
          <w:color w:val="000000"/>
          <w:spacing w:val="0"/>
          <w:kern w:val="0"/>
          <w:sz w:val="32"/>
          <w:szCs w:val="32"/>
          <w:shd w:val="clear" w:fill="FFFFFF"/>
          <w:lang w:val="en-US" w:eastAsia="zh-CN" w:bidi="ar-SA"/>
        </w:rPr>
      </w:pPr>
      <w:r>
        <w:rPr>
          <w:rStyle w:val="20"/>
          <w:rFonts w:hint="eastAsia" w:ascii="仿宋_GB2312" w:hAnsi="Times New Roman" w:eastAsia="仿宋_GB2312" w:cs="仿宋_GB2312"/>
          <w:b w:val="0"/>
          <w:bCs w:val="0"/>
          <w:i w:val="0"/>
          <w:iCs w:val="0"/>
          <w:caps w:val="0"/>
          <w:color w:val="000000"/>
          <w:spacing w:val="0"/>
          <w:kern w:val="0"/>
          <w:sz w:val="32"/>
          <w:szCs w:val="32"/>
          <w:shd w:val="clear" w:fill="FFFFFF"/>
          <w:lang w:val="en-US" w:eastAsia="zh-CN" w:bidi="ar-SA"/>
        </w:rPr>
        <w:t>2023年财政资金结转结余0万元</w:t>
      </w:r>
    </w:p>
    <w:p w14:paraId="396AC038">
      <w:pPr>
        <w:widowControl/>
        <w:adjustRightInd w:val="0"/>
        <w:snapToGrid w:val="0"/>
        <w:spacing w:line="580" w:lineRule="exact"/>
        <w:ind w:firstLine="720" w:firstLineChars="200"/>
        <w:contextualSpacing/>
        <w:jc w:val="left"/>
        <w:rPr>
          <w:rFonts w:ascii="黑体" w:hAnsi="黑体" w:eastAsia="黑体" w:cs="宋体"/>
          <w:color w:val="000000"/>
          <w:kern w:val="0"/>
          <w:sz w:val="36"/>
          <w:szCs w:val="52"/>
          <w:shd w:val="clear" w:color="auto" w:fill="FFFFFF"/>
        </w:rPr>
      </w:pPr>
      <w:r>
        <w:rPr>
          <w:rFonts w:hint="eastAsia" w:ascii="黑体" w:hAnsi="黑体" w:eastAsia="黑体" w:cs="宋体"/>
          <w:color w:val="000000"/>
          <w:kern w:val="0"/>
          <w:sz w:val="36"/>
          <w:szCs w:val="52"/>
          <w:shd w:val="clear" w:color="auto" w:fill="FFFFFF"/>
        </w:rPr>
        <w:t>三、部门整体绩效管理情况（根据自评体系进行描述）</w:t>
      </w:r>
    </w:p>
    <w:p w14:paraId="29287201">
      <w:pPr>
        <w:widowControl/>
        <w:adjustRightInd w:val="0"/>
        <w:snapToGrid w:val="0"/>
        <w:spacing w:line="580" w:lineRule="exact"/>
        <w:ind w:firstLine="640" w:firstLineChars="200"/>
        <w:contextualSpacing/>
        <w:jc w:val="left"/>
        <w:rPr>
          <w:rFonts w:ascii="楷体_GB2312" w:hAnsi="宋体" w:eastAsia="楷体_GB2312" w:cs="宋体"/>
          <w:color w:val="000000"/>
          <w:kern w:val="0"/>
          <w:sz w:val="32"/>
          <w:szCs w:val="48"/>
          <w:shd w:val="clear" w:color="auto" w:fill="FFFFFF"/>
          <w:lang w:val="zh-CN"/>
        </w:rPr>
      </w:pPr>
      <w:r>
        <w:rPr>
          <w:rFonts w:hint="eastAsia" w:ascii="楷体_GB2312" w:hAnsi="宋体" w:eastAsia="楷体_GB2312" w:cs="宋体"/>
          <w:color w:val="000000"/>
          <w:kern w:val="0"/>
          <w:sz w:val="32"/>
          <w:szCs w:val="48"/>
          <w:shd w:val="clear" w:color="auto" w:fill="FFFFFF"/>
          <w:lang w:val="zh-CN"/>
        </w:rPr>
        <w:t>（一）部门整体履职绩效分析。</w:t>
      </w:r>
    </w:p>
    <w:p w14:paraId="5997D773">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default" w:ascii="Times New Roman" w:hAnsi="Times New Roman" w:cs="Times New Roman"/>
          <w:i w:val="0"/>
          <w:iCs w:val="0"/>
          <w:caps w:val="0"/>
          <w:color w:val="333333"/>
          <w:spacing w:val="0"/>
          <w:sz w:val="32"/>
          <w:szCs w:val="32"/>
        </w:rPr>
      </w:pPr>
      <w:r>
        <w:rPr>
          <w:rStyle w:val="20"/>
          <w:rFonts w:hint="eastAsia" w:ascii="仿宋_GB2312" w:eastAsia="仿宋_GB2312" w:cs="仿宋_GB2312"/>
          <w:b w:val="0"/>
          <w:bCs w:val="0"/>
          <w:i w:val="0"/>
          <w:iCs w:val="0"/>
          <w:caps w:val="0"/>
          <w:color w:val="000000"/>
          <w:spacing w:val="0"/>
          <w:sz w:val="32"/>
          <w:szCs w:val="32"/>
          <w:shd w:val="clear" w:fill="FFFFFF"/>
          <w:lang w:val="en-US" w:eastAsia="zh-CN"/>
        </w:rPr>
        <w:t>勒乌乡</w:t>
      </w:r>
      <w:r>
        <w:rPr>
          <w:rStyle w:val="20"/>
          <w:rFonts w:hint="default" w:ascii="仿宋_GB2312" w:hAnsi="Times New Roman" w:eastAsia="仿宋_GB2312" w:cs="仿宋_GB2312"/>
          <w:b w:val="0"/>
          <w:bCs w:val="0"/>
          <w:i w:val="0"/>
          <w:iCs w:val="0"/>
          <w:caps w:val="0"/>
          <w:color w:val="000000"/>
          <w:spacing w:val="0"/>
          <w:sz w:val="32"/>
          <w:szCs w:val="32"/>
          <w:shd w:val="clear" w:fill="FFFFFF"/>
        </w:rPr>
        <w:t>人民政府绩效目标按要求向社会公开，部门整体绩效自评情况和自行组织的评价情况向社会公开，及时整改了绩效管理发现问题，向财政部门反馈结果应用情况。资金主要投入在城乡环境整治、人居环境改善、乡村及镇区风貌、村民活动场所建设、文化设施建设、治安维稳、基础设施建设等方面，通过统计分析获取了人民群众对生态环境的健康度、居住生活的舒适度、工作出行的便捷度、居住生活的安全度各方面的良好评价。</w:t>
      </w:r>
    </w:p>
    <w:p w14:paraId="53386716">
      <w:pPr>
        <w:widowControl/>
        <w:adjustRightInd w:val="0"/>
        <w:snapToGrid w:val="0"/>
        <w:spacing w:line="580" w:lineRule="exact"/>
        <w:ind w:firstLine="420" w:firstLineChars="200"/>
        <w:contextualSpacing/>
        <w:jc w:val="left"/>
        <w:rPr>
          <w:rFonts w:ascii="仿宋_GB2312" w:hAnsi="宋体" w:eastAsia="仿宋_GB2312" w:cs="宋体"/>
          <w:color w:val="000000"/>
          <w:kern w:val="0"/>
          <w:szCs w:val="32"/>
          <w:shd w:val="clear" w:color="auto" w:fill="FFFFFF"/>
          <w:lang w:val="zh-CN"/>
        </w:rPr>
      </w:pPr>
    </w:p>
    <w:p w14:paraId="0F945273">
      <w:pPr>
        <w:widowControl/>
        <w:adjustRightInd w:val="0"/>
        <w:snapToGrid w:val="0"/>
        <w:spacing w:line="580" w:lineRule="exact"/>
        <w:ind w:firstLine="640" w:firstLineChars="200"/>
        <w:contextualSpacing/>
        <w:jc w:val="left"/>
        <w:rPr>
          <w:rStyle w:val="20"/>
          <w:rFonts w:hint="eastAsia" w:ascii="仿宋" w:hAnsi="仿宋" w:eastAsia="仿宋" w:cs="仿宋"/>
          <w:b w:val="0"/>
          <w:bCs w:val="0"/>
          <w:i w:val="0"/>
          <w:iCs w:val="0"/>
          <w:caps w:val="0"/>
          <w:color w:val="000000"/>
          <w:spacing w:val="0"/>
          <w:sz w:val="32"/>
          <w:szCs w:val="32"/>
          <w:shd w:val="clear" w:fill="FFFFFF"/>
          <w:lang w:val="zh-CN" w:eastAsia="zh-CN"/>
        </w:rPr>
      </w:pPr>
      <w:r>
        <w:rPr>
          <w:rStyle w:val="20"/>
          <w:rFonts w:hint="eastAsia" w:ascii="仿宋" w:hAnsi="仿宋" w:eastAsia="仿宋" w:cs="仿宋"/>
          <w:b w:val="0"/>
          <w:bCs w:val="0"/>
          <w:i w:val="0"/>
          <w:iCs w:val="0"/>
          <w:caps w:val="0"/>
          <w:color w:val="000000"/>
          <w:spacing w:val="0"/>
          <w:sz w:val="32"/>
          <w:szCs w:val="32"/>
          <w:shd w:val="clear" w:fill="FFFFFF"/>
          <w:lang w:val="zh-CN" w:eastAsia="zh-CN"/>
        </w:rPr>
        <w:t>（二）特定目标类项目绩效分析。</w:t>
      </w:r>
    </w:p>
    <w:p w14:paraId="080ECDC5">
      <w:pPr>
        <w:widowControl/>
        <w:adjustRightInd w:val="0"/>
        <w:snapToGrid w:val="0"/>
        <w:spacing w:line="580" w:lineRule="exact"/>
        <w:ind w:firstLine="640" w:firstLineChars="200"/>
        <w:contextualSpacing/>
        <w:jc w:val="left"/>
        <w:rPr>
          <w:rStyle w:val="20"/>
          <w:rFonts w:hint="eastAsia" w:ascii="仿宋" w:hAnsi="仿宋" w:eastAsia="仿宋" w:cs="仿宋"/>
          <w:b w:val="0"/>
          <w:bCs w:val="0"/>
          <w:i w:val="0"/>
          <w:iCs w:val="0"/>
          <w:caps w:val="0"/>
          <w:color w:val="000000"/>
          <w:spacing w:val="0"/>
          <w:sz w:val="32"/>
          <w:szCs w:val="32"/>
          <w:shd w:val="clear" w:fill="FFFFFF"/>
          <w:lang w:val="zh-CN" w:eastAsia="zh-CN"/>
        </w:rPr>
      </w:pPr>
      <w:r>
        <w:rPr>
          <w:rStyle w:val="20"/>
          <w:rFonts w:hint="eastAsia" w:ascii="仿宋" w:hAnsi="仿宋" w:eastAsia="仿宋" w:cs="仿宋"/>
          <w:b w:val="0"/>
          <w:bCs w:val="0"/>
          <w:i w:val="0"/>
          <w:iCs w:val="0"/>
          <w:caps w:val="0"/>
          <w:color w:val="000000"/>
          <w:spacing w:val="0"/>
          <w:sz w:val="32"/>
          <w:szCs w:val="32"/>
          <w:shd w:val="clear" w:fill="FFFFFF"/>
          <w:lang w:val="zh-CN" w:eastAsia="zh-CN"/>
        </w:rPr>
        <w:t>包括项目绩效目标制定、目标实现、支出控制、及时处置、执行进度、预算完成情况、资金结余率（低效无效率）和违规记录等情况。</w:t>
      </w:r>
    </w:p>
    <w:p w14:paraId="2B7DCE4D">
      <w:pPr>
        <w:widowControl/>
        <w:adjustRightInd w:val="0"/>
        <w:snapToGrid w:val="0"/>
        <w:spacing w:line="580" w:lineRule="exact"/>
        <w:ind w:firstLine="640" w:firstLineChars="200"/>
        <w:contextualSpacing/>
        <w:jc w:val="left"/>
        <w:rPr>
          <w:rStyle w:val="20"/>
          <w:rFonts w:hint="eastAsia" w:ascii="仿宋" w:hAnsi="仿宋" w:eastAsia="仿宋" w:cs="仿宋"/>
          <w:b w:val="0"/>
          <w:bCs w:val="0"/>
          <w:i w:val="0"/>
          <w:iCs w:val="0"/>
          <w:caps w:val="0"/>
          <w:color w:val="000000"/>
          <w:spacing w:val="0"/>
          <w:sz w:val="32"/>
          <w:szCs w:val="32"/>
          <w:shd w:val="clear" w:fill="FFFFFF"/>
          <w:lang w:val="zh-CN" w:eastAsia="zh-CN"/>
        </w:rPr>
      </w:pPr>
      <w:r>
        <w:rPr>
          <w:rStyle w:val="20"/>
          <w:rFonts w:hint="eastAsia" w:ascii="仿宋" w:hAnsi="仿宋" w:eastAsia="仿宋" w:cs="仿宋"/>
          <w:b w:val="0"/>
          <w:bCs w:val="0"/>
          <w:i w:val="0"/>
          <w:iCs w:val="0"/>
          <w:caps w:val="0"/>
          <w:color w:val="000000"/>
          <w:spacing w:val="0"/>
          <w:sz w:val="32"/>
          <w:szCs w:val="32"/>
          <w:shd w:val="clear" w:fill="FFFFFF"/>
          <w:lang w:val="zh-CN" w:eastAsia="zh-CN"/>
        </w:rPr>
        <w:t>1.整体情况</w:t>
      </w:r>
    </w:p>
    <w:p w14:paraId="5E8F221A">
      <w:pPr>
        <w:widowControl/>
        <w:adjustRightInd w:val="0"/>
        <w:snapToGrid w:val="0"/>
        <w:spacing w:line="580" w:lineRule="exact"/>
        <w:ind w:firstLine="640" w:firstLineChars="200"/>
        <w:contextualSpacing/>
        <w:jc w:val="left"/>
        <w:rPr>
          <w:rFonts w:hint="default" w:eastAsia="仿宋"/>
          <w:lang w:val="en-US" w:eastAsia="zh-CN"/>
        </w:rPr>
      </w:pPr>
      <w:r>
        <w:rPr>
          <w:rStyle w:val="20"/>
          <w:rFonts w:hint="eastAsia" w:ascii="仿宋" w:hAnsi="仿宋" w:eastAsia="仿宋" w:cs="仿宋"/>
          <w:b w:val="0"/>
          <w:bCs w:val="0"/>
          <w:i w:val="0"/>
          <w:iCs w:val="0"/>
          <w:caps w:val="0"/>
          <w:color w:val="000000"/>
          <w:spacing w:val="0"/>
          <w:sz w:val="32"/>
          <w:szCs w:val="32"/>
          <w:shd w:val="clear" w:fill="FFFFFF"/>
          <w:lang w:val="en-US" w:eastAsia="zh-CN"/>
        </w:rPr>
        <w:t>勒乌乡项目具体为：乡镇安全管理相关</w:t>
      </w:r>
      <w:r>
        <w:rPr>
          <w:rStyle w:val="20"/>
          <w:rFonts w:hint="eastAsia" w:ascii="仿宋" w:hAnsi="仿宋" w:eastAsia="仿宋" w:cs="仿宋"/>
          <w:b w:val="0"/>
          <w:bCs w:val="0"/>
          <w:i w:val="0"/>
          <w:iCs w:val="0"/>
          <w:caps w:val="0"/>
          <w:color w:val="000000"/>
          <w:spacing w:val="0"/>
          <w:sz w:val="32"/>
          <w:szCs w:val="32"/>
          <w:highlight w:val="none"/>
          <w:shd w:val="clear" w:fill="FFFFFF"/>
          <w:lang w:val="en-US" w:eastAsia="zh-CN"/>
        </w:rPr>
        <w:t>4.88万元；垃圾车运营维护费4万元；在职村干部养老保险补助、村组干部意外保险4.98万元；基层组织和农村公共服务运行88万元。</w:t>
      </w:r>
    </w:p>
    <w:p w14:paraId="4A9EBCC1">
      <w:pPr>
        <w:pStyle w:val="2"/>
        <w:rPr>
          <w:rFonts w:hint="eastAsia" w:eastAsia="宋体"/>
          <w:lang w:val="en-US" w:eastAsia="zh-CN"/>
        </w:rPr>
      </w:pPr>
    </w:p>
    <w:p w14:paraId="7AE974D9">
      <w:pPr>
        <w:widowControl/>
        <w:adjustRightInd w:val="0"/>
        <w:snapToGrid w:val="0"/>
        <w:spacing w:line="580" w:lineRule="exact"/>
        <w:ind w:firstLine="640" w:firstLineChars="200"/>
        <w:contextualSpacing/>
        <w:jc w:val="left"/>
        <w:rPr>
          <w:rStyle w:val="20"/>
          <w:rFonts w:hint="eastAsia" w:ascii="仿宋" w:hAnsi="仿宋" w:eastAsia="仿宋" w:cs="仿宋"/>
          <w:b w:val="0"/>
          <w:bCs w:val="0"/>
          <w:i w:val="0"/>
          <w:iCs w:val="0"/>
          <w:caps w:val="0"/>
          <w:color w:val="000000"/>
          <w:spacing w:val="0"/>
          <w:sz w:val="32"/>
          <w:szCs w:val="32"/>
          <w:highlight w:val="none"/>
          <w:shd w:val="clear" w:fill="FFFFFF"/>
          <w:lang w:val="zh-CN" w:eastAsia="zh-CN"/>
        </w:rPr>
      </w:pPr>
      <w:r>
        <w:rPr>
          <w:rStyle w:val="20"/>
          <w:rFonts w:hint="eastAsia" w:ascii="仿宋" w:hAnsi="仿宋" w:eastAsia="仿宋" w:cs="仿宋"/>
          <w:b w:val="0"/>
          <w:bCs w:val="0"/>
          <w:i w:val="0"/>
          <w:iCs w:val="0"/>
          <w:caps w:val="0"/>
          <w:color w:val="000000"/>
          <w:spacing w:val="0"/>
          <w:sz w:val="32"/>
          <w:szCs w:val="32"/>
          <w:highlight w:val="none"/>
          <w:shd w:val="clear" w:fill="FFFFFF"/>
          <w:lang w:val="zh-CN" w:eastAsia="zh-CN"/>
        </w:rPr>
        <w:t>2.100万以上项目：无</w:t>
      </w:r>
    </w:p>
    <w:p w14:paraId="7EEBAB50">
      <w:pPr>
        <w:widowControl/>
        <w:adjustRightInd w:val="0"/>
        <w:snapToGrid w:val="0"/>
        <w:spacing w:line="580" w:lineRule="exact"/>
        <w:ind w:firstLine="420" w:firstLineChars="200"/>
        <w:contextualSpacing/>
        <w:jc w:val="left"/>
        <w:rPr>
          <w:rFonts w:hint="eastAsia" w:ascii="楷体_GB2312" w:hAnsi="宋体" w:eastAsia="楷体_GB2312" w:cs="宋体"/>
          <w:color w:val="000000"/>
          <w:kern w:val="0"/>
          <w:szCs w:val="32"/>
          <w:shd w:val="clear" w:color="auto" w:fill="FFFFFF"/>
          <w:lang w:val="zh-CN"/>
        </w:rPr>
      </w:pPr>
    </w:p>
    <w:p w14:paraId="1CF29B40">
      <w:pPr>
        <w:widowControl/>
        <w:adjustRightInd w:val="0"/>
        <w:snapToGrid w:val="0"/>
        <w:spacing w:line="580" w:lineRule="exact"/>
        <w:ind w:firstLine="640" w:firstLineChars="200"/>
        <w:contextualSpacing/>
        <w:jc w:val="left"/>
        <w:rPr>
          <w:rFonts w:ascii="楷体_GB2312" w:hAnsi="宋体" w:eastAsia="楷体_GB2312" w:cs="宋体"/>
          <w:color w:val="000000"/>
          <w:kern w:val="0"/>
          <w:sz w:val="32"/>
          <w:szCs w:val="48"/>
          <w:shd w:val="clear" w:color="auto" w:fill="FFFFFF"/>
          <w:lang w:val="zh-CN"/>
        </w:rPr>
      </w:pPr>
      <w:r>
        <w:rPr>
          <w:rFonts w:hint="eastAsia" w:ascii="楷体_GB2312" w:hAnsi="宋体" w:eastAsia="楷体_GB2312" w:cs="宋体"/>
          <w:color w:val="000000"/>
          <w:kern w:val="0"/>
          <w:sz w:val="32"/>
          <w:szCs w:val="48"/>
          <w:shd w:val="clear" w:color="auto" w:fill="FFFFFF"/>
          <w:lang w:val="zh-CN"/>
        </w:rPr>
        <w:t>（三）结果应用情况。</w:t>
      </w:r>
    </w:p>
    <w:p w14:paraId="34A97508">
      <w:pPr>
        <w:widowControl/>
        <w:adjustRightInd w:val="0"/>
        <w:snapToGrid w:val="0"/>
        <w:spacing w:line="580" w:lineRule="exact"/>
        <w:ind w:firstLine="600" w:firstLineChars="200"/>
        <w:contextualSpacing/>
        <w:jc w:val="left"/>
        <w:rPr>
          <w:rFonts w:hint="eastAsia" w:ascii="楷体_GB2312" w:hAnsi="宋体" w:eastAsia="楷体_GB2312" w:cs="宋体"/>
          <w:color w:val="000000"/>
          <w:kern w:val="0"/>
          <w:szCs w:val="32"/>
          <w:shd w:val="clear" w:color="auto" w:fill="FFFFFF"/>
          <w:lang w:val="zh-CN"/>
        </w:rPr>
      </w:pPr>
      <w:r>
        <w:rPr>
          <w:rFonts w:hint="eastAsia" w:ascii="仿宋" w:hAnsi="仿宋" w:eastAsia="仿宋" w:cs="仿宋"/>
          <w:color w:val="000000"/>
          <w:kern w:val="0"/>
          <w:sz w:val="30"/>
          <w:szCs w:val="30"/>
          <w:shd w:val="clear" w:color="auto" w:fill="FFFFFF"/>
          <w:lang w:val="zh-CN"/>
        </w:rPr>
        <w:t>预算执行情况</w:t>
      </w:r>
      <w:r>
        <w:rPr>
          <w:rFonts w:hint="eastAsia" w:ascii="仿宋" w:hAnsi="仿宋" w:eastAsia="仿宋" w:cs="仿宋"/>
          <w:color w:val="000000" w:themeColor="text1"/>
          <w:kern w:val="0"/>
          <w:sz w:val="30"/>
          <w:szCs w:val="30"/>
          <w:shd w:val="clear" w:color="auto" w:fill="FFFFFF"/>
          <w:lang w:val="zh-CN"/>
          <w14:textFill>
            <w14:solidFill>
              <w14:schemeClr w14:val="tx1"/>
            </w14:solidFill>
          </w14:textFill>
        </w:rPr>
        <w:t>为</w:t>
      </w:r>
      <w:r>
        <w:rPr>
          <w:rFonts w:hint="eastAsia" w:ascii="仿宋" w:hAnsi="仿宋" w:eastAsia="仿宋" w:cs="仿宋"/>
          <w:color w:val="000000" w:themeColor="text1"/>
          <w:kern w:val="0"/>
          <w:sz w:val="30"/>
          <w:szCs w:val="30"/>
          <w:shd w:val="clear" w:color="auto" w:fill="FFFFFF"/>
          <w:lang w:val="en-US" w:eastAsia="zh-CN"/>
          <w14:textFill>
            <w14:solidFill>
              <w14:schemeClr w14:val="tx1"/>
            </w14:solidFill>
          </w14:textFill>
        </w:rPr>
        <w:t>100%</w:t>
      </w:r>
      <w:r>
        <w:rPr>
          <w:rFonts w:hint="eastAsia" w:ascii="仿宋" w:hAnsi="仿宋" w:eastAsia="仿宋" w:cs="仿宋"/>
          <w:color w:val="000000" w:themeColor="text1"/>
          <w:kern w:val="0"/>
          <w:sz w:val="30"/>
          <w:szCs w:val="30"/>
          <w:shd w:val="clear" w:color="auto" w:fill="FFFFFF"/>
          <w:lang w:val="zh-CN"/>
          <w14:textFill>
            <w14:solidFill>
              <w14:schemeClr w14:val="tx1"/>
            </w14:solidFill>
          </w14:textFill>
        </w:rPr>
        <w:t>，较</w:t>
      </w:r>
      <w:r>
        <w:rPr>
          <w:rFonts w:hint="eastAsia" w:ascii="仿宋" w:hAnsi="仿宋" w:eastAsia="仿宋" w:cs="仿宋"/>
          <w:color w:val="000000"/>
          <w:kern w:val="0"/>
          <w:sz w:val="30"/>
          <w:szCs w:val="30"/>
          <w:shd w:val="clear" w:color="auto" w:fill="FFFFFF"/>
          <w:lang w:val="zh-CN"/>
        </w:rPr>
        <w:t>好地完成了县委</w:t>
      </w:r>
      <w:r>
        <w:rPr>
          <w:rFonts w:hint="eastAsia" w:ascii="仿宋" w:hAnsi="仿宋" w:eastAsia="仿宋" w:cs="仿宋"/>
          <w:color w:val="000000"/>
          <w:kern w:val="0"/>
          <w:sz w:val="30"/>
          <w:szCs w:val="30"/>
          <w:shd w:val="clear" w:color="auto" w:fill="FFFFFF"/>
          <w:lang w:val="en-US" w:eastAsia="zh-CN"/>
        </w:rPr>
        <w:t>县</w:t>
      </w:r>
      <w:r>
        <w:rPr>
          <w:rFonts w:hint="eastAsia" w:ascii="仿宋" w:hAnsi="仿宋" w:eastAsia="仿宋" w:cs="仿宋"/>
          <w:color w:val="000000"/>
          <w:kern w:val="0"/>
          <w:sz w:val="30"/>
          <w:szCs w:val="30"/>
          <w:shd w:val="clear" w:color="auto" w:fill="FFFFFF"/>
          <w:lang w:val="zh-CN"/>
        </w:rPr>
        <w:t>政府下达的目标任务，部门支出自评质量高，绩效目标及时公开，社会反映良好。</w:t>
      </w:r>
    </w:p>
    <w:p w14:paraId="339B537F">
      <w:pPr>
        <w:widowControl/>
        <w:adjustRightInd w:val="0"/>
        <w:snapToGrid w:val="0"/>
        <w:spacing w:line="580" w:lineRule="exact"/>
        <w:ind w:firstLine="720" w:firstLineChars="200"/>
        <w:contextualSpacing/>
        <w:jc w:val="left"/>
        <w:rPr>
          <w:rFonts w:ascii="黑体" w:hAnsi="黑体" w:eastAsia="黑体" w:cs="宋体"/>
          <w:color w:val="000000"/>
          <w:kern w:val="0"/>
          <w:sz w:val="36"/>
          <w:szCs w:val="52"/>
          <w:shd w:val="clear" w:color="auto" w:fill="FFFFFF"/>
        </w:rPr>
      </w:pPr>
      <w:r>
        <w:rPr>
          <w:rFonts w:hint="eastAsia" w:ascii="黑体" w:hAnsi="黑体" w:eastAsia="黑体" w:cs="宋体"/>
          <w:color w:val="000000"/>
          <w:kern w:val="0"/>
          <w:sz w:val="36"/>
          <w:szCs w:val="52"/>
          <w:shd w:val="clear" w:color="auto" w:fill="FFFFFF"/>
        </w:rPr>
        <w:t>四、评价结论及建议</w:t>
      </w:r>
    </w:p>
    <w:p w14:paraId="588E7A58">
      <w:pPr>
        <w:widowControl/>
        <w:adjustRightInd w:val="0"/>
        <w:snapToGrid w:val="0"/>
        <w:spacing w:line="580" w:lineRule="exact"/>
        <w:ind w:firstLine="560" w:firstLineChars="200"/>
        <w:contextualSpacing/>
        <w:jc w:val="left"/>
        <w:rPr>
          <w:rFonts w:hint="eastAsia" w:ascii="楷体_GB2312" w:hAnsi="宋体" w:eastAsia="楷体_GB2312" w:cs="宋体"/>
          <w:color w:val="000000"/>
          <w:kern w:val="0"/>
          <w:sz w:val="28"/>
          <w:szCs w:val="44"/>
          <w:shd w:val="clear" w:color="auto" w:fill="FFFFFF"/>
          <w:lang w:val="zh-CN"/>
        </w:rPr>
      </w:pPr>
      <w:r>
        <w:rPr>
          <w:rFonts w:hint="eastAsia" w:ascii="楷体_GB2312" w:hAnsi="宋体" w:eastAsia="楷体_GB2312" w:cs="宋体"/>
          <w:color w:val="000000"/>
          <w:kern w:val="0"/>
          <w:sz w:val="28"/>
          <w:szCs w:val="44"/>
          <w:shd w:val="clear" w:color="auto" w:fill="FFFFFF"/>
          <w:lang w:val="zh-CN"/>
        </w:rPr>
        <w:t>（一）评价结论。</w:t>
      </w:r>
    </w:p>
    <w:p w14:paraId="1A6859B8">
      <w:pPr>
        <w:widowControl/>
        <w:adjustRightInd w:val="0"/>
        <w:snapToGrid w:val="0"/>
        <w:spacing w:line="580" w:lineRule="exact"/>
        <w:ind w:firstLine="640" w:firstLineChars="200"/>
        <w:contextualSpacing/>
        <w:jc w:val="left"/>
        <w:rPr>
          <w:lang w:val="zh-CN"/>
        </w:rPr>
      </w:pPr>
      <w:r>
        <w:rPr>
          <w:rStyle w:val="20"/>
          <w:rFonts w:ascii="仿宋_GB2312" w:hAnsi="宋体" w:eastAsia="仿宋_GB2312" w:cs="仿宋_GB2312"/>
          <w:b w:val="0"/>
          <w:bCs w:val="0"/>
          <w:i w:val="0"/>
          <w:iCs w:val="0"/>
          <w:caps w:val="0"/>
          <w:color w:val="000000"/>
          <w:spacing w:val="0"/>
          <w:sz w:val="32"/>
          <w:szCs w:val="32"/>
          <w:shd w:val="clear" w:fill="FFFFFF"/>
        </w:rPr>
        <w:t>根据《</w:t>
      </w:r>
      <w:r>
        <w:rPr>
          <w:rStyle w:val="20"/>
          <w:rFonts w:hint="eastAsia" w:ascii="仿宋_GB2312" w:hAnsi="宋体" w:eastAsia="仿宋_GB2312" w:cs="仿宋_GB2312"/>
          <w:b w:val="0"/>
          <w:bCs w:val="0"/>
          <w:i w:val="0"/>
          <w:iCs w:val="0"/>
          <w:caps w:val="0"/>
          <w:color w:val="000000"/>
          <w:spacing w:val="0"/>
          <w:sz w:val="32"/>
          <w:szCs w:val="32"/>
          <w:shd w:val="clear" w:fill="FFFFFF"/>
        </w:rPr>
        <w:t>峨边彝族自治县财政局关于开展2022年部门整体、项目和政策支出绩效评价工作的通知</w:t>
      </w:r>
      <w:r>
        <w:rPr>
          <w:rStyle w:val="20"/>
          <w:rFonts w:hint="default" w:ascii="仿宋_GB2312" w:hAnsi="宋体" w:eastAsia="仿宋_GB2312" w:cs="仿宋_GB2312"/>
          <w:b w:val="0"/>
          <w:bCs w:val="0"/>
          <w:i w:val="0"/>
          <w:iCs w:val="0"/>
          <w:caps w:val="0"/>
          <w:color w:val="000000"/>
          <w:spacing w:val="0"/>
          <w:sz w:val="32"/>
          <w:szCs w:val="32"/>
          <w:shd w:val="clear" w:fill="FFFFFF"/>
        </w:rPr>
        <w:t>》文件精神，</w:t>
      </w:r>
      <w:r>
        <w:rPr>
          <w:rStyle w:val="20"/>
          <w:rFonts w:hint="eastAsia" w:ascii="仿宋_GB2312" w:hAnsi="宋体" w:eastAsia="仿宋_GB2312" w:cs="仿宋_GB2312"/>
          <w:b w:val="0"/>
          <w:bCs w:val="0"/>
          <w:i w:val="0"/>
          <w:iCs w:val="0"/>
          <w:caps w:val="0"/>
          <w:color w:val="000000"/>
          <w:spacing w:val="0"/>
          <w:sz w:val="32"/>
          <w:szCs w:val="32"/>
          <w:shd w:val="clear" w:fill="FFFFFF"/>
          <w:lang w:val="en-US" w:eastAsia="zh-CN"/>
        </w:rPr>
        <w:t>勒乌乡</w:t>
      </w:r>
      <w:r>
        <w:rPr>
          <w:rStyle w:val="20"/>
          <w:rFonts w:hint="default" w:ascii="仿宋_GB2312" w:hAnsi="宋体" w:eastAsia="仿宋_GB2312" w:cs="仿宋_GB2312"/>
          <w:b w:val="0"/>
          <w:bCs w:val="0"/>
          <w:i w:val="0"/>
          <w:iCs w:val="0"/>
          <w:caps w:val="0"/>
          <w:color w:val="000000"/>
          <w:spacing w:val="0"/>
          <w:sz w:val="32"/>
          <w:szCs w:val="32"/>
          <w:shd w:val="clear" w:fill="FFFFFF"/>
        </w:rPr>
        <w:t>人民政府认真组织开展了部门整体支出绩效评价工作，绩效评价得分：</w:t>
      </w:r>
      <w:r>
        <w:rPr>
          <w:rStyle w:val="20"/>
          <w:rFonts w:hint="eastAsia" w:ascii="仿宋_GB2312" w:hAnsi="宋体" w:eastAsia="仿宋_GB2312" w:cs="仿宋_GB2312"/>
          <w:b w:val="0"/>
          <w:bCs w:val="0"/>
          <w:i w:val="0"/>
          <w:iCs w:val="0"/>
          <w:caps w:val="0"/>
          <w:color w:val="000000"/>
          <w:spacing w:val="0"/>
          <w:sz w:val="32"/>
          <w:szCs w:val="32"/>
          <w:shd w:val="clear" w:fill="FFFFFF"/>
          <w:lang w:val="en-US" w:eastAsia="zh-CN"/>
        </w:rPr>
        <w:t>97</w:t>
      </w:r>
      <w:r>
        <w:rPr>
          <w:rStyle w:val="20"/>
          <w:rFonts w:hint="default" w:ascii="仿宋_GB2312" w:hAnsi="宋体" w:eastAsia="仿宋_GB2312" w:cs="仿宋_GB2312"/>
          <w:b w:val="0"/>
          <w:bCs w:val="0"/>
          <w:i w:val="0"/>
          <w:iCs w:val="0"/>
          <w:caps w:val="0"/>
          <w:color w:val="000000"/>
          <w:spacing w:val="0"/>
          <w:sz w:val="32"/>
          <w:szCs w:val="32"/>
          <w:shd w:val="clear" w:fill="FFFFFF"/>
        </w:rPr>
        <w:t>分。</w:t>
      </w:r>
    </w:p>
    <w:p w14:paraId="1B0C6DA4">
      <w:pPr>
        <w:pStyle w:val="2"/>
        <w:rPr>
          <w:lang w:val="zh-CN"/>
        </w:rPr>
      </w:pPr>
    </w:p>
    <w:p w14:paraId="2551E8B0">
      <w:pPr>
        <w:widowControl/>
        <w:numPr>
          <w:ilvl w:val="0"/>
          <w:numId w:val="5"/>
        </w:numPr>
        <w:adjustRightInd w:val="0"/>
        <w:snapToGrid w:val="0"/>
        <w:spacing w:line="580" w:lineRule="exact"/>
        <w:ind w:firstLine="640" w:firstLineChars="200"/>
        <w:contextualSpacing/>
        <w:jc w:val="left"/>
        <w:rPr>
          <w:sz w:val="32"/>
          <w:szCs w:val="40"/>
          <w:lang w:val="zh-CN"/>
        </w:rPr>
      </w:pPr>
      <w:r>
        <w:rPr>
          <w:rFonts w:hint="eastAsia" w:ascii="楷体_GB2312" w:hAnsi="宋体" w:eastAsia="楷体_GB2312" w:cs="宋体"/>
          <w:color w:val="000000"/>
          <w:kern w:val="0"/>
          <w:sz w:val="32"/>
          <w:szCs w:val="48"/>
          <w:shd w:val="clear" w:color="auto" w:fill="FFFFFF"/>
          <w:lang w:val="zh-CN"/>
        </w:rPr>
        <w:t>存在问题。</w:t>
      </w:r>
    </w:p>
    <w:p w14:paraId="228C9D62">
      <w:pPr>
        <w:widowControl/>
        <w:numPr>
          <w:ilvl w:val="0"/>
          <w:numId w:val="0"/>
        </w:numPr>
        <w:adjustRightInd w:val="0"/>
        <w:snapToGrid w:val="0"/>
        <w:spacing w:line="580" w:lineRule="exact"/>
        <w:ind w:firstLine="640" w:firstLineChars="200"/>
        <w:contextualSpacing/>
        <w:jc w:val="left"/>
        <w:rPr>
          <w:lang w:val="zh-CN"/>
        </w:rPr>
      </w:pPr>
      <w:r>
        <w:rPr>
          <w:rStyle w:val="20"/>
          <w:rFonts w:ascii="仿宋_GB2312" w:hAnsi="宋体" w:eastAsia="仿宋_GB2312" w:cs="仿宋_GB2312"/>
          <w:b w:val="0"/>
          <w:bCs w:val="0"/>
          <w:i w:val="0"/>
          <w:iCs w:val="0"/>
          <w:caps w:val="0"/>
          <w:color w:val="000000"/>
          <w:spacing w:val="0"/>
          <w:sz w:val="32"/>
          <w:szCs w:val="32"/>
          <w:shd w:val="clear" w:fill="FFFFFF"/>
        </w:rPr>
        <w:t>在资金管理过程中，</w:t>
      </w:r>
      <w:r>
        <w:rPr>
          <w:rStyle w:val="20"/>
          <w:rFonts w:hint="default" w:ascii="仿宋_GB2312" w:hAnsi="宋体" w:eastAsia="仿宋_GB2312" w:cs="仿宋_GB2312"/>
          <w:b w:val="0"/>
          <w:bCs w:val="0"/>
          <w:i w:val="0"/>
          <w:iCs w:val="0"/>
          <w:caps w:val="0"/>
          <w:color w:val="000000"/>
          <w:spacing w:val="0"/>
          <w:sz w:val="32"/>
          <w:szCs w:val="32"/>
          <w:shd w:val="clear" w:fill="FFFFFF"/>
        </w:rPr>
        <w:t>还存在部分支出依据不合规，财务管理制度不够健全，财务人员业务水平还需加强等问题。</w:t>
      </w:r>
    </w:p>
    <w:p w14:paraId="664B08F6">
      <w:pPr>
        <w:pStyle w:val="2"/>
        <w:rPr>
          <w:lang w:val="zh-CN"/>
        </w:rPr>
      </w:pPr>
    </w:p>
    <w:p w14:paraId="7ADC0AA4">
      <w:pPr>
        <w:widowControl/>
        <w:numPr>
          <w:ilvl w:val="0"/>
          <w:numId w:val="5"/>
        </w:numPr>
        <w:adjustRightInd w:val="0"/>
        <w:snapToGrid w:val="0"/>
        <w:spacing w:line="580" w:lineRule="exact"/>
        <w:ind w:left="0" w:leftChars="0" w:firstLine="640" w:firstLineChars="200"/>
        <w:contextualSpacing/>
        <w:jc w:val="left"/>
        <w:rPr>
          <w:rFonts w:hint="eastAsia" w:ascii="楷体_GB2312" w:hAnsi="宋体" w:eastAsia="楷体_GB2312" w:cs="宋体"/>
          <w:color w:val="000000"/>
          <w:kern w:val="0"/>
          <w:sz w:val="32"/>
          <w:szCs w:val="48"/>
          <w:shd w:val="clear" w:color="auto" w:fill="FFFFFF"/>
          <w:lang w:val="zh-CN"/>
        </w:rPr>
      </w:pPr>
      <w:r>
        <w:rPr>
          <w:rFonts w:hint="eastAsia" w:ascii="楷体_GB2312" w:hAnsi="宋体" w:eastAsia="楷体_GB2312" w:cs="宋体"/>
          <w:color w:val="000000"/>
          <w:kern w:val="0"/>
          <w:sz w:val="32"/>
          <w:szCs w:val="48"/>
          <w:shd w:val="clear" w:color="auto" w:fill="FFFFFF"/>
          <w:lang w:val="zh-CN"/>
        </w:rPr>
        <w:t>改进建议。</w:t>
      </w:r>
    </w:p>
    <w:p w14:paraId="76799826">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default" w:ascii="Times New Roman" w:hAnsi="Times New Roman" w:cs="Times New Roman"/>
          <w:i w:val="0"/>
          <w:iCs w:val="0"/>
          <w:caps w:val="0"/>
          <w:color w:val="333333"/>
          <w:spacing w:val="0"/>
          <w:sz w:val="32"/>
          <w:szCs w:val="32"/>
        </w:rPr>
      </w:pPr>
      <w:r>
        <w:rPr>
          <w:rStyle w:val="20"/>
          <w:rFonts w:ascii="仿宋_GB2312" w:hAnsi="Times New Roman" w:eastAsia="仿宋_GB2312" w:cs="仿宋_GB2312"/>
          <w:b w:val="0"/>
          <w:bCs w:val="0"/>
          <w:i w:val="0"/>
          <w:iCs w:val="0"/>
          <w:caps w:val="0"/>
          <w:color w:val="000000"/>
          <w:spacing w:val="0"/>
          <w:sz w:val="32"/>
          <w:szCs w:val="32"/>
          <w:shd w:val="clear" w:fill="FFFFFF"/>
        </w:rPr>
        <w:t>1.</w:t>
      </w:r>
      <w:r>
        <w:rPr>
          <w:rStyle w:val="20"/>
          <w:rFonts w:hint="default" w:ascii="仿宋_GB2312" w:hAnsi="Times New Roman" w:eastAsia="仿宋_GB2312" w:cs="仿宋_GB2312"/>
          <w:b w:val="0"/>
          <w:bCs w:val="0"/>
          <w:i w:val="0"/>
          <w:iCs w:val="0"/>
          <w:caps w:val="0"/>
          <w:color w:val="000000"/>
          <w:spacing w:val="0"/>
          <w:sz w:val="32"/>
          <w:szCs w:val="32"/>
          <w:shd w:val="clear" w:fill="FFFFFF"/>
        </w:rPr>
        <w:t>进一步加强单位内部机构各股室的预算管理意识，严格按照预算编制的相关制度和要求进行预算编制；全面编制预算项目，优先保障固定性的、相对刚性的费用支出项目，尽量压缩变动性的、有控制空间的费用项目，进一步提高预算编制的科学性、严谨性和可控性。加强内部预算编制的审核和预算控制指标的下达。</w:t>
      </w:r>
    </w:p>
    <w:p w14:paraId="28AFCA85">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Fonts w:hint="default" w:ascii="Times New Roman" w:hAnsi="Times New Roman" w:cs="Times New Roman"/>
          <w:i w:val="0"/>
          <w:iCs w:val="0"/>
          <w:caps w:val="0"/>
          <w:color w:val="333333"/>
          <w:spacing w:val="0"/>
          <w:sz w:val="32"/>
          <w:szCs w:val="32"/>
        </w:rPr>
      </w:pPr>
      <w:r>
        <w:rPr>
          <w:rStyle w:val="20"/>
          <w:rFonts w:hint="default" w:ascii="仿宋_GB2312" w:hAnsi="Times New Roman" w:eastAsia="仿宋_GB2312" w:cs="仿宋_GB2312"/>
          <w:b w:val="0"/>
          <w:bCs w:val="0"/>
          <w:i w:val="0"/>
          <w:iCs w:val="0"/>
          <w:caps w:val="0"/>
          <w:color w:val="000000"/>
          <w:spacing w:val="0"/>
          <w:sz w:val="32"/>
          <w:szCs w:val="32"/>
          <w:shd w:val="clear" w:fill="FFFFFF"/>
        </w:rPr>
        <w:t>2、加强财务管理，严格财务审核。加强单位财务管理，健全单位财务管理制度体系，规范单位财务行为。在费用报账支付时，按照预算规定的费用项目和用途进行资金使用审核、列报支付、财务核算，杜绝超支现象的发生。</w:t>
      </w:r>
    </w:p>
    <w:p w14:paraId="085B1FC9">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Style w:val="20"/>
          <w:rFonts w:hint="default" w:ascii="仿宋_GB2312" w:hAnsi="Times New Roman" w:eastAsia="仿宋_GB2312" w:cs="仿宋_GB2312"/>
          <w:b w:val="0"/>
          <w:bCs w:val="0"/>
          <w:i w:val="0"/>
          <w:iCs w:val="0"/>
          <w:caps w:val="0"/>
          <w:color w:val="000000"/>
          <w:spacing w:val="0"/>
          <w:sz w:val="32"/>
          <w:szCs w:val="32"/>
          <w:shd w:val="clear" w:fill="FFFFFF"/>
        </w:rPr>
        <w:sectPr>
          <w:footerReference r:id="rId5" w:type="first"/>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pPr>
      <w:r>
        <w:rPr>
          <w:rStyle w:val="20"/>
          <w:rFonts w:hint="default" w:ascii="仿宋_GB2312" w:hAnsi="Times New Roman" w:eastAsia="仿宋_GB2312" w:cs="仿宋_GB2312"/>
          <w:b w:val="0"/>
          <w:bCs w:val="0"/>
          <w:i w:val="0"/>
          <w:iCs w:val="0"/>
          <w:caps w:val="0"/>
          <w:color w:val="000000"/>
          <w:spacing w:val="0"/>
          <w:sz w:val="32"/>
          <w:szCs w:val="32"/>
          <w:shd w:val="clear" w:fill="FFFFFF"/>
        </w:rPr>
        <w:t>3、完善资产管理，抓好“三公”经费控制。严格编制政府采购年初预算和计划，规范各类资产的购置审批制度、资产出租出借和收入管理制度、资产采购制度、使用管理制度、资产处置和报废审批制度、资产管理岗位职责制度等，加强单位内部的资产管理工作。严格控制“三公”经费的规模和比例，把关“三公”经费支出的审核、审批，杜绝挪用和挤占其他预算资金行为：进一步细化“三公”经费的。</w:t>
      </w:r>
    </w:p>
    <w:tbl>
      <w:tblPr>
        <w:tblStyle w:val="17"/>
        <w:tblW w:w="14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936"/>
        <w:gridCol w:w="947"/>
        <w:gridCol w:w="974"/>
        <w:gridCol w:w="1814"/>
        <w:gridCol w:w="4667"/>
        <w:gridCol w:w="626"/>
        <w:gridCol w:w="627"/>
        <w:gridCol w:w="626"/>
        <w:gridCol w:w="627"/>
        <w:gridCol w:w="638"/>
        <w:gridCol w:w="902"/>
      </w:tblGrid>
      <w:tr w14:paraId="615ED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 w:hRule="atLeast"/>
        </w:trPr>
        <w:tc>
          <w:tcPr>
            <w:tcW w:w="14320" w:type="dxa"/>
            <w:gridSpan w:val="12"/>
            <w:tcBorders>
              <w:top w:val="nil"/>
              <w:left w:val="nil"/>
              <w:bottom w:val="single" w:color="000000" w:sz="4" w:space="0"/>
              <w:right w:val="nil"/>
            </w:tcBorders>
            <w:shd w:val="clear" w:color="auto" w:fill="auto"/>
            <w:vAlign w:val="center"/>
          </w:tcPr>
          <w:p w14:paraId="70085EA6">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县级部门整体绩效自评打分表</w:t>
            </w:r>
          </w:p>
        </w:tc>
      </w:tr>
      <w:tr w14:paraId="13F03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28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64F38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绩效指标</w:t>
            </w:r>
          </w:p>
        </w:tc>
        <w:tc>
          <w:tcPr>
            <w:tcW w:w="9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1137B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指标分值</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F3CCD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指标解释</w:t>
            </w:r>
          </w:p>
        </w:tc>
        <w:tc>
          <w:tcPr>
            <w:tcW w:w="4667" w:type="dxa"/>
            <w:vMerge w:val="restart"/>
            <w:tcBorders>
              <w:top w:val="single" w:color="000000" w:sz="4" w:space="0"/>
              <w:left w:val="nil"/>
              <w:bottom w:val="single" w:color="000000" w:sz="4" w:space="0"/>
              <w:right w:val="single" w:color="000000" w:sz="4" w:space="0"/>
            </w:tcBorders>
            <w:shd w:val="clear" w:color="auto" w:fill="auto"/>
            <w:vAlign w:val="center"/>
          </w:tcPr>
          <w:p w14:paraId="3083C7C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计分标准</w:t>
            </w:r>
          </w:p>
        </w:tc>
        <w:tc>
          <w:tcPr>
            <w:tcW w:w="12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FA7FF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评价方式</w:t>
            </w:r>
          </w:p>
        </w:tc>
        <w:tc>
          <w:tcPr>
            <w:tcW w:w="12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15852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评价属性</w:t>
            </w:r>
          </w:p>
        </w:tc>
        <w:tc>
          <w:tcPr>
            <w:tcW w:w="638" w:type="dxa"/>
            <w:vMerge w:val="restart"/>
            <w:tcBorders>
              <w:top w:val="single" w:color="000000" w:sz="4" w:space="0"/>
              <w:left w:val="single" w:color="000000" w:sz="4" w:space="0"/>
              <w:bottom w:val="single" w:color="000000" w:sz="4" w:space="0"/>
              <w:right w:val="single" w:color="000000" w:sz="4" w:space="0"/>
            </w:tcBorders>
            <w:shd w:val="clear" w:color="auto" w:fill="FDE9D9"/>
            <w:vAlign w:val="center"/>
          </w:tcPr>
          <w:p w14:paraId="0038FDC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自评打分</w:t>
            </w:r>
          </w:p>
        </w:tc>
        <w:tc>
          <w:tcPr>
            <w:tcW w:w="9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E6401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71D7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F556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一级指标</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A353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二级指标</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E72A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三级指标</w:t>
            </w:r>
          </w:p>
        </w:tc>
        <w:tc>
          <w:tcPr>
            <w:tcW w:w="9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258E9">
            <w:pPr>
              <w:jc w:val="center"/>
              <w:rPr>
                <w:rFonts w:hint="eastAsia" w:ascii="宋体" w:hAnsi="宋体" w:eastAsia="宋体" w:cs="宋体"/>
                <w:b/>
                <w:bCs/>
                <w:i w:val="0"/>
                <w:iCs w:val="0"/>
                <w:color w:val="000000"/>
                <w:sz w:val="24"/>
                <w:szCs w:val="24"/>
                <w:u w:val="none"/>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313B1">
            <w:pPr>
              <w:jc w:val="center"/>
              <w:rPr>
                <w:rFonts w:hint="eastAsia" w:ascii="宋体" w:hAnsi="宋体" w:eastAsia="宋体" w:cs="宋体"/>
                <w:b/>
                <w:bCs/>
                <w:i w:val="0"/>
                <w:iCs w:val="0"/>
                <w:color w:val="000000"/>
                <w:sz w:val="24"/>
                <w:szCs w:val="24"/>
                <w:u w:val="none"/>
              </w:rPr>
            </w:pPr>
          </w:p>
        </w:tc>
        <w:tc>
          <w:tcPr>
            <w:tcW w:w="4667" w:type="dxa"/>
            <w:vMerge w:val="continue"/>
            <w:tcBorders>
              <w:top w:val="single" w:color="000000" w:sz="4" w:space="0"/>
              <w:left w:val="nil"/>
              <w:bottom w:val="single" w:color="000000" w:sz="4" w:space="0"/>
              <w:right w:val="single" w:color="000000" w:sz="4" w:space="0"/>
            </w:tcBorders>
            <w:shd w:val="clear" w:color="auto" w:fill="auto"/>
            <w:vAlign w:val="center"/>
          </w:tcPr>
          <w:p w14:paraId="4013A8A6">
            <w:pPr>
              <w:jc w:val="center"/>
              <w:rPr>
                <w:rFonts w:hint="eastAsia" w:ascii="宋体" w:hAnsi="宋体" w:eastAsia="宋体" w:cs="宋体"/>
                <w:b/>
                <w:bCs/>
                <w:i w:val="0"/>
                <w:iCs w:val="0"/>
                <w:color w:val="000000"/>
                <w:sz w:val="24"/>
                <w:szCs w:val="24"/>
                <w:u w:val="none"/>
              </w:rPr>
            </w:pPr>
          </w:p>
        </w:tc>
        <w:tc>
          <w:tcPr>
            <w:tcW w:w="626" w:type="dxa"/>
            <w:tcBorders>
              <w:top w:val="single" w:color="000000" w:sz="4" w:space="0"/>
              <w:left w:val="nil"/>
              <w:bottom w:val="single" w:color="000000" w:sz="4" w:space="0"/>
              <w:right w:val="single" w:color="000000" w:sz="4" w:space="0"/>
            </w:tcBorders>
            <w:shd w:val="clear" w:color="auto" w:fill="auto"/>
            <w:vAlign w:val="center"/>
          </w:tcPr>
          <w:p w14:paraId="529B2E3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整体评价</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9723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样本评价</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3853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定性评价</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9E62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定量评价</w:t>
            </w:r>
          </w:p>
        </w:tc>
        <w:tc>
          <w:tcPr>
            <w:tcW w:w="638" w:type="dxa"/>
            <w:vMerge w:val="continue"/>
            <w:tcBorders>
              <w:top w:val="single" w:color="000000" w:sz="4" w:space="0"/>
              <w:left w:val="single" w:color="000000" w:sz="4" w:space="0"/>
              <w:bottom w:val="single" w:color="000000" w:sz="4" w:space="0"/>
              <w:right w:val="single" w:color="000000" w:sz="4" w:space="0"/>
            </w:tcBorders>
            <w:shd w:val="clear" w:color="auto" w:fill="FDE9D9"/>
            <w:vAlign w:val="center"/>
          </w:tcPr>
          <w:p w14:paraId="7D803462">
            <w:pPr>
              <w:jc w:val="center"/>
              <w:rPr>
                <w:rFonts w:hint="eastAsia" w:ascii="宋体" w:hAnsi="宋体" w:eastAsia="宋体" w:cs="宋体"/>
                <w:b/>
                <w:bCs/>
                <w:i w:val="0"/>
                <w:iCs w:val="0"/>
                <w:color w:val="000000"/>
                <w:sz w:val="24"/>
                <w:szCs w:val="24"/>
                <w:u w:val="none"/>
              </w:rPr>
            </w:pPr>
          </w:p>
        </w:tc>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40254">
            <w:pPr>
              <w:jc w:val="center"/>
              <w:rPr>
                <w:rFonts w:hint="eastAsia" w:ascii="宋体" w:hAnsi="宋体" w:eastAsia="宋体" w:cs="宋体"/>
                <w:b/>
                <w:bCs/>
                <w:i w:val="0"/>
                <w:iCs w:val="0"/>
                <w:color w:val="000000"/>
                <w:sz w:val="24"/>
                <w:szCs w:val="24"/>
                <w:u w:val="none"/>
              </w:rPr>
            </w:pPr>
          </w:p>
        </w:tc>
      </w:tr>
      <w:tr w14:paraId="1FF7A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EEBB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部门预算项目绩效管理（70分）</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04D8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目标管理（40分）</w:t>
            </w:r>
          </w:p>
        </w:tc>
        <w:tc>
          <w:tcPr>
            <w:tcW w:w="947" w:type="dxa"/>
            <w:vMerge w:val="restart"/>
            <w:tcBorders>
              <w:top w:val="single" w:color="000000" w:sz="4" w:space="0"/>
              <w:left w:val="single" w:color="000000" w:sz="4" w:space="0"/>
              <w:bottom w:val="nil"/>
              <w:right w:val="single" w:color="000000" w:sz="4" w:space="0"/>
            </w:tcBorders>
            <w:shd w:val="clear" w:color="auto" w:fill="auto"/>
            <w:vAlign w:val="center"/>
          </w:tcPr>
          <w:p w14:paraId="0F1D3C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目标制定</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CC8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E34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是否开展部门内部绩效目标审核工作。</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EE20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部门组织对本部门（含下属单位）绩效目标开展内部审核的，得10分，否则不得分。</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3A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2AA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CA5B1">
            <w:pPr>
              <w:jc w:val="center"/>
              <w:rPr>
                <w:rFonts w:hint="eastAsia" w:ascii="宋体" w:hAnsi="宋体" w:eastAsia="宋体" w:cs="宋体"/>
                <w:i w:val="0"/>
                <w:iCs w:val="0"/>
                <w:color w:val="000000"/>
                <w:sz w:val="24"/>
                <w:szCs w:val="24"/>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E6D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FDE9D9"/>
            <w:vAlign w:val="center"/>
          </w:tcPr>
          <w:p w14:paraId="132E5B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7CE7A">
            <w:pPr>
              <w:rPr>
                <w:rFonts w:hint="eastAsia" w:ascii="宋体" w:hAnsi="宋体" w:eastAsia="宋体" w:cs="宋体"/>
                <w:i w:val="0"/>
                <w:iCs w:val="0"/>
                <w:color w:val="000000"/>
                <w:sz w:val="24"/>
                <w:szCs w:val="24"/>
                <w:u w:val="none"/>
              </w:rPr>
            </w:pPr>
          </w:p>
        </w:tc>
      </w:tr>
      <w:tr w14:paraId="6FB5D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7" w:hRule="atLeast"/>
        </w:trPr>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9D123">
            <w:pPr>
              <w:jc w:val="center"/>
              <w:rPr>
                <w:rFonts w:hint="eastAsia" w:ascii="宋体" w:hAnsi="宋体" w:eastAsia="宋体" w:cs="宋体"/>
                <w:i w:val="0"/>
                <w:iCs w:val="0"/>
                <w:color w:val="000000"/>
                <w:sz w:val="24"/>
                <w:szCs w:val="24"/>
                <w:u w:val="none"/>
              </w:rPr>
            </w:pP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635F6">
            <w:pPr>
              <w:jc w:val="center"/>
              <w:rPr>
                <w:rFonts w:hint="eastAsia" w:ascii="宋体" w:hAnsi="宋体" w:eastAsia="宋体" w:cs="宋体"/>
                <w:i w:val="0"/>
                <w:iCs w:val="0"/>
                <w:color w:val="000000"/>
                <w:sz w:val="24"/>
                <w:szCs w:val="24"/>
                <w:u w:val="none"/>
              </w:rPr>
            </w:pPr>
          </w:p>
        </w:tc>
        <w:tc>
          <w:tcPr>
            <w:tcW w:w="947" w:type="dxa"/>
            <w:vMerge w:val="continue"/>
            <w:tcBorders>
              <w:top w:val="single" w:color="000000" w:sz="4" w:space="0"/>
              <w:left w:val="single" w:color="000000" w:sz="4" w:space="0"/>
              <w:bottom w:val="nil"/>
              <w:right w:val="single" w:color="000000" w:sz="4" w:space="0"/>
            </w:tcBorders>
            <w:shd w:val="clear" w:color="auto" w:fill="auto"/>
            <w:vAlign w:val="center"/>
          </w:tcPr>
          <w:p w14:paraId="2DD48FDC">
            <w:pPr>
              <w:jc w:val="center"/>
              <w:rPr>
                <w:rFonts w:hint="eastAsia" w:ascii="宋体" w:hAnsi="宋体" w:eastAsia="宋体" w:cs="宋体"/>
                <w:i w:val="0"/>
                <w:iCs w:val="0"/>
                <w:color w:val="000000"/>
                <w:sz w:val="24"/>
                <w:szCs w:val="24"/>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62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127C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根据年度绩效目标实现情况，评价部门绩效目标是否科学合理、规范完整、细化量化并与预算安排相匹配。</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DEBF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1.绩效目标编制科学合理的，得2分，否则酌情扣分。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2.绩效目标编制规范完整的，得2分，否则酌情扣分。                                                       3.绩效指标编制细化量化的，得2分，否则酌情扣分。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4.绩效指标编制与预算安排相匹配的，得2分，否则酌情扣分。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5.评价部门绩效目标纳入部门党组（委）会（办公会）集体决策范围的得2分，否则不得分。                                                                                                                    </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BC4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8B2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85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81A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FDE9D9"/>
            <w:vAlign w:val="center"/>
          </w:tcPr>
          <w:p w14:paraId="61A339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A4DB">
            <w:pPr>
              <w:rPr>
                <w:rFonts w:hint="eastAsia" w:ascii="宋体" w:hAnsi="宋体" w:eastAsia="宋体" w:cs="宋体"/>
                <w:i w:val="0"/>
                <w:iCs w:val="0"/>
                <w:color w:val="000000"/>
                <w:sz w:val="24"/>
                <w:szCs w:val="24"/>
                <w:u w:val="none"/>
              </w:rPr>
            </w:pPr>
          </w:p>
        </w:tc>
      </w:tr>
      <w:tr w14:paraId="69189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58249">
            <w:pPr>
              <w:jc w:val="center"/>
              <w:rPr>
                <w:rFonts w:hint="eastAsia" w:ascii="宋体" w:hAnsi="宋体" w:eastAsia="宋体" w:cs="宋体"/>
                <w:i w:val="0"/>
                <w:iCs w:val="0"/>
                <w:color w:val="000000"/>
                <w:sz w:val="24"/>
                <w:szCs w:val="24"/>
                <w:u w:val="none"/>
              </w:rPr>
            </w:pP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9720D">
            <w:pPr>
              <w:jc w:val="center"/>
              <w:rPr>
                <w:rFonts w:hint="eastAsia" w:ascii="宋体" w:hAnsi="宋体" w:eastAsia="宋体" w:cs="宋体"/>
                <w:i w:val="0"/>
                <w:iCs w:val="0"/>
                <w:color w:val="000000"/>
                <w:sz w:val="24"/>
                <w:szCs w:val="24"/>
                <w:u w:val="none"/>
              </w:rPr>
            </w:pPr>
          </w:p>
        </w:tc>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6760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目标实现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6BE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3CD6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评价部门整体支出绩效目标实现程度与预期目标的偏离度。</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9C37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以部门整体支出绩效为核心，评价部门整体支出实际完成情况与预期绩效目标偏离度，单个数量指标实际完成未达到预期指标或超过预期指标30%以上的，均不计分。该项指标得分=达到预期值的数量指标个数/全部数量指标个数*10。</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49F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91C7C">
            <w:pP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A3FCF">
            <w:pPr>
              <w:jc w:val="center"/>
              <w:rPr>
                <w:rFonts w:hint="eastAsia" w:ascii="宋体" w:hAnsi="宋体" w:eastAsia="宋体" w:cs="宋体"/>
                <w:i w:val="0"/>
                <w:iCs w:val="0"/>
                <w:color w:val="000000"/>
                <w:sz w:val="24"/>
                <w:szCs w:val="24"/>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401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FDE9D9"/>
            <w:vAlign w:val="center"/>
          </w:tcPr>
          <w:p w14:paraId="09320D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7D079">
            <w:pPr>
              <w:rPr>
                <w:rFonts w:hint="eastAsia" w:ascii="宋体" w:hAnsi="宋体" w:eastAsia="宋体" w:cs="宋体"/>
                <w:i w:val="0"/>
                <w:iCs w:val="0"/>
                <w:color w:val="000000"/>
                <w:sz w:val="24"/>
                <w:szCs w:val="24"/>
                <w:u w:val="none"/>
              </w:rPr>
            </w:pPr>
          </w:p>
        </w:tc>
      </w:tr>
      <w:tr w14:paraId="663A5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8" w:hRule="atLeast"/>
        </w:trPr>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B4F00">
            <w:pPr>
              <w:jc w:val="center"/>
              <w:rPr>
                <w:rFonts w:hint="eastAsia" w:ascii="宋体" w:hAnsi="宋体" w:eastAsia="宋体" w:cs="宋体"/>
                <w:i w:val="0"/>
                <w:iCs w:val="0"/>
                <w:color w:val="000000"/>
                <w:sz w:val="24"/>
                <w:szCs w:val="24"/>
                <w:u w:val="none"/>
              </w:rPr>
            </w:pP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1933A">
            <w:pPr>
              <w:jc w:val="center"/>
              <w:rPr>
                <w:rFonts w:hint="eastAsia" w:ascii="宋体" w:hAnsi="宋体" w:eastAsia="宋体" w:cs="宋体"/>
                <w:i w:val="0"/>
                <w:iCs w:val="0"/>
                <w:color w:val="000000"/>
                <w:sz w:val="24"/>
                <w:szCs w:val="24"/>
                <w:u w:val="none"/>
              </w:rPr>
            </w:pPr>
          </w:p>
        </w:tc>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00175">
            <w:pPr>
              <w:jc w:val="center"/>
              <w:rPr>
                <w:rFonts w:hint="eastAsia" w:ascii="宋体" w:hAnsi="宋体" w:eastAsia="宋体" w:cs="宋体"/>
                <w:i w:val="0"/>
                <w:iCs w:val="0"/>
                <w:color w:val="000000"/>
                <w:sz w:val="24"/>
                <w:szCs w:val="24"/>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DC9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31F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评价部门预算项目绩效目标实际实现程度与预期目标的偏离度。</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226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以部门预算项目绩效为核心，评价部门预算项目实际完成情况与预期绩效目标偏离度，单个数量指标实际完成未达到预期指标或超过预期指标30%以上的，均不计分。该项指标得分=达到预期值的数量指标个数/全部数量指标个数（即评价选取的项目绩效目标包含的所有数量指标）*10。</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B6C27">
            <w:pPr>
              <w:jc w:val="center"/>
              <w:rPr>
                <w:rFonts w:hint="eastAsia" w:ascii="宋体" w:hAnsi="宋体" w:eastAsia="宋体" w:cs="宋体"/>
                <w:i w:val="0"/>
                <w:iCs w:val="0"/>
                <w:color w:val="000000"/>
                <w:sz w:val="24"/>
                <w:szCs w:val="24"/>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15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22B9">
            <w:pPr>
              <w:jc w:val="center"/>
              <w:rPr>
                <w:rFonts w:hint="eastAsia" w:ascii="宋体" w:hAnsi="宋体" w:eastAsia="宋体" w:cs="宋体"/>
                <w:i w:val="0"/>
                <w:iCs w:val="0"/>
                <w:color w:val="000000"/>
                <w:sz w:val="24"/>
                <w:szCs w:val="24"/>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C1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FDE9D9"/>
            <w:vAlign w:val="center"/>
          </w:tcPr>
          <w:p w14:paraId="0D0D42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93D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部门自评范围为部门所有纳入绩效目标管理的部门预算项目</w:t>
            </w:r>
          </w:p>
        </w:tc>
      </w:tr>
      <w:tr w14:paraId="2B610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1" w:hRule="atLeast"/>
        </w:trPr>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369A1">
            <w:pPr>
              <w:jc w:val="center"/>
              <w:rPr>
                <w:rFonts w:hint="eastAsia" w:ascii="宋体" w:hAnsi="宋体" w:eastAsia="宋体" w:cs="宋体"/>
                <w:i w:val="0"/>
                <w:iCs w:val="0"/>
                <w:color w:val="000000"/>
                <w:sz w:val="24"/>
                <w:szCs w:val="24"/>
                <w:u w:val="none"/>
              </w:rPr>
            </w:pP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F2A7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动态调整（15分）</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5C2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支出控制</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CFF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CE08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部门公用经费及非定额公用支出控制情况。</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788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计算部门日常公用经费、项目支出中“办公费、印刷费、水费、电费、物业管理费”等科目年初预算数与决算数偏差程度。                                                            预决算偏差程度在10%以内的，得10分。偏差度在10%</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20%之间的，得5分，偏差度超过20%的，不得分。</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86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50FB6">
            <w:pPr>
              <w:rPr>
                <w:rFonts w:hint="eastAsia" w:ascii="宋体" w:hAnsi="宋体" w:eastAsia="宋体" w:cs="宋体"/>
                <w:i w:val="0"/>
                <w:iCs w:val="0"/>
                <w:color w:val="000000"/>
                <w:sz w:val="24"/>
                <w:szCs w:val="24"/>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2E44">
            <w:pPr>
              <w:rPr>
                <w:rFonts w:hint="eastAsia" w:ascii="宋体" w:hAnsi="宋体" w:eastAsia="宋体" w:cs="宋体"/>
                <w:i w:val="0"/>
                <w:iCs w:val="0"/>
                <w:color w:val="000000"/>
                <w:sz w:val="24"/>
                <w:szCs w:val="24"/>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785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FDE9D9"/>
            <w:vAlign w:val="center"/>
          </w:tcPr>
          <w:p w14:paraId="3A9A68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DAAAB">
            <w:pPr>
              <w:rPr>
                <w:rFonts w:hint="eastAsia" w:ascii="宋体" w:hAnsi="宋体" w:eastAsia="宋体" w:cs="宋体"/>
                <w:i w:val="0"/>
                <w:iCs w:val="0"/>
                <w:color w:val="000000"/>
                <w:sz w:val="24"/>
                <w:szCs w:val="24"/>
                <w:u w:val="none"/>
              </w:rPr>
            </w:pPr>
          </w:p>
        </w:tc>
      </w:tr>
      <w:tr w14:paraId="247E6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02B2A">
            <w:pPr>
              <w:jc w:val="center"/>
              <w:rPr>
                <w:rFonts w:hint="eastAsia" w:ascii="宋体" w:hAnsi="宋体" w:eastAsia="宋体" w:cs="宋体"/>
                <w:i w:val="0"/>
                <w:iCs w:val="0"/>
                <w:color w:val="000000"/>
                <w:sz w:val="24"/>
                <w:szCs w:val="24"/>
                <w:u w:val="none"/>
              </w:rPr>
            </w:pP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62246">
            <w:pPr>
              <w:jc w:val="center"/>
              <w:rPr>
                <w:rFonts w:hint="eastAsia" w:ascii="宋体" w:hAnsi="宋体" w:eastAsia="宋体" w:cs="宋体"/>
                <w:i w:val="0"/>
                <w:iCs w:val="0"/>
                <w:color w:val="000000"/>
                <w:sz w:val="24"/>
                <w:szCs w:val="24"/>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38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及时处置</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9A9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B8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评价部门开展绩效运行监控后，将绩效监控结果应用到预算调整的情况。</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A63D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绩效运行监控未发现问题或对发现问题提出预算收回、调整处置意见并加以落实的得5分。如存在未及时处置落实的，按未进行问题整改的项目数量/监控发现问题的项目总数×5分扣分，直至扣完。                                                </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F1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CA8DC">
            <w:pPr>
              <w:rPr>
                <w:rFonts w:hint="eastAsia" w:ascii="宋体" w:hAnsi="宋体" w:eastAsia="宋体" w:cs="宋体"/>
                <w:i w:val="0"/>
                <w:iCs w:val="0"/>
                <w:color w:val="000000"/>
                <w:sz w:val="24"/>
                <w:szCs w:val="24"/>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68C44">
            <w:pPr>
              <w:rPr>
                <w:rFonts w:hint="eastAsia" w:ascii="宋体" w:hAnsi="宋体" w:eastAsia="宋体" w:cs="宋体"/>
                <w:i w:val="0"/>
                <w:iCs w:val="0"/>
                <w:color w:val="000000"/>
                <w:sz w:val="24"/>
                <w:szCs w:val="24"/>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C7E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FDE9D9"/>
            <w:vAlign w:val="center"/>
          </w:tcPr>
          <w:p w14:paraId="7CC7C9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4161F">
            <w:pPr>
              <w:rPr>
                <w:rFonts w:hint="eastAsia" w:ascii="宋体" w:hAnsi="宋体" w:eastAsia="宋体" w:cs="宋体"/>
                <w:i w:val="0"/>
                <w:iCs w:val="0"/>
                <w:color w:val="000000"/>
                <w:sz w:val="24"/>
                <w:szCs w:val="24"/>
                <w:u w:val="none"/>
              </w:rPr>
            </w:pPr>
          </w:p>
        </w:tc>
      </w:tr>
      <w:tr w14:paraId="52E13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1" w:hRule="atLeast"/>
        </w:trPr>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5CFC9">
            <w:pPr>
              <w:jc w:val="center"/>
              <w:rPr>
                <w:rFonts w:hint="eastAsia" w:ascii="宋体" w:hAnsi="宋体" w:eastAsia="宋体" w:cs="宋体"/>
                <w:i w:val="0"/>
                <w:iCs w:val="0"/>
                <w:color w:val="000000"/>
                <w:sz w:val="24"/>
                <w:szCs w:val="24"/>
                <w:u w:val="none"/>
              </w:rPr>
            </w:pP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5A089">
            <w:pPr>
              <w:jc w:val="center"/>
              <w:rPr>
                <w:rFonts w:hint="eastAsia" w:ascii="宋体" w:hAnsi="宋体" w:eastAsia="宋体" w:cs="宋体"/>
                <w:i w:val="0"/>
                <w:iCs w:val="0"/>
                <w:color w:val="000000"/>
                <w:sz w:val="24"/>
                <w:szCs w:val="24"/>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404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执行进度</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A7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74B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评价部门在6、9、11月的预算执行情况。</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EA7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部门预算执行进度在6、9、11月应达到序时进度的80%、90%、90%，即实际支出进度分别达到40%、67.5%、82.5%。                                                     6、9、11月部门预算执行进度达到量化指标的分别得1分、2分、2分，未达到目标进度</w:t>
            </w:r>
            <w:r>
              <w:rPr>
                <w:rFonts w:hint="eastAsia" w:ascii="宋体" w:hAnsi="宋体" w:cs="宋体"/>
                <w:i w:val="0"/>
                <w:iCs w:val="0"/>
                <w:color w:val="000000"/>
                <w:kern w:val="0"/>
                <w:sz w:val="24"/>
                <w:szCs w:val="24"/>
                <w:u w:val="none"/>
                <w:lang w:val="en-US" w:eastAsia="zh-CN" w:bidi="ar"/>
              </w:rPr>
              <w:t>的</w:t>
            </w:r>
            <w:r>
              <w:rPr>
                <w:rFonts w:hint="eastAsia" w:ascii="宋体" w:hAnsi="宋体" w:eastAsia="宋体" w:cs="宋体"/>
                <w:i w:val="0"/>
                <w:iCs w:val="0"/>
                <w:color w:val="000000"/>
                <w:kern w:val="0"/>
                <w:sz w:val="24"/>
                <w:szCs w:val="24"/>
                <w:u w:val="none"/>
                <w:lang w:val="en-US" w:eastAsia="zh-CN" w:bidi="ar"/>
              </w:rPr>
              <w:t xml:space="preserve">按其实际进度占目标进度的比重计算得分。                                             </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02C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E09B">
            <w:pPr>
              <w:rPr>
                <w:rFonts w:hint="eastAsia" w:ascii="宋体" w:hAnsi="宋体" w:eastAsia="宋体" w:cs="宋体"/>
                <w:i w:val="0"/>
                <w:iCs w:val="0"/>
                <w:color w:val="000000"/>
                <w:sz w:val="24"/>
                <w:szCs w:val="24"/>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A2DC">
            <w:pPr>
              <w:rPr>
                <w:rFonts w:hint="eastAsia" w:ascii="宋体" w:hAnsi="宋体" w:eastAsia="宋体" w:cs="宋体"/>
                <w:i w:val="0"/>
                <w:iCs w:val="0"/>
                <w:color w:val="000000"/>
                <w:sz w:val="24"/>
                <w:szCs w:val="24"/>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0BC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FDE9D9"/>
            <w:vAlign w:val="center"/>
          </w:tcPr>
          <w:p w14:paraId="7DC2F6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0526">
            <w:pPr>
              <w:rPr>
                <w:rFonts w:hint="eastAsia" w:ascii="宋体" w:hAnsi="宋体" w:eastAsia="宋体" w:cs="宋体"/>
                <w:i w:val="0"/>
                <w:iCs w:val="0"/>
                <w:color w:val="000000"/>
                <w:sz w:val="24"/>
                <w:szCs w:val="24"/>
                <w:u w:val="none"/>
              </w:rPr>
            </w:pPr>
          </w:p>
        </w:tc>
      </w:tr>
      <w:tr w14:paraId="7CE59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6" w:hRule="atLeast"/>
        </w:trPr>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CC301">
            <w:pPr>
              <w:jc w:val="center"/>
              <w:rPr>
                <w:rFonts w:hint="eastAsia" w:ascii="宋体" w:hAnsi="宋体" w:eastAsia="宋体" w:cs="宋体"/>
                <w:i w:val="0"/>
                <w:iCs w:val="0"/>
                <w:color w:val="000000"/>
                <w:sz w:val="24"/>
                <w:szCs w:val="24"/>
                <w:u w:val="none"/>
              </w:rPr>
            </w:pP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0182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完成结果（10分）</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D9C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资金结余率（低效无效率）</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20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46D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评价部门预算项目年终资金结余情况。                 </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56D5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部门预算项目资金结余率小于0.1的项目数/部门预算项目总数*5。</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A3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292B">
            <w:pPr>
              <w:jc w:val="left"/>
              <w:rPr>
                <w:rFonts w:hint="eastAsia" w:ascii="宋体" w:hAnsi="宋体" w:eastAsia="宋体" w:cs="宋体"/>
                <w:i w:val="0"/>
                <w:iCs w:val="0"/>
                <w:color w:val="000000"/>
                <w:sz w:val="24"/>
                <w:szCs w:val="24"/>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B8EF">
            <w:pPr>
              <w:jc w:val="left"/>
              <w:rPr>
                <w:rFonts w:hint="eastAsia" w:ascii="宋体" w:hAnsi="宋体" w:eastAsia="宋体" w:cs="宋体"/>
                <w:i w:val="0"/>
                <w:iCs w:val="0"/>
                <w:color w:val="000000"/>
                <w:sz w:val="24"/>
                <w:szCs w:val="24"/>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877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FDE9D9"/>
            <w:vAlign w:val="center"/>
          </w:tcPr>
          <w:p w14:paraId="41B7F6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058F6">
            <w:pPr>
              <w:rPr>
                <w:rFonts w:hint="eastAsia" w:ascii="宋体" w:hAnsi="宋体" w:eastAsia="宋体" w:cs="宋体"/>
                <w:i w:val="0"/>
                <w:iCs w:val="0"/>
                <w:color w:val="000000"/>
                <w:sz w:val="24"/>
                <w:szCs w:val="24"/>
                <w:u w:val="none"/>
              </w:rPr>
            </w:pPr>
          </w:p>
        </w:tc>
      </w:tr>
      <w:tr w14:paraId="52944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6" w:hRule="atLeast"/>
        </w:trPr>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4A231">
            <w:pPr>
              <w:jc w:val="center"/>
              <w:rPr>
                <w:rFonts w:hint="eastAsia" w:ascii="宋体" w:hAnsi="宋体" w:eastAsia="宋体" w:cs="宋体"/>
                <w:i w:val="0"/>
                <w:iCs w:val="0"/>
                <w:color w:val="000000"/>
                <w:sz w:val="24"/>
                <w:szCs w:val="24"/>
                <w:u w:val="none"/>
              </w:rPr>
            </w:pP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50F98">
            <w:pPr>
              <w:jc w:val="center"/>
              <w:rPr>
                <w:rFonts w:hint="eastAsia" w:ascii="宋体" w:hAnsi="宋体" w:eastAsia="宋体" w:cs="宋体"/>
                <w:i w:val="0"/>
                <w:iCs w:val="0"/>
                <w:color w:val="000000"/>
                <w:sz w:val="24"/>
                <w:szCs w:val="24"/>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D4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违规记录</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9D0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29E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根据审计监督、财会监督和部门自查结果反映部门上一年度部门预算管理是否存在相关问题。</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773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依据评价年度审计监督、财会监督和部门自查结果，出现未落实党政机关过紧日子相关要求，以及部门预算管理方面违纪违规等问题的，每个问题扣0.5分，直至扣完。</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649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A828">
            <w:pPr>
              <w:jc w:val="left"/>
              <w:rPr>
                <w:rFonts w:hint="eastAsia" w:ascii="宋体" w:hAnsi="宋体" w:eastAsia="宋体" w:cs="宋体"/>
                <w:i w:val="0"/>
                <w:iCs w:val="0"/>
                <w:color w:val="000000"/>
                <w:sz w:val="24"/>
                <w:szCs w:val="24"/>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F41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EA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FDE9D9"/>
            <w:vAlign w:val="center"/>
          </w:tcPr>
          <w:p w14:paraId="5CA3BA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2259C">
            <w:pPr>
              <w:rPr>
                <w:rFonts w:hint="eastAsia" w:ascii="宋体" w:hAnsi="宋体" w:eastAsia="宋体" w:cs="宋体"/>
                <w:i w:val="0"/>
                <w:iCs w:val="0"/>
                <w:color w:val="000000"/>
                <w:sz w:val="24"/>
                <w:szCs w:val="24"/>
                <w:u w:val="none"/>
              </w:rPr>
            </w:pPr>
          </w:p>
        </w:tc>
      </w:tr>
      <w:tr w14:paraId="34B40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5" w:hRule="atLeast"/>
        </w:trPr>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91FE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绩效结果应用（30分）</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93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内部应用（10分）</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A1C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预算挂钩</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F3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3093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部门内部绩效结果与预算挂钩情况</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6A0B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将内设机构和下属单位绩效自评情况纳入内部考核体系，得5分；建立对内设机构和下属单位预算与绩效挂钩机制的，得5分；否则酌情扣分。    </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644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6AAF7">
            <w:pPr>
              <w:jc w:val="left"/>
              <w:rPr>
                <w:rFonts w:hint="eastAsia" w:ascii="宋体" w:hAnsi="宋体" w:eastAsia="宋体" w:cs="宋体"/>
                <w:i w:val="0"/>
                <w:iCs w:val="0"/>
                <w:color w:val="000000"/>
                <w:sz w:val="24"/>
                <w:szCs w:val="24"/>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EF2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05879">
            <w:pPr>
              <w:jc w:val="center"/>
              <w:rPr>
                <w:rFonts w:hint="eastAsia" w:ascii="宋体" w:hAnsi="宋体" w:eastAsia="宋体" w:cs="宋体"/>
                <w:i w:val="0"/>
                <w:iCs w:val="0"/>
                <w:color w:val="000000"/>
                <w:sz w:val="24"/>
                <w:szCs w:val="24"/>
                <w:u w:val="none"/>
              </w:rPr>
            </w:pPr>
          </w:p>
        </w:tc>
        <w:tc>
          <w:tcPr>
            <w:tcW w:w="638" w:type="dxa"/>
            <w:tcBorders>
              <w:top w:val="single" w:color="000000" w:sz="4" w:space="0"/>
              <w:left w:val="single" w:color="000000" w:sz="4" w:space="0"/>
              <w:bottom w:val="single" w:color="000000" w:sz="4" w:space="0"/>
              <w:right w:val="single" w:color="000000" w:sz="4" w:space="0"/>
            </w:tcBorders>
            <w:shd w:val="clear" w:color="auto" w:fill="FDE9D9"/>
            <w:vAlign w:val="center"/>
          </w:tcPr>
          <w:p w14:paraId="5BA15E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B993B">
            <w:pPr>
              <w:rPr>
                <w:rFonts w:hint="eastAsia" w:ascii="宋体" w:hAnsi="宋体" w:eastAsia="宋体" w:cs="宋体"/>
                <w:i w:val="0"/>
                <w:iCs w:val="0"/>
                <w:color w:val="000000"/>
                <w:sz w:val="24"/>
                <w:szCs w:val="24"/>
                <w:u w:val="none"/>
              </w:rPr>
            </w:pPr>
          </w:p>
        </w:tc>
      </w:tr>
      <w:tr w14:paraId="5DF0F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1" w:hRule="atLeast"/>
        </w:trPr>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BBECF">
            <w:pPr>
              <w:jc w:val="center"/>
              <w:rPr>
                <w:rFonts w:hint="eastAsia" w:ascii="宋体" w:hAnsi="宋体" w:eastAsia="宋体" w:cs="宋体"/>
                <w:i w:val="0"/>
                <w:iCs w:val="0"/>
                <w:color w:val="000000"/>
                <w:sz w:val="24"/>
                <w:szCs w:val="24"/>
                <w:u w:val="none"/>
              </w:rPr>
            </w:pPr>
          </w:p>
        </w:tc>
        <w:tc>
          <w:tcPr>
            <w:tcW w:w="936" w:type="dxa"/>
            <w:tcBorders>
              <w:top w:val="nil"/>
              <w:left w:val="single" w:color="000000" w:sz="4" w:space="0"/>
              <w:bottom w:val="single" w:color="000000" w:sz="4" w:space="0"/>
              <w:right w:val="single" w:color="000000" w:sz="4" w:space="0"/>
            </w:tcBorders>
            <w:shd w:val="clear" w:color="auto" w:fill="auto"/>
            <w:vAlign w:val="center"/>
          </w:tcPr>
          <w:p w14:paraId="61FD7B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信息公开（5分</w:t>
            </w:r>
            <w:r>
              <w:rPr>
                <w:rFonts w:hint="eastAsia" w:ascii="宋体" w:hAnsi="宋体" w:cs="宋体"/>
                <w:i w:val="0"/>
                <w:iCs w:val="0"/>
                <w:color w:val="000000"/>
                <w:kern w:val="0"/>
                <w:sz w:val="24"/>
                <w:szCs w:val="24"/>
                <w:u w:val="none"/>
                <w:lang w:val="en-US" w:eastAsia="zh-CN" w:bidi="ar"/>
              </w:rPr>
              <w:t>）</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AF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自评公开</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8E9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8257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评价部门是否按要求将部门整体绩效自评情况和自行组织的评价情况向社会公开。</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5AEA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按要求将相关绩效信息随同决算公开的，得10分，否则不得分。</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A85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B157E">
            <w:pPr>
              <w:rPr>
                <w:rFonts w:hint="eastAsia" w:ascii="宋体" w:hAnsi="宋体" w:eastAsia="宋体" w:cs="宋体"/>
                <w:i w:val="0"/>
                <w:iCs w:val="0"/>
                <w:color w:val="000000"/>
                <w:sz w:val="24"/>
                <w:szCs w:val="24"/>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6D0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EF50E">
            <w:pPr>
              <w:rPr>
                <w:rFonts w:hint="eastAsia" w:ascii="宋体" w:hAnsi="宋体" w:eastAsia="宋体" w:cs="宋体"/>
                <w:i w:val="0"/>
                <w:iCs w:val="0"/>
                <w:color w:val="000000"/>
                <w:sz w:val="24"/>
                <w:szCs w:val="24"/>
                <w:u w:val="none"/>
              </w:rPr>
            </w:pPr>
          </w:p>
        </w:tc>
        <w:tc>
          <w:tcPr>
            <w:tcW w:w="638" w:type="dxa"/>
            <w:tcBorders>
              <w:top w:val="single" w:color="000000" w:sz="4" w:space="0"/>
              <w:left w:val="single" w:color="000000" w:sz="4" w:space="0"/>
              <w:bottom w:val="single" w:color="000000" w:sz="4" w:space="0"/>
              <w:right w:val="single" w:color="000000" w:sz="4" w:space="0"/>
            </w:tcBorders>
            <w:shd w:val="clear" w:color="auto" w:fill="FDE9D9"/>
            <w:vAlign w:val="center"/>
          </w:tcPr>
          <w:p w14:paraId="10F7FE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2D14F">
            <w:pPr>
              <w:rPr>
                <w:rFonts w:hint="eastAsia" w:ascii="宋体" w:hAnsi="宋体" w:eastAsia="宋体" w:cs="宋体"/>
                <w:i w:val="0"/>
                <w:iCs w:val="0"/>
                <w:color w:val="000000"/>
                <w:sz w:val="24"/>
                <w:szCs w:val="24"/>
                <w:u w:val="none"/>
              </w:rPr>
            </w:pPr>
          </w:p>
        </w:tc>
      </w:tr>
      <w:tr w14:paraId="6A2DE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FB1D7">
            <w:pPr>
              <w:jc w:val="center"/>
              <w:rPr>
                <w:rFonts w:hint="eastAsia" w:ascii="宋体" w:hAnsi="宋体" w:eastAsia="宋体" w:cs="宋体"/>
                <w:i w:val="0"/>
                <w:iCs w:val="0"/>
                <w:color w:val="000000"/>
                <w:sz w:val="24"/>
                <w:szCs w:val="24"/>
                <w:u w:val="none"/>
              </w:rPr>
            </w:pP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7BDF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整改反馈（10分）</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D63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问题整改</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CA9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726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评价部门根据绩效管理结果整改问题、完善政策、改进管理的情况。</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4FA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针对绩效管理过程中（包括绩效目标核查、绩效监控核查和重点绩效评价）提出的问题进行整改，得5分，否则酌情扣分。</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578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4B15E">
            <w:pPr>
              <w:rPr>
                <w:rFonts w:hint="eastAsia" w:ascii="宋体" w:hAnsi="宋体" w:eastAsia="宋体" w:cs="宋体"/>
                <w:i w:val="0"/>
                <w:iCs w:val="0"/>
                <w:color w:val="000000"/>
                <w:sz w:val="24"/>
                <w:szCs w:val="24"/>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27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11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FDE9D9"/>
            <w:vAlign w:val="center"/>
          </w:tcPr>
          <w:p w14:paraId="396C4F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69B2">
            <w:pPr>
              <w:rPr>
                <w:rFonts w:hint="eastAsia" w:ascii="宋体" w:hAnsi="宋体" w:eastAsia="宋体" w:cs="宋体"/>
                <w:i w:val="0"/>
                <w:iCs w:val="0"/>
                <w:color w:val="000000"/>
                <w:sz w:val="24"/>
                <w:szCs w:val="24"/>
                <w:u w:val="none"/>
              </w:rPr>
            </w:pPr>
          </w:p>
        </w:tc>
      </w:tr>
      <w:tr w14:paraId="36F49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5" w:hRule="atLeast"/>
        </w:trPr>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E7ACB">
            <w:pPr>
              <w:jc w:val="center"/>
              <w:rPr>
                <w:rFonts w:hint="eastAsia" w:ascii="宋体" w:hAnsi="宋体" w:eastAsia="宋体" w:cs="宋体"/>
                <w:i w:val="0"/>
                <w:iCs w:val="0"/>
                <w:color w:val="000000"/>
                <w:sz w:val="24"/>
                <w:szCs w:val="24"/>
                <w:u w:val="none"/>
              </w:rPr>
            </w:pP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ECAD3">
            <w:pPr>
              <w:jc w:val="center"/>
              <w:rPr>
                <w:rFonts w:hint="eastAsia" w:ascii="宋体" w:hAnsi="宋体" w:eastAsia="宋体" w:cs="宋体"/>
                <w:i w:val="0"/>
                <w:iCs w:val="0"/>
                <w:color w:val="000000"/>
                <w:sz w:val="24"/>
                <w:szCs w:val="24"/>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63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应用反馈</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9F8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15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评价部门按要求及时向财政部门反馈结果应用情况。</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A3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部门在规定时间内向财政部门反馈应用绩效结果报告的，得5分，否则不得分。</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C1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C9A9">
            <w:pPr>
              <w:jc w:val="left"/>
              <w:rPr>
                <w:rFonts w:hint="eastAsia" w:ascii="宋体" w:hAnsi="宋体" w:eastAsia="宋体" w:cs="宋体"/>
                <w:i w:val="0"/>
                <w:iCs w:val="0"/>
                <w:color w:val="000000"/>
                <w:sz w:val="24"/>
                <w:szCs w:val="24"/>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5F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6C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FDE9D9"/>
            <w:vAlign w:val="center"/>
          </w:tcPr>
          <w:p w14:paraId="17FEA2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598C1">
            <w:pPr>
              <w:rPr>
                <w:rFonts w:hint="eastAsia" w:ascii="宋体" w:hAnsi="宋体" w:eastAsia="宋体" w:cs="宋体"/>
                <w:i w:val="0"/>
                <w:iCs w:val="0"/>
                <w:color w:val="000000"/>
                <w:sz w:val="24"/>
                <w:szCs w:val="24"/>
                <w:u w:val="none"/>
              </w:rPr>
            </w:pPr>
          </w:p>
        </w:tc>
      </w:tr>
      <w:tr w14:paraId="19FCA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trPr>
        <w:tc>
          <w:tcPr>
            <w:tcW w:w="28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B4CC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扣分项（10分）</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D6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E68A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被评价单位配合评价工作情况。</w:t>
            </w:r>
          </w:p>
        </w:tc>
        <w:tc>
          <w:tcPr>
            <w:tcW w:w="4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900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财政重点绩效评价工作开展过程中，评价组发现被评价对象拖延推诿、提交资料不及时等拒不配合评价工作的，经报财政局复核确认后按0.5分/次予以扣分，最高扣10分（此为财政重点绩效评价计分标准，部门参照该标准对部门及下属单位计分）。</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87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A91D">
            <w:pPr>
              <w:jc w:val="center"/>
              <w:rPr>
                <w:rFonts w:hint="eastAsia" w:ascii="宋体" w:hAnsi="宋体" w:eastAsia="宋体" w:cs="宋体"/>
                <w:i w:val="0"/>
                <w:iCs w:val="0"/>
                <w:color w:val="000000"/>
                <w:sz w:val="24"/>
                <w:szCs w:val="24"/>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964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10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38" w:type="dxa"/>
            <w:tcBorders>
              <w:top w:val="single" w:color="000000" w:sz="4" w:space="0"/>
              <w:left w:val="single" w:color="000000" w:sz="4" w:space="0"/>
              <w:bottom w:val="single" w:color="000000" w:sz="4" w:space="0"/>
              <w:right w:val="single" w:color="000000" w:sz="4" w:space="0"/>
            </w:tcBorders>
            <w:shd w:val="clear" w:color="auto" w:fill="FDE9D9"/>
            <w:vAlign w:val="center"/>
          </w:tcPr>
          <w:p w14:paraId="4185DB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9B9A">
            <w:pPr>
              <w:rPr>
                <w:rFonts w:hint="eastAsia" w:ascii="宋体" w:hAnsi="宋体" w:eastAsia="宋体" w:cs="宋体"/>
                <w:i w:val="0"/>
                <w:iCs w:val="0"/>
                <w:color w:val="000000"/>
                <w:sz w:val="22"/>
                <w:szCs w:val="22"/>
                <w:u w:val="none"/>
              </w:rPr>
            </w:pPr>
          </w:p>
        </w:tc>
      </w:tr>
      <w:tr w14:paraId="58637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1278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3C147D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 门 整 体 自 评 得 分</w:t>
            </w:r>
          </w:p>
        </w:tc>
        <w:tc>
          <w:tcPr>
            <w:tcW w:w="638" w:type="dxa"/>
            <w:tcBorders>
              <w:top w:val="single" w:color="000000" w:sz="4" w:space="0"/>
              <w:left w:val="single" w:color="000000" w:sz="4" w:space="0"/>
              <w:bottom w:val="single" w:color="000000" w:sz="4" w:space="0"/>
              <w:right w:val="single" w:color="000000" w:sz="4" w:space="0"/>
            </w:tcBorders>
            <w:shd w:val="clear" w:color="auto" w:fill="FDE9D9"/>
            <w:vAlign w:val="center"/>
          </w:tcPr>
          <w:p w14:paraId="16B554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FCA8A">
            <w:pPr>
              <w:rPr>
                <w:rFonts w:hint="eastAsia" w:ascii="宋体" w:hAnsi="宋体" w:eastAsia="宋体" w:cs="宋体"/>
                <w:i w:val="0"/>
                <w:iCs w:val="0"/>
                <w:color w:val="000000"/>
                <w:sz w:val="22"/>
                <w:szCs w:val="22"/>
                <w:u w:val="none"/>
              </w:rPr>
            </w:pPr>
          </w:p>
        </w:tc>
      </w:tr>
    </w:tbl>
    <w:p w14:paraId="05DF57BD">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rStyle w:val="20"/>
          <w:rFonts w:hint="default" w:ascii="仿宋_GB2312" w:hAnsi="Times New Roman" w:eastAsia="仿宋_GB2312" w:cs="仿宋_GB2312"/>
          <w:b w:val="0"/>
          <w:bCs w:val="0"/>
          <w:i w:val="0"/>
          <w:iCs w:val="0"/>
          <w:caps w:val="0"/>
          <w:color w:val="000000"/>
          <w:spacing w:val="0"/>
          <w:sz w:val="32"/>
          <w:szCs w:val="32"/>
          <w:shd w:val="clear" w:fill="FFFFFF"/>
        </w:rPr>
        <w:sectPr>
          <w:footerReference r:id="rId7" w:type="first"/>
          <w:footerReference r:id="rId6" w:type="default"/>
          <w:pgSz w:w="16838" w:h="11905" w:orient="landscape"/>
          <w:pgMar w:top="1134" w:right="1134" w:bottom="1134" w:left="1134" w:header="851" w:footer="992" w:gutter="0"/>
          <w:pgNumType w:start="27"/>
          <w:cols w:space="0" w:num="1"/>
          <w:titlePg/>
          <w:rtlGutter w:val="0"/>
          <w:docGrid w:type="lines" w:linePitch="321" w:charSpace="0"/>
        </w:sectPr>
      </w:pPr>
    </w:p>
    <w:p w14:paraId="637D11BD">
      <w:pPr>
        <w:widowControl w:val="0"/>
        <w:spacing w:line="600" w:lineRule="exact"/>
        <w:jc w:val="center"/>
        <w:rPr>
          <w:rFonts w:hint="eastAsia" w:ascii="方正小标宋简体" w:hAnsi="宋体" w:eastAsia="方正小标宋简体" w:cs="Times New Roman"/>
          <w:color w:val="000000"/>
          <w:kern w:val="0"/>
          <w:sz w:val="44"/>
          <w:szCs w:val="44"/>
          <w:lang w:val="zh-CN" w:eastAsia="zh-CN" w:bidi="ar-SA"/>
        </w:rPr>
      </w:pPr>
      <w:r>
        <w:rPr>
          <w:rFonts w:hint="eastAsia" w:ascii="方正小标宋简体" w:hAnsi="宋体" w:eastAsia="方正小标宋简体" w:cs="Times New Roman"/>
          <w:color w:val="000000"/>
          <w:kern w:val="0"/>
          <w:sz w:val="44"/>
          <w:szCs w:val="44"/>
          <w:lang w:val="zh-CN" w:eastAsia="zh-CN" w:bidi="ar-SA"/>
        </w:rPr>
        <w:t>村（</w:t>
      </w:r>
      <w:r>
        <w:rPr>
          <w:rFonts w:hint="eastAsia" w:ascii="方正小标宋简体" w:hAnsi="宋体" w:eastAsia="方正小标宋简体" w:cs="Times New Roman"/>
          <w:color w:val="000000"/>
          <w:kern w:val="0"/>
          <w:sz w:val="44"/>
          <w:szCs w:val="44"/>
          <w:lang w:val="en-US" w:eastAsia="zh-CN" w:bidi="ar-SA"/>
        </w:rPr>
        <w:t>社区</w:t>
      </w:r>
      <w:r>
        <w:rPr>
          <w:rFonts w:hint="eastAsia" w:ascii="方正小标宋简体" w:hAnsi="宋体" w:eastAsia="方正小标宋简体" w:cs="Times New Roman"/>
          <w:color w:val="000000"/>
          <w:kern w:val="0"/>
          <w:sz w:val="44"/>
          <w:szCs w:val="44"/>
          <w:lang w:val="zh-CN" w:eastAsia="zh-CN" w:bidi="ar-SA"/>
        </w:rPr>
        <w:t>）干部养老保险、意外保险补助项目支出绩效自评报告</w:t>
      </w:r>
    </w:p>
    <w:p w14:paraId="15D500E3">
      <w:pPr>
        <w:keepNext w:val="0"/>
        <w:keepLines w:val="0"/>
        <w:pageBreakBefore w:val="0"/>
        <w:widowControl w:val="0"/>
        <w:kinsoku/>
        <w:wordWrap/>
        <w:overflowPunct/>
        <w:topLinePunct w:val="0"/>
        <w:autoSpaceDE/>
        <w:autoSpaceDN/>
        <w:bidi w:val="0"/>
        <w:spacing w:line="560" w:lineRule="exact"/>
        <w:jc w:val="center"/>
        <w:textAlignment w:val="auto"/>
        <w:rPr>
          <w:rFonts w:ascii="仿宋_GB2312" w:hAnsi="宋体" w:eastAsia="仿宋_GB2312" w:cs="Times New Roman"/>
          <w:color w:val="auto"/>
          <w:kern w:val="2"/>
          <w:sz w:val="32"/>
          <w:szCs w:val="32"/>
          <w:lang w:val="zh-CN" w:eastAsia="zh-CN" w:bidi="ar-SA"/>
        </w:rPr>
      </w:pPr>
      <w:r>
        <w:rPr>
          <w:rFonts w:hint="eastAsia" w:ascii="仿宋_GB2312" w:hAnsi="宋体" w:eastAsia="仿宋_GB2312" w:cs="Times New Roman"/>
          <w:color w:val="auto"/>
          <w:kern w:val="2"/>
          <w:sz w:val="32"/>
          <w:szCs w:val="32"/>
          <w:lang w:val="zh-CN" w:eastAsia="zh-CN" w:bidi="ar-SA"/>
        </w:rPr>
        <w:t>（项目单位自评）</w:t>
      </w:r>
    </w:p>
    <w:p w14:paraId="6D83947E">
      <w:pPr>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eastAsia="宋体" w:cs="Times New Roman"/>
          <w:color w:val="auto"/>
          <w:kern w:val="2"/>
          <w:sz w:val="32"/>
          <w:szCs w:val="32"/>
          <w:lang w:val="zh-CN" w:eastAsia="zh-CN" w:bidi="ar-SA"/>
        </w:rPr>
      </w:pPr>
    </w:p>
    <w:p w14:paraId="2CCE92B8">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7E1ADFB8">
      <w:pPr>
        <w:adjustRightInd w:val="0"/>
        <w:snapToGrid w:val="0"/>
        <w:spacing w:line="600" w:lineRule="exact"/>
        <w:ind w:firstLine="720"/>
        <w:rPr>
          <w:rFonts w:hint="eastAsia" w:ascii="仿宋_GB2312" w:hAnsi="宋体" w:eastAsia="仿宋_GB2312"/>
          <w:sz w:val="32"/>
          <w:szCs w:val="32"/>
          <w:lang w:val="zh-CN"/>
        </w:rPr>
      </w:pPr>
      <w:r>
        <w:rPr>
          <w:rFonts w:hint="eastAsia" w:ascii="楷体_GB2312" w:hAnsi="宋体" w:eastAsia="楷体_GB2312"/>
          <w:b/>
          <w:sz w:val="32"/>
          <w:szCs w:val="32"/>
          <w:lang w:val="zh-CN"/>
        </w:rPr>
        <w:t>（一）项目资金申报及批复情况。</w:t>
      </w:r>
    </w:p>
    <w:p w14:paraId="4338025C">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sz w:val="32"/>
          <w:szCs w:val="32"/>
          <w:lang w:val="zh-CN"/>
        </w:rPr>
      </w:pPr>
      <w:r>
        <w:rPr>
          <w:rFonts w:hint="eastAsia" w:ascii="仿宋_GB2312" w:hAnsi="宋体" w:eastAsia="仿宋_GB2312"/>
          <w:sz w:val="32"/>
          <w:szCs w:val="32"/>
          <w:lang w:val="zh-CN"/>
        </w:rPr>
        <w:t>1</w:t>
      </w:r>
      <w:r>
        <w:rPr>
          <w:rFonts w:hint="eastAsia" w:ascii="仿宋_GB2312" w:hAnsi="宋体" w:eastAsia="仿宋_GB2312"/>
          <w:sz w:val="32"/>
          <w:szCs w:val="32"/>
          <w:lang w:val="en-US" w:eastAsia="zh-CN"/>
        </w:rPr>
        <w:t>.</w:t>
      </w:r>
      <w:r>
        <w:rPr>
          <w:rFonts w:hint="eastAsia" w:ascii="仿宋_GB2312" w:hAnsi="宋体" w:eastAsia="仿宋_GB2312"/>
          <w:sz w:val="32"/>
          <w:szCs w:val="32"/>
          <w:lang w:val="zh-CN"/>
        </w:rPr>
        <w:t>村（</w:t>
      </w:r>
      <w:r>
        <w:rPr>
          <w:rFonts w:hint="eastAsia" w:ascii="仿宋_GB2312" w:hAnsi="宋体" w:eastAsia="仿宋_GB2312"/>
          <w:sz w:val="32"/>
          <w:szCs w:val="32"/>
          <w:lang w:val="en-US" w:eastAsia="zh-CN"/>
        </w:rPr>
        <w:t>社区</w:t>
      </w:r>
      <w:r>
        <w:rPr>
          <w:rFonts w:hint="eastAsia" w:ascii="仿宋_GB2312" w:hAnsi="宋体" w:eastAsia="仿宋_GB2312"/>
          <w:sz w:val="32"/>
          <w:szCs w:val="32"/>
          <w:lang w:val="zh-CN"/>
        </w:rPr>
        <w:t>）干部养老保险</w:t>
      </w:r>
      <w:r>
        <w:rPr>
          <w:rFonts w:hint="eastAsia" w:ascii="仿宋_GB2312" w:hAnsi="宋体" w:eastAsia="仿宋_GB2312"/>
          <w:sz w:val="32"/>
          <w:szCs w:val="32"/>
          <w:lang w:val="zh-CN" w:eastAsia="zh-CN"/>
        </w:rPr>
        <w:t>、</w:t>
      </w:r>
      <w:r>
        <w:rPr>
          <w:rFonts w:hint="eastAsia" w:ascii="仿宋_GB2312" w:hAnsi="宋体" w:eastAsia="仿宋_GB2312"/>
          <w:sz w:val="32"/>
          <w:szCs w:val="32"/>
          <w:lang w:val="zh-CN"/>
        </w:rPr>
        <w:t>意外保险补助</w:t>
      </w:r>
      <w:r>
        <w:rPr>
          <w:rFonts w:hint="eastAsia" w:ascii="仿宋_GB2312" w:hAnsi="宋体" w:eastAsia="仿宋_GB2312"/>
          <w:sz w:val="32"/>
          <w:szCs w:val="32"/>
          <w:lang w:val="en-US" w:eastAsia="zh-CN"/>
        </w:rPr>
        <w:t>项目</w:t>
      </w:r>
      <w:r>
        <w:rPr>
          <w:rFonts w:hint="eastAsia" w:ascii="仿宋_GB2312" w:hAnsi="宋体" w:eastAsia="仿宋_GB2312"/>
          <w:sz w:val="32"/>
          <w:szCs w:val="32"/>
          <w:lang w:val="zh-CN"/>
        </w:rPr>
        <w:t>，</w:t>
      </w:r>
      <w:r>
        <w:rPr>
          <w:rFonts w:hint="eastAsia" w:ascii="仿宋_GB2312" w:hAnsi="宋体" w:eastAsia="仿宋_GB2312"/>
          <w:sz w:val="32"/>
          <w:szCs w:val="32"/>
          <w:lang w:val="en-US" w:eastAsia="zh-CN"/>
        </w:rPr>
        <w:t>勒乌乡</w:t>
      </w:r>
      <w:r>
        <w:rPr>
          <w:rFonts w:hint="eastAsia" w:ascii="仿宋_GB2312" w:hAnsi="宋体" w:eastAsia="仿宋_GB2312"/>
          <w:sz w:val="32"/>
          <w:szCs w:val="32"/>
          <w:lang w:val="zh-CN"/>
        </w:rPr>
        <w:t>共计</w:t>
      </w:r>
      <w:r>
        <w:rPr>
          <w:rFonts w:hint="eastAsia" w:ascii="仿宋_GB2312" w:hAnsi="宋体" w:eastAsia="仿宋_GB2312"/>
          <w:sz w:val="32"/>
          <w:szCs w:val="32"/>
          <w:lang w:val="en-US" w:eastAsia="zh-CN"/>
        </w:rPr>
        <w:t>预算</w:t>
      </w:r>
      <w:r>
        <w:rPr>
          <w:rFonts w:hint="eastAsia" w:ascii="仿宋" w:hAnsi="仿宋" w:eastAsia="仿宋" w:cs="仿宋"/>
          <w:b w:val="0"/>
          <w:bCs w:val="0"/>
          <w:i w:val="0"/>
          <w:iCs w:val="0"/>
          <w:caps w:val="0"/>
          <w:color w:val="000000"/>
          <w:spacing w:val="0"/>
          <w:sz w:val="32"/>
          <w:szCs w:val="32"/>
          <w:highlight w:val="none"/>
          <w:shd w:val="clear" w:fill="FFFFFF"/>
          <w:lang w:val="en-US" w:eastAsia="zh-CN"/>
        </w:rPr>
        <w:t>4.97</w:t>
      </w:r>
      <w:r>
        <w:rPr>
          <w:rFonts w:hint="eastAsia" w:ascii="仿宋_GB2312" w:hAnsi="宋体" w:eastAsia="仿宋_GB2312"/>
          <w:sz w:val="32"/>
          <w:szCs w:val="32"/>
          <w:lang w:val="zh-CN"/>
        </w:rPr>
        <w:t>万</w:t>
      </w:r>
      <w:r>
        <w:rPr>
          <w:rFonts w:hint="eastAsia" w:ascii="仿宋_GB2312" w:hAnsi="宋体" w:eastAsia="仿宋_GB2312"/>
          <w:sz w:val="32"/>
          <w:szCs w:val="32"/>
          <w:lang w:val="en-US" w:eastAsia="zh-CN"/>
        </w:rPr>
        <w:t>元，实际支付4.97万元</w:t>
      </w:r>
      <w:r>
        <w:rPr>
          <w:rFonts w:hint="eastAsia" w:ascii="仿宋_GB2312" w:hAnsi="宋体" w:eastAsia="仿宋_GB2312"/>
          <w:sz w:val="32"/>
          <w:szCs w:val="32"/>
          <w:lang w:val="zh-CN"/>
        </w:rPr>
        <w:t>。</w:t>
      </w:r>
    </w:p>
    <w:p w14:paraId="1FA1180E">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sz w:val="32"/>
          <w:szCs w:val="32"/>
          <w:lang w:val="en-US" w:eastAsia="zh-CN"/>
        </w:rPr>
      </w:pPr>
      <w:r>
        <w:rPr>
          <w:rFonts w:hint="eastAsia" w:ascii="仿宋_GB2312" w:hAnsi="宋体" w:eastAsia="仿宋_GB2312"/>
          <w:sz w:val="32"/>
          <w:szCs w:val="32"/>
          <w:lang w:val="zh-CN" w:eastAsia="zh-CN"/>
        </w:rPr>
        <w:t>2</w:t>
      </w:r>
      <w:r>
        <w:rPr>
          <w:rFonts w:hint="eastAsia" w:ascii="仿宋_GB2312" w:hAnsi="宋体" w:eastAsia="仿宋_GB2312"/>
          <w:sz w:val="32"/>
          <w:szCs w:val="32"/>
          <w:lang w:val="en-US" w:eastAsia="zh-CN"/>
        </w:rPr>
        <w:t>.</w:t>
      </w:r>
      <w:r>
        <w:rPr>
          <w:rFonts w:hint="eastAsia" w:ascii="仿宋_GB2312" w:hAnsi="宋体" w:eastAsia="仿宋_GB2312"/>
          <w:sz w:val="32"/>
          <w:szCs w:val="32"/>
          <w:lang w:val="zh-CN" w:eastAsia="zh-CN"/>
        </w:rPr>
        <w:t>项目立项、资金申报的依据是《</w:t>
      </w:r>
      <w:r>
        <w:rPr>
          <w:rFonts w:hint="eastAsia" w:ascii="仿宋_GB2312" w:hAnsi="宋体" w:eastAsia="仿宋_GB2312"/>
          <w:sz w:val="32"/>
          <w:szCs w:val="32"/>
          <w:lang w:val="en-US" w:eastAsia="zh-CN"/>
        </w:rPr>
        <w:t>中共峨边彝族自治县委组织部关于将村组干部意外保险伤害保险经费纳入乡镇预算的通知》。</w:t>
      </w:r>
    </w:p>
    <w:p w14:paraId="38BF053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eastAsia="仿宋_GB2312"/>
          <w:sz w:val="32"/>
          <w:szCs w:val="32"/>
          <w:lang w:val="zh-CN"/>
        </w:rPr>
      </w:pPr>
      <w:r>
        <w:rPr>
          <w:rFonts w:hint="eastAsia" w:ascii="仿宋_GB2312" w:hAnsi="宋体" w:eastAsia="仿宋_GB2312"/>
          <w:sz w:val="32"/>
          <w:szCs w:val="32"/>
          <w:lang w:val="zh-CN"/>
        </w:rPr>
        <w:t>3</w:t>
      </w:r>
      <w:r>
        <w:rPr>
          <w:rFonts w:hint="eastAsia" w:ascii="仿宋_GB2312" w:hAnsi="宋体" w:eastAsia="仿宋_GB2312"/>
          <w:sz w:val="32"/>
          <w:szCs w:val="32"/>
          <w:lang w:val="en-US" w:eastAsia="zh-CN"/>
        </w:rPr>
        <w:t>.考核原则：坚持实事求是、客观公正、及时补助购买的原则</w:t>
      </w:r>
      <w:r>
        <w:rPr>
          <w:rFonts w:hint="eastAsia" w:ascii="仿宋_GB2312" w:hAnsi="宋体" w:eastAsia="仿宋_GB2312"/>
          <w:sz w:val="32"/>
          <w:szCs w:val="32"/>
          <w:lang w:val="zh-CN"/>
        </w:rPr>
        <w:t>。</w:t>
      </w:r>
    </w:p>
    <w:p w14:paraId="2DF752C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（二）项目绩效目标。</w:t>
      </w:r>
    </w:p>
    <w:p w14:paraId="154D7C99">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sz w:val="32"/>
          <w:szCs w:val="32"/>
          <w:lang w:val="en-US" w:eastAsia="zh-CN"/>
        </w:rPr>
      </w:pPr>
      <w:r>
        <w:rPr>
          <w:rFonts w:hint="eastAsia" w:ascii="仿宋_GB2312" w:hAnsi="宋体" w:eastAsia="仿宋_GB2312"/>
          <w:sz w:val="32"/>
          <w:szCs w:val="32"/>
          <w:lang w:val="zh-CN" w:eastAsia="zh-CN"/>
        </w:rPr>
        <w:t>1</w:t>
      </w:r>
      <w:r>
        <w:rPr>
          <w:rFonts w:hint="eastAsia" w:ascii="仿宋_GB2312" w:hAnsi="宋体" w:eastAsia="仿宋_GB2312"/>
          <w:sz w:val="32"/>
          <w:szCs w:val="32"/>
          <w:lang w:val="en-US" w:eastAsia="zh-CN"/>
        </w:rPr>
        <w:t>.</w:t>
      </w:r>
      <w:r>
        <w:rPr>
          <w:rFonts w:hint="eastAsia" w:ascii="仿宋_GB2312" w:hAnsi="宋体" w:eastAsia="仿宋_GB2312"/>
          <w:sz w:val="32"/>
          <w:szCs w:val="32"/>
          <w:lang w:val="zh-CN" w:eastAsia="zh-CN"/>
        </w:rPr>
        <w:t>项目主要内容是对</w:t>
      </w:r>
      <w:r>
        <w:rPr>
          <w:rFonts w:hint="eastAsia" w:ascii="仿宋_GB2312" w:hAnsi="宋体" w:eastAsia="仿宋_GB2312"/>
          <w:sz w:val="32"/>
          <w:szCs w:val="32"/>
          <w:lang w:val="en-US" w:eastAsia="zh-CN"/>
        </w:rPr>
        <w:t>全乡5个村常职干部和组长。</w:t>
      </w:r>
    </w:p>
    <w:p w14:paraId="26B91944">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sz w:val="32"/>
          <w:szCs w:val="32"/>
          <w:lang w:val="en-US" w:eastAsia="zh-CN"/>
        </w:rPr>
      </w:pPr>
      <w:r>
        <w:rPr>
          <w:rFonts w:hint="eastAsia" w:ascii="仿宋_GB2312" w:hAnsi="宋体" w:eastAsia="仿宋_GB2312"/>
          <w:sz w:val="32"/>
          <w:szCs w:val="32"/>
          <w:lang w:val="zh-CN" w:eastAsia="zh-CN"/>
        </w:rPr>
        <w:t>2</w:t>
      </w:r>
      <w:r>
        <w:rPr>
          <w:rFonts w:hint="eastAsia" w:ascii="仿宋_GB2312" w:hAnsi="宋体" w:eastAsia="仿宋_GB2312"/>
          <w:sz w:val="32"/>
          <w:szCs w:val="32"/>
          <w:lang w:val="en-US" w:eastAsia="zh-CN"/>
        </w:rPr>
        <w:t>.以“目标、任务、资金、权责”细化原则，进一步增强村（社区）干部干事创业热情，不断提高工作积极性和主动性。包括：</w:t>
      </w:r>
    </w:p>
    <w:p w14:paraId="700A19C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（1）项目完成情况包括项目任务完成质量、数量情况。</w:t>
      </w:r>
    </w:p>
    <w:p w14:paraId="0176ADD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（2）项目管理情况包括项目立项前期准备、项目任务的实施、项目公开公示情况、项目后续维护管理制度建设以及档案管理情况。</w:t>
      </w:r>
    </w:p>
    <w:p w14:paraId="02C7A2A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（3）资金管理情况包括资金到位、使用情况，资金拨付是否及时、是否专款专用、是否专账管理、项目资金支付凭据是否真实、完整，项目决算资料的合法、合规性。</w:t>
      </w:r>
    </w:p>
    <w:p w14:paraId="42A87A08">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（4）项目效益包括项目完成后的效益，群众满意度情况。目前此项目已于2023年12月21日完成。</w:t>
      </w:r>
    </w:p>
    <w:p w14:paraId="7A8D4D6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（三）项目资金申报相符性。</w:t>
      </w:r>
    </w:p>
    <w:p w14:paraId="7549B4F1">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sz w:val="32"/>
          <w:szCs w:val="32"/>
          <w:lang w:val="zh-CN" w:eastAsia="zh-CN"/>
        </w:rPr>
      </w:pPr>
      <w:r>
        <w:rPr>
          <w:rFonts w:hint="eastAsia" w:ascii="仿宋_GB2312" w:hAnsi="宋体" w:eastAsia="仿宋_GB2312"/>
          <w:sz w:val="32"/>
          <w:szCs w:val="32"/>
          <w:lang w:val="zh-CN" w:eastAsia="zh-CN"/>
        </w:rPr>
        <w:t>该经费申报内容与实际相符申报目标合理可行。按时报销的原则，预算</w:t>
      </w:r>
      <w:r>
        <w:rPr>
          <w:rFonts w:hint="eastAsia" w:ascii="仿宋_GB2312" w:hAnsi="宋体" w:eastAsia="仿宋_GB2312"/>
          <w:sz w:val="32"/>
          <w:szCs w:val="32"/>
          <w:lang w:val="en-US" w:eastAsia="zh-CN"/>
        </w:rPr>
        <w:t>15.07</w:t>
      </w:r>
      <w:r>
        <w:rPr>
          <w:rFonts w:hint="eastAsia" w:ascii="仿宋_GB2312" w:hAnsi="宋体" w:eastAsia="仿宋_GB2312"/>
          <w:sz w:val="32"/>
          <w:szCs w:val="32"/>
          <w:lang w:val="zh-CN" w:eastAsia="zh-CN"/>
        </w:rPr>
        <w:t>万</w:t>
      </w:r>
      <w:r>
        <w:rPr>
          <w:rFonts w:hint="eastAsia" w:ascii="仿宋_GB2312" w:hAnsi="宋体" w:eastAsia="仿宋_GB2312"/>
          <w:sz w:val="32"/>
          <w:szCs w:val="32"/>
          <w:lang w:val="en-US" w:eastAsia="zh-CN"/>
        </w:rPr>
        <w:t>元，实际支付15.07万元</w:t>
      </w:r>
      <w:r>
        <w:rPr>
          <w:rFonts w:hint="eastAsia" w:ascii="仿宋_GB2312" w:hAnsi="宋体" w:eastAsia="仿宋_GB2312"/>
          <w:sz w:val="32"/>
          <w:szCs w:val="32"/>
          <w:lang w:val="zh-CN" w:eastAsia="zh-CN"/>
        </w:rPr>
        <w:t>。</w:t>
      </w:r>
    </w:p>
    <w:p w14:paraId="34C0CFF4">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eastAsia="仿宋_GB2312"/>
          <w:sz w:val="32"/>
          <w:szCs w:val="32"/>
          <w:lang w:val="zh-CN"/>
        </w:rPr>
      </w:pPr>
    </w:p>
    <w:p w14:paraId="11895AC3">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黑体" w:hAnsi="宋体" w:eastAsia="黑体"/>
          <w:sz w:val="32"/>
          <w:szCs w:val="32"/>
        </w:rPr>
        <w:t>二、项目实施及管理情况</w:t>
      </w:r>
    </w:p>
    <w:p w14:paraId="7B83A8D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仿宋_GB2312" w:hAnsi="宋体" w:eastAsia="仿宋_GB2312"/>
          <w:sz w:val="32"/>
          <w:szCs w:val="32"/>
          <w:lang w:val="zh-CN"/>
        </w:rPr>
        <w:tab/>
      </w:r>
      <w:r>
        <w:rPr>
          <w:rFonts w:hint="eastAsia" w:ascii="楷体_GB2312" w:hAnsi="宋体" w:eastAsia="楷体_GB2312"/>
          <w:b/>
          <w:sz w:val="32"/>
          <w:szCs w:val="32"/>
          <w:lang w:val="zh-CN"/>
        </w:rPr>
        <w:t>（一）资金计划、到位及使用情况。</w:t>
      </w:r>
    </w:p>
    <w:p w14:paraId="03AB2C74">
      <w:pPr>
        <w:adjustRightInd w:val="0"/>
        <w:snapToGrid w:val="0"/>
        <w:spacing w:line="600" w:lineRule="exact"/>
        <w:ind w:firstLine="720"/>
        <w:rPr>
          <w:rFonts w:hint="eastAsia" w:ascii="仿宋_GB2312" w:hAnsi="宋体" w:eastAsia="仿宋_GB2312"/>
          <w:sz w:val="32"/>
          <w:szCs w:val="32"/>
          <w:lang w:val="zh-CN"/>
        </w:rPr>
      </w:pPr>
      <w:r>
        <w:rPr>
          <w:rFonts w:hint="eastAsia" w:ascii="楷体_GB2312" w:hAnsi="宋体" w:eastAsia="楷体_GB2312"/>
          <w:sz w:val="32"/>
          <w:szCs w:val="32"/>
          <w:lang w:val="zh-CN"/>
        </w:rPr>
        <w:t>1．资金计划及到位。</w:t>
      </w:r>
      <w:r>
        <w:rPr>
          <w:rFonts w:hint="eastAsia" w:ascii="仿宋_GB2312" w:hAnsi="宋体" w:eastAsia="仿宋_GB2312"/>
          <w:sz w:val="32"/>
          <w:szCs w:val="32"/>
          <w:lang w:val="zh-CN" w:eastAsia="zh-CN"/>
        </w:rPr>
        <w:t>该工作经费是正常年度预算，</w:t>
      </w:r>
      <w:r>
        <w:rPr>
          <w:rFonts w:hint="eastAsia" w:ascii="仿宋_GB2312" w:hAnsi="宋体" w:eastAsia="仿宋_GB2312"/>
          <w:sz w:val="32"/>
          <w:szCs w:val="32"/>
          <w:lang w:val="en-US" w:eastAsia="zh-CN"/>
        </w:rPr>
        <w:t>意外保险和养老保险于2023年2月20日县财政局下达县级资金。</w:t>
      </w:r>
    </w:p>
    <w:p w14:paraId="6980ED8A">
      <w:pPr>
        <w:adjustRightInd w:val="0"/>
        <w:snapToGrid w:val="0"/>
        <w:spacing w:line="600" w:lineRule="exact"/>
        <w:ind w:firstLine="720"/>
        <w:rPr>
          <w:rFonts w:ascii="仿宋_GB2312" w:hAnsi="宋体" w:eastAsia="仿宋_GB2312"/>
          <w:sz w:val="32"/>
          <w:szCs w:val="32"/>
          <w:lang w:val="zh-CN"/>
        </w:rPr>
      </w:pPr>
      <w:r>
        <w:rPr>
          <w:rFonts w:hint="eastAsia" w:ascii="楷体_GB2312" w:hAnsi="宋体" w:eastAsia="楷体_GB2312"/>
          <w:sz w:val="32"/>
          <w:szCs w:val="32"/>
          <w:lang w:val="zh-CN"/>
        </w:rPr>
        <w:t>2．资金使用。</w:t>
      </w:r>
      <w:r>
        <w:rPr>
          <w:rFonts w:hint="eastAsia" w:ascii="仿宋_GB2312" w:hAnsi="宋体" w:eastAsia="仿宋_GB2312"/>
          <w:sz w:val="32"/>
          <w:szCs w:val="32"/>
          <w:lang w:val="en-US" w:eastAsia="zh-CN"/>
        </w:rPr>
        <w:t>此项目于2023年12月21日完成资金支付</w:t>
      </w:r>
      <w:r>
        <w:rPr>
          <w:rFonts w:hint="eastAsia" w:ascii="仿宋_GB2312" w:hAnsi="宋体" w:eastAsia="仿宋_GB2312"/>
          <w:sz w:val="32"/>
          <w:szCs w:val="32"/>
          <w:lang w:val="zh-CN"/>
        </w:rPr>
        <w:t>。</w:t>
      </w:r>
    </w:p>
    <w:p w14:paraId="0DE50167">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（二）项目财务管理情况。</w:t>
      </w:r>
    </w:p>
    <w:p w14:paraId="307FA951">
      <w:pPr>
        <w:adjustRightInd w:val="0"/>
        <w:snapToGrid w:val="0"/>
        <w:spacing w:line="600" w:lineRule="exact"/>
        <w:ind w:firstLine="720"/>
        <w:rPr>
          <w:rFonts w:ascii="仿宋" w:hAnsi="仿宋" w:eastAsia="仿宋"/>
          <w:sz w:val="32"/>
          <w:szCs w:val="32"/>
          <w:lang w:val="zh-CN"/>
        </w:rPr>
      </w:pPr>
      <w:r>
        <w:rPr>
          <w:rFonts w:hint="eastAsia" w:ascii="仿宋" w:hAnsi="仿宋" w:eastAsia="仿宋"/>
          <w:sz w:val="32"/>
          <w:szCs w:val="32"/>
          <w:lang w:val="zh-CN"/>
        </w:rPr>
        <w:t>此项目财务管理制度健全，严格执行财务管理制度，账务处理及时，会计核算规范。</w:t>
      </w:r>
    </w:p>
    <w:p w14:paraId="46990167">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（三）项目组织实施情况。</w:t>
      </w:r>
    </w:p>
    <w:p w14:paraId="73EBFBE1">
      <w:pPr>
        <w:adjustRightInd w:val="0"/>
        <w:snapToGrid w:val="0"/>
        <w:spacing w:line="600" w:lineRule="exact"/>
        <w:ind w:firstLine="720"/>
        <w:rPr>
          <w:rFonts w:ascii="仿宋" w:hAnsi="仿宋" w:eastAsia="仿宋"/>
          <w:b/>
          <w:sz w:val="32"/>
          <w:szCs w:val="32"/>
          <w:lang w:val="zh-CN"/>
        </w:rPr>
      </w:pPr>
      <w:r>
        <w:rPr>
          <w:rFonts w:hint="eastAsia" w:ascii="仿宋" w:hAnsi="仿宋" w:eastAsia="仿宋"/>
          <w:sz w:val="32"/>
          <w:szCs w:val="32"/>
          <w:lang w:val="zh-CN"/>
        </w:rPr>
        <w:t>我</w:t>
      </w:r>
      <w:r>
        <w:rPr>
          <w:rFonts w:hint="eastAsia" w:ascii="仿宋" w:hAnsi="仿宋" w:eastAsia="仿宋"/>
          <w:sz w:val="32"/>
          <w:szCs w:val="32"/>
          <w:lang w:val="en-US" w:eastAsia="zh-CN"/>
        </w:rPr>
        <w:t>乡按照</w:t>
      </w:r>
      <w:r>
        <w:rPr>
          <w:rFonts w:hint="eastAsia" w:ascii="仿宋" w:hAnsi="仿宋" w:eastAsia="仿宋" w:cs="Microsoft YaHei UI"/>
          <w:spacing w:val="8"/>
          <w:sz w:val="32"/>
          <w:szCs w:val="32"/>
          <w:shd w:val="clear" w:color="auto" w:fill="FFFFFF"/>
          <w:lang w:val="en-US" w:eastAsia="zh-CN"/>
        </w:rPr>
        <w:t>《中共峨边彝族自治县委组织部关于将村组干部意外保险伤害保险经费纳入乡镇预算的通知》要求及时进行申补助和购买</w:t>
      </w:r>
      <w:r>
        <w:rPr>
          <w:rFonts w:hint="eastAsia" w:ascii="仿宋" w:hAnsi="仿宋" w:eastAsia="仿宋"/>
          <w:sz w:val="32"/>
          <w:szCs w:val="32"/>
          <w:lang w:val="zh-CN"/>
        </w:rPr>
        <w:t>由</w:t>
      </w:r>
      <w:r>
        <w:rPr>
          <w:rFonts w:hint="eastAsia" w:ascii="仿宋" w:hAnsi="仿宋" w:eastAsia="仿宋"/>
          <w:sz w:val="32"/>
          <w:szCs w:val="32"/>
          <w:lang w:val="en-US" w:eastAsia="zh-CN"/>
        </w:rPr>
        <w:t>乡纪委</w:t>
      </w:r>
      <w:r>
        <w:rPr>
          <w:rFonts w:hint="eastAsia" w:ascii="仿宋" w:hAnsi="仿宋" w:eastAsia="仿宋"/>
          <w:sz w:val="32"/>
          <w:szCs w:val="32"/>
          <w:lang w:val="zh-CN"/>
        </w:rPr>
        <w:t>负责复核监管。</w:t>
      </w:r>
    </w:p>
    <w:p w14:paraId="455275FD">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eastAsia="仿宋_GB2312"/>
          <w:sz w:val="32"/>
          <w:szCs w:val="32"/>
          <w:lang w:val="zh-CN"/>
        </w:rPr>
      </w:pPr>
      <w:r>
        <w:rPr>
          <w:rFonts w:hint="eastAsia" w:ascii="黑体" w:hAnsi="宋体" w:eastAsia="黑体"/>
          <w:sz w:val="32"/>
          <w:szCs w:val="32"/>
        </w:rPr>
        <w:t>三、项目绩效情况</w:t>
      </w:r>
      <w:r>
        <w:rPr>
          <w:rFonts w:hint="eastAsia" w:ascii="仿宋_GB2312" w:hAnsi="宋体" w:eastAsia="仿宋_GB2312"/>
          <w:sz w:val="32"/>
          <w:szCs w:val="32"/>
          <w:lang w:val="zh-CN"/>
        </w:rPr>
        <w:tab/>
      </w:r>
    </w:p>
    <w:p w14:paraId="6CD7212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14:paraId="7E64EED1">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sz w:val="32"/>
          <w:szCs w:val="32"/>
          <w:lang w:val="zh-CN"/>
        </w:rPr>
      </w:pPr>
      <w:r>
        <w:rPr>
          <w:rFonts w:hint="eastAsia" w:ascii="仿宋_GB2312" w:hAnsi="宋体" w:eastAsia="仿宋_GB2312"/>
          <w:sz w:val="32"/>
          <w:szCs w:val="32"/>
          <w:lang w:val="en-US" w:eastAsia="zh-CN"/>
        </w:rPr>
        <w:t>此项目预算资金4.97万元按照文件要求2023年12月21日完成资金支付</w:t>
      </w:r>
      <w:r>
        <w:rPr>
          <w:rFonts w:hint="eastAsia" w:ascii="仿宋_GB2312" w:hAnsi="宋体" w:eastAsia="仿宋_GB2312"/>
          <w:sz w:val="32"/>
          <w:szCs w:val="32"/>
          <w:lang w:val="zh-CN"/>
        </w:rPr>
        <w:t>。</w:t>
      </w:r>
    </w:p>
    <w:p w14:paraId="197416C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sz w:val="32"/>
          <w:szCs w:val="32"/>
          <w:lang w:val="zh-CN"/>
        </w:rPr>
      </w:pPr>
      <w:r>
        <w:rPr>
          <w:rFonts w:hint="eastAsia" w:ascii="楷体_GB2312" w:hAnsi="宋体" w:eastAsia="楷体_GB2312"/>
          <w:b/>
          <w:sz w:val="32"/>
          <w:szCs w:val="32"/>
          <w:lang w:val="zh-CN"/>
        </w:rPr>
        <w:t>（二）项目效益情况。</w:t>
      </w:r>
    </w:p>
    <w:p w14:paraId="1EB6B3CE">
      <w:pPr>
        <w:widowControl/>
        <w:shd w:val="clear" w:color="auto" w:fill="FFFFFF"/>
        <w:spacing w:before="0" w:beforeAutospacing="0" w:after="0" w:afterAutospacing="0" w:line="600" w:lineRule="atLeast"/>
        <w:ind w:firstLine="739" w:firstLineChars="231"/>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1.经济效益</w:t>
      </w:r>
    </w:p>
    <w:p w14:paraId="6E8FAA33">
      <w:pPr>
        <w:widowControl/>
        <w:shd w:val="clear" w:color="auto" w:fill="FFFFFF"/>
        <w:spacing w:before="0" w:beforeAutospacing="0" w:after="0" w:afterAutospacing="0" w:line="600" w:lineRule="atLeast"/>
        <w:ind w:firstLine="640" w:firstLineChars="20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zh-CN" w:eastAsia="zh-CN" w:bidi="ar-SA"/>
        </w:rPr>
        <w:t>村（</w:t>
      </w:r>
      <w:r>
        <w:rPr>
          <w:rFonts w:hint="eastAsia" w:ascii="仿宋_GB2312" w:hAnsi="宋体" w:eastAsia="仿宋_GB2312" w:cs="Times New Roman"/>
          <w:kern w:val="2"/>
          <w:sz w:val="32"/>
          <w:szCs w:val="32"/>
          <w:lang w:val="en-US" w:eastAsia="zh-CN" w:bidi="ar-SA"/>
        </w:rPr>
        <w:t>社区</w:t>
      </w:r>
      <w:r>
        <w:rPr>
          <w:rFonts w:hint="eastAsia" w:ascii="仿宋_GB2312" w:hAnsi="宋体" w:eastAsia="仿宋_GB2312" w:cs="Times New Roman"/>
          <w:kern w:val="2"/>
          <w:sz w:val="32"/>
          <w:szCs w:val="32"/>
          <w:lang w:val="zh-CN" w:eastAsia="zh-CN" w:bidi="ar-SA"/>
        </w:rPr>
        <w:t>）干部养老保险意外保险补助</w:t>
      </w:r>
      <w:r>
        <w:rPr>
          <w:rFonts w:hint="eastAsia" w:ascii="仿宋_GB2312" w:hAnsi="宋体" w:eastAsia="仿宋_GB2312" w:cs="Times New Roman"/>
          <w:kern w:val="2"/>
          <w:sz w:val="32"/>
          <w:szCs w:val="32"/>
          <w:lang w:val="en-US" w:eastAsia="zh-CN" w:bidi="ar-SA"/>
        </w:rPr>
        <w:t>项目实施后，极大提高了村（社区）干部干事创业热情，不断提高工作积极性和主动性。</w:t>
      </w:r>
    </w:p>
    <w:p w14:paraId="19A700B2">
      <w:pPr>
        <w:widowControl/>
        <w:shd w:val="clear" w:color="auto" w:fill="FFFFFF"/>
        <w:spacing w:before="0" w:beforeAutospacing="0" w:after="0" w:afterAutospacing="0" w:line="600" w:lineRule="atLeast"/>
        <w:ind w:firstLine="739" w:firstLineChars="231"/>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2.社会效益</w:t>
      </w:r>
    </w:p>
    <w:p w14:paraId="1457AB00">
      <w:pPr>
        <w:widowControl/>
        <w:shd w:val="clear" w:color="auto" w:fill="FFFFFF"/>
        <w:spacing w:before="0" w:beforeAutospacing="0" w:after="0" w:afterAutospacing="0" w:line="600" w:lineRule="atLeast"/>
        <w:ind w:firstLine="739" w:firstLineChars="231"/>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通过项目的实施，全乡村（社区）干部工作积极性得到有效改善。为实现乡村振兴，促进乡风文明打下了坚定基础。</w:t>
      </w:r>
    </w:p>
    <w:p w14:paraId="6BEC64AD">
      <w:pPr>
        <w:widowControl/>
        <w:shd w:val="clear" w:color="auto" w:fill="FFFFFF"/>
        <w:spacing w:before="0" w:beforeAutospacing="0" w:after="0" w:afterAutospacing="0" w:line="600" w:lineRule="atLeast"/>
        <w:ind w:firstLine="739" w:firstLineChars="231"/>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3.可持续影响</w:t>
      </w:r>
    </w:p>
    <w:p w14:paraId="12F134B5">
      <w:pPr>
        <w:widowControl/>
        <w:shd w:val="clear" w:color="auto" w:fill="FFFFFF"/>
        <w:spacing w:before="0" w:beforeAutospacing="0" w:after="0" w:afterAutospacing="0" w:line="600" w:lineRule="atLeast"/>
        <w:ind w:firstLine="739" w:firstLineChars="231"/>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zh-CN" w:eastAsia="zh-CN" w:bidi="ar-SA"/>
        </w:rPr>
        <w:t>村（</w:t>
      </w:r>
      <w:r>
        <w:rPr>
          <w:rFonts w:hint="eastAsia" w:ascii="仿宋_GB2312" w:hAnsi="宋体" w:eastAsia="仿宋_GB2312" w:cs="Times New Roman"/>
          <w:kern w:val="2"/>
          <w:sz w:val="32"/>
          <w:szCs w:val="32"/>
          <w:lang w:val="en-US" w:eastAsia="zh-CN" w:bidi="ar-SA"/>
        </w:rPr>
        <w:t>社区</w:t>
      </w:r>
      <w:r>
        <w:rPr>
          <w:rFonts w:hint="eastAsia" w:ascii="仿宋_GB2312" w:hAnsi="宋体" w:eastAsia="仿宋_GB2312" w:cs="Times New Roman"/>
          <w:kern w:val="2"/>
          <w:sz w:val="32"/>
          <w:szCs w:val="32"/>
          <w:lang w:val="zh-CN" w:eastAsia="zh-CN" w:bidi="ar-SA"/>
        </w:rPr>
        <w:t>）干部养老保险意外保险补助</w:t>
      </w:r>
      <w:r>
        <w:rPr>
          <w:rFonts w:hint="eastAsia" w:ascii="仿宋_GB2312" w:hAnsi="宋体" w:eastAsia="仿宋_GB2312" w:cs="Times New Roman"/>
          <w:kern w:val="2"/>
          <w:sz w:val="32"/>
          <w:szCs w:val="32"/>
          <w:lang w:val="en-US" w:eastAsia="zh-CN" w:bidi="ar-SA"/>
        </w:rPr>
        <w:t>项目的实施，在使用年限内对强化村（社区）干部岗位责任增强村干部的忧患意识和竞争意识，激发干事创业热情，不断提高工作积极性和主动性。</w:t>
      </w:r>
    </w:p>
    <w:p w14:paraId="3734093A">
      <w:pPr>
        <w:widowControl/>
        <w:shd w:val="clear" w:color="auto" w:fill="FFFFFF"/>
        <w:spacing w:before="0" w:beforeAutospacing="0" w:after="0" w:afterAutospacing="0" w:line="600" w:lineRule="atLeast"/>
        <w:ind w:firstLine="739" w:firstLineChars="231"/>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4.群众满意度</w:t>
      </w:r>
    </w:p>
    <w:p w14:paraId="353E0EED">
      <w:pPr>
        <w:widowControl/>
        <w:shd w:val="clear" w:color="auto" w:fill="FFFFFF"/>
        <w:spacing w:before="0" w:beforeAutospacing="0" w:after="0" w:afterAutospacing="0" w:line="600" w:lineRule="atLeast"/>
        <w:ind w:firstLine="739" w:firstLineChars="231"/>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绩效评价抽查小组在乡、村委会相关人员陪同下，对确定的抽查点进行抽查，抽查方式为发放调查问卷及电话核实，抽查结果显示群众满意度较高。</w:t>
      </w:r>
    </w:p>
    <w:p w14:paraId="74375AB1">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黑体" w:hAnsi="宋体" w:eastAsia="黑体"/>
          <w:sz w:val="32"/>
          <w:szCs w:val="32"/>
        </w:rPr>
        <w:t>四、问题及建议</w:t>
      </w:r>
    </w:p>
    <w:p w14:paraId="53ADC93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（一）存在的问题。</w:t>
      </w:r>
    </w:p>
    <w:p w14:paraId="10909BE3">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kern w:val="2"/>
          <w:sz w:val="32"/>
          <w:szCs w:val="32"/>
          <w:lang w:val="zh-CN" w:eastAsia="zh-CN" w:bidi="ar-SA"/>
        </w:rPr>
      </w:pPr>
      <w:r>
        <w:rPr>
          <w:rFonts w:hint="eastAsia" w:ascii="仿宋_GB2312" w:hAnsi="宋体" w:eastAsia="仿宋_GB2312" w:cs="Times New Roman"/>
          <w:kern w:val="2"/>
          <w:sz w:val="32"/>
          <w:szCs w:val="32"/>
          <w:lang w:val="zh-CN" w:eastAsia="zh-CN" w:bidi="ar-SA"/>
        </w:rPr>
        <w:t>无</w:t>
      </w:r>
    </w:p>
    <w:p w14:paraId="65452D6E">
      <w:pPr>
        <w:keepNext w:val="0"/>
        <w:keepLines w:val="0"/>
        <w:pageBreakBefore w:val="0"/>
        <w:widowControl w:val="0"/>
        <w:numPr>
          <w:ilvl w:val="0"/>
          <w:numId w:val="6"/>
        </w:numPr>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相关建议。</w:t>
      </w:r>
    </w:p>
    <w:p w14:paraId="18014008">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kern w:val="2"/>
          <w:sz w:val="32"/>
          <w:szCs w:val="32"/>
          <w:lang w:val="zh-CN" w:eastAsia="zh-CN" w:bidi="ar-SA"/>
        </w:rPr>
      </w:pPr>
      <w:r>
        <w:rPr>
          <w:rFonts w:hint="eastAsia" w:ascii="仿宋_GB2312" w:hAnsi="宋体" w:eastAsia="仿宋_GB2312" w:cs="Times New Roman"/>
          <w:kern w:val="2"/>
          <w:sz w:val="32"/>
          <w:szCs w:val="32"/>
          <w:lang w:val="zh-CN" w:eastAsia="zh-CN" w:bidi="ar-SA"/>
        </w:rPr>
        <w:t>无</w:t>
      </w:r>
    </w:p>
    <w:p w14:paraId="20F44D86">
      <w:pPr>
        <w:widowControl w:val="0"/>
        <w:spacing w:line="600" w:lineRule="exact"/>
        <w:jc w:val="center"/>
        <w:rPr>
          <w:rFonts w:ascii="方正小标宋简体" w:hAnsi="宋体" w:eastAsia="方正小标宋简体" w:cs="Times New Roman"/>
          <w:color w:val="000000"/>
          <w:kern w:val="0"/>
          <w:sz w:val="44"/>
          <w:szCs w:val="44"/>
          <w:lang w:val="zh-CN" w:eastAsia="zh-CN" w:bidi="ar-SA"/>
        </w:rPr>
      </w:pPr>
      <w:r>
        <w:rPr>
          <w:rFonts w:hint="eastAsia" w:ascii="方正小标宋简体" w:hAnsi="宋体" w:eastAsia="方正小标宋简体" w:cs="Times New Roman"/>
          <w:color w:val="000000"/>
          <w:kern w:val="0"/>
          <w:sz w:val="44"/>
          <w:szCs w:val="44"/>
          <w:lang w:val="zh-CN" w:eastAsia="zh-CN" w:bidi="ar-SA"/>
        </w:rPr>
        <w:t>基层组织和农村公共服务运行项目支出绩效自评报告范本</w:t>
      </w:r>
    </w:p>
    <w:p w14:paraId="4D46A636">
      <w:pPr>
        <w:keepNext w:val="0"/>
        <w:keepLines w:val="0"/>
        <w:pageBreakBefore w:val="0"/>
        <w:widowControl w:val="0"/>
        <w:kinsoku/>
        <w:wordWrap/>
        <w:overflowPunct/>
        <w:topLinePunct w:val="0"/>
        <w:autoSpaceDE/>
        <w:autoSpaceDN/>
        <w:bidi w:val="0"/>
        <w:spacing w:line="560" w:lineRule="exact"/>
        <w:jc w:val="center"/>
        <w:textAlignment w:val="auto"/>
        <w:rPr>
          <w:rFonts w:ascii="仿宋_GB2312" w:hAnsi="宋体" w:eastAsia="仿宋_GB2312" w:cs="Times New Roman"/>
          <w:color w:val="auto"/>
          <w:kern w:val="2"/>
          <w:sz w:val="32"/>
          <w:szCs w:val="32"/>
          <w:lang w:val="zh-CN" w:eastAsia="zh-CN" w:bidi="ar-SA"/>
        </w:rPr>
      </w:pPr>
      <w:r>
        <w:rPr>
          <w:rFonts w:hint="eastAsia" w:ascii="仿宋_GB2312" w:hAnsi="宋体" w:eastAsia="仿宋_GB2312" w:cs="Times New Roman"/>
          <w:color w:val="auto"/>
          <w:kern w:val="2"/>
          <w:sz w:val="32"/>
          <w:szCs w:val="32"/>
          <w:lang w:val="zh-CN" w:eastAsia="zh-CN" w:bidi="ar-SA"/>
        </w:rPr>
        <w:t>（项目单位自评）</w:t>
      </w:r>
    </w:p>
    <w:p w14:paraId="272E5EA2">
      <w:pPr>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eastAsia="宋体" w:cs="Times New Roman"/>
          <w:color w:val="auto"/>
          <w:kern w:val="2"/>
          <w:sz w:val="32"/>
          <w:szCs w:val="32"/>
          <w:lang w:val="zh-CN" w:eastAsia="zh-CN" w:bidi="ar-SA"/>
        </w:rPr>
      </w:pPr>
    </w:p>
    <w:p w14:paraId="6EFF01D1">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cs="Times New Roman"/>
          <w:sz w:val="32"/>
          <w:szCs w:val="32"/>
          <w:lang w:val="zh-CN"/>
        </w:rPr>
      </w:pPr>
      <w:r>
        <w:rPr>
          <w:rFonts w:hint="eastAsia" w:ascii="黑体" w:hAnsi="宋体" w:eastAsia="黑体" w:cs="Times New Roman"/>
          <w:sz w:val="32"/>
          <w:szCs w:val="32"/>
        </w:rPr>
        <w:t>一、</w:t>
      </w:r>
      <w:r>
        <w:rPr>
          <w:rFonts w:hint="eastAsia" w:ascii="黑体" w:hAnsi="宋体" w:eastAsia="黑体" w:cs="Times New Roman"/>
          <w:sz w:val="32"/>
          <w:szCs w:val="32"/>
          <w:lang w:val="zh-CN"/>
        </w:rPr>
        <w:t>项目概况</w:t>
      </w:r>
    </w:p>
    <w:p w14:paraId="76D53823">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楷体_GB2312" w:hAnsi="宋体" w:eastAsia="楷体_GB2312" w:cs="Times New Roman"/>
          <w:b/>
          <w:sz w:val="32"/>
          <w:szCs w:val="32"/>
          <w:lang w:val="zh-CN"/>
        </w:rPr>
        <w:t>（一）项目资金申报及批复情况。</w:t>
      </w:r>
    </w:p>
    <w:p w14:paraId="137B053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农村公共服务设施运行维护项目是党的十八大报告提出“让广大农民平等参与现代化进程、共同分享现代化成果”。是落实十八大精神，实现公共财政覆盖农村的一项重大制度创新，是深化农村综合改革的重要抓手和加强基层民主政治建设的助推器。我</w:t>
      </w:r>
      <w:r>
        <w:rPr>
          <w:rFonts w:hint="eastAsia" w:ascii="仿宋_GB2312" w:hAnsi="宋体" w:eastAsia="仿宋_GB2312" w:cs="Times New Roman"/>
          <w:sz w:val="32"/>
          <w:szCs w:val="32"/>
          <w:lang w:val="en-US" w:eastAsia="zh-CN"/>
        </w:rPr>
        <w:t>乡2023年</w:t>
      </w:r>
      <w:r>
        <w:rPr>
          <w:rFonts w:hint="eastAsia" w:ascii="仿宋_GB2312" w:hAnsi="宋体" w:eastAsia="仿宋_GB2312" w:cs="Times New Roman"/>
          <w:sz w:val="32"/>
          <w:szCs w:val="32"/>
          <w:lang w:val="zh-CN"/>
        </w:rPr>
        <w:t>农村公共服务运行维护项目涉及</w:t>
      </w:r>
      <w:r>
        <w:rPr>
          <w:rFonts w:hint="eastAsia" w:ascii="仿宋_GB2312" w:hAnsi="宋体" w:eastAsia="仿宋_GB2312" w:cs="Times New Roman"/>
          <w:sz w:val="32"/>
          <w:szCs w:val="32"/>
          <w:lang w:val="en-US" w:eastAsia="zh-CN"/>
        </w:rPr>
        <w:t>5</w:t>
      </w:r>
      <w:r>
        <w:rPr>
          <w:rFonts w:hint="eastAsia" w:ascii="仿宋_GB2312" w:hAnsi="宋体" w:eastAsia="仿宋_GB2312" w:cs="Times New Roman"/>
          <w:sz w:val="32"/>
          <w:szCs w:val="32"/>
          <w:lang w:val="zh-CN"/>
        </w:rPr>
        <w:t>个村，分别是：</w:t>
      </w:r>
      <w:r>
        <w:rPr>
          <w:rFonts w:hint="eastAsia" w:ascii="仿宋_GB2312" w:hAnsi="宋体" w:eastAsia="仿宋_GB2312" w:cs="Times New Roman"/>
          <w:sz w:val="32"/>
          <w:szCs w:val="32"/>
          <w:lang w:val="en-US" w:eastAsia="zh-CN"/>
        </w:rPr>
        <w:t>祖玛村、余坪村、柑子口村、勒乌村、马井村</w:t>
      </w:r>
      <w:r>
        <w:rPr>
          <w:rFonts w:hint="eastAsia" w:ascii="仿宋_GB2312" w:hAnsi="宋体" w:eastAsia="仿宋_GB2312" w:cs="Times New Roman"/>
          <w:sz w:val="32"/>
          <w:szCs w:val="32"/>
          <w:lang w:val="zh-CN"/>
        </w:rPr>
        <w:t>。</w:t>
      </w:r>
      <w:r>
        <w:rPr>
          <w:rFonts w:hint="eastAsia" w:ascii="仿宋_GB2312" w:hAnsi="宋体" w:eastAsia="仿宋_GB2312" w:cs="Times New Roman"/>
          <w:sz w:val="32"/>
          <w:szCs w:val="32"/>
          <w:lang w:val="en-US" w:eastAsia="zh-CN"/>
        </w:rPr>
        <w:t>5</w:t>
      </w:r>
      <w:r>
        <w:rPr>
          <w:rFonts w:hint="eastAsia" w:ascii="仿宋_GB2312" w:hAnsi="宋体" w:eastAsia="仿宋_GB2312" w:cs="Times New Roman"/>
          <w:sz w:val="32"/>
          <w:szCs w:val="32"/>
          <w:lang w:val="zh-CN"/>
        </w:rPr>
        <w:t>个村</w:t>
      </w:r>
      <w:r>
        <w:rPr>
          <w:rFonts w:hint="eastAsia" w:ascii="仿宋_GB2312" w:hAnsi="宋体" w:eastAsia="仿宋_GB2312" w:cs="Times New Roman"/>
          <w:sz w:val="32"/>
          <w:szCs w:val="32"/>
          <w:lang w:val="en-US" w:eastAsia="zh-CN"/>
        </w:rPr>
        <w:t>农村公共服务运行费项目总资金88万元，其中：</w:t>
      </w:r>
      <w:r>
        <w:rPr>
          <w:rFonts w:hint="eastAsia" w:ascii="仿宋_GB2312" w:hAnsi="宋体" w:eastAsia="仿宋_GB2312" w:cs="Times New Roman"/>
          <w:sz w:val="32"/>
          <w:szCs w:val="32"/>
          <w:lang w:val="zh-CN"/>
        </w:rPr>
        <w:t>省级专项拨款资金</w:t>
      </w:r>
      <w:r>
        <w:rPr>
          <w:rFonts w:hint="eastAsia" w:ascii="仿宋_GB2312" w:hAnsi="宋体" w:eastAsia="仿宋_GB2312" w:cs="Times New Roman"/>
          <w:sz w:val="32"/>
          <w:szCs w:val="32"/>
          <w:lang w:val="en-US" w:eastAsia="zh-CN"/>
        </w:rPr>
        <w:t>31</w:t>
      </w:r>
      <w:r>
        <w:rPr>
          <w:rFonts w:hint="eastAsia" w:ascii="仿宋_GB2312" w:hAnsi="宋体" w:eastAsia="仿宋_GB2312" w:cs="Times New Roman"/>
          <w:sz w:val="32"/>
          <w:szCs w:val="32"/>
          <w:lang w:val="zh-CN"/>
        </w:rPr>
        <w:t>万元，</w:t>
      </w:r>
      <w:r>
        <w:rPr>
          <w:rFonts w:hint="eastAsia" w:ascii="仿宋_GB2312" w:hAnsi="宋体" w:eastAsia="仿宋_GB2312" w:cs="Times New Roman"/>
          <w:sz w:val="32"/>
          <w:szCs w:val="32"/>
          <w:lang w:val="en-US" w:eastAsia="zh-CN"/>
        </w:rPr>
        <w:t>县级拨款</w:t>
      </w:r>
      <w:r>
        <w:rPr>
          <w:rFonts w:hint="eastAsia" w:ascii="仿宋_GB2312" w:hAnsi="宋体" w:eastAsia="仿宋_GB2312" w:cs="Times New Roman"/>
          <w:sz w:val="32"/>
          <w:szCs w:val="32"/>
          <w:lang w:val="zh-CN"/>
        </w:rPr>
        <w:t>资金</w:t>
      </w:r>
      <w:r>
        <w:rPr>
          <w:rFonts w:hint="eastAsia" w:ascii="仿宋_GB2312" w:hAnsi="宋体" w:eastAsia="仿宋_GB2312" w:cs="Times New Roman"/>
          <w:sz w:val="32"/>
          <w:szCs w:val="32"/>
          <w:lang w:val="en-US" w:eastAsia="zh-CN"/>
        </w:rPr>
        <w:t>31</w:t>
      </w:r>
      <w:r>
        <w:rPr>
          <w:rFonts w:hint="eastAsia" w:ascii="仿宋_GB2312" w:hAnsi="宋体" w:eastAsia="仿宋_GB2312" w:cs="Times New Roman"/>
          <w:sz w:val="32"/>
          <w:szCs w:val="32"/>
          <w:lang w:val="zh-CN"/>
        </w:rPr>
        <w:t>万元，中央直达资金</w:t>
      </w:r>
      <w:r>
        <w:rPr>
          <w:rFonts w:hint="eastAsia" w:ascii="仿宋_GB2312" w:hAnsi="宋体" w:eastAsia="仿宋_GB2312" w:cs="Times New Roman"/>
          <w:sz w:val="32"/>
          <w:szCs w:val="32"/>
          <w:lang w:val="en-US" w:eastAsia="zh-CN"/>
        </w:rPr>
        <w:t>26万元</w:t>
      </w:r>
      <w:r>
        <w:rPr>
          <w:rFonts w:hint="eastAsia" w:ascii="仿宋_GB2312" w:hAnsi="宋体" w:eastAsia="仿宋_GB2312" w:cs="Times New Roman"/>
          <w:sz w:val="32"/>
          <w:szCs w:val="32"/>
          <w:lang w:val="zh-CN"/>
        </w:rPr>
        <w:t>。</w:t>
      </w:r>
      <w:r>
        <w:rPr>
          <w:rFonts w:hint="eastAsia" w:ascii="仿宋_GB2312" w:hAnsi="宋体" w:eastAsia="仿宋_GB2312" w:cs="Times New Roman"/>
          <w:sz w:val="32"/>
          <w:szCs w:val="32"/>
          <w:lang w:val="en-US" w:eastAsia="zh-CN"/>
        </w:rPr>
        <w:t>峨边彝族自治县财政局批复文号为峨财预项</w:t>
      </w:r>
      <w:r>
        <w:rPr>
          <w:rFonts w:ascii="仿宋_GB2312" w:hAnsi="仿宋_GB2312" w:eastAsia="仿宋_GB2312" w:cs="仿宋_GB2312"/>
          <w:color w:val="000000"/>
          <w:kern w:val="0"/>
          <w:sz w:val="31"/>
          <w:szCs w:val="31"/>
          <w:lang w:val="en-US" w:eastAsia="zh-CN" w:bidi="ar"/>
        </w:rPr>
        <w:t>〔</w:t>
      </w:r>
      <w:r>
        <w:rPr>
          <w:rFonts w:hint="eastAsia" w:ascii="仿宋_GB2312" w:hAnsi="宋体" w:eastAsia="仿宋_GB2312" w:cs="Times New Roman"/>
          <w:sz w:val="32"/>
          <w:szCs w:val="32"/>
          <w:lang w:val="en-US" w:eastAsia="zh-CN"/>
        </w:rPr>
        <w:t>2021</w:t>
      </w:r>
      <w:r>
        <w:rPr>
          <w:rFonts w:ascii="仿宋_GB2312" w:hAnsi="仿宋_GB2312" w:eastAsia="仿宋_GB2312" w:cs="仿宋_GB2312"/>
          <w:color w:val="000000"/>
          <w:kern w:val="0"/>
          <w:sz w:val="31"/>
          <w:szCs w:val="31"/>
          <w:lang w:val="en-US" w:eastAsia="zh-CN" w:bidi="ar"/>
        </w:rPr>
        <w:t>〕</w:t>
      </w:r>
      <w:r>
        <w:rPr>
          <w:rFonts w:hint="eastAsia" w:ascii="仿宋_GB2312" w:hAnsi="宋体" w:eastAsia="仿宋_GB2312" w:cs="Times New Roman"/>
          <w:sz w:val="32"/>
          <w:szCs w:val="32"/>
          <w:lang w:val="en-US" w:eastAsia="zh-CN"/>
        </w:rPr>
        <w:t>267号。</w:t>
      </w:r>
    </w:p>
    <w:p w14:paraId="0399B614">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楷体_GB2312" w:hAnsi="宋体" w:eastAsia="楷体_GB2312" w:cs="Times New Roman"/>
          <w:b/>
          <w:sz w:val="32"/>
          <w:szCs w:val="32"/>
          <w:lang w:val="zh-CN"/>
        </w:rPr>
        <w:t>（二）项目绩效目标。</w:t>
      </w:r>
    </w:p>
    <w:p w14:paraId="0F5B3B4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该项目主要内容和</w:t>
      </w:r>
      <w:r>
        <w:rPr>
          <w:rFonts w:hint="eastAsia" w:ascii="仿宋_GB2312" w:hAnsi="宋体" w:eastAsia="仿宋_GB2312" w:cs="Times New Roman"/>
          <w:sz w:val="32"/>
          <w:szCs w:val="32"/>
          <w:lang w:val="zh-CN"/>
        </w:rPr>
        <w:t>主要</w:t>
      </w:r>
      <w:r>
        <w:rPr>
          <w:rFonts w:hint="eastAsia" w:ascii="仿宋_GB2312" w:hAnsi="宋体" w:eastAsia="仿宋_GB2312" w:cs="Times New Roman"/>
          <w:sz w:val="32"/>
          <w:szCs w:val="32"/>
          <w:lang w:val="en-US" w:eastAsia="zh-CN"/>
        </w:rPr>
        <w:t>绩效目标</w:t>
      </w:r>
      <w:r>
        <w:rPr>
          <w:rFonts w:hint="eastAsia" w:ascii="仿宋_GB2312" w:hAnsi="宋体" w:eastAsia="仿宋_GB2312" w:cs="Times New Roman"/>
          <w:sz w:val="32"/>
          <w:szCs w:val="32"/>
          <w:lang w:val="zh-CN"/>
        </w:rPr>
        <w:t>为：（1）农村道路维护维修，（2）堰渠维护维修，（3）饮水管道维护维修（</w:t>
      </w:r>
      <w:r>
        <w:rPr>
          <w:rFonts w:hint="eastAsia" w:ascii="仿宋_GB2312" w:hAnsi="宋体" w:eastAsia="仿宋_GB2312" w:cs="Times New Roman"/>
          <w:sz w:val="32"/>
          <w:szCs w:val="32"/>
          <w:lang w:val="en-US" w:eastAsia="zh-CN"/>
        </w:rPr>
        <w:t>4）人居环境卫生整治</w:t>
      </w:r>
      <w:r>
        <w:rPr>
          <w:rFonts w:hint="eastAsia" w:ascii="仿宋_GB2312" w:hAnsi="宋体" w:eastAsia="仿宋_GB2312" w:cs="Times New Roman"/>
          <w:sz w:val="32"/>
          <w:szCs w:val="32"/>
          <w:lang w:val="zh-CN"/>
        </w:rPr>
        <w:t>等方面（</w:t>
      </w:r>
      <w:r>
        <w:rPr>
          <w:rFonts w:hint="eastAsia" w:ascii="仿宋_GB2312" w:hAnsi="宋体" w:eastAsia="仿宋_GB2312" w:cs="Times New Roman"/>
          <w:sz w:val="32"/>
          <w:szCs w:val="32"/>
          <w:lang w:val="en-US" w:eastAsia="zh-CN"/>
        </w:rPr>
        <w:t>5</w:t>
      </w:r>
      <w:r>
        <w:rPr>
          <w:rFonts w:hint="eastAsia" w:ascii="仿宋_GB2312" w:hAnsi="宋体" w:eastAsia="仿宋_GB2312" w:cs="Times New Roman"/>
          <w:sz w:val="32"/>
          <w:szCs w:val="32"/>
          <w:lang w:val="zh-CN"/>
        </w:rPr>
        <w:t>）</w:t>
      </w:r>
      <w:r>
        <w:rPr>
          <w:rFonts w:hint="eastAsia" w:ascii="仿宋_GB2312" w:hAnsi="宋体" w:eastAsia="仿宋_GB2312" w:cs="Times New Roman"/>
          <w:sz w:val="32"/>
          <w:szCs w:val="32"/>
          <w:lang w:val="zh-CN" w:eastAsia="zh-CN"/>
        </w:rPr>
        <w:t>各村日常办公经费支出。</w:t>
      </w:r>
    </w:p>
    <w:p w14:paraId="26BAA08F">
      <w:pPr>
        <w:keepNext w:val="0"/>
        <w:keepLines w:val="0"/>
        <w:pageBreakBefore w:val="0"/>
        <w:numPr>
          <w:ilvl w:val="0"/>
          <w:numId w:val="7"/>
        </w:numPr>
        <w:kinsoku/>
        <w:wordWrap/>
        <w:overflowPunct/>
        <w:topLinePunct w:val="0"/>
        <w:bidi w:val="0"/>
        <w:adjustRightInd w:val="0"/>
        <w:snapToGrid w:val="0"/>
        <w:spacing w:line="56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项目资金申报相符性。</w:t>
      </w:r>
    </w:p>
    <w:p w14:paraId="779282C7">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zh-CN" w:eastAsia="zh-CN"/>
        </w:rPr>
        <w:t>分析评价申报内容与实际相符，申报目标合理可行。</w:t>
      </w:r>
    </w:p>
    <w:p w14:paraId="4E6B873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eastAsia="zh-CN"/>
        </w:rPr>
      </w:pPr>
    </w:p>
    <w:p w14:paraId="5DC4325D">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cs="Times New Roman"/>
          <w:sz w:val="32"/>
          <w:szCs w:val="32"/>
        </w:rPr>
      </w:pPr>
      <w:r>
        <w:rPr>
          <w:rFonts w:hint="eastAsia" w:ascii="黑体" w:hAnsi="宋体" w:eastAsia="黑体" w:cs="Times New Roman"/>
          <w:sz w:val="32"/>
          <w:szCs w:val="32"/>
        </w:rPr>
        <w:t>二、项目实施及管理情况</w:t>
      </w:r>
    </w:p>
    <w:p w14:paraId="34E0A8F4">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cs="Times New Roman"/>
          <w:b/>
          <w:sz w:val="32"/>
          <w:szCs w:val="32"/>
          <w:lang w:val="zh-CN"/>
        </w:rPr>
      </w:pPr>
      <w:r>
        <w:rPr>
          <w:rFonts w:hint="eastAsia" w:ascii="仿宋_GB2312" w:hAnsi="宋体" w:eastAsia="仿宋_GB2312" w:cs="Times New Roman"/>
          <w:sz w:val="32"/>
          <w:szCs w:val="32"/>
          <w:lang w:val="zh-CN"/>
        </w:rPr>
        <w:tab/>
      </w:r>
      <w:r>
        <w:rPr>
          <w:rFonts w:hint="eastAsia" w:ascii="楷体_GB2312" w:hAnsi="宋体" w:eastAsia="楷体_GB2312" w:cs="Times New Roman"/>
          <w:b/>
          <w:sz w:val="32"/>
          <w:szCs w:val="32"/>
          <w:lang w:val="zh-CN"/>
        </w:rPr>
        <w:t>（一）资金计划、到位及使用情况。</w:t>
      </w:r>
    </w:p>
    <w:p w14:paraId="722F105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zh-CN" w:eastAsia="zh-CN"/>
        </w:rPr>
        <w:t>1．资金计划及到位。说明该项目各类资金计划及截止评价时点实际到位情况，包括中央、省、市（州）、县（市、区）财政资金、项目单位自筹资金及其他渠道资金。将资金到位情况与资金计划进行比对，分析说明资金到位率、到位及时性。如有资金未到位或到位不及时等情况应说明原因。</w:t>
      </w:r>
    </w:p>
    <w:p w14:paraId="0BB7BEDA">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该项目根据峨边彝族自治县财政局批复文号为峨财预项〔2021〕267号，2023年6月6日县财政局下达省级资金31万元，2023年6月6日县财政局下达县级资金31万元，2023年12月21日县财政局下达中央直达资金26万元，共计81万元。</w:t>
      </w:r>
    </w:p>
    <w:p w14:paraId="0356E0C6">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（二）项目财务管理情况。</w:t>
      </w:r>
    </w:p>
    <w:p w14:paraId="0E256783">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zh-CN" w:eastAsia="zh-CN"/>
        </w:rPr>
        <w:t>我</w:t>
      </w:r>
      <w:r>
        <w:rPr>
          <w:rFonts w:hint="eastAsia" w:ascii="仿宋_GB2312" w:hAnsi="宋体" w:eastAsia="仿宋_GB2312" w:cs="Times New Roman"/>
          <w:sz w:val="32"/>
          <w:szCs w:val="32"/>
          <w:lang w:val="en-US" w:eastAsia="zh-CN"/>
        </w:rPr>
        <w:t>乡</w:t>
      </w:r>
      <w:r>
        <w:rPr>
          <w:rFonts w:hint="eastAsia" w:ascii="仿宋_GB2312" w:hAnsi="宋体" w:eastAsia="仿宋_GB2312" w:cs="Times New Roman"/>
          <w:sz w:val="32"/>
          <w:szCs w:val="32"/>
          <w:lang w:val="zh-CN" w:eastAsia="zh-CN"/>
        </w:rPr>
        <w:t>农村公共服务运行项目资金使用符合国家财经法规和财务管理制度及有关专项资金管理办法规定；资金拨付有完整的审批程序和手续；符合项目预算批复或合同规定用途；不存在截留、挤占、挪用、虚列支出等情况。</w:t>
      </w:r>
    </w:p>
    <w:p w14:paraId="245DB63A">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（三）项目组织实施情况。</w:t>
      </w:r>
    </w:p>
    <w:p w14:paraId="31F6A7B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en-US" w:eastAsia="zh-CN"/>
        </w:rPr>
        <w:t>1.</w:t>
      </w:r>
      <w:r>
        <w:rPr>
          <w:rFonts w:hint="eastAsia" w:ascii="仿宋_GB2312" w:hAnsi="宋体" w:eastAsia="仿宋_GB2312" w:cs="Times New Roman"/>
          <w:sz w:val="32"/>
          <w:szCs w:val="32"/>
          <w:lang w:val="zh-CN" w:eastAsia="zh-CN"/>
        </w:rPr>
        <w:t>项目组织架构及实施流程。按照财政部门要求进行项目资金预算，资金下达后由各村根据实际进行项目申报，经乡党委研究后批复各村实施项目清单，各村按照清单实施。</w:t>
      </w:r>
    </w:p>
    <w:p w14:paraId="7B8C21B9">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en-US" w:eastAsia="zh-CN"/>
        </w:rPr>
        <w:t>2.</w:t>
      </w:r>
      <w:r>
        <w:rPr>
          <w:rFonts w:hint="eastAsia" w:ascii="仿宋_GB2312" w:hAnsi="宋体" w:eastAsia="仿宋_GB2312" w:cs="Times New Roman"/>
          <w:sz w:val="32"/>
          <w:szCs w:val="32"/>
          <w:lang w:val="zh-CN" w:eastAsia="zh-CN"/>
        </w:rPr>
        <w:t>项目管理情况。严格按照相关法律法规及项目管理制度推进相关工作。</w:t>
      </w:r>
    </w:p>
    <w:p w14:paraId="784FD74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shd w:val="clear" w:color="auto" w:fill="auto"/>
          <w:lang w:val="zh-CN" w:eastAsia="zh-CN"/>
        </w:rPr>
      </w:pPr>
      <w:r>
        <w:rPr>
          <w:rFonts w:hint="eastAsia" w:ascii="仿宋_GB2312" w:hAnsi="宋体" w:eastAsia="仿宋_GB2312" w:cs="Times New Roman"/>
          <w:sz w:val="32"/>
          <w:szCs w:val="32"/>
          <w:lang w:val="en-US" w:eastAsia="zh-CN"/>
        </w:rPr>
        <w:t>3.</w:t>
      </w:r>
      <w:r>
        <w:rPr>
          <w:rFonts w:hint="eastAsia" w:ascii="仿宋_GB2312" w:hAnsi="宋体" w:eastAsia="仿宋_GB2312" w:cs="Times New Roman"/>
          <w:sz w:val="32"/>
          <w:szCs w:val="32"/>
          <w:lang w:val="zh-CN" w:eastAsia="zh-CN"/>
        </w:rPr>
        <w:t>项目监管情况。由乡党委政府、乡纪委、村级纪检组、村级理财小组对项目实施全过程进行监督管理。</w:t>
      </w:r>
    </w:p>
    <w:p w14:paraId="4C317426">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eastAsia="仿宋_GB2312" w:cs="Times New Roman"/>
          <w:sz w:val="32"/>
          <w:szCs w:val="32"/>
          <w:lang w:val="zh-CN"/>
        </w:rPr>
      </w:pPr>
      <w:r>
        <w:rPr>
          <w:rFonts w:hint="eastAsia" w:ascii="黑体" w:hAnsi="宋体" w:eastAsia="黑体" w:cs="Times New Roman"/>
          <w:sz w:val="32"/>
          <w:szCs w:val="32"/>
        </w:rPr>
        <w:t>三、项目绩效情况</w:t>
      </w:r>
      <w:r>
        <w:rPr>
          <w:rFonts w:hint="eastAsia" w:ascii="仿宋_GB2312" w:hAnsi="宋体" w:eastAsia="仿宋_GB2312" w:cs="Times New Roman"/>
          <w:sz w:val="32"/>
          <w:szCs w:val="32"/>
          <w:lang w:val="zh-CN"/>
        </w:rPr>
        <w:tab/>
      </w:r>
    </w:p>
    <w:p w14:paraId="5AF89CA1">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（一）项目完成情况。</w:t>
      </w:r>
    </w:p>
    <w:p w14:paraId="2BD786F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2023年我乡农村公共服务运行项目资金总计划88万元，其中项目总体完成质量较高，在规定的时限内按照相关要求进行报账，成本控制在预算之内。</w:t>
      </w:r>
    </w:p>
    <w:p w14:paraId="10664F16">
      <w:pPr>
        <w:keepNext w:val="0"/>
        <w:keepLines w:val="0"/>
        <w:pageBreakBefore w:val="0"/>
        <w:widowControl w:val="0"/>
        <w:numPr>
          <w:ilvl w:val="0"/>
          <w:numId w:val="8"/>
        </w:numPr>
        <w:kinsoku/>
        <w:wordWrap/>
        <w:overflowPunct/>
        <w:topLinePunct w:val="0"/>
        <w:autoSpaceDE/>
        <w:autoSpaceDN/>
        <w:bidi w:val="0"/>
        <w:adjustRightInd w:val="0"/>
        <w:snapToGrid w:val="0"/>
        <w:spacing w:line="560" w:lineRule="exact"/>
        <w:ind w:left="0" w:leftChars="0" w:right="0" w:rightChars="0" w:firstLine="643" w:firstLineChars="200"/>
        <w:jc w:val="both"/>
        <w:textAlignment w:val="auto"/>
        <w:outlineLvl w:val="9"/>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项目效益情况。</w:t>
      </w:r>
    </w:p>
    <w:p w14:paraId="3101249D">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zh-CN" w:eastAsia="zh-CN"/>
        </w:rPr>
        <w:t>项目资金按时拨付，保障了村民的基本生活，农村公共服务设施运行维护项目的长效实施改善了群众的生产生活条件，提高了群众生活质量，完善了农村基础设施功能，该项目取得了较好的社会效益。</w:t>
      </w:r>
    </w:p>
    <w:p w14:paraId="6EEC9E3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cs="Times New Roman"/>
          <w:b/>
          <w:sz w:val="32"/>
          <w:szCs w:val="32"/>
          <w:lang w:val="zh-CN"/>
        </w:rPr>
      </w:pPr>
    </w:p>
    <w:p w14:paraId="2B2E5ED8">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cs="Times New Roman"/>
          <w:sz w:val="32"/>
          <w:szCs w:val="32"/>
        </w:rPr>
      </w:pPr>
      <w:r>
        <w:rPr>
          <w:rFonts w:hint="eastAsia" w:ascii="黑体" w:hAnsi="宋体" w:eastAsia="黑体" w:cs="Times New Roman"/>
          <w:sz w:val="32"/>
          <w:szCs w:val="32"/>
        </w:rPr>
        <w:t>四、问题及建议</w:t>
      </w:r>
    </w:p>
    <w:p w14:paraId="01068989">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（一）存在的问题。</w:t>
      </w:r>
    </w:p>
    <w:p w14:paraId="2EE01983">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en-US" w:eastAsia="zh-CN"/>
        </w:rPr>
        <w:t>资金拨付进度相对滞后</w:t>
      </w:r>
    </w:p>
    <w:p w14:paraId="14981F36">
      <w:pPr>
        <w:keepNext w:val="0"/>
        <w:keepLines w:val="0"/>
        <w:pageBreakBefore w:val="0"/>
        <w:numPr>
          <w:ilvl w:val="0"/>
          <w:numId w:val="8"/>
        </w:numPr>
        <w:kinsoku/>
        <w:wordWrap/>
        <w:overflowPunct/>
        <w:topLinePunct w:val="0"/>
        <w:autoSpaceDE/>
        <w:autoSpaceDN/>
        <w:bidi w:val="0"/>
        <w:adjustRightInd w:val="0"/>
        <w:snapToGrid w:val="0"/>
        <w:spacing w:line="600" w:lineRule="exact"/>
        <w:ind w:left="0" w:leftChars="0" w:firstLine="643" w:firstLineChars="20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相关建议。</w:t>
      </w:r>
    </w:p>
    <w:p w14:paraId="76C8E717">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财政下达资金后，及时与各村对接，尽量按季度报账，杜绝年底一次性报账的现象。</w:t>
      </w:r>
    </w:p>
    <w:p w14:paraId="62EFE027">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en-US" w:eastAsia="zh-CN"/>
        </w:rPr>
      </w:pPr>
    </w:p>
    <w:p w14:paraId="6AC61A44">
      <w:pPr>
        <w:adjustRightInd w:val="0"/>
        <w:snapToGrid w:val="0"/>
        <w:spacing w:line="600" w:lineRule="exact"/>
        <w:ind w:firstLine="720"/>
        <w:rPr>
          <w:rFonts w:ascii="Times New Roman" w:hAnsi="Times New Roman" w:eastAsia="仿宋_GB2312" w:cs="Times New Roman"/>
          <w:sz w:val="32"/>
          <w:szCs w:val="32"/>
        </w:rPr>
      </w:pPr>
    </w:p>
    <w:p w14:paraId="5AF703BB">
      <w:pPr>
        <w:pStyle w:val="29"/>
        <w:rPr>
          <w:rFonts w:ascii="Times New Roman" w:hAnsi="Times New Roman" w:eastAsia="仿宋_GB2312" w:cs="Times New Roman"/>
          <w:sz w:val="32"/>
          <w:szCs w:val="32"/>
        </w:rPr>
      </w:pPr>
    </w:p>
    <w:p w14:paraId="0726112F">
      <w:pPr>
        <w:pStyle w:val="29"/>
        <w:rPr>
          <w:rFonts w:ascii="Times New Roman" w:hAnsi="Times New Roman" w:eastAsia="仿宋_GB2312" w:cs="Times New Roman"/>
          <w:sz w:val="32"/>
          <w:szCs w:val="32"/>
        </w:rPr>
      </w:pPr>
    </w:p>
    <w:p w14:paraId="48DF1F98">
      <w:pPr>
        <w:widowControl w:val="0"/>
        <w:spacing w:line="600" w:lineRule="exact"/>
        <w:jc w:val="center"/>
        <w:rPr>
          <w:rFonts w:hint="eastAsia" w:ascii="方正小标宋简体" w:hAnsi="宋体" w:eastAsia="方正小标宋简体" w:cs="Times New Roman"/>
          <w:color w:val="000000"/>
          <w:kern w:val="0"/>
          <w:sz w:val="44"/>
          <w:szCs w:val="44"/>
          <w:lang w:val="en-US" w:eastAsia="zh-CN" w:bidi="ar-SA"/>
        </w:rPr>
      </w:pPr>
    </w:p>
    <w:p w14:paraId="34D068F1">
      <w:pPr>
        <w:widowControl w:val="0"/>
        <w:spacing w:line="600" w:lineRule="exact"/>
        <w:jc w:val="center"/>
        <w:rPr>
          <w:rFonts w:hint="eastAsia" w:ascii="方正小标宋简体" w:hAnsi="宋体" w:eastAsia="方正小标宋简体" w:cs="Times New Roman"/>
          <w:color w:val="000000"/>
          <w:kern w:val="0"/>
          <w:sz w:val="44"/>
          <w:szCs w:val="44"/>
          <w:lang w:val="en-US" w:eastAsia="zh-CN" w:bidi="ar-SA"/>
        </w:rPr>
      </w:pPr>
    </w:p>
    <w:p w14:paraId="46E63832">
      <w:pPr>
        <w:widowControl w:val="0"/>
        <w:spacing w:line="600" w:lineRule="exact"/>
        <w:jc w:val="center"/>
        <w:rPr>
          <w:rFonts w:hint="eastAsia" w:ascii="方正小标宋简体" w:hAnsi="宋体" w:eastAsia="方正小标宋简体" w:cs="Times New Roman"/>
          <w:color w:val="000000"/>
          <w:kern w:val="0"/>
          <w:sz w:val="44"/>
          <w:szCs w:val="44"/>
          <w:lang w:val="en-US" w:eastAsia="zh-CN" w:bidi="ar-SA"/>
        </w:rPr>
      </w:pPr>
    </w:p>
    <w:p w14:paraId="51371D70">
      <w:pPr>
        <w:widowControl w:val="0"/>
        <w:spacing w:line="600" w:lineRule="exact"/>
        <w:jc w:val="center"/>
        <w:rPr>
          <w:rFonts w:ascii="方正小标宋简体" w:hAnsi="宋体" w:eastAsia="方正小标宋简体" w:cs="Times New Roman"/>
          <w:color w:val="000000"/>
          <w:kern w:val="0"/>
          <w:sz w:val="44"/>
          <w:szCs w:val="44"/>
          <w:lang w:val="zh-CN" w:eastAsia="zh-CN" w:bidi="ar-SA"/>
        </w:rPr>
      </w:pPr>
      <w:r>
        <w:rPr>
          <w:rFonts w:hint="eastAsia" w:ascii="方正小标宋简体" w:hAnsi="宋体" w:eastAsia="方正小标宋简体" w:cs="Times New Roman"/>
          <w:color w:val="000000"/>
          <w:kern w:val="0"/>
          <w:sz w:val="44"/>
          <w:szCs w:val="44"/>
          <w:lang w:val="en-US" w:eastAsia="zh-CN" w:bidi="ar-SA"/>
        </w:rPr>
        <w:t>乡镇农村人居环境整治考核奖补资金</w:t>
      </w:r>
      <w:r>
        <w:rPr>
          <w:rFonts w:hint="eastAsia" w:ascii="方正小标宋简体" w:hAnsi="宋体" w:eastAsia="方正小标宋简体" w:cs="Times New Roman"/>
          <w:color w:val="000000"/>
          <w:kern w:val="0"/>
          <w:sz w:val="44"/>
          <w:szCs w:val="44"/>
          <w:lang w:val="zh-CN" w:eastAsia="zh-CN" w:bidi="ar-SA"/>
        </w:rPr>
        <w:t>项目支出绩效自评报告范本</w:t>
      </w:r>
    </w:p>
    <w:p w14:paraId="1D2684E3">
      <w:pPr>
        <w:keepNext w:val="0"/>
        <w:keepLines w:val="0"/>
        <w:pageBreakBefore w:val="0"/>
        <w:widowControl w:val="0"/>
        <w:kinsoku/>
        <w:wordWrap/>
        <w:overflowPunct/>
        <w:topLinePunct w:val="0"/>
        <w:autoSpaceDE/>
        <w:autoSpaceDN/>
        <w:bidi w:val="0"/>
        <w:spacing w:line="560" w:lineRule="exact"/>
        <w:jc w:val="center"/>
        <w:textAlignment w:val="auto"/>
        <w:rPr>
          <w:rFonts w:ascii="仿宋_GB2312" w:hAnsi="宋体" w:eastAsia="仿宋_GB2312" w:cs="Times New Roman"/>
          <w:color w:val="auto"/>
          <w:kern w:val="2"/>
          <w:sz w:val="32"/>
          <w:szCs w:val="32"/>
          <w:lang w:val="zh-CN" w:eastAsia="zh-CN" w:bidi="ar-SA"/>
        </w:rPr>
      </w:pPr>
      <w:r>
        <w:rPr>
          <w:rFonts w:hint="eastAsia" w:ascii="仿宋_GB2312" w:hAnsi="宋体" w:eastAsia="仿宋_GB2312" w:cs="Times New Roman"/>
          <w:color w:val="auto"/>
          <w:kern w:val="2"/>
          <w:sz w:val="32"/>
          <w:szCs w:val="32"/>
          <w:lang w:val="zh-CN" w:eastAsia="zh-CN" w:bidi="ar-SA"/>
        </w:rPr>
        <w:t>（项目单位自评）</w:t>
      </w:r>
    </w:p>
    <w:p w14:paraId="5D5343D6">
      <w:pPr>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eastAsia="宋体" w:cs="Times New Roman"/>
          <w:color w:val="auto"/>
          <w:kern w:val="2"/>
          <w:sz w:val="32"/>
          <w:szCs w:val="32"/>
          <w:lang w:val="zh-CN" w:eastAsia="zh-CN" w:bidi="ar-SA"/>
        </w:rPr>
      </w:pPr>
    </w:p>
    <w:p w14:paraId="2E70A969">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cs="Times New Roman"/>
          <w:sz w:val="32"/>
          <w:szCs w:val="32"/>
          <w:lang w:val="zh-CN"/>
        </w:rPr>
      </w:pPr>
      <w:r>
        <w:rPr>
          <w:rFonts w:hint="eastAsia" w:ascii="黑体" w:hAnsi="宋体" w:eastAsia="黑体" w:cs="Times New Roman"/>
          <w:sz w:val="32"/>
          <w:szCs w:val="32"/>
        </w:rPr>
        <w:t>一、</w:t>
      </w:r>
      <w:r>
        <w:rPr>
          <w:rFonts w:hint="eastAsia" w:ascii="黑体" w:hAnsi="宋体" w:eastAsia="黑体" w:cs="Times New Roman"/>
          <w:sz w:val="32"/>
          <w:szCs w:val="32"/>
          <w:lang w:val="zh-CN"/>
        </w:rPr>
        <w:t>项目概况</w:t>
      </w:r>
    </w:p>
    <w:p w14:paraId="27A043D0">
      <w:pPr>
        <w:adjustRightInd w:val="0"/>
        <w:snapToGrid w:val="0"/>
        <w:spacing w:line="600" w:lineRule="exact"/>
        <w:ind w:firstLine="720"/>
        <w:rPr>
          <w:rFonts w:hint="eastAsia" w:ascii="仿宋_GB2312" w:hAnsi="宋体" w:eastAsia="仿宋_GB2312" w:cs="Times New Roman"/>
          <w:sz w:val="32"/>
          <w:szCs w:val="32"/>
          <w:lang w:val="zh-CN"/>
        </w:rPr>
      </w:pPr>
      <w:r>
        <w:rPr>
          <w:rFonts w:hint="eastAsia" w:ascii="楷体_GB2312" w:hAnsi="宋体" w:eastAsia="楷体_GB2312" w:cs="Times New Roman"/>
          <w:b/>
          <w:sz w:val="32"/>
          <w:szCs w:val="32"/>
          <w:lang w:val="zh-CN"/>
        </w:rPr>
        <w:t>（一）项目资金申报及批复情况。</w:t>
      </w:r>
    </w:p>
    <w:p w14:paraId="0C1A3A3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en-US" w:eastAsia="zh-CN"/>
        </w:rPr>
        <w:t>1.乡镇农村人居环境整治考核奖补资金项目</w:t>
      </w:r>
      <w:r>
        <w:rPr>
          <w:rFonts w:hint="eastAsia" w:ascii="仿宋_GB2312" w:hAnsi="宋体" w:eastAsia="仿宋_GB2312" w:cs="Times New Roman"/>
          <w:sz w:val="32"/>
          <w:szCs w:val="32"/>
          <w:lang w:val="zh-CN" w:eastAsia="zh-CN"/>
        </w:rPr>
        <w:t>，</w:t>
      </w:r>
      <w:r>
        <w:rPr>
          <w:rFonts w:hint="eastAsia" w:ascii="仿宋_GB2312" w:hAnsi="宋体" w:eastAsia="仿宋_GB2312" w:cs="Times New Roman"/>
          <w:sz w:val="32"/>
          <w:szCs w:val="32"/>
          <w:lang w:val="en-US" w:eastAsia="zh-CN"/>
        </w:rPr>
        <w:t>勒乌乡</w:t>
      </w:r>
      <w:r>
        <w:rPr>
          <w:rFonts w:hint="eastAsia" w:ascii="仿宋_GB2312" w:hAnsi="宋体" w:eastAsia="仿宋_GB2312" w:cs="Times New Roman"/>
          <w:sz w:val="32"/>
          <w:szCs w:val="32"/>
          <w:lang w:val="zh-CN" w:eastAsia="zh-CN"/>
        </w:rPr>
        <w:t>共计</w:t>
      </w:r>
      <w:r>
        <w:rPr>
          <w:rFonts w:hint="eastAsia" w:ascii="仿宋_GB2312" w:hAnsi="宋体" w:eastAsia="仿宋_GB2312" w:cs="Times New Roman"/>
          <w:sz w:val="32"/>
          <w:szCs w:val="32"/>
          <w:lang w:val="en-US" w:eastAsia="zh-CN"/>
        </w:rPr>
        <w:t>40.5</w:t>
      </w:r>
      <w:r>
        <w:rPr>
          <w:rFonts w:hint="eastAsia" w:ascii="仿宋_GB2312" w:hAnsi="宋体" w:eastAsia="仿宋_GB2312" w:cs="Times New Roman"/>
          <w:sz w:val="32"/>
          <w:szCs w:val="32"/>
          <w:lang w:val="zh-CN" w:eastAsia="zh-CN"/>
        </w:rPr>
        <w:t>万元。</w:t>
      </w:r>
    </w:p>
    <w:p w14:paraId="1CFEE56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2.</w:t>
      </w:r>
      <w:r>
        <w:rPr>
          <w:rFonts w:hint="eastAsia" w:ascii="仿宋_GB2312" w:hAnsi="宋体" w:eastAsia="仿宋_GB2312" w:cs="Times New Roman"/>
          <w:sz w:val="32"/>
          <w:szCs w:val="32"/>
          <w:lang w:val="zh-CN" w:eastAsia="zh-CN"/>
        </w:rPr>
        <w:t>项目立项、资金申报的依据</w:t>
      </w:r>
      <w:r>
        <w:rPr>
          <w:rFonts w:hint="eastAsia" w:ascii="仿宋_GB2312" w:hAnsi="宋体" w:eastAsia="仿宋_GB2312" w:cs="Times New Roman"/>
          <w:sz w:val="32"/>
          <w:szCs w:val="32"/>
          <w:lang w:val="en-US" w:eastAsia="zh-CN"/>
        </w:rPr>
        <w:t>峨边府办函〔2020〕52号及峨边委农领〔2022〕13 号。</w:t>
      </w:r>
    </w:p>
    <w:p w14:paraId="4947F91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en-US" w:eastAsia="zh-CN"/>
        </w:rPr>
        <w:t>3.考核原则：按照峨边委农领〔2022〕13 号乡镇农村人居环境整治考核奖补资金由县拨付乡镇申请</w:t>
      </w:r>
      <w:r>
        <w:rPr>
          <w:rFonts w:hint="eastAsia" w:ascii="仿宋_GB2312" w:hAnsi="宋体" w:eastAsia="仿宋_GB2312" w:cs="Times New Roman"/>
          <w:sz w:val="32"/>
          <w:szCs w:val="32"/>
          <w:lang w:val="zh-CN" w:eastAsia="zh-CN"/>
        </w:rPr>
        <w:t>。</w:t>
      </w:r>
    </w:p>
    <w:p w14:paraId="757A9A4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（二）项目绩效目标。</w:t>
      </w:r>
    </w:p>
    <w:p w14:paraId="0429ED9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1.乡镇农村人居环境整治考核奖补资金项目主要内容是全乡5个行政村主干道、路边沟渠、居民房前屋后等重点位置生活垃圾、白色垃圾进行集中清理，并对辖区道路周边乱堆乱倒、占道经营等行为严格治理，切实消除散乱垃圾点，推进村容村貌持续改善、人居环境整洁上“新台阶”。</w:t>
      </w:r>
    </w:p>
    <w:p w14:paraId="579D22F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2.以“目标、任务、资金、权责”细化原则，围绕突出问题，提高资金使用精准度和效益，改善人居环境和乡容乡貌，实现乡村振兴，促进乡风文明。包括：</w:t>
      </w:r>
    </w:p>
    <w:p w14:paraId="44F63A1E">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（1）项目完成情况包括项目任务完成质量、数量情况。</w:t>
      </w:r>
    </w:p>
    <w:p w14:paraId="2675C1EE">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（2）项目管理情况包括项目立项前期准备、项目任务的实施、项目公开公示情况、项目后续维护管理制度建设以及档案管理情况。</w:t>
      </w:r>
    </w:p>
    <w:p w14:paraId="60B44B6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（3）资金管理情况包括资金到位、使用情况，资金拨付是否及时、是否专款专用、是否专账管理、项目资金支付凭据是否真实、完整，项目决算资料的合法、合规性。</w:t>
      </w:r>
    </w:p>
    <w:p w14:paraId="7824739C">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（4）项目效益包括项目完成后的效益，群众满意度情况。目前此项目已于2023年12月完成支付。</w:t>
      </w:r>
    </w:p>
    <w:p w14:paraId="0FEF72FE">
      <w:pPr>
        <w:adjustRightInd w:val="0"/>
        <w:snapToGrid w:val="0"/>
        <w:spacing w:line="600" w:lineRule="exact"/>
        <w:ind w:firstLine="720"/>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（三）项目资金申报相符性。</w:t>
      </w:r>
    </w:p>
    <w:p w14:paraId="66B0BFB3">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cs="Times New Roman"/>
          <w:sz w:val="32"/>
          <w:szCs w:val="32"/>
          <w:lang w:val="en-US" w:eastAsia="zh-CN"/>
        </w:rPr>
      </w:pPr>
      <w:r>
        <w:rPr>
          <w:rFonts w:hint="eastAsia" w:ascii="仿宋_GB2312" w:hAnsi="宋体" w:eastAsia="仿宋_GB2312" w:cs="Times New Roman"/>
          <w:sz w:val="32"/>
          <w:szCs w:val="32"/>
          <w:lang w:val="zh-CN" w:eastAsia="zh-CN"/>
        </w:rPr>
        <w:t>该经费申报内容与实际相符申报目标合理可行，按时报销的原则，实际支付</w:t>
      </w:r>
      <w:r>
        <w:rPr>
          <w:rFonts w:hint="eastAsia" w:ascii="仿宋_GB2312" w:hAnsi="宋体" w:eastAsia="仿宋_GB2312" w:cs="Times New Roman"/>
          <w:sz w:val="32"/>
          <w:szCs w:val="32"/>
          <w:lang w:val="en-US" w:eastAsia="zh-CN"/>
        </w:rPr>
        <w:t>40.5</w:t>
      </w:r>
      <w:r>
        <w:rPr>
          <w:rFonts w:hint="eastAsia" w:ascii="仿宋_GB2312" w:hAnsi="宋体" w:eastAsia="仿宋_GB2312" w:cs="Times New Roman"/>
          <w:sz w:val="32"/>
          <w:szCs w:val="32"/>
          <w:lang w:val="zh-CN" w:eastAsia="zh-CN"/>
        </w:rPr>
        <w:t>万元。</w:t>
      </w:r>
    </w:p>
    <w:p w14:paraId="6413A18C">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eastAsia="仿宋_GB2312" w:cs="Times New Roman"/>
          <w:sz w:val="32"/>
          <w:szCs w:val="32"/>
          <w:lang w:val="zh-CN"/>
        </w:rPr>
      </w:pPr>
    </w:p>
    <w:p w14:paraId="702589C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cs="Times New Roman"/>
          <w:sz w:val="32"/>
          <w:szCs w:val="32"/>
        </w:rPr>
      </w:pPr>
      <w:r>
        <w:rPr>
          <w:rFonts w:hint="eastAsia" w:ascii="黑体" w:hAnsi="宋体" w:eastAsia="黑体" w:cs="Times New Roman"/>
          <w:sz w:val="32"/>
          <w:szCs w:val="32"/>
        </w:rPr>
        <w:t>二、项目实施及管理情况</w:t>
      </w:r>
    </w:p>
    <w:p w14:paraId="062C2AB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cs="Times New Roman"/>
          <w:b/>
          <w:sz w:val="32"/>
          <w:szCs w:val="32"/>
          <w:lang w:val="zh-CN"/>
        </w:rPr>
      </w:pPr>
      <w:r>
        <w:rPr>
          <w:rFonts w:hint="eastAsia" w:ascii="仿宋_GB2312" w:hAnsi="宋体" w:eastAsia="仿宋_GB2312" w:cs="Times New Roman"/>
          <w:sz w:val="32"/>
          <w:szCs w:val="32"/>
          <w:lang w:val="zh-CN"/>
        </w:rPr>
        <w:tab/>
      </w:r>
      <w:r>
        <w:rPr>
          <w:rFonts w:hint="eastAsia" w:ascii="楷体_GB2312" w:hAnsi="宋体" w:eastAsia="楷体_GB2312" w:cs="Times New Roman"/>
          <w:b/>
          <w:sz w:val="32"/>
          <w:szCs w:val="32"/>
          <w:lang w:val="zh-CN"/>
        </w:rPr>
        <w:t>（一）资金计划、到位及使用情况。</w:t>
      </w:r>
    </w:p>
    <w:p w14:paraId="516F15F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楷体_GB2312" w:hAnsi="宋体" w:eastAsia="楷体_GB2312" w:cs="Times New Roman"/>
          <w:sz w:val="32"/>
          <w:szCs w:val="32"/>
          <w:lang w:val="zh-CN"/>
        </w:rPr>
        <w:t>1．资金计划及到位。</w:t>
      </w:r>
    </w:p>
    <w:p w14:paraId="0A06562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en-US" w:eastAsia="zh-CN"/>
        </w:rPr>
        <w:t>按峨边府办函〔2020〕52号及峨边委农领〔2022〕13 号文件精神，资金由县上考核，乡财政所申请。我乡严格按照文件要求确保资金专款专用。</w:t>
      </w:r>
      <w:r>
        <w:rPr>
          <w:rFonts w:hint="eastAsia" w:ascii="仿宋_GB2312" w:hAnsi="宋体" w:eastAsia="仿宋_GB2312" w:cs="Times New Roman"/>
          <w:sz w:val="32"/>
          <w:szCs w:val="32"/>
          <w:lang w:val="zh-CN" w:eastAsia="zh-CN"/>
        </w:rPr>
        <w:t>该工作经费是正常年度预算，</w:t>
      </w:r>
      <w:r>
        <w:rPr>
          <w:rFonts w:hint="eastAsia" w:ascii="仿宋_GB2312" w:hAnsi="宋体" w:eastAsia="仿宋_GB2312" w:cs="Times New Roman"/>
          <w:sz w:val="32"/>
          <w:szCs w:val="32"/>
          <w:lang w:val="en-US" w:eastAsia="zh-CN"/>
        </w:rPr>
        <w:t>由乡按照文件要求明确资金用途</w:t>
      </w:r>
      <w:r>
        <w:rPr>
          <w:rFonts w:hint="eastAsia" w:ascii="仿宋_GB2312" w:hAnsi="宋体" w:eastAsia="仿宋_GB2312" w:cs="Times New Roman"/>
          <w:sz w:val="32"/>
          <w:szCs w:val="32"/>
          <w:lang w:val="zh-CN" w:eastAsia="zh-CN"/>
        </w:rPr>
        <w:t>。</w:t>
      </w:r>
    </w:p>
    <w:p w14:paraId="3D4ADE0A">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cs="Times New Roman"/>
          <w:sz w:val="32"/>
          <w:szCs w:val="32"/>
          <w:lang w:val="en-US"/>
        </w:rPr>
      </w:pPr>
      <w:r>
        <w:rPr>
          <w:rFonts w:hint="eastAsia" w:ascii="仿宋_GB2312" w:hAnsi="宋体" w:eastAsia="仿宋_GB2312" w:cs="Times New Roman"/>
          <w:sz w:val="32"/>
          <w:szCs w:val="32"/>
          <w:lang w:val="en-US" w:eastAsia="zh-CN"/>
        </w:rPr>
        <w:t>2023年县财政局分别在5月、10月、12月累计下达40.5万元。</w:t>
      </w:r>
    </w:p>
    <w:p w14:paraId="1754A5E8">
      <w:pPr>
        <w:keepNext w:val="0"/>
        <w:keepLines w:val="0"/>
        <w:pageBreakBefore w:val="0"/>
        <w:widowControl w:val="0"/>
        <w:numPr>
          <w:ilvl w:val="0"/>
          <w:numId w:val="9"/>
        </w:numPr>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楷体_GB2312" w:hAnsi="宋体" w:eastAsia="楷体_GB2312" w:cs="Times New Roman"/>
          <w:sz w:val="32"/>
          <w:szCs w:val="32"/>
          <w:lang w:val="zh-CN"/>
        </w:rPr>
        <w:t>资金使用。</w:t>
      </w:r>
      <w:r>
        <w:rPr>
          <w:rFonts w:hint="eastAsia" w:ascii="仿宋_GB2312" w:hAnsi="宋体" w:eastAsia="仿宋_GB2312" w:cs="Times New Roman"/>
          <w:sz w:val="32"/>
          <w:szCs w:val="32"/>
          <w:lang w:val="en-US" w:eastAsia="zh-CN"/>
        </w:rPr>
        <w:t>此项目预算资金40.5万元按照考核的原则，我乡于2023年12月22日支付完毕。资金开支主要用于人居环境整治费、垃圾清运费、广告标识标牌制作费、服装费等，支付依据合规合法，资金支付与预算相符。</w:t>
      </w:r>
    </w:p>
    <w:p w14:paraId="7A7C190C">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（二）项目财务管理情况。</w:t>
      </w:r>
    </w:p>
    <w:p w14:paraId="7ABB4D21">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eastAsia="仿宋_GB2312" w:cs="Times New Roman"/>
          <w:sz w:val="32"/>
          <w:szCs w:val="32"/>
          <w:lang w:val="zh-CN"/>
        </w:rPr>
      </w:pPr>
      <w:r>
        <w:rPr>
          <w:rFonts w:hint="eastAsia" w:ascii="仿宋_GB2312" w:hAnsi="宋体" w:eastAsia="仿宋_GB2312" w:cs="Times New Roman"/>
          <w:sz w:val="32"/>
          <w:szCs w:val="32"/>
          <w:lang w:val="zh-CN"/>
        </w:rPr>
        <w:t>此项目财务管理制度健全，严格执行财务管理制度，账务处理及时，会计核算规范。</w:t>
      </w:r>
    </w:p>
    <w:p w14:paraId="30E571E8">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（三）项目组织实施情况。</w:t>
      </w:r>
    </w:p>
    <w:p w14:paraId="4AAF0E8F">
      <w:pPr>
        <w:adjustRightInd w:val="0"/>
        <w:snapToGrid w:val="0"/>
        <w:spacing w:line="600" w:lineRule="exact"/>
        <w:ind w:firstLine="720"/>
        <w:rPr>
          <w:rFonts w:ascii="仿宋" w:hAnsi="仿宋" w:eastAsia="仿宋" w:cs="Times New Roman"/>
          <w:b/>
          <w:sz w:val="32"/>
          <w:szCs w:val="32"/>
          <w:lang w:val="zh-CN"/>
        </w:rPr>
      </w:pPr>
      <w:r>
        <w:rPr>
          <w:rFonts w:hint="eastAsia" w:ascii="仿宋" w:hAnsi="仿宋" w:eastAsia="仿宋" w:cs="Times New Roman"/>
          <w:sz w:val="32"/>
          <w:szCs w:val="32"/>
          <w:lang w:val="zh-CN"/>
        </w:rPr>
        <w:t>我</w:t>
      </w:r>
      <w:r>
        <w:rPr>
          <w:rFonts w:hint="eastAsia" w:ascii="仿宋" w:hAnsi="仿宋" w:eastAsia="仿宋" w:cs="Times New Roman"/>
          <w:sz w:val="32"/>
          <w:szCs w:val="32"/>
          <w:lang w:val="en-US" w:eastAsia="zh-CN"/>
        </w:rPr>
        <w:t>乡</w:t>
      </w:r>
      <w:r>
        <w:rPr>
          <w:rFonts w:hint="eastAsia" w:ascii="仿宋" w:hAnsi="仿宋" w:eastAsia="仿宋" w:cs="Times New Roman"/>
          <w:sz w:val="32"/>
          <w:szCs w:val="32"/>
          <w:lang w:val="zh-CN"/>
        </w:rPr>
        <w:t>由</w:t>
      </w:r>
      <w:r>
        <w:rPr>
          <w:rFonts w:hint="eastAsia" w:ascii="仿宋" w:hAnsi="仿宋" w:eastAsia="仿宋" w:cs="Times New Roman"/>
          <w:sz w:val="32"/>
          <w:szCs w:val="32"/>
          <w:lang w:val="en-US" w:eastAsia="zh-CN"/>
        </w:rPr>
        <w:t>党政办负责监督垃圾转运车加油、维修、运行等</w:t>
      </w:r>
      <w:r>
        <w:rPr>
          <w:rFonts w:hint="eastAsia" w:ascii="仿宋" w:hAnsi="仿宋" w:eastAsia="仿宋" w:cs="Times New Roman"/>
          <w:sz w:val="32"/>
          <w:szCs w:val="32"/>
          <w:lang w:val="zh-CN"/>
        </w:rPr>
        <w:t>由</w:t>
      </w:r>
      <w:r>
        <w:rPr>
          <w:rFonts w:hint="eastAsia" w:ascii="仿宋" w:hAnsi="仿宋" w:eastAsia="仿宋" w:cs="Times New Roman"/>
          <w:sz w:val="32"/>
          <w:szCs w:val="32"/>
          <w:lang w:val="en-US" w:eastAsia="zh-CN"/>
        </w:rPr>
        <w:t>乡纪委</w:t>
      </w:r>
      <w:r>
        <w:rPr>
          <w:rFonts w:hint="eastAsia" w:ascii="仿宋" w:hAnsi="仿宋" w:eastAsia="仿宋" w:cs="Times New Roman"/>
          <w:sz w:val="32"/>
          <w:szCs w:val="32"/>
          <w:lang w:val="zh-CN"/>
        </w:rPr>
        <w:t>负责复核监管。</w:t>
      </w:r>
    </w:p>
    <w:p w14:paraId="2B12BF23">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eastAsia="仿宋_GB2312" w:cs="Times New Roman"/>
          <w:sz w:val="32"/>
          <w:szCs w:val="32"/>
          <w:lang w:val="zh-CN"/>
        </w:rPr>
      </w:pPr>
    </w:p>
    <w:p w14:paraId="6D0FAFCA">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eastAsia="仿宋_GB2312" w:cs="Times New Roman"/>
          <w:sz w:val="32"/>
          <w:szCs w:val="32"/>
          <w:lang w:val="zh-CN"/>
        </w:rPr>
      </w:pPr>
      <w:r>
        <w:rPr>
          <w:rFonts w:hint="eastAsia" w:ascii="黑体" w:hAnsi="宋体" w:eastAsia="黑体" w:cs="Times New Roman"/>
          <w:sz w:val="32"/>
          <w:szCs w:val="32"/>
        </w:rPr>
        <w:t>三、项目绩效情况</w:t>
      </w:r>
      <w:r>
        <w:rPr>
          <w:rFonts w:hint="eastAsia" w:ascii="仿宋_GB2312" w:hAnsi="宋体" w:eastAsia="仿宋_GB2312" w:cs="Times New Roman"/>
          <w:sz w:val="32"/>
          <w:szCs w:val="32"/>
          <w:lang w:val="zh-CN"/>
        </w:rPr>
        <w:tab/>
      </w:r>
    </w:p>
    <w:p w14:paraId="5B7A3CD9">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（一）项目完成情况。</w:t>
      </w:r>
    </w:p>
    <w:p w14:paraId="0EB37C34">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cs="Times New Roman"/>
          <w:sz w:val="32"/>
          <w:szCs w:val="32"/>
          <w:lang w:val="en-US" w:eastAsia="zh-CN"/>
        </w:rPr>
      </w:pPr>
      <w:r>
        <w:rPr>
          <w:rFonts w:hint="eastAsia" w:ascii="仿宋_GB2312" w:hAnsi="宋体" w:eastAsia="仿宋_GB2312" w:cs="Times New Roman"/>
          <w:sz w:val="32"/>
          <w:szCs w:val="32"/>
          <w:lang w:val="zh-CN"/>
        </w:rPr>
        <w:t>该项目完成了对</w:t>
      </w:r>
      <w:r>
        <w:rPr>
          <w:rFonts w:hint="eastAsia" w:ascii="仿宋_GB2312" w:hAnsi="宋体" w:eastAsia="仿宋_GB2312" w:cs="Times New Roman"/>
          <w:sz w:val="32"/>
          <w:szCs w:val="32"/>
          <w:lang w:val="en-US" w:eastAsia="zh-CN"/>
        </w:rPr>
        <w:t>1个场镇、5个行政村全年的人居环境整治、垃圾清运、标识标牌制作等工作，于2023年12月22日按照项目计划完成目标。</w:t>
      </w:r>
    </w:p>
    <w:p w14:paraId="738BAA3D">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楷体_GB2312" w:hAnsi="宋体" w:eastAsia="楷体_GB2312" w:cs="Times New Roman"/>
          <w:b/>
          <w:sz w:val="32"/>
          <w:szCs w:val="32"/>
          <w:lang w:val="zh-CN"/>
        </w:rPr>
        <w:t>（二）项目效益情况。</w:t>
      </w:r>
    </w:p>
    <w:p w14:paraId="23C52D37">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1.经济效益</w:t>
      </w:r>
    </w:p>
    <w:p w14:paraId="323F968E">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en-US" w:eastAsia="zh-CN"/>
        </w:rPr>
        <w:t>乡镇农村人居环境整治考核奖补资金项目</w:t>
      </w:r>
      <w:r>
        <w:rPr>
          <w:rFonts w:hint="eastAsia" w:ascii="仿宋_GB2312" w:hAnsi="宋体" w:eastAsia="仿宋_GB2312" w:cs="Times New Roman"/>
          <w:sz w:val="32"/>
          <w:szCs w:val="32"/>
          <w:lang w:val="zh-CN"/>
        </w:rPr>
        <w:t>实施后，</w:t>
      </w:r>
      <w:r>
        <w:rPr>
          <w:rFonts w:hint="eastAsia" w:ascii="仿宋_GB2312" w:hAnsi="宋体" w:eastAsia="仿宋_GB2312" w:cs="Times New Roman"/>
          <w:sz w:val="32"/>
          <w:szCs w:val="32"/>
          <w:lang w:val="en-US" w:eastAsia="zh-CN"/>
        </w:rPr>
        <w:t>极大地</w:t>
      </w:r>
      <w:r>
        <w:rPr>
          <w:rFonts w:hint="eastAsia" w:ascii="仿宋_GB2312" w:hAnsi="宋体" w:eastAsia="仿宋_GB2312" w:cs="Times New Roman"/>
          <w:sz w:val="32"/>
          <w:szCs w:val="32"/>
          <w:lang w:val="zh-CN"/>
        </w:rPr>
        <w:t>改善人居环境。</w:t>
      </w:r>
    </w:p>
    <w:p w14:paraId="10B261A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2.社会效益</w:t>
      </w:r>
    </w:p>
    <w:p w14:paraId="6E77865D">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通过项目的实施，全</w:t>
      </w:r>
      <w:r>
        <w:rPr>
          <w:rFonts w:hint="eastAsia" w:ascii="仿宋_GB2312" w:hAnsi="宋体" w:eastAsia="仿宋_GB2312" w:cs="Times New Roman"/>
          <w:sz w:val="32"/>
          <w:szCs w:val="32"/>
          <w:lang w:val="en-US" w:eastAsia="zh-CN"/>
        </w:rPr>
        <w:t>乡村（社区）干部工作积极性</w:t>
      </w:r>
      <w:r>
        <w:rPr>
          <w:rFonts w:hint="eastAsia" w:ascii="仿宋_GB2312" w:hAnsi="宋体" w:eastAsia="仿宋_GB2312" w:cs="Times New Roman"/>
          <w:sz w:val="32"/>
          <w:szCs w:val="32"/>
          <w:lang w:val="zh-CN"/>
        </w:rPr>
        <w:t>得到有效改善。为实现乡村振兴，促进乡风文明打下了坚定基础。</w:t>
      </w:r>
    </w:p>
    <w:p w14:paraId="3EAE203A">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3.可持续影响</w:t>
      </w:r>
    </w:p>
    <w:p w14:paraId="2BCC29F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en-US" w:eastAsia="zh-CN"/>
        </w:rPr>
        <w:t>乡镇农村人居环境整治考核奖补资金项目</w:t>
      </w:r>
      <w:r>
        <w:rPr>
          <w:rFonts w:hint="eastAsia" w:ascii="仿宋_GB2312" w:hAnsi="宋体" w:eastAsia="仿宋_GB2312" w:cs="Times New Roman"/>
          <w:sz w:val="32"/>
          <w:szCs w:val="32"/>
          <w:lang w:val="zh-CN"/>
        </w:rPr>
        <w:t>的实施，在使用年限内对</w:t>
      </w:r>
      <w:r>
        <w:rPr>
          <w:rFonts w:hint="eastAsia" w:ascii="仿宋_GB2312" w:hAnsi="宋体" w:eastAsia="仿宋_GB2312" w:cs="Times New Roman"/>
          <w:sz w:val="32"/>
          <w:szCs w:val="32"/>
          <w:lang w:val="en-US" w:eastAsia="zh-CN"/>
        </w:rPr>
        <w:t>打造红旗鱼米之乡有着极大的影响</w:t>
      </w:r>
      <w:r>
        <w:rPr>
          <w:rFonts w:hint="eastAsia" w:ascii="仿宋_GB2312" w:hAnsi="宋体" w:eastAsia="仿宋_GB2312" w:cs="Times New Roman"/>
          <w:sz w:val="32"/>
          <w:szCs w:val="32"/>
          <w:lang w:val="zh-CN"/>
        </w:rPr>
        <w:t>。</w:t>
      </w:r>
    </w:p>
    <w:p w14:paraId="5311CDB4">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4.群众满意度</w:t>
      </w:r>
    </w:p>
    <w:p w14:paraId="236E0846">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绩效评价抽查小组在</w:t>
      </w:r>
      <w:r>
        <w:rPr>
          <w:rFonts w:hint="eastAsia" w:ascii="仿宋_GB2312" w:hAnsi="宋体" w:eastAsia="仿宋_GB2312" w:cs="Times New Roman"/>
          <w:sz w:val="32"/>
          <w:szCs w:val="32"/>
          <w:lang w:val="en-US" w:eastAsia="zh-CN"/>
        </w:rPr>
        <w:t>乡</w:t>
      </w:r>
      <w:r>
        <w:rPr>
          <w:rFonts w:hint="eastAsia" w:ascii="仿宋_GB2312" w:hAnsi="宋体" w:eastAsia="仿宋_GB2312" w:cs="Times New Roman"/>
          <w:sz w:val="32"/>
          <w:szCs w:val="32"/>
          <w:lang w:val="zh-CN"/>
        </w:rPr>
        <w:t>、村委会相关人员陪同下，对确定的抽查点进行抽查，抽查方式为发放调查问卷及电话核实，抽查结果显示群众满意度较高。</w:t>
      </w:r>
    </w:p>
    <w:p w14:paraId="6E6A659E">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p>
    <w:p w14:paraId="0BBD20A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cs="Times New Roman"/>
          <w:sz w:val="32"/>
          <w:szCs w:val="32"/>
        </w:rPr>
      </w:pPr>
      <w:r>
        <w:rPr>
          <w:rFonts w:hint="eastAsia" w:ascii="黑体" w:hAnsi="宋体" w:eastAsia="黑体" w:cs="Times New Roman"/>
          <w:sz w:val="32"/>
          <w:szCs w:val="32"/>
        </w:rPr>
        <w:t>四、问题及建议</w:t>
      </w:r>
    </w:p>
    <w:p w14:paraId="6C026B37">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（一）存在的问题。</w:t>
      </w:r>
    </w:p>
    <w:p w14:paraId="7D969CF1">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zh-CN" w:eastAsia="zh-CN"/>
        </w:rPr>
        <w:t>无</w:t>
      </w:r>
    </w:p>
    <w:p w14:paraId="6BC42E98">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Times New Roman" w:hAnsi="Times New Roman" w:eastAsia="仿宋_GB2312" w:cs="Times New Roman"/>
          <w:sz w:val="32"/>
          <w:szCs w:val="32"/>
        </w:rPr>
      </w:pPr>
      <w:r>
        <w:rPr>
          <w:rFonts w:hint="eastAsia" w:ascii="楷体_GB2312" w:hAnsi="宋体" w:eastAsia="楷体_GB2312" w:cs="Times New Roman"/>
          <w:b/>
          <w:sz w:val="32"/>
          <w:szCs w:val="32"/>
          <w:lang w:val="zh-CN"/>
        </w:rPr>
        <w:t>（二）相关建议。</w:t>
      </w:r>
    </w:p>
    <w:p w14:paraId="57684861">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zh-CN" w:eastAsia="zh-CN"/>
        </w:rPr>
        <w:t>无</w:t>
      </w:r>
    </w:p>
    <w:p w14:paraId="1B8E9EA0">
      <w:pPr>
        <w:rPr>
          <w:rFonts w:hint="eastAsia" w:asciiTheme="minorEastAsia" w:hAnsiTheme="minorEastAsia" w:eastAsiaTheme="minorEastAsia"/>
          <w:sz w:val="32"/>
          <w:szCs w:val="32"/>
          <w:lang w:val="zh-CN"/>
        </w:rPr>
      </w:pPr>
    </w:p>
    <w:p w14:paraId="03D16605">
      <w:pPr>
        <w:ind w:firstLine="640" w:firstLineChars="200"/>
        <w:rPr>
          <w:rFonts w:hint="eastAsia" w:asciiTheme="minorEastAsia" w:hAnsiTheme="minorEastAsia" w:eastAsiaTheme="minorEastAsia"/>
          <w:sz w:val="32"/>
          <w:szCs w:val="32"/>
          <w:lang w:val="zh-CN"/>
        </w:rPr>
      </w:pPr>
    </w:p>
    <w:p w14:paraId="243AFDDA">
      <w:pPr>
        <w:ind w:firstLine="640" w:firstLineChars="200"/>
        <w:rPr>
          <w:rFonts w:hint="eastAsia" w:asciiTheme="minorEastAsia" w:hAnsiTheme="minorEastAsia" w:eastAsiaTheme="minorEastAsia"/>
          <w:sz w:val="32"/>
          <w:szCs w:val="32"/>
          <w:lang w:val="zh-CN"/>
        </w:rPr>
      </w:pPr>
    </w:p>
    <w:p w14:paraId="5EFF856F">
      <w:pPr>
        <w:ind w:firstLine="640" w:firstLineChars="200"/>
        <w:rPr>
          <w:rFonts w:hint="eastAsia" w:asciiTheme="minorEastAsia" w:hAnsiTheme="minorEastAsia" w:eastAsiaTheme="minorEastAsia"/>
          <w:sz w:val="32"/>
          <w:szCs w:val="32"/>
          <w:lang w:val="zh-CN"/>
        </w:rPr>
      </w:pPr>
    </w:p>
    <w:p w14:paraId="737FACA8">
      <w:pPr>
        <w:ind w:firstLine="640" w:firstLineChars="200"/>
        <w:rPr>
          <w:rFonts w:hint="eastAsia" w:asciiTheme="minorEastAsia" w:hAnsiTheme="minorEastAsia" w:eastAsiaTheme="minorEastAsia"/>
          <w:sz w:val="32"/>
          <w:szCs w:val="32"/>
          <w:lang w:val="zh-CN"/>
        </w:rPr>
      </w:pPr>
    </w:p>
    <w:p w14:paraId="6C387820">
      <w:pPr>
        <w:ind w:firstLine="640" w:firstLineChars="200"/>
        <w:rPr>
          <w:rFonts w:hint="eastAsia" w:asciiTheme="minorEastAsia" w:hAnsiTheme="minorEastAsia" w:eastAsiaTheme="minorEastAsia"/>
          <w:sz w:val="32"/>
          <w:szCs w:val="32"/>
          <w:lang w:val="zh-CN"/>
        </w:rPr>
      </w:pPr>
    </w:p>
    <w:p w14:paraId="4AAF87B4">
      <w:pPr>
        <w:ind w:firstLine="640" w:firstLineChars="200"/>
        <w:rPr>
          <w:rFonts w:hint="eastAsia" w:asciiTheme="minorEastAsia" w:hAnsiTheme="minorEastAsia" w:eastAsiaTheme="minorEastAsia"/>
          <w:sz w:val="32"/>
          <w:szCs w:val="32"/>
          <w:lang w:val="zh-CN"/>
        </w:rPr>
      </w:pPr>
    </w:p>
    <w:p w14:paraId="77F96767">
      <w:pPr>
        <w:ind w:firstLine="640" w:firstLineChars="200"/>
        <w:rPr>
          <w:rFonts w:hint="eastAsia" w:asciiTheme="minorEastAsia" w:hAnsiTheme="minorEastAsia" w:eastAsiaTheme="minorEastAsia"/>
          <w:sz w:val="32"/>
          <w:szCs w:val="32"/>
          <w:lang w:val="zh-CN"/>
        </w:rPr>
      </w:pPr>
    </w:p>
    <w:p w14:paraId="3B475660">
      <w:pPr>
        <w:ind w:firstLine="640" w:firstLineChars="200"/>
        <w:rPr>
          <w:rFonts w:hint="eastAsia" w:asciiTheme="minorEastAsia" w:hAnsiTheme="minorEastAsia" w:eastAsiaTheme="minorEastAsia"/>
          <w:sz w:val="32"/>
          <w:szCs w:val="32"/>
          <w:lang w:val="zh-CN"/>
        </w:rPr>
      </w:pPr>
    </w:p>
    <w:p w14:paraId="4E3CEE46">
      <w:pPr>
        <w:ind w:firstLine="640" w:firstLineChars="200"/>
        <w:rPr>
          <w:rFonts w:hint="eastAsia" w:asciiTheme="minorEastAsia" w:hAnsiTheme="minorEastAsia" w:eastAsiaTheme="minorEastAsia"/>
          <w:sz w:val="32"/>
          <w:szCs w:val="32"/>
          <w:lang w:val="zh-CN"/>
        </w:rPr>
      </w:pPr>
    </w:p>
    <w:p w14:paraId="4B30655A">
      <w:pPr>
        <w:ind w:firstLine="640" w:firstLineChars="200"/>
        <w:rPr>
          <w:rFonts w:hint="eastAsia" w:asciiTheme="minorEastAsia" w:hAnsiTheme="minorEastAsia" w:eastAsiaTheme="minorEastAsia"/>
          <w:sz w:val="32"/>
          <w:szCs w:val="32"/>
          <w:lang w:val="zh-CN"/>
        </w:rPr>
      </w:pPr>
    </w:p>
    <w:p w14:paraId="1213B9A9">
      <w:pPr>
        <w:ind w:firstLine="640" w:firstLineChars="200"/>
        <w:rPr>
          <w:rFonts w:hint="eastAsia" w:asciiTheme="minorEastAsia" w:hAnsiTheme="minorEastAsia" w:eastAsiaTheme="minorEastAsia"/>
          <w:sz w:val="32"/>
          <w:szCs w:val="32"/>
          <w:lang w:val="zh-CN"/>
        </w:rPr>
      </w:pPr>
    </w:p>
    <w:p w14:paraId="6C3DD7F1">
      <w:pPr>
        <w:ind w:firstLine="640" w:firstLineChars="200"/>
        <w:rPr>
          <w:rFonts w:hint="eastAsia" w:asciiTheme="minorEastAsia" w:hAnsiTheme="minorEastAsia" w:eastAsiaTheme="minorEastAsia"/>
          <w:sz w:val="32"/>
          <w:szCs w:val="32"/>
          <w:lang w:val="zh-CN"/>
        </w:rPr>
      </w:pPr>
    </w:p>
    <w:p w14:paraId="589E4251">
      <w:pPr>
        <w:ind w:firstLine="640" w:firstLineChars="200"/>
        <w:rPr>
          <w:rFonts w:hint="eastAsia" w:asciiTheme="minorEastAsia" w:hAnsiTheme="minorEastAsia" w:eastAsiaTheme="minorEastAsia"/>
          <w:sz w:val="32"/>
          <w:szCs w:val="32"/>
          <w:lang w:val="zh-CN"/>
        </w:rPr>
      </w:pPr>
    </w:p>
    <w:p w14:paraId="30BCA859">
      <w:pPr>
        <w:widowControl w:val="0"/>
        <w:spacing w:line="600" w:lineRule="exact"/>
        <w:jc w:val="center"/>
        <w:rPr>
          <w:rFonts w:hint="eastAsia" w:ascii="方正小标宋简体" w:hAnsi="宋体" w:eastAsia="方正小标宋简体" w:cs="Times New Roman"/>
          <w:b w:val="0"/>
          <w:bCs w:val="0"/>
          <w:color w:val="000000"/>
          <w:kern w:val="0"/>
          <w:sz w:val="44"/>
          <w:szCs w:val="44"/>
          <w:lang w:val="zh-CN" w:eastAsia="zh-CN" w:bidi="ar-SA"/>
        </w:rPr>
      </w:pPr>
    </w:p>
    <w:p w14:paraId="66DF8EEC">
      <w:pPr>
        <w:widowControl w:val="0"/>
        <w:spacing w:line="600" w:lineRule="exact"/>
        <w:jc w:val="center"/>
        <w:rPr>
          <w:rFonts w:hint="eastAsia" w:ascii="方正小标宋简体" w:hAnsi="宋体" w:eastAsia="方正小标宋简体" w:cs="Times New Roman"/>
          <w:b w:val="0"/>
          <w:bCs w:val="0"/>
          <w:color w:val="000000"/>
          <w:kern w:val="0"/>
          <w:sz w:val="44"/>
          <w:szCs w:val="44"/>
          <w:lang w:val="zh-CN" w:eastAsia="zh-CN" w:bidi="ar-SA"/>
        </w:rPr>
      </w:pPr>
    </w:p>
    <w:p w14:paraId="42FDEA0B">
      <w:pPr>
        <w:widowControl w:val="0"/>
        <w:spacing w:line="600" w:lineRule="exact"/>
        <w:jc w:val="center"/>
        <w:rPr>
          <w:rFonts w:hint="eastAsia" w:ascii="方正小标宋简体" w:hAnsi="宋体" w:eastAsia="方正小标宋简体" w:cs="Times New Roman"/>
          <w:b w:val="0"/>
          <w:bCs w:val="0"/>
          <w:color w:val="000000"/>
          <w:kern w:val="0"/>
          <w:sz w:val="44"/>
          <w:szCs w:val="44"/>
          <w:lang w:val="zh-CN" w:eastAsia="zh-CN" w:bidi="ar-SA"/>
        </w:rPr>
      </w:pPr>
      <w:r>
        <w:rPr>
          <w:rFonts w:hint="eastAsia" w:ascii="方正小标宋简体" w:hAnsi="宋体" w:eastAsia="方正小标宋简体" w:cs="Times New Roman"/>
          <w:b w:val="0"/>
          <w:bCs w:val="0"/>
          <w:color w:val="000000"/>
          <w:kern w:val="0"/>
          <w:sz w:val="44"/>
          <w:szCs w:val="44"/>
          <w:lang w:val="zh-CN" w:eastAsia="zh-CN" w:bidi="ar-SA"/>
        </w:rPr>
        <w:t>乡镇安全管理相关经费项目支出绩效自评报告范本</w:t>
      </w:r>
    </w:p>
    <w:p w14:paraId="28FB78DF">
      <w:pPr>
        <w:keepNext w:val="0"/>
        <w:keepLines w:val="0"/>
        <w:pageBreakBefore w:val="0"/>
        <w:widowControl w:val="0"/>
        <w:kinsoku/>
        <w:wordWrap/>
        <w:overflowPunct/>
        <w:topLinePunct w:val="0"/>
        <w:autoSpaceDE/>
        <w:autoSpaceDN/>
        <w:bidi w:val="0"/>
        <w:spacing w:line="560" w:lineRule="exact"/>
        <w:jc w:val="center"/>
        <w:textAlignment w:val="auto"/>
        <w:rPr>
          <w:rFonts w:ascii="仿宋_GB2312" w:hAnsi="宋体" w:eastAsia="仿宋_GB2312" w:cs="Times New Roman"/>
          <w:color w:val="auto"/>
          <w:kern w:val="2"/>
          <w:sz w:val="32"/>
          <w:szCs w:val="32"/>
          <w:lang w:val="zh-CN" w:eastAsia="zh-CN" w:bidi="ar-SA"/>
        </w:rPr>
      </w:pPr>
      <w:r>
        <w:rPr>
          <w:rFonts w:hint="eastAsia" w:ascii="仿宋_GB2312" w:hAnsi="宋体" w:eastAsia="仿宋_GB2312" w:cs="Times New Roman"/>
          <w:color w:val="auto"/>
          <w:kern w:val="2"/>
          <w:sz w:val="32"/>
          <w:szCs w:val="32"/>
          <w:lang w:val="zh-CN" w:eastAsia="zh-CN" w:bidi="ar-SA"/>
        </w:rPr>
        <w:t>（项目单位自评）</w:t>
      </w:r>
    </w:p>
    <w:p w14:paraId="526E9B75">
      <w:pPr>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eastAsia="宋体" w:cs="Times New Roman"/>
          <w:color w:val="auto"/>
          <w:kern w:val="2"/>
          <w:sz w:val="32"/>
          <w:szCs w:val="32"/>
          <w:lang w:val="zh-CN" w:eastAsia="zh-CN" w:bidi="ar-SA"/>
        </w:rPr>
      </w:pPr>
    </w:p>
    <w:p w14:paraId="2272E48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cs="Times New Roman"/>
          <w:sz w:val="32"/>
          <w:szCs w:val="32"/>
          <w:lang w:val="zh-CN"/>
        </w:rPr>
      </w:pPr>
      <w:r>
        <w:rPr>
          <w:rFonts w:hint="eastAsia" w:ascii="黑体" w:hAnsi="宋体" w:eastAsia="黑体" w:cs="Times New Roman"/>
          <w:sz w:val="32"/>
          <w:szCs w:val="32"/>
        </w:rPr>
        <w:t>一、</w:t>
      </w:r>
      <w:r>
        <w:rPr>
          <w:rFonts w:hint="eastAsia" w:ascii="黑体" w:hAnsi="宋体" w:eastAsia="黑体" w:cs="Times New Roman"/>
          <w:sz w:val="32"/>
          <w:szCs w:val="32"/>
          <w:lang w:val="zh-CN"/>
        </w:rPr>
        <w:t>项目概况</w:t>
      </w:r>
    </w:p>
    <w:p w14:paraId="6620C57B">
      <w:pPr>
        <w:keepNext w:val="0"/>
        <w:keepLines w:val="0"/>
        <w:pageBreakBefore w:val="0"/>
        <w:widowControl w:val="0"/>
        <w:numPr>
          <w:ilvl w:val="0"/>
          <w:numId w:val="10"/>
        </w:numPr>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楷体_GB2312" w:hAnsi="宋体" w:eastAsia="楷体_GB2312" w:cs="Times New Roman"/>
          <w:b/>
          <w:sz w:val="32"/>
          <w:szCs w:val="32"/>
          <w:lang w:val="zh-CN"/>
        </w:rPr>
        <w:t>项目资金申报及批复情况。</w:t>
      </w:r>
    </w:p>
    <w:p w14:paraId="4D321666">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zh-CN" w:eastAsia="zh-CN"/>
        </w:rPr>
        <w:t>1</w:t>
      </w:r>
      <w:r>
        <w:rPr>
          <w:rFonts w:hint="eastAsia" w:ascii="仿宋_GB2312" w:hAnsi="宋体" w:eastAsia="仿宋_GB2312" w:cs="Times New Roman"/>
          <w:sz w:val="32"/>
          <w:szCs w:val="32"/>
          <w:lang w:val="en-US" w:eastAsia="zh-CN"/>
        </w:rPr>
        <w:t>.</w:t>
      </w:r>
      <w:r>
        <w:rPr>
          <w:rFonts w:hint="eastAsia" w:ascii="仿宋_GB2312" w:hAnsi="宋体" w:eastAsia="仿宋_GB2312" w:cs="Times New Roman"/>
          <w:sz w:val="32"/>
          <w:szCs w:val="32"/>
          <w:lang w:val="zh-CN" w:eastAsia="zh-CN"/>
        </w:rPr>
        <w:t>乡镇交管办劝导员补贴及乡镇交管办工作经费项目，</w:t>
      </w:r>
      <w:r>
        <w:rPr>
          <w:rFonts w:hint="eastAsia" w:ascii="仿宋_GB2312" w:hAnsi="宋体" w:eastAsia="仿宋_GB2312" w:cs="Times New Roman"/>
          <w:sz w:val="32"/>
          <w:szCs w:val="32"/>
          <w:lang w:val="en-US" w:eastAsia="zh-CN"/>
        </w:rPr>
        <w:t>勒乌乡</w:t>
      </w:r>
      <w:r>
        <w:rPr>
          <w:rFonts w:hint="eastAsia" w:ascii="仿宋_GB2312" w:hAnsi="宋体" w:eastAsia="仿宋_GB2312" w:cs="Times New Roman"/>
          <w:sz w:val="32"/>
          <w:szCs w:val="32"/>
          <w:lang w:val="zh-CN" w:eastAsia="zh-CN"/>
        </w:rPr>
        <w:t>共计</w:t>
      </w:r>
      <w:r>
        <w:rPr>
          <w:rFonts w:hint="eastAsia" w:ascii="仿宋_GB2312" w:hAnsi="宋体" w:eastAsia="仿宋_GB2312" w:cs="Times New Roman"/>
          <w:sz w:val="32"/>
          <w:szCs w:val="32"/>
          <w:lang w:val="en-US" w:eastAsia="zh-CN"/>
        </w:rPr>
        <w:t>预算4.88</w:t>
      </w:r>
      <w:r>
        <w:rPr>
          <w:rFonts w:hint="eastAsia" w:ascii="仿宋_GB2312" w:hAnsi="宋体" w:eastAsia="仿宋_GB2312" w:cs="Times New Roman"/>
          <w:sz w:val="32"/>
          <w:szCs w:val="32"/>
          <w:lang w:val="zh-CN" w:eastAsia="zh-CN"/>
        </w:rPr>
        <w:t>万</w:t>
      </w:r>
      <w:r>
        <w:rPr>
          <w:rFonts w:hint="eastAsia" w:ascii="仿宋_GB2312" w:hAnsi="宋体" w:eastAsia="仿宋_GB2312" w:cs="Times New Roman"/>
          <w:sz w:val="32"/>
          <w:szCs w:val="32"/>
          <w:lang w:val="en-US" w:eastAsia="zh-CN"/>
        </w:rPr>
        <w:t>元，实际支付4.88万元。</w:t>
      </w:r>
    </w:p>
    <w:p w14:paraId="4F0F26AD">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cs="Times New Roman"/>
          <w:sz w:val="32"/>
          <w:szCs w:val="32"/>
          <w:lang w:val="en-US" w:eastAsia="zh-CN"/>
        </w:rPr>
      </w:pPr>
      <w:r>
        <w:rPr>
          <w:rFonts w:hint="eastAsia" w:ascii="仿宋_GB2312" w:hAnsi="宋体" w:eastAsia="仿宋_GB2312" w:cs="Times New Roman"/>
          <w:sz w:val="32"/>
          <w:szCs w:val="32"/>
          <w:lang w:val="zh-CN" w:eastAsia="zh-CN"/>
        </w:rPr>
        <w:t>2</w:t>
      </w:r>
      <w:r>
        <w:rPr>
          <w:rFonts w:hint="eastAsia" w:ascii="仿宋_GB2312" w:hAnsi="宋体" w:eastAsia="仿宋_GB2312" w:cs="Times New Roman"/>
          <w:sz w:val="32"/>
          <w:szCs w:val="32"/>
          <w:lang w:val="en-US" w:eastAsia="zh-CN"/>
        </w:rPr>
        <w:t>.</w:t>
      </w:r>
      <w:r>
        <w:rPr>
          <w:rFonts w:hint="eastAsia" w:ascii="仿宋_GB2312" w:hAnsi="宋体" w:eastAsia="仿宋_GB2312" w:cs="Times New Roman"/>
          <w:sz w:val="32"/>
          <w:szCs w:val="32"/>
          <w:lang w:val="zh-CN" w:eastAsia="zh-CN"/>
        </w:rPr>
        <w:t>项目立项、资金申报的依据是《</w:t>
      </w:r>
      <w:r>
        <w:rPr>
          <w:rFonts w:hint="eastAsia" w:ascii="仿宋_GB2312" w:hAnsi="宋体" w:eastAsia="仿宋_GB2312" w:cs="Times New Roman"/>
          <w:sz w:val="32"/>
          <w:szCs w:val="32"/>
          <w:lang w:val="en-US" w:eastAsia="zh-CN"/>
        </w:rPr>
        <w:t>四川省人民政府办公厅关于印发建立健全全省农村道路交通安全管理工作机制实施方案的通知》（川办函〔2014〕106号）。</w:t>
      </w:r>
    </w:p>
    <w:p w14:paraId="52AFEB4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zh-CN" w:eastAsia="zh-CN"/>
        </w:rPr>
        <w:t>3</w:t>
      </w:r>
      <w:r>
        <w:rPr>
          <w:rFonts w:hint="eastAsia" w:ascii="仿宋_GB2312" w:hAnsi="宋体" w:eastAsia="仿宋_GB2312" w:cs="Times New Roman"/>
          <w:sz w:val="32"/>
          <w:szCs w:val="32"/>
          <w:lang w:val="en-US" w:eastAsia="zh-CN"/>
        </w:rPr>
        <w:t>.考核原则：坚持实事求是、客观公正、注重实绩、公开民主、绩效挂钩的原则，坚持全面考核与重点工作考核相结合、平时考核与年度考核相结合，力求做到考核工作科学、全面、准确。</w:t>
      </w:r>
    </w:p>
    <w:p w14:paraId="54C83E0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楷体_GB2312" w:hAnsi="宋体" w:eastAsia="楷体_GB2312" w:cs="Times New Roman"/>
          <w:b/>
          <w:sz w:val="32"/>
          <w:szCs w:val="32"/>
          <w:lang w:val="zh-CN"/>
        </w:rPr>
        <w:t>（二）项目绩效目标。</w:t>
      </w:r>
    </w:p>
    <w:p w14:paraId="58BAC8C8">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cs="Times New Roman"/>
          <w:sz w:val="32"/>
          <w:szCs w:val="32"/>
          <w:lang w:val="en-US" w:eastAsia="zh-CN"/>
        </w:rPr>
      </w:pPr>
      <w:r>
        <w:rPr>
          <w:rFonts w:hint="eastAsia" w:ascii="仿宋_GB2312" w:hAnsi="宋体" w:eastAsia="仿宋_GB2312" w:cs="Times New Roman"/>
          <w:sz w:val="32"/>
          <w:szCs w:val="32"/>
          <w:lang w:val="zh-CN" w:eastAsia="zh-CN"/>
        </w:rPr>
        <w:t>1</w:t>
      </w:r>
      <w:r>
        <w:rPr>
          <w:rFonts w:hint="eastAsia" w:ascii="仿宋_GB2312" w:hAnsi="宋体" w:eastAsia="仿宋_GB2312" w:cs="Times New Roman"/>
          <w:sz w:val="32"/>
          <w:szCs w:val="32"/>
          <w:lang w:val="en-US" w:eastAsia="zh-CN"/>
        </w:rPr>
        <w:t>.</w:t>
      </w:r>
      <w:r>
        <w:rPr>
          <w:rFonts w:hint="eastAsia" w:ascii="仿宋_GB2312" w:hAnsi="宋体" w:eastAsia="仿宋_GB2312" w:cs="Times New Roman"/>
          <w:sz w:val="32"/>
          <w:szCs w:val="32"/>
          <w:lang w:val="zh-CN" w:eastAsia="zh-CN"/>
        </w:rPr>
        <w:t>项目主要内容是</w:t>
      </w:r>
      <w:r>
        <w:rPr>
          <w:rFonts w:hint="eastAsia" w:ascii="仿宋_GB2312" w:hAnsi="宋体" w:eastAsia="仿宋_GB2312" w:cs="Times New Roman"/>
          <w:sz w:val="32"/>
          <w:szCs w:val="32"/>
          <w:lang w:val="en-US" w:eastAsia="zh-CN"/>
        </w:rPr>
        <w:t>用于保障全乡5个行政村道路交通及安全生产等。</w:t>
      </w:r>
    </w:p>
    <w:p w14:paraId="4530AF7D">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zh-CN" w:eastAsia="zh-CN"/>
        </w:rPr>
        <w:t>2</w:t>
      </w:r>
      <w:r>
        <w:rPr>
          <w:rFonts w:hint="eastAsia" w:ascii="仿宋_GB2312" w:hAnsi="宋体" w:eastAsia="仿宋_GB2312" w:cs="Times New Roman"/>
          <w:sz w:val="32"/>
          <w:szCs w:val="32"/>
          <w:lang w:val="en-US" w:eastAsia="zh-CN"/>
        </w:rPr>
        <w:t>.</w:t>
      </w:r>
      <w:r>
        <w:rPr>
          <w:rFonts w:hint="eastAsia" w:ascii="仿宋_GB2312" w:hAnsi="宋体" w:eastAsia="仿宋_GB2312" w:cs="Times New Roman"/>
          <w:sz w:val="32"/>
          <w:szCs w:val="32"/>
          <w:lang w:val="zh-CN" w:eastAsia="zh-CN"/>
        </w:rPr>
        <w:t>以“目标、任务、资金、权责”细化原则，</w:t>
      </w:r>
      <w:r>
        <w:rPr>
          <w:rFonts w:hint="eastAsia" w:ascii="仿宋_GB2312" w:hAnsi="宋体" w:eastAsia="仿宋_GB2312" w:cs="Times New Roman"/>
          <w:sz w:val="32"/>
          <w:szCs w:val="32"/>
          <w:lang w:val="en-US" w:eastAsia="zh-CN"/>
        </w:rPr>
        <w:t>进一步增强各村社区交通</w:t>
      </w:r>
      <w:r>
        <w:rPr>
          <w:rFonts w:hint="eastAsia" w:ascii="仿宋_GB2312" w:hAnsi="宋体" w:eastAsia="仿宋_GB2312" w:cs="Times New Roman"/>
          <w:sz w:val="32"/>
          <w:szCs w:val="32"/>
          <w:lang w:val="zh-CN" w:eastAsia="zh-CN"/>
        </w:rPr>
        <w:t>劝导员</w:t>
      </w:r>
      <w:r>
        <w:rPr>
          <w:rFonts w:hint="eastAsia" w:ascii="仿宋_GB2312" w:hAnsi="宋体" w:eastAsia="仿宋_GB2312" w:cs="Times New Roman"/>
          <w:sz w:val="32"/>
          <w:szCs w:val="32"/>
          <w:lang w:val="en-US" w:eastAsia="zh-CN"/>
        </w:rPr>
        <w:t>业务能力，不断提高工作积极性和主动性，保证我乡交管办合理运转</w:t>
      </w:r>
      <w:r>
        <w:rPr>
          <w:rFonts w:hint="eastAsia" w:ascii="仿宋_GB2312" w:hAnsi="宋体" w:eastAsia="仿宋_GB2312" w:cs="Times New Roman"/>
          <w:sz w:val="32"/>
          <w:szCs w:val="32"/>
          <w:lang w:val="zh-CN" w:eastAsia="zh-CN"/>
        </w:rPr>
        <w:t>。包括：</w:t>
      </w:r>
    </w:p>
    <w:p w14:paraId="1C6C975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zh-CN" w:eastAsia="zh-CN"/>
        </w:rPr>
        <w:t>（1）项目完成情况包括项目任务完成质量、数量情况。</w:t>
      </w:r>
    </w:p>
    <w:p w14:paraId="365483B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zh-CN" w:eastAsia="zh-CN"/>
        </w:rPr>
        <w:t>（2）项目管理情况包括项目立项前期准备、项目任务的实施、项目公开公示情况、项目后续维护管理制度建设以及档案管理情况。</w:t>
      </w:r>
    </w:p>
    <w:p w14:paraId="520F450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zh-CN" w:eastAsia="zh-CN"/>
        </w:rPr>
        <w:t>（3）资金管理情况包括资金到位、使用情况，资金拨付是否及时、是否专款专用、是否专账管理、项目资金支付凭据是否真实、完整，项目决算资料的合法、合规性。</w:t>
      </w:r>
    </w:p>
    <w:p w14:paraId="3DC75A2E">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zh-CN" w:eastAsia="zh-CN"/>
        </w:rPr>
        <w:t>（4）项目效益包括项目完成后的效益，群众满意度情况。目前此项目已于</w:t>
      </w:r>
      <w:r>
        <w:rPr>
          <w:rFonts w:hint="eastAsia" w:ascii="仿宋_GB2312" w:hAnsi="宋体" w:eastAsia="仿宋_GB2312" w:cs="Times New Roman"/>
          <w:sz w:val="32"/>
          <w:szCs w:val="32"/>
          <w:lang w:val="en-US" w:eastAsia="zh-CN"/>
        </w:rPr>
        <w:t>2023年12月21日完成</w:t>
      </w:r>
      <w:r>
        <w:rPr>
          <w:rFonts w:hint="eastAsia" w:ascii="仿宋_GB2312" w:hAnsi="宋体" w:eastAsia="仿宋_GB2312" w:cs="Times New Roman"/>
          <w:sz w:val="32"/>
          <w:szCs w:val="32"/>
          <w:lang w:val="zh-CN" w:eastAsia="zh-CN"/>
        </w:rPr>
        <w:t>乡镇交管办劝导员生活补贴</w:t>
      </w:r>
      <w:r>
        <w:rPr>
          <w:rFonts w:hint="eastAsia" w:ascii="仿宋_GB2312" w:hAnsi="宋体" w:eastAsia="仿宋_GB2312" w:cs="Times New Roman"/>
          <w:sz w:val="32"/>
          <w:szCs w:val="32"/>
          <w:lang w:val="en-US" w:eastAsia="zh-CN"/>
        </w:rPr>
        <w:t>发放及</w:t>
      </w:r>
      <w:r>
        <w:rPr>
          <w:rFonts w:hint="eastAsia" w:ascii="仿宋_GB2312" w:hAnsi="宋体" w:eastAsia="仿宋_GB2312" w:cs="Times New Roman"/>
          <w:sz w:val="32"/>
          <w:szCs w:val="32"/>
          <w:lang w:val="zh-CN" w:eastAsia="zh-CN"/>
        </w:rPr>
        <w:t>乡镇交管办工作经费</w:t>
      </w:r>
      <w:r>
        <w:rPr>
          <w:rFonts w:hint="eastAsia" w:ascii="仿宋_GB2312" w:hAnsi="宋体" w:eastAsia="仿宋_GB2312" w:cs="Times New Roman"/>
          <w:sz w:val="32"/>
          <w:szCs w:val="32"/>
          <w:lang w:val="en-US" w:eastAsia="zh-CN"/>
        </w:rPr>
        <w:t>支付，群众满意度100%。</w:t>
      </w:r>
    </w:p>
    <w:p w14:paraId="3F59B5B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zh-CN" w:eastAsia="zh-CN"/>
        </w:rPr>
        <w:t>3．该经费申报内容与实际相符申报目标合理可行。按时报销的原则，预算</w:t>
      </w:r>
      <w:r>
        <w:rPr>
          <w:rFonts w:hint="eastAsia" w:ascii="仿宋_GB2312" w:hAnsi="宋体" w:eastAsia="仿宋_GB2312" w:cs="Times New Roman"/>
          <w:sz w:val="32"/>
          <w:szCs w:val="32"/>
          <w:lang w:val="en-US" w:eastAsia="zh-CN"/>
        </w:rPr>
        <w:t>4.88</w:t>
      </w:r>
      <w:r>
        <w:rPr>
          <w:rFonts w:hint="eastAsia" w:ascii="仿宋_GB2312" w:hAnsi="宋体" w:eastAsia="仿宋_GB2312" w:cs="Times New Roman"/>
          <w:sz w:val="32"/>
          <w:szCs w:val="32"/>
          <w:lang w:val="zh-CN" w:eastAsia="zh-CN"/>
        </w:rPr>
        <w:t>万</w:t>
      </w:r>
      <w:r>
        <w:rPr>
          <w:rFonts w:hint="eastAsia" w:ascii="仿宋_GB2312" w:hAnsi="宋体" w:eastAsia="仿宋_GB2312" w:cs="Times New Roman"/>
          <w:sz w:val="32"/>
          <w:szCs w:val="32"/>
          <w:lang w:val="en-US" w:eastAsia="zh-CN"/>
        </w:rPr>
        <w:t>元，实际支付4.88万元</w:t>
      </w:r>
      <w:r>
        <w:rPr>
          <w:rFonts w:hint="eastAsia" w:ascii="仿宋_GB2312" w:hAnsi="宋体" w:eastAsia="仿宋_GB2312" w:cs="Times New Roman"/>
          <w:sz w:val="32"/>
          <w:szCs w:val="32"/>
          <w:lang w:val="zh-CN" w:eastAsia="zh-CN"/>
        </w:rPr>
        <w:t>。</w:t>
      </w:r>
    </w:p>
    <w:p w14:paraId="25CC2E38">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（三）项目资金申报相符性。</w:t>
      </w:r>
    </w:p>
    <w:p w14:paraId="37BA47A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zh-CN" w:eastAsia="zh-CN"/>
        </w:rPr>
        <w:t>该经费申报内容与实际相符申报目标合理可行。按时报销的原则，预算</w:t>
      </w:r>
      <w:r>
        <w:rPr>
          <w:rFonts w:hint="eastAsia" w:ascii="仿宋_GB2312" w:hAnsi="宋体" w:eastAsia="仿宋_GB2312" w:cs="Times New Roman"/>
          <w:sz w:val="32"/>
          <w:szCs w:val="32"/>
          <w:lang w:val="en-US" w:eastAsia="zh-CN"/>
        </w:rPr>
        <w:t>4.88</w:t>
      </w:r>
      <w:r>
        <w:rPr>
          <w:rFonts w:hint="eastAsia" w:ascii="仿宋_GB2312" w:hAnsi="宋体" w:eastAsia="仿宋_GB2312" w:cs="Times New Roman"/>
          <w:sz w:val="32"/>
          <w:szCs w:val="32"/>
          <w:lang w:val="zh-CN" w:eastAsia="zh-CN"/>
        </w:rPr>
        <w:t>万</w:t>
      </w:r>
      <w:r>
        <w:rPr>
          <w:rFonts w:hint="eastAsia" w:ascii="仿宋_GB2312" w:hAnsi="宋体" w:eastAsia="仿宋_GB2312" w:cs="Times New Roman"/>
          <w:sz w:val="32"/>
          <w:szCs w:val="32"/>
          <w:lang w:val="en-US" w:eastAsia="zh-CN"/>
        </w:rPr>
        <w:t>元，实际支付4.88万元</w:t>
      </w:r>
      <w:r>
        <w:rPr>
          <w:rFonts w:hint="eastAsia" w:ascii="仿宋_GB2312" w:hAnsi="宋体" w:eastAsia="仿宋_GB2312" w:cs="Times New Roman"/>
          <w:sz w:val="32"/>
          <w:szCs w:val="32"/>
          <w:lang w:val="zh-CN" w:eastAsia="zh-CN"/>
        </w:rPr>
        <w:t>。</w:t>
      </w:r>
    </w:p>
    <w:p w14:paraId="17EB9528">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 w:hAnsi="仿宋" w:eastAsia="仿宋" w:cs="Microsoft YaHei UI"/>
          <w:spacing w:val="8"/>
          <w:kern w:val="0"/>
          <w:sz w:val="32"/>
          <w:szCs w:val="32"/>
          <w:shd w:val="clear" w:color="auto" w:fill="FFFFFF"/>
          <w:lang w:val="zh-CN" w:eastAsia="zh-CN" w:bidi="ar-SA"/>
        </w:rPr>
      </w:pPr>
    </w:p>
    <w:p w14:paraId="434A213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cs="Times New Roman"/>
          <w:sz w:val="32"/>
          <w:szCs w:val="32"/>
        </w:rPr>
      </w:pPr>
      <w:r>
        <w:rPr>
          <w:rFonts w:hint="eastAsia" w:ascii="黑体" w:hAnsi="宋体" w:eastAsia="黑体" w:cs="Times New Roman"/>
          <w:sz w:val="32"/>
          <w:szCs w:val="32"/>
        </w:rPr>
        <w:t>二、项目实施及管理情况</w:t>
      </w:r>
    </w:p>
    <w:p w14:paraId="1BA6C6E1">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cs="Times New Roman"/>
          <w:b/>
          <w:sz w:val="32"/>
          <w:szCs w:val="32"/>
          <w:lang w:val="zh-CN"/>
        </w:rPr>
      </w:pPr>
      <w:r>
        <w:rPr>
          <w:rFonts w:hint="eastAsia" w:ascii="仿宋_GB2312" w:hAnsi="宋体" w:eastAsia="仿宋_GB2312" w:cs="Times New Roman"/>
          <w:sz w:val="32"/>
          <w:szCs w:val="32"/>
          <w:lang w:val="zh-CN"/>
        </w:rPr>
        <w:tab/>
      </w:r>
      <w:r>
        <w:rPr>
          <w:rFonts w:hint="eastAsia" w:ascii="楷体_GB2312" w:hAnsi="宋体" w:eastAsia="楷体_GB2312" w:cs="Times New Roman"/>
          <w:b/>
          <w:sz w:val="32"/>
          <w:szCs w:val="32"/>
          <w:lang w:val="zh-CN"/>
        </w:rPr>
        <w:t>（一）资金计划、到位及使用情况。</w:t>
      </w:r>
    </w:p>
    <w:p w14:paraId="75B4231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en-US" w:eastAsia="zh-CN"/>
        </w:rPr>
        <w:t>按</w:t>
      </w:r>
      <w:r>
        <w:rPr>
          <w:rFonts w:hint="eastAsia" w:ascii="仿宋_GB2312" w:hAnsi="宋体" w:eastAsia="仿宋_GB2312" w:cs="Times New Roman"/>
          <w:sz w:val="32"/>
          <w:szCs w:val="32"/>
          <w:lang w:val="zh-CN" w:eastAsia="zh-CN"/>
        </w:rPr>
        <w:t>《</w:t>
      </w:r>
      <w:r>
        <w:rPr>
          <w:rFonts w:hint="eastAsia" w:ascii="仿宋_GB2312" w:hAnsi="宋体" w:eastAsia="仿宋_GB2312" w:cs="Times New Roman"/>
          <w:sz w:val="32"/>
          <w:szCs w:val="32"/>
          <w:lang w:val="en-US" w:eastAsia="zh-CN"/>
        </w:rPr>
        <w:t>四川省人民政府办公厅关于印发建立健全全省农村道路交通安全管理工作机制实施方案的通知》的文件精神，资金由乡财政所预算，县财政局审核后下拨到我乡进行支付。2023年2月20日县财政局下达4.88万元。</w:t>
      </w:r>
      <w:r>
        <w:rPr>
          <w:rFonts w:hint="eastAsia" w:ascii="仿宋_GB2312" w:hAnsi="宋体" w:eastAsia="仿宋_GB2312" w:cs="Times New Roman"/>
          <w:sz w:val="32"/>
          <w:szCs w:val="32"/>
          <w:lang w:val="zh-CN" w:eastAsia="zh-CN"/>
        </w:rPr>
        <w:t>此项目预算资金</w:t>
      </w:r>
      <w:r>
        <w:rPr>
          <w:rFonts w:hint="eastAsia" w:ascii="仿宋_GB2312" w:hAnsi="宋体" w:eastAsia="仿宋_GB2312" w:cs="Times New Roman"/>
          <w:sz w:val="32"/>
          <w:szCs w:val="32"/>
          <w:lang w:val="en-US" w:eastAsia="zh-CN"/>
        </w:rPr>
        <w:t>4.88万</w:t>
      </w:r>
      <w:r>
        <w:rPr>
          <w:rFonts w:hint="eastAsia" w:ascii="仿宋_GB2312" w:hAnsi="宋体" w:eastAsia="仿宋_GB2312" w:cs="Times New Roman"/>
          <w:sz w:val="32"/>
          <w:szCs w:val="32"/>
          <w:lang w:val="zh-CN" w:eastAsia="zh-CN"/>
        </w:rPr>
        <w:t>元按照</w:t>
      </w:r>
      <w:r>
        <w:rPr>
          <w:rFonts w:hint="eastAsia" w:ascii="仿宋_GB2312" w:hAnsi="宋体" w:eastAsia="仿宋_GB2312" w:cs="Times New Roman"/>
          <w:sz w:val="32"/>
          <w:szCs w:val="32"/>
          <w:lang w:val="en-US" w:eastAsia="zh-CN"/>
        </w:rPr>
        <w:t>文件要求</w:t>
      </w:r>
      <w:r>
        <w:rPr>
          <w:rFonts w:hint="eastAsia" w:ascii="仿宋_GB2312" w:hAnsi="宋体" w:eastAsia="仿宋_GB2312" w:cs="Times New Roman"/>
          <w:sz w:val="32"/>
          <w:szCs w:val="32"/>
          <w:lang w:val="zh-CN" w:eastAsia="zh-CN"/>
        </w:rPr>
        <w:t>于</w:t>
      </w:r>
      <w:r>
        <w:rPr>
          <w:rFonts w:hint="eastAsia" w:ascii="仿宋_GB2312" w:hAnsi="宋体" w:eastAsia="仿宋_GB2312" w:cs="Times New Roman"/>
          <w:sz w:val="32"/>
          <w:szCs w:val="32"/>
          <w:lang w:val="en-US" w:eastAsia="zh-CN"/>
        </w:rPr>
        <w:t>2023年12月21日完成</w:t>
      </w:r>
      <w:r>
        <w:rPr>
          <w:rFonts w:hint="eastAsia" w:ascii="仿宋_GB2312" w:hAnsi="宋体" w:eastAsia="仿宋_GB2312" w:cs="Times New Roman"/>
          <w:sz w:val="32"/>
          <w:szCs w:val="32"/>
          <w:lang w:val="zh-CN" w:eastAsia="zh-CN"/>
        </w:rPr>
        <w:t>乡镇交管办劝导员补贴</w:t>
      </w:r>
      <w:r>
        <w:rPr>
          <w:rFonts w:hint="eastAsia" w:ascii="仿宋_GB2312" w:hAnsi="宋体" w:eastAsia="仿宋_GB2312" w:cs="Times New Roman"/>
          <w:sz w:val="32"/>
          <w:szCs w:val="32"/>
          <w:lang w:val="en-US" w:eastAsia="zh-CN"/>
        </w:rPr>
        <w:t>发放及</w:t>
      </w:r>
      <w:r>
        <w:rPr>
          <w:rFonts w:hint="eastAsia" w:ascii="仿宋_GB2312" w:hAnsi="宋体" w:eastAsia="仿宋_GB2312" w:cs="Times New Roman"/>
          <w:sz w:val="32"/>
          <w:szCs w:val="32"/>
          <w:lang w:val="zh-CN" w:eastAsia="zh-CN"/>
        </w:rPr>
        <w:t>乡镇交管办工作经费</w:t>
      </w:r>
      <w:r>
        <w:rPr>
          <w:rFonts w:hint="eastAsia" w:ascii="仿宋_GB2312" w:hAnsi="宋体" w:eastAsia="仿宋_GB2312" w:cs="Times New Roman"/>
          <w:sz w:val="32"/>
          <w:szCs w:val="32"/>
          <w:lang w:val="en-US" w:eastAsia="zh-CN"/>
        </w:rPr>
        <w:t>支付，主要用于乡镇交管办劝导员生活补贴的发放、交管办劝导员的服装、工具、标识标牌广告制作等，支付依据合规合法，资金支付与预算相符。</w:t>
      </w:r>
    </w:p>
    <w:p w14:paraId="3270733C">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（二）项目财务管理情况。</w:t>
      </w:r>
    </w:p>
    <w:p w14:paraId="4FB6D1AA">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此项目财务管理制度健全，严格执行财务管理制度，账务处理及时，会计核算规范。</w:t>
      </w:r>
    </w:p>
    <w:p w14:paraId="332D9827">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（三）项目组织实施情况。</w:t>
      </w:r>
    </w:p>
    <w:p w14:paraId="09BDA2F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我</w:t>
      </w:r>
      <w:r>
        <w:rPr>
          <w:rFonts w:hint="eastAsia" w:ascii="仿宋_GB2312" w:hAnsi="宋体" w:eastAsia="仿宋_GB2312" w:cs="Times New Roman"/>
          <w:sz w:val="32"/>
          <w:szCs w:val="32"/>
          <w:lang w:val="en-US" w:eastAsia="zh-CN"/>
        </w:rPr>
        <w:t>乡</w:t>
      </w:r>
      <w:r>
        <w:rPr>
          <w:rFonts w:hint="eastAsia" w:ascii="仿宋_GB2312" w:hAnsi="宋体" w:eastAsia="仿宋_GB2312" w:cs="Times New Roman"/>
          <w:sz w:val="32"/>
          <w:szCs w:val="32"/>
          <w:lang w:val="zh-CN"/>
        </w:rPr>
        <w:t>由</w:t>
      </w:r>
      <w:r>
        <w:rPr>
          <w:rFonts w:hint="eastAsia" w:ascii="仿宋_GB2312" w:hAnsi="宋体" w:eastAsia="仿宋_GB2312" w:cs="Times New Roman"/>
          <w:sz w:val="32"/>
          <w:szCs w:val="32"/>
          <w:lang w:val="en-US" w:eastAsia="zh-CN"/>
        </w:rPr>
        <w:t>交管办按照</w:t>
      </w:r>
      <w:r>
        <w:rPr>
          <w:rFonts w:hint="eastAsia" w:ascii="仿宋_GB2312" w:hAnsi="宋体" w:eastAsia="仿宋_GB2312" w:cs="Times New Roman"/>
          <w:sz w:val="32"/>
          <w:szCs w:val="32"/>
          <w:lang w:val="zh-CN" w:eastAsia="zh-CN"/>
        </w:rPr>
        <w:t>《</w:t>
      </w:r>
      <w:r>
        <w:rPr>
          <w:rFonts w:hint="eastAsia" w:ascii="仿宋_GB2312" w:hAnsi="宋体" w:eastAsia="仿宋_GB2312" w:cs="Times New Roman"/>
          <w:sz w:val="32"/>
          <w:szCs w:val="32"/>
          <w:lang w:val="en-US" w:eastAsia="zh-CN"/>
        </w:rPr>
        <w:t>四川省人民政府办公厅关于印发建立健全全省农村道路交通安全管理工作机制实施方案的通知》要求及时进行申补助，</w:t>
      </w:r>
      <w:r>
        <w:rPr>
          <w:rFonts w:hint="eastAsia" w:ascii="仿宋_GB2312" w:hAnsi="宋体" w:eastAsia="仿宋_GB2312" w:cs="Times New Roman"/>
          <w:sz w:val="32"/>
          <w:szCs w:val="32"/>
          <w:lang w:val="zh-CN"/>
        </w:rPr>
        <w:t>由</w:t>
      </w:r>
      <w:r>
        <w:rPr>
          <w:rFonts w:hint="eastAsia" w:ascii="仿宋_GB2312" w:hAnsi="宋体" w:eastAsia="仿宋_GB2312" w:cs="Times New Roman"/>
          <w:sz w:val="32"/>
          <w:szCs w:val="32"/>
          <w:lang w:val="en-US" w:eastAsia="zh-CN"/>
        </w:rPr>
        <w:t>乡纪委</w:t>
      </w:r>
      <w:r>
        <w:rPr>
          <w:rFonts w:hint="eastAsia" w:ascii="仿宋_GB2312" w:hAnsi="宋体" w:eastAsia="仿宋_GB2312" w:cs="Times New Roman"/>
          <w:sz w:val="32"/>
          <w:szCs w:val="32"/>
          <w:lang w:val="zh-CN"/>
        </w:rPr>
        <w:t>负责复核监管。</w:t>
      </w:r>
    </w:p>
    <w:p w14:paraId="4B5CBB2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eastAsia="仿宋_GB2312" w:cs="Times New Roman"/>
          <w:sz w:val="32"/>
          <w:szCs w:val="32"/>
          <w:lang w:val="zh-CN"/>
        </w:rPr>
      </w:pPr>
      <w:r>
        <w:rPr>
          <w:rFonts w:hint="eastAsia" w:ascii="黑体" w:hAnsi="宋体" w:eastAsia="黑体" w:cs="Times New Roman"/>
          <w:sz w:val="32"/>
          <w:szCs w:val="32"/>
        </w:rPr>
        <w:t>三、项目绩效情况</w:t>
      </w:r>
      <w:r>
        <w:rPr>
          <w:rFonts w:hint="eastAsia" w:ascii="仿宋_GB2312" w:hAnsi="宋体" w:eastAsia="仿宋_GB2312" w:cs="Times New Roman"/>
          <w:sz w:val="32"/>
          <w:szCs w:val="32"/>
          <w:lang w:val="zh-CN"/>
        </w:rPr>
        <w:tab/>
      </w:r>
    </w:p>
    <w:p w14:paraId="6BF2564D">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（一）项目完成情况。</w:t>
      </w:r>
    </w:p>
    <w:p w14:paraId="0342B18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包括项目完成数量、质量、时效、成本，</w:t>
      </w:r>
      <w:r>
        <w:rPr>
          <w:rFonts w:hint="eastAsia" w:ascii="仿宋_GB2312" w:hAnsi="宋体" w:eastAsia="仿宋_GB2312" w:cs="Times New Roman"/>
          <w:sz w:val="32"/>
          <w:szCs w:val="32"/>
          <w:lang w:val="zh-CN" w:eastAsia="zh-CN"/>
        </w:rPr>
        <w:t>项目资金结余情况，违规记录</w:t>
      </w:r>
      <w:r>
        <w:rPr>
          <w:rFonts w:hint="eastAsia" w:ascii="仿宋_GB2312" w:hAnsi="宋体" w:eastAsia="仿宋_GB2312" w:cs="Times New Roman"/>
          <w:sz w:val="32"/>
          <w:szCs w:val="32"/>
          <w:lang w:val="zh-CN"/>
        </w:rPr>
        <w:t>等情况，对照项目计划完成目标，对截止评价时点的任务量完成、质量标准、进度计划、成本控制目标的实现程度进行自评、分析、说明。</w:t>
      </w:r>
    </w:p>
    <w:p w14:paraId="5F30FAEE">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cs="Times New Roman"/>
          <w:sz w:val="32"/>
          <w:szCs w:val="32"/>
          <w:lang w:val="en-US" w:eastAsia="zh-CN"/>
        </w:rPr>
      </w:pPr>
      <w:r>
        <w:rPr>
          <w:rFonts w:hint="eastAsia" w:ascii="仿宋_GB2312" w:hAnsi="宋体" w:eastAsia="仿宋_GB2312" w:cs="Times New Roman"/>
          <w:sz w:val="32"/>
          <w:szCs w:val="32"/>
          <w:lang w:val="zh-CN"/>
        </w:rPr>
        <w:t>该项目于</w:t>
      </w:r>
      <w:r>
        <w:rPr>
          <w:rFonts w:hint="eastAsia" w:ascii="仿宋_GB2312" w:hAnsi="宋体" w:eastAsia="仿宋_GB2312" w:cs="Times New Roman"/>
          <w:sz w:val="32"/>
          <w:szCs w:val="32"/>
          <w:lang w:val="en-US" w:eastAsia="zh-CN"/>
        </w:rPr>
        <w:t>2023年12月21日支付完成，全面保障</w:t>
      </w:r>
      <w:r>
        <w:rPr>
          <w:rFonts w:hint="eastAsia" w:ascii="仿宋_GB2312" w:hAnsi="宋体" w:eastAsia="仿宋_GB2312" w:cs="Times New Roman"/>
          <w:sz w:val="32"/>
          <w:szCs w:val="32"/>
          <w:lang w:val="zh-CN"/>
        </w:rPr>
        <w:t>镇交管办安全工作的正常运行，</w:t>
      </w:r>
      <w:r>
        <w:rPr>
          <w:rFonts w:hint="eastAsia" w:ascii="仿宋_GB2312" w:hAnsi="宋体" w:eastAsia="仿宋_GB2312" w:cs="Times New Roman"/>
          <w:sz w:val="32"/>
          <w:szCs w:val="32"/>
          <w:lang w:val="en-US" w:eastAsia="zh-CN"/>
        </w:rPr>
        <w:t>我乡</w:t>
      </w:r>
      <w:r>
        <w:rPr>
          <w:rFonts w:hint="eastAsia" w:ascii="仿宋_GB2312" w:hAnsi="宋体" w:eastAsia="仿宋_GB2312" w:cs="Times New Roman"/>
          <w:sz w:val="32"/>
          <w:szCs w:val="32"/>
          <w:lang w:val="zh-CN"/>
        </w:rPr>
        <w:t>交管办每月</w:t>
      </w:r>
      <w:r>
        <w:rPr>
          <w:rFonts w:hint="eastAsia" w:ascii="仿宋_GB2312" w:hAnsi="宋体" w:eastAsia="仿宋_GB2312" w:cs="Times New Roman"/>
          <w:sz w:val="32"/>
          <w:szCs w:val="32"/>
          <w:lang w:val="en-US" w:eastAsia="zh-CN"/>
        </w:rPr>
        <w:t>平均</w:t>
      </w:r>
      <w:r>
        <w:rPr>
          <w:rFonts w:hint="eastAsia" w:ascii="仿宋_GB2312" w:hAnsi="宋体" w:eastAsia="仿宋_GB2312" w:cs="Times New Roman"/>
          <w:sz w:val="32"/>
          <w:szCs w:val="32"/>
          <w:lang w:val="zh-CN"/>
        </w:rPr>
        <w:t>进行</w:t>
      </w:r>
      <w:r>
        <w:rPr>
          <w:rFonts w:hint="eastAsia" w:ascii="仿宋_GB2312" w:hAnsi="宋体" w:eastAsia="仿宋_GB2312" w:cs="Times New Roman"/>
          <w:sz w:val="32"/>
          <w:szCs w:val="32"/>
          <w:lang w:val="en-US" w:eastAsia="zh-CN"/>
        </w:rPr>
        <w:t>15次道路劝导；每月定期开展道路隐患排查；入学校、入企业、入医院宣传道路交通安全。</w:t>
      </w:r>
    </w:p>
    <w:p w14:paraId="4684A6A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楷体_GB2312" w:hAnsi="宋体" w:eastAsia="楷体_GB2312" w:cs="Times New Roman"/>
          <w:b/>
          <w:sz w:val="32"/>
          <w:szCs w:val="32"/>
          <w:lang w:val="zh-CN"/>
        </w:rPr>
        <w:t>（二）项目效益情况。</w:t>
      </w:r>
    </w:p>
    <w:p w14:paraId="09923F99">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1.经济效益</w:t>
      </w:r>
    </w:p>
    <w:p w14:paraId="3BB925F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乡镇交管办劝导员补贴及乡镇交管办工作经费项目实施后，</w:t>
      </w:r>
      <w:r>
        <w:rPr>
          <w:rFonts w:hint="eastAsia" w:ascii="仿宋_GB2312" w:hAnsi="宋体" w:eastAsia="仿宋_GB2312" w:cs="Times New Roman"/>
          <w:sz w:val="32"/>
          <w:szCs w:val="32"/>
          <w:lang w:val="en-US" w:eastAsia="zh-CN"/>
        </w:rPr>
        <w:t>进一步增强各村社区交通</w:t>
      </w:r>
      <w:r>
        <w:rPr>
          <w:rFonts w:hint="eastAsia" w:ascii="仿宋_GB2312" w:hAnsi="宋体" w:eastAsia="仿宋_GB2312" w:cs="Times New Roman"/>
          <w:sz w:val="32"/>
          <w:szCs w:val="32"/>
          <w:lang w:val="zh-CN" w:eastAsia="zh-CN"/>
        </w:rPr>
        <w:t>劝导员</w:t>
      </w:r>
      <w:r>
        <w:rPr>
          <w:rFonts w:hint="eastAsia" w:ascii="仿宋_GB2312" w:hAnsi="宋体" w:eastAsia="仿宋_GB2312" w:cs="Times New Roman"/>
          <w:sz w:val="32"/>
          <w:szCs w:val="32"/>
          <w:lang w:val="en-US" w:eastAsia="zh-CN"/>
        </w:rPr>
        <w:t>业务能力，不断提高工作积极性和主动性，保证我乡交管办合理运转</w:t>
      </w:r>
      <w:r>
        <w:rPr>
          <w:rFonts w:hint="eastAsia" w:ascii="仿宋_GB2312" w:hAnsi="宋体" w:eastAsia="仿宋_GB2312" w:cs="Times New Roman"/>
          <w:sz w:val="32"/>
          <w:szCs w:val="32"/>
          <w:lang w:val="zh-CN"/>
        </w:rPr>
        <w:t>。</w:t>
      </w:r>
    </w:p>
    <w:p w14:paraId="2484D978">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2.社会效益</w:t>
      </w:r>
    </w:p>
    <w:p w14:paraId="415DD404">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通过项目的实施，全</w:t>
      </w:r>
      <w:r>
        <w:rPr>
          <w:rFonts w:hint="eastAsia" w:ascii="仿宋_GB2312" w:hAnsi="宋体" w:eastAsia="仿宋_GB2312" w:cs="Times New Roman"/>
          <w:sz w:val="32"/>
          <w:szCs w:val="32"/>
          <w:lang w:val="en-US" w:eastAsia="zh-CN"/>
        </w:rPr>
        <w:t>乡道路交通安全及安全生产等各方面得到了</w:t>
      </w:r>
      <w:r>
        <w:rPr>
          <w:rFonts w:hint="eastAsia" w:ascii="仿宋_GB2312" w:hAnsi="宋体" w:eastAsia="仿宋_GB2312" w:cs="Times New Roman"/>
          <w:sz w:val="32"/>
          <w:szCs w:val="32"/>
          <w:lang w:val="zh-CN"/>
        </w:rPr>
        <w:t>改善</w:t>
      </w:r>
      <w:r>
        <w:rPr>
          <w:rFonts w:hint="eastAsia" w:ascii="仿宋_GB2312" w:hAnsi="宋体" w:eastAsia="仿宋_GB2312" w:cs="Times New Roman"/>
          <w:sz w:val="32"/>
          <w:szCs w:val="32"/>
          <w:lang w:val="zh-CN" w:eastAsia="zh-CN"/>
        </w:rPr>
        <w:t>，</w:t>
      </w:r>
      <w:r>
        <w:rPr>
          <w:rFonts w:hint="eastAsia" w:ascii="仿宋_GB2312" w:hAnsi="宋体" w:eastAsia="仿宋_GB2312" w:cs="Times New Roman"/>
          <w:sz w:val="32"/>
          <w:szCs w:val="32"/>
          <w:lang w:val="en-US" w:eastAsia="zh-CN"/>
        </w:rPr>
        <w:t>有效地保障了群众及各驻乡企事业单位的生命财产安全</w:t>
      </w:r>
      <w:r>
        <w:rPr>
          <w:rFonts w:hint="eastAsia" w:ascii="仿宋_GB2312" w:hAnsi="宋体" w:eastAsia="仿宋_GB2312" w:cs="Times New Roman"/>
          <w:sz w:val="32"/>
          <w:szCs w:val="32"/>
          <w:lang w:val="zh-CN"/>
        </w:rPr>
        <w:t>。</w:t>
      </w:r>
    </w:p>
    <w:p w14:paraId="250AD3D7">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3.可持续影响</w:t>
      </w:r>
    </w:p>
    <w:p w14:paraId="1A095C69">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乡镇交管办劝导员补贴及乡镇交管办工作经费项目的实施，在</w:t>
      </w:r>
      <w:r>
        <w:rPr>
          <w:rFonts w:hint="eastAsia" w:ascii="仿宋_GB2312" w:hAnsi="宋体" w:eastAsia="仿宋_GB2312" w:cs="Times New Roman"/>
          <w:sz w:val="32"/>
          <w:szCs w:val="32"/>
          <w:lang w:val="en-US" w:eastAsia="zh-CN"/>
        </w:rPr>
        <w:t>年度</w:t>
      </w:r>
      <w:r>
        <w:rPr>
          <w:rFonts w:hint="eastAsia" w:ascii="仿宋_GB2312" w:hAnsi="宋体" w:eastAsia="仿宋_GB2312" w:cs="Times New Roman"/>
          <w:sz w:val="32"/>
          <w:szCs w:val="32"/>
          <w:lang w:val="zh-CN"/>
        </w:rPr>
        <w:t>内对</w:t>
      </w:r>
      <w:r>
        <w:rPr>
          <w:rFonts w:hint="eastAsia" w:ascii="仿宋_GB2312" w:hAnsi="宋体" w:eastAsia="仿宋_GB2312" w:cs="Times New Roman"/>
          <w:sz w:val="32"/>
          <w:szCs w:val="32"/>
          <w:lang w:val="en-US" w:eastAsia="zh-CN"/>
        </w:rPr>
        <w:t>强化交通劝导员岗位责任，提高工作绩效，增加交通劝导员和交管办工作人员的忧患意识和竞争意识，激发干事创业热情，不断提高工作积极性和主动性</w:t>
      </w:r>
      <w:r>
        <w:rPr>
          <w:rFonts w:hint="eastAsia" w:ascii="仿宋_GB2312" w:hAnsi="宋体" w:eastAsia="仿宋_GB2312" w:cs="Times New Roman"/>
          <w:sz w:val="32"/>
          <w:szCs w:val="32"/>
          <w:lang w:val="zh-CN"/>
        </w:rPr>
        <w:t>。</w:t>
      </w:r>
    </w:p>
    <w:p w14:paraId="6105F00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4.群众满意度</w:t>
      </w:r>
    </w:p>
    <w:p w14:paraId="6C277EC4">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绩效评价抽查小组在</w:t>
      </w:r>
      <w:r>
        <w:rPr>
          <w:rFonts w:hint="eastAsia" w:ascii="仿宋_GB2312" w:hAnsi="宋体" w:eastAsia="仿宋_GB2312" w:cs="Times New Roman"/>
          <w:sz w:val="32"/>
          <w:szCs w:val="32"/>
          <w:lang w:val="en-US" w:eastAsia="zh-CN"/>
        </w:rPr>
        <w:t>乡</w:t>
      </w:r>
      <w:r>
        <w:rPr>
          <w:rFonts w:hint="eastAsia" w:ascii="仿宋_GB2312" w:hAnsi="宋体" w:eastAsia="仿宋_GB2312" w:cs="Times New Roman"/>
          <w:sz w:val="32"/>
          <w:szCs w:val="32"/>
          <w:lang w:val="zh-CN"/>
        </w:rPr>
        <w:t>、村委会相关人员陪同下，对确定的抽查点进行抽查，抽查方式为发放调查问卷及电话核实，抽查结果显示群众满意度较高。</w:t>
      </w:r>
    </w:p>
    <w:p w14:paraId="100D7EDE">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p>
    <w:p w14:paraId="79C653BD">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cs="Times New Roman"/>
          <w:sz w:val="32"/>
          <w:szCs w:val="32"/>
        </w:rPr>
      </w:pPr>
      <w:r>
        <w:rPr>
          <w:rFonts w:hint="eastAsia" w:ascii="黑体" w:hAnsi="宋体" w:eastAsia="黑体" w:cs="Times New Roman"/>
          <w:sz w:val="32"/>
          <w:szCs w:val="32"/>
        </w:rPr>
        <w:t>四、问题及建议</w:t>
      </w:r>
    </w:p>
    <w:p w14:paraId="01F1FC54">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（一）存在的问题。</w:t>
      </w:r>
    </w:p>
    <w:p w14:paraId="26C3979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无</w:t>
      </w:r>
    </w:p>
    <w:p w14:paraId="352C79EC">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楷体_GB2312" w:hAnsi="宋体" w:eastAsia="楷体_GB2312" w:cs="Times New Roman"/>
          <w:b/>
          <w:sz w:val="32"/>
          <w:szCs w:val="32"/>
          <w:lang w:val="zh-CN"/>
        </w:rPr>
        <w:t>（二）相关建议。</w:t>
      </w:r>
    </w:p>
    <w:p w14:paraId="2F41FBE4">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无</w:t>
      </w:r>
    </w:p>
    <w:p w14:paraId="228DD541">
      <w:pPr>
        <w:adjustRightInd w:val="0"/>
        <w:snapToGrid w:val="0"/>
        <w:spacing w:line="600" w:lineRule="exact"/>
        <w:ind w:firstLine="720"/>
        <w:rPr>
          <w:rFonts w:ascii="Times New Roman" w:hAnsi="Times New Roman" w:eastAsia="仿宋_GB2312" w:cs="Times New Roman"/>
          <w:sz w:val="32"/>
          <w:szCs w:val="32"/>
        </w:rPr>
      </w:pPr>
    </w:p>
    <w:p w14:paraId="46896BA3">
      <w:pPr>
        <w:ind w:firstLine="640" w:firstLineChars="200"/>
        <w:rPr>
          <w:rFonts w:hint="eastAsia" w:asciiTheme="minorEastAsia" w:hAnsiTheme="minorEastAsia" w:eastAsiaTheme="minorEastAsia"/>
          <w:sz w:val="32"/>
          <w:szCs w:val="32"/>
          <w:lang w:val="zh-CN"/>
        </w:rPr>
      </w:pPr>
    </w:p>
    <w:p w14:paraId="3A1C5D21">
      <w:pPr>
        <w:ind w:firstLine="640" w:firstLineChars="200"/>
        <w:rPr>
          <w:rFonts w:hint="eastAsia" w:asciiTheme="minorEastAsia" w:hAnsiTheme="minorEastAsia" w:eastAsiaTheme="minorEastAsia"/>
          <w:sz w:val="32"/>
          <w:szCs w:val="32"/>
          <w:lang w:val="zh-CN"/>
        </w:rPr>
      </w:pPr>
    </w:p>
    <w:p w14:paraId="14CA5461">
      <w:pPr>
        <w:ind w:firstLine="640" w:firstLineChars="200"/>
        <w:rPr>
          <w:rFonts w:hint="eastAsia" w:asciiTheme="minorEastAsia" w:hAnsiTheme="minorEastAsia" w:eastAsiaTheme="minorEastAsia"/>
          <w:sz w:val="32"/>
          <w:szCs w:val="32"/>
          <w:lang w:val="zh-CN"/>
        </w:rPr>
      </w:pPr>
    </w:p>
    <w:p w14:paraId="221A8980">
      <w:pPr>
        <w:ind w:firstLine="640" w:firstLineChars="200"/>
        <w:rPr>
          <w:rFonts w:hint="eastAsia" w:asciiTheme="minorEastAsia" w:hAnsiTheme="minorEastAsia" w:eastAsiaTheme="minorEastAsia"/>
          <w:sz w:val="32"/>
          <w:szCs w:val="32"/>
          <w:lang w:val="zh-CN"/>
        </w:rPr>
      </w:pPr>
      <w:r>
        <w:rPr>
          <w:rFonts w:hint="eastAsia" w:asciiTheme="minorEastAsia" w:hAnsiTheme="minorEastAsia" w:eastAsiaTheme="minorEastAsia"/>
          <w:sz w:val="32"/>
          <w:szCs w:val="32"/>
          <w:lang w:val="zh-CN"/>
        </w:rPr>
        <w:t>附表：</w:t>
      </w:r>
      <w:r>
        <w:rPr>
          <w:rFonts w:hint="eastAsia" w:asciiTheme="minorEastAsia" w:hAnsiTheme="minorEastAsia" w:eastAsiaTheme="minorEastAsia"/>
          <w:sz w:val="32"/>
          <w:szCs w:val="32"/>
        </w:rPr>
        <w:t>部门</w:t>
      </w:r>
      <w:r>
        <w:rPr>
          <w:rFonts w:hint="eastAsia" w:asciiTheme="minorEastAsia" w:hAnsiTheme="minorEastAsia" w:eastAsiaTheme="minorEastAsia"/>
          <w:sz w:val="32"/>
          <w:szCs w:val="32"/>
          <w:lang w:val="zh-CN"/>
        </w:rPr>
        <w:t>预算项目支出绩效自评表（2023年度）</w:t>
      </w:r>
    </w:p>
    <w:p w14:paraId="6E81FB7A">
      <w:pPr>
        <w:pStyle w:val="2"/>
        <w:rPr>
          <w:lang w:val="zh-CN"/>
        </w:rPr>
      </w:pPr>
      <w:r>
        <w:rPr>
          <w:lang w:val="zh-CN"/>
        </w:rPr>
        <w:drawing>
          <wp:inline distT="0" distB="0" distL="114300" distR="114300">
            <wp:extent cx="5250180" cy="6467475"/>
            <wp:effectExtent l="0" t="0" r="7620" b="9525"/>
            <wp:docPr id="8" name="图片 8" descr="172960154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9601547994"/>
                    <pic:cNvPicPr>
                      <a:picLocks noChangeAspect="1"/>
                    </pic:cNvPicPr>
                  </pic:nvPicPr>
                  <pic:blipFill>
                    <a:blip r:embed="rId17"/>
                    <a:stretch>
                      <a:fillRect/>
                    </a:stretch>
                  </pic:blipFill>
                  <pic:spPr>
                    <a:xfrm>
                      <a:off x="0" y="0"/>
                      <a:ext cx="5250180" cy="6467475"/>
                    </a:xfrm>
                    <a:prstGeom prst="rect">
                      <a:avLst/>
                    </a:prstGeom>
                  </pic:spPr>
                </pic:pic>
              </a:graphicData>
            </a:graphic>
          </wp:inline>
        </w:drawing>
      </w:r>
      <w:r>
        <w:rPr>
          <w:lang w:val="zh-CN"/>
        </w:rPr>
        <w:drawing>
          <wp:inline distT="0" distB="0" distL="114300" distR="114300">
            <wp:extent cx="5274310" cy="7509510"/>
            <wp:effectExtent l="0" t="0" r="2540" b="15240"/>
            <wp:docPr id="1" name="图片 1" descr="172991705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9917059653"/>
                    <pic:cNvPicPr>
                      <a:picLocks noChangeAspect="1"/>
                    </pic:cNvPicPr>
                  </pic:nvPicPr>
                  <pic:blipFill>
                    <a:blip r:embed="rId18"/>
                    <a:stretch>
                      <a:fillRect/>
                    </a:stretch>
                  </pic:blipFill>
                  <pic:spPr>
                    <a:xfrm>
                      <a:off x="0" y="0"/>
                      <a:ext cx="5274310" cy="7509510"/>
                    </a:xfrm>
                    <a:prstGeom prst="rect">
                      <a:avLst/>
                    </a:prstGeom>
                  </pic:spPr>
                </pic:pic>
              </a:graphicData>
            </a:graphic>
          </wp:inline>
        </w:drawing>
      </w:r>
      <w:r>
        <w:rPr>
          <w:lang w:val="zh-CN"/>
        </w:rPr>
        <w:drawing>
          <wp:inline distT="0" distB="0" distL="114300" distR="114300">
            <wp:extent cx="5274310" cy="7353300"/>
            <wp:effectExtent l="0" t="0" r="2540" b="0"/>
            <wp:docPr id="9" name="图片 9" descr="172991707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29917076353"/>
                    <pic:cNvPicPr>
                      <a:picLocks noChangeAspect="1"/>
                    </pic:cNvPicPr>
                  </pic:nvPicPr>
                  <pic:blipFill>
                    <a:blip r:embed="rId19"/>
                    <a:stretch>
                      <a:fillRect/>
                    </a:stretch>
                  </pic:blipFill>
                  <pic:spPr>
                    <a:xfrm>
                      <a:off x="0" y="0"/>
                      <a:ext cx="5274310" cy="7353300"/>
                    </a:xfrm>
                    <a:prstGeom prst="rect">
                      <a:avLst/>
                    </a:prstGeom>
                  </pic:spPr>
                </pic:pic>
              </a:graphicData>
            </a:graphic>
          </wp:inline>
        </w:drawing>
      </w:r>
      <w:r>
        <w:rPr>
          <w:lang w:val="zh-CN"/>
        </w:rPr>
        <w:drawing>
          <wp:inline distT="0" distB="0" distL="114300" distR="114300">
            <wp:extent cx="5273040" cy="7265670"/>
            <wp:effectExtent l="0" t="0" r="3810" b="11430"/>
            <wp:docPr id="10" name="图片 10" descr="172991709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29917092943"/>
                    <pic:cNvPicPr>
                      <a:picLocks noChangeAspect="1"/>
                    </pic:cNvPicPr>
                  </pic:nvPicPr>
                  <pic:blipFill>
                    <a:blip r:embed="rId20"/>
                    <a:stretch>
                      <a:fillRect/>
                    </a:stretch>
                  </pic:blipFill>
                  <pic:spPr>
                    <a:xfrm>
                      <a:off x="0" y="0"/>
                      <a:ext cx="5273040" cy="7265670"/>
                    </a:xfrm>
                    <a:prstGeom prst="rect">
                      <a:avLst/>
                    </a:prstGeom>
                  </pic:spPr>
                </pic:pic>
              </a:graphicData>
            </a:graphic>
          </wp:inline>
        </w:drawing>
      </w:r>
    </w:p>
    <w:p w14:paraId="6D94E4C7">
      <w:pPr>
        <w:pStyle w:val="3"/>
        <w:jc w:val="center"/>
        <w:rPr>
          <w:rFonts w:hint="eastAsia" w:ascii="黑体" w:hAnsi="黑体" w:eastAsia="黑体"/>
        </w:rPr>
      </w:pPr>
    </w:p>
    <w:p w14:paraId="2F83C45D">
      <w:pPr>
        <w:pStyle w:val="3"/>
        <w:jc w:val="center"/>
        <w:rPr>
          <w:rFonts w:ascii="黑体" w:hAnsi="黑体" w:eastAsia="黑体"/>
        </w:rPr>
      </w:pPr>
      <w:r>
        <w:rPr>
          <w:rFonts w:hint="eastAsia" w:ascii="黑体" w:hAnsi="黑体" w:eastAsia="黑体"/>
        </w:rPr>
        <w:t>第五部分 附表</w:t>
      </w:r>
    </w:p>
    <w:p w14:paraId="1BBCC190">
      <w:pPr>
        <w:rPr>
          <w:rFonts w:ascii="仿宋" w:hAnsi="仿宋" w:eastAsia="仿宋"/>
          <w:sz w:val="32"/>
          <w:szCs w:val="32"/>
        </w:rPr>
      </w:pPr>
      <w:r>
        <w:rPr>
          <w:rFonts w:hint="eastAsia" w:ascii="仿宋" w:hAnsi="仿宋" w:eastAsia="仿宋"/>
          <w:sz w:val="32"/>
          <w:szCs w:val="32"/>
        </w:rPr>
        <w:t>一、收入支出决算总表</w:t>
      </w:r>
    </w:p>
    <w:p w14:paraId="7D03DF0F">
      <w:pPr>
        <w:rPr>
          <w:rFonts w:ascii="仿宋" w:hAnsi="仿宋" w:eastAsia="仿宋"/>
          <w:sz w:val="32"/>
          <w:szCs w:val="32"/>
        </w:rPr>
      </w:pPr>
      <w:r>
        <w:rPr>
          <w:rFonts w:hint="eastAsia" w:ascii="仿宋" w:hAnsi="仿宋" w:eastAsia="仿宋"/>
          <w:sz w:val="32"/>
          <w:szCs w:val="32"/>
        </w:rPr>
        <w:t>二、收入决算表</w:t>
      </w:r>
    </w:p>
    <w:p w14:paraId="136DBC17">
      <w:pPr>
        <w:rPr>
          <w:rFonts w:ascii="仿宋" w:hAnsi="仿宋" w:eastAsia="仿宋"/>
          <w:sz w:val="32"/>
          <w:szCs w:val="32"/>
        </w:rPr>
      </w:pPr>
      <w:r>
        <w:rPr>
          <w:rFonts w:hint="eastAsia" w:ascii="仿宋" w:hAnsi="仿宋" w:eastAsia="仿宋"/>
          <w:sz w:val="32"/>
          <w:szCs w:val="32"/>
        </w:rPr>
        <w:t>三、支出决算表</w:t>
      </w:r>
    </w:p>
    <w:p w14:paraId="05EC9A36">
      <w:pPr>
        <w:rPr>
          <w:rFonts w:ascii="仿宋" w:hAnsi="仿宋" w:eastAsia="仿宋"/>
          <w:sz w:val="32"/>
          <w:szCs w:val="32"/>
        </w:rPr>
      </w:pPr>
      <w:r>
        <w:rPr>
          <w:rFonts w:hint="eastAsia" w:ascii="仿宋" w:hAnsi="仿宋" w:eastAsia="仿宋"/>
          <w:sz w:val="32"/>
          <w:szCs w:val="32"/>
        </w:rPr>
        <w:t>四、财政拨款收入支出决算总表</w:t>
      </w:r>
    </w:p>
    <w:p w14:paraId="05B57A7B">
      <w:pPr>
        <w:rPr>
          <w:rFonts w:ascii="仿宋" w:hAnsi="仿宋" w:eastAsia="仿宋"/>
          <w:sz w:val="32"/>
          <w:szCs w:val="32"/>
        </w:rPr>
      </w:pPr>
      <w:r>
        <w:rPr>
          <w:rFonts w:hint="eastAsia" w:ascii="仿宋" w:hAnsi="仿宋" w:eastAsia="仿宋"/>
          <w:sz w:val="32"/>
          <w:szCs w:val="32"/>
        </w:rPr>
        <w:t>五、财政拨款支出决算明细表</w:t>
      </w:r>
    </w:p>
    <w:p w14:paraId="10654FF3">
      <w:pPr>
        <w:rPr>
          <w:rFonts w:ascii="仿宋" w:hAnsi="仿宋" w:eastAsia="仿宋"/>
          <w:sz w:val="32"/>
          <w:szCs w:val="32"/>
        </w:rPr>
      </w:pPr>
      <w:r>
        <w:rPr>
          <w:rFonts w:hint="eastAsia" w:ascii="仿宋" w:hAnsi="仿宋" w:eastAsia="仿宋"/>
          <w:sz w:val="32"/>
          <w:szCs w:val="32"/>
        </w:rPr>
        <w:t>六、一般公共预算财政拨款支出决算表</w:t>
      </w:r>
    </w:p>
    <w:p w14:paraId="4C50BED4">
      <w:pPr>
        <w:rPr>
          <w:rFonts w:ascii="仿宋" w:hAnsi="仿宋" w:eastAsia="仿宋"/>
          <w:sz w:val="32"/>
          <w:szCs w:val="32"/>
        </w:rPr>
      </w:pPr>
      <w:r>
        <w:rPr>
          <w:rFonts w:hint="eastAsia" w:ascii="仿宋" w:hAnsi="仿宋" w:eastAsia="仿宋"/>
          <w:sz w:val="32"/>
          <w:szCs w:val="32"/>
        </w:rPr>
        <w:t>七、一般公共预算财政拨款支出决算明细表</w:t>
      </w:r>
    </w:p>
    <w:p w14:paraId="0D73E967">
      <w:pPr>
        <w:rPr>
          <w:rFonts w:ascii="仿宋" w:hAnsi="仿宋" w:eastAsia="仿宋"/>
          <w:sz w:val="32"/>
          <w:szCs w:val="32"/>
        </w:rPr>
      </w:pPr>
      <w:r>
        <w:rPr>
          <w:rFonts w:hint="eastAsia" w:ascii="仿宋" w:hAnsi="仿宋" w:eastAsia="仿宋"/>
          <w:sz w:val="32"/>
          <w:szCs w:val="32"/>
        </w:rPr>
        <w:t>八、一般公共预算财政拨款基本支出决算表</w:t>
      </w:r>
    </w:p>
    <w:p w14:paraId="3D6A7D47">
      <w:pPr>
        <w:rPr>
          <w:rFonts w:ascii="仿宋" w:hAnsi="仿宋" w:eastAsia="仿宋"/>
          <w:sz w:val="32"/>
          <w:szCs w:val="32"/>
        </w:rPr>
      </w:pPr>
      <w:r>
        <w:rPr>
          <w:rFonts w:hint="eastAsia" w:ascii="仿宋" w:hAnsi="仿宋" w:eastAsia="仿宋"/>
          <w:sz w:val="32"/>
          <w:szCs w:val="32"/>
        </w:rPr>
        <w:t>九、一般公共预算财政拨款项目支出决算表</w:t>
      </w:r>
    </w:p>
    <w:p w14:paraId="15C0CC72">
      <w:pPr>
        <w:rPr>
          <w:rFonts w:ascii="仿宋" w:hAnsi="仿宋" w:eastAsia="仿宋"/>
          <w:sz w:val="32"/>
          <w:szCs w:val="32"/>
        </w:rPr>
      </w:pPr>
      <w:r>
        <w:rPr>
          <w:rFonts w:hint="eastAsia" w:ascii="仿宋" w:hAnsi="仿宋" w:eastAsia="仿宋"/>
          <w:sz w:val="32"/>
          <w:szCs w:val="32"/>
        </w:rPr>
        <w:t>十、政府性基金预算财政拨款收入支出决算表</w:t>
      </w:r>
    </w:p>
    <w:p w14:paraId="1358C84F">
      <w:pPr>
        <w:rPr>
          <w:rFonts w:ascii="仿宋" w:hAnsi="仿宋" w:eastAsia="仿宋"/>
          <w:sz w:val="32"/>
          <w:szCs w:val="32"/>
        </w:rPr>
      </w:pPr>
      <w:r>
        <w:rPr>
          <w:rFonts w:hint="eastAsia" w:ascii="仿宋" w:hAnsi="仿宋" w:eastAsia="仿宋"/>
          <w:sz w:val="32"/>
          <w:szCs w:val="32"/>
        </w:rPr>
        <w:t>十一、国有资本经营预算财政拨款收入支出决算表</w:t>
      </w:r>
    </w:p>
    <w:p w14:paraId="4FE29CDD">
      <w:pPr>
        <w:rPr>
          <w:rFonts w:ascii="仿宋" w:hAnsi="仿宋" w:eastAsia="仿宋"/>
          <w:sz w:val="32"/>
          <w:szCs w:val="32"/>
        </w:rPr>
      </w:pPr>
      <w:r>
        <w:rPr>
          <w:rFonts w:hint="eastAsia" w:ascii="仿宋" w:hAnsi="仿宋" w:eastAsia="仿宋"/>
          <w:sz w:val="32"/>
          <w:szCs w:val="32"/>
        </w:rPr>
        <w:t>十二、国有资本经营预算财政拨款支出决算表</w:t>
      </w:r>
    </w:p>
    <w:p w14:paraId="4C5D111B">
      <w:pPr>
        <w:rPr>
          <w:rFonts w:ascii="仿宋" w:hAnsi="仿宋" w:eastAsia="仿宋"/>
          <w:sz w:val="32"/>
          <w:szCs w:val="32"/>
        </w:rPr>
      </w:pPr>
      <w:r>
        <w:rPr>
          <w:rFonts w:hint="eastAsia" w:ascii="仿宋" w:hAnsi="仿宋" w:eastAsia="仿宋"/>
          <w:sz w:val="32"/>
          <w:szCs w:val="32"/>
        </w:rPr>
        <w:t>十三、财政拨款“三公”经费支出决算表</w:t>
      </w:r>
    </w:p>
    <w:sectPr>
      <w:footerReference r:id="rId9" w:type="first"/>
      <w:footerReference r:id="rId8" w:type="default"/>
      <w:pgSz w:w="11906" w:h="16838"/>
      <w:pgMar w:top="1440" w:right="1800" w:bottom="1440" w:left="1800" w:header="851" w:footer="992" w:gutter="0"/>
      <w:pgNumType w:start="3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422BFF7-73F1-4A74-8DE8-7A62AAF3160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BC5F65F6-0CB4-4D40-93F4-DC0FF13E6EE3}"/>
  </w:font>
  <w:font w:name="Cambria">
    <w:panose1 w:val="02040503050406030204"/>
    <w:charset w:val="00"/>
    <w:family w:val="roman"/>
    <w:pitch w:val="default"/>
    <w:sig w:usb0="E00002FF" w:usb1="400004FF" w:usb2="00000000" w:usb3="00000000" w:csb0="2000019F" w:csb1="00000000"/>
    <w:embedRegular r:id="rId3" w:fontKey="{E14F939F-862D-43EC-B814-A1E5E5CD53C7}"/>
  </w:font>
  <w:font w:name="仿宋_GB2312">
    <w:panose1 w:val="02010609030101010101"/>
    <w:charset w:val="86"/>
    <w:family w:val="modern"/>
    <w:pitch w:val="default"/>
    <w:sig w:usb0="00000001" w:usb1="080E0000" w:usb2="00000000" w:usb3="00000000" w:csb0="00040000" w:csb1="00000000"/>
    <w:embedRegular r:id="rId4" w:fontKey="{D796E0CD-CA2E-4E77-9859-E01FEC9D6F6D}"/>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00000001" w:usb1="080E0000" w:usb2="00000000" w:usb3="00000000" w:csb0="00040000" w:csb1="00000000"/>
    <w:embedRegular r:id="rId5" w:fontKey="{D9FDD524-B908-4260-B0FE-95640A124330}"/>
  </w:font>
  <w:font w:name="方正仿宋_GBK">
    <w:altName w:val="微软雅黑"/>
    <w:panose1 w:val="03000509000000000000"/>
    <w:charset w:val="86"/>
    <w:family w:val="auto"/>
    <w:pitch w:val="default"/>
    <w:sig w:usb0="00000000" w:usb1="00000000" w:usb2="00000000" w:usb3="00000000" w:csb0="00040000" w:csb1="00000000"/>
    <w:embedRegular r:id="rId6" w:fontKey="{F4B9E692-AD42-4F16-A317-7EE82AF261CD}"/>
  </w:font>
  <w:font w:name="楷体_GB2312">
    <w:panose1 w:val="02010609030101010101"/>
    <w:charset w:val="86"/>
    <w:family w:val="modern"/>
    <w:pitch w:val="default"/>
    <w:sig w:usb0="00000001" w:usb1="080E0000" w:usb2="00000000" w:usb3="00000000" w:csb0="00040000" w:csb1="00000000"/>
    <w:embedRegular r:id="rId7" w:fontKey="{F9663DF9-18D7-4969-BE97-45BB3522BF2F}"/>
  </w:font>
  <w:font w:name="Microsoft YaHei UI">
    <w:panose1 w:val="020B0503020204020204"/>
    <w:charset w:val="86"/>
    <w:family w:val="auto"/>
    <w:pitch w:val="default"/>
    <w:sig w:usb0="80000287" w:usb1="2ACF3C50" w:usb2="00000016" w:usb3="00000000" w:csb0="0004001F" w:csb1="00000000"/>
    <w:embedRegular r:id="rId8" w:fontKey="{D7811DAD-2CA0-4BD1-87B9-1BDC4E5D9A47}"/>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CB8C9">
    <w:pPr>
      <w:pStyle w:val="1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5620"/>
                          </w:sdtPr>
                          <w:sdtContent>
                            <w:p w14:paraId="017B131D">
                              <w:pPr>
                                <w:pStyle w:val="10"/>
                                <w:jc w:val="center"/>
                              </w:pPr>
                              <w:r>
                                <w:fldChar w:fldCharType="begin"/>
                              </w:r>
                              <w:r>
                                <w:instrText xml:space="preserve">PAGE   \* MERGEFORMAT</w:instrText>
                              </w:r>
                              <w:r>
                                <w:fldChar w:fldCharType="separate"/>
                              </w:r>
                              <w:r>
                                <w:rPr>
                                  <w:lang w:val="zh-CN"/>
                                </w:rPr>
                                <w:t>8</w:t>
                              </w:r>
                              <w:r>
                                <w:fldChar w:fldCharType="end"/>
                              </w:r>
                            </w:p>
                          </w:sdtContent>
                        </w:sdt>
                        <w:p w14:paraId="23DFF66A">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sdt>
                    <w:sdtPr>
                      <w:id w:val="147455620"/>
                    </w:sdtPr>
                    <w:sdtContent>
                      <w:p w14:paraId="017B131D">
                        <w:pPr>
                          <w:pStyle w:val="10"/>
                          <w:jc w:val="center"/>
                        </w:pPr>
                        <w:r>
                          <w:fldChar w:fldCharType="begin"/>
                        </w:r>
                        <w:r>
                          <w:instrText xml:space="preserve">PAGE   \* MERGEFORMAT</w:instrText>
                        </w:r>
                        <w:r>
                          <w:fldChar w:fldCharType="separate"/>
                        </w:r>
                        <w:r>
                          <w:rPr>
                            <w:lang w:val="zh-CN"/>
                          </w:rPr>
                          <w:t>8</w:t>
                        </w:r>
                        <w:r>
                          <w:fldChar w:fldCharType="end"/>
                        </w:r>
                      </w:p>
                    </w:sdtContent>
                  </w:sdt>
                  <w:p w14:paraId="23DFF66A">
                    <w:pPr>
                      <w:pStyle w:val="2"/>
                    </w:pPr>
                  </w:p>
                </w:txbxContent>
              </v:textbox>
            </v:shape>
          </w:pict>
        </mc:Fallback>
      </mc:AlternateContent>
    </w:r>
  </w:p>
  <w:p w14:paraId="694BF39A">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95508">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C13E02">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2C13E02">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4CF67">
    <w:pPr>
      <w:pStyle w:val="1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680"/>
                          </w:sdtPr>
                          <w:sdtContent>
                            <w:p w14:paraId="15F44DE1">
                              <w:pPr>
                                <w:pStyle w:val="10"/>
                                <w:jc w:val="center"/>
                              </w:pPr>
                              <w:r>
                                <w:fldChar w:fldCharType="begin"/>
                              </w:r>
                              <w:r>
                                <w:instrText xml:space="preserve">PAGE   \* MERGEFORMAT</w:instrText>
                              </w:r>
                              <w:r>
                                <w:fldChar w:fldCharType="separate"/>
                              </w:r>
                              <w:r>
                                <w:rPr>
                                  <w:lang w:val="zh-CN"/>
                                </w:rPr>
                                <w:t>8</w:t>
                              </w:r>
                              <w:r>
                                <w:fldChar w:fldCharType="end"/>
                              </w:r>
                            </w:p>
                          </w:sdtContent>
                        </w:sdt>
                        <w:p w14:paraId="30F47D6E">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sdt>
                    <w:sdtPr>
                      <w:id w:val="147482680"/>
                    </w:sdtPr>
                    <w:sdtContent>
                      <w:p w14:paraId="15F44DE1">
                        <w:pPr>
                          <w:pStyle w:val="10"/>
                          <w:jc w:val="center"/>
                        </w:pPr>
                        <w:r>
                          <w:fldChar w:fldCharType="begin"/>
                        </w:r>
                        <w:r>
                          <w:instrText xml:space="preserve">PAGE   \* MERGEFORMAT</w:instrText>
                        </w:r>
                        <w:r>
                          <w:fldChar w:fldCharType="separate"/>
                        </w:r>
                        <w:r>
                          <w:rPr>
                            <w:lang w:val="zh-CN"/>
                          </w:rPr>
                          <w:t>8</w:t>
                        </w:r>
                        <w:r>
                          <w:fldChar w:fldCharType="end"/>
                        </w:r>
                      </w:p>
                    </w:sdtContent>
                  </w:sdt>
                  <w:p w14:paraId="30F47D6E">
                    <w:pPr>
                      <w:pStyle w:val="2"/>
                    </w:pPr>
                  </w:p>
                </w:txbxContent>
              </v:textbox>
            </v:shape>
          </w:pict>
        </mc:Fallback>
      </mc:AlternateContent>
    </w:r>
  </w:p>
  <w:p w14:paraId="7795117B">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CD4C7">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58081F">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358081F">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EEF23">
    <w:pPr>
      <w:pStyle w:val="6"/>
      <w:bidi w:val="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135"/>
                          </w:sdtPr>
                          <w:sdtContent>
                            <w:p w14:paraId="5D32CEDD">
                              <w:pPr>
                                <w:pStyle w:val="10"/>
                                <w:jc w:val="center"/>
                              </w:pPr>
                              <w:r>
                                <w:fldChar w:fldCharType="begin"/>
                              </w:r>
                              <w:r>
                                <w:instrText xml:space="preserve">PAGE   \* MERGEFORMAT</w:instrText>
                              </w:r>
                              <w:r>
                                <w:fldChar w:fldCharType="separate"/>
                              </w:r>
                              <w:r>
                                <w:rPr>
                                  <w:lang w:val="zh-CN"/>
                                </w:rPr>
                                <w:t>8</w:t>
                              </w:r>
                              <w:r>
                                <w:fldChar w:fldCharType="end"/>
                              </w:r>
                            </w:p>
                          </w:sdtContent>
                        </w:sdt>
                        <w:p w14:paraId="2780A40B">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sdt>
                    <w:sdtPr>
                      <w:id w:val="147478135"/>
                    </w:sdtPr>
                    <w:sdtContent>
                      <w:p w14:paraId="5D32CEDD">
                        <w:pPr>
                          <w:pStyle w:val="10"/>
                          <w:jc w:val="center"/>
                        </w:pPr>
                        <w:r>
                          <w:fldChar w:fldCharType="begin"/>
                        </w:r>
                        <w:r>
                          <w:instrText xml:space="preserve">PAGE   \* MERGEFORMAT</w:instrText>
                        </w:r>
                        <w:r>
                          <w:fldChar w:fldCharType="separate"/>
                        </w:r>
                        <w:r>
                          <w:rPr>
                            <w:lang w:val="zh-CN"/>
                          </w:rPr>
                          <w:t>8</w:t>
                        </w:r>
                        <w:r>
                          <w:fldChar w:fldCharType="end"/>
                        </w:r>
                      </w:p>
                    </w:sdtContent>
                  </w:sdt>
                  <w:p w14:paraId="2780A40B">
                    <w:pPr>
                      <w:pStyle w:val="2"/>
                    </w:pPr>
                  </w:p>
                </w:txbxContent>
              </v:textbox>
            </v:shape>
          </w:pict>
        </mc:Fallback>
      </mc:AlternateContent>
    </w:r>
  </w:p>
  <w:p w14:paraId="4D2E73E5">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9743C">
    <w:pPr>
      <w:pStyle w:val="1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FB31D">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12FB31D">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4132E">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732C5"/>
    <w:multiLevelType w:val="singleLevel"/>
    <w:tmpl w:val="91F732C5"/>
    <w:lvl w:ilvl="0" w:tentative="0">
      <w:start w:val="2"/>
      <w:numFmt w:val="chineseCounting"/>
      <w:suff w:val="nothing"/>
      <w:lvlText w:val="（%1）"/>
      <w:lvlJc w:val="left"/>
      <w:rPr>
        <w:rFonts w:hint="eastAsia"/>
      </w:r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F3D36950"/>
    <w:multiLevelType w:val="singleLevel"/>
    <w:tmpl w:val="F3D36950"/>
    <w:lvl w:ilvl="0" w:tentative="0">
      <w:start w:val="1"/>
      <w:numFmt w:val="chineseCounting"/>
      <w:suff w:val="nothing"/>
      <w:lvlText w:val="（%1）"/>
      <w:lvlJc w:val="left"/>
      <w:rPr>
        <w:rFonts w:hint="eastAsia"/>
      </w:rPr>
    </w:lvl>
  </w:abstractNum>
  <w:abstractNum w:abstractNumId="3">
    <w:nsid w:val="FE4172D4"/>
    <w:multiLevelType w:val="singleLevel"/>
    <w:tmpl w:val="FE4172D4"/>
    <w:lvl w:ilvl="0" w:tentative="0">
      <w:start w:val="2"/>
      <w:numFmt w:val="chineseCounting"/>
      <w:suff w:val="nothing"/>
      <w:lvlText w:val="（%1）"/>
      <w:lvlJc w:val="left"/>
      <w:rPr>
        <w:rFonts w:hint="eastAsia"/>
      </w:rPr>
    </w:lvl>
  </w:abstractNum>
  <w:abstractNum w:abstractNumId="4">
    <w:nsid w:val="104F607C"/>
    <w:multiLevelType w:val="singleLevel"/>
    <w:tmpl w:val="104F607C"/>
    <w:lvl w:ilvl="0" w:tentative="0">
      <w:start w:val="2"/>
      <w:numFmt w:val="chineseCounting"/>
      <w:suff w:val="nothing"/>
      <w:lvlText w:val="（%1）"/>
      <w:lvlJc w:val="left"/>
      <w:rPr>
        <w:rFonts w:hint="eastAsia"/>
      </w:rPr>
    </w:lvl>
  </w:abstractNum>
  <w:abstractNum w:abstractNumId="5">
    <w:nsid w:val="1F856878"/>
    <w:multiLevelType w:val="singleLevel"/>
    <w:tmpl w:val="1F856878"/>
    <w:lvl w:ilvl="0" w:tentative="0">
      <w:start w:val="3"/>
      <w:numFmt w:val="chineseCounting"/>
      <w:suff w:val="nothing"/>
      <w:lvlText w:val="（%1）"/>
      <w:lvlJc w:val="left"/>
      <w:rPr>
        <w:rFonts w:hint="eastAsia"/>
      </w:rPr>
    </w:lvl>
  </w:abstractNum>
  <w:abstractNum w:abstractNumId="6">
    <w:nsid w:val="2C0BACE3"/>
    <w:multiLevelType w:val="singleLevel"/>
    <w:tmpl w:val="2C0BACE3"/>
    <w:lvl w:ilvl="0" w:tentative="0">
      <w:start w:val="1"/>
      <w:numFmt w:val="chineseCounting"/>
      <w:suff w:val="nothing"/>
      <w:lvlText w:val="%1、"/>
      <w:lvlJc w:val="left"/>
      <w:rPr>
        <w:rFonts w:hint="eastAsia"/>
      </w:rPr>
    </w:lvl>
  </w:abstractNum>
  <w:abstractNum w:abstractNumId="7">
    <w:nsid w:val="3988A5E3"/>
    <w:multiLevelType w:val="singleLevel"/>
    <w:tmpl w:val="3988A5E3"/>
    <w:lvl w:ilvl="0" w:tentative="0">
      <w:start w:val="2"/>
      <w:numFmt w:val="chineseCounting"/>
      <w:suff w:val="nothing"/>
      <w:lvlText w:val="（%1）"/>
      <w:lvlJc w:val="left"/>
      <w:rPr>
        <w:rFonts w:hint="eastAsia"/>
      </w:rPr>
    </w:lvl>
  </w:abstractNum>
  <w:abstractNum w:abstractNumId="8">
    <w:nsid w:val="3EB308AC"/>
    <w:multiLevelType w:val="multilevel"/>
    <w:tmpl w:val="3EB308AC"/>
    <w:lvl w:ilvl="0" w:tentative="0">
      <w:start w:val="1"/>
      <w:numFmt w:val="japaneseCounting"/>
      <w:lvlText w:val="%1、"/>
      <w:lvlJc w:val="left"/>
      <w:pPr>
        <w:ind w:left="630" w:hanging="63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FEA8BF5"/>
    <w:multiLevelType w:val="singleLevel"/>
    <w:tmpl w:val="6FEA8BF5"/>
    <w:lvl w:ilvl="0" w:tentative="0">
      <w:start w:val="2"/>
      <w:numFmt w:val="decimal"/>
      <w:suff w:val="nothing"/>
      <w:lvlText w:val="%1．"/>
      <w:lvlJc w:val="left"/>
    </w:lvl>
  </w:abstractNum>
  <w:num w:numId="1">
    <w:abstractNumId w:val="8"/>
  </w:num>
  <w:num w:numId="2">
    <w:abstractNumId w:val="1"/>
  </w:num>
  <w:num w:numId="3">
    <w:abstractNumId w:val="6"/>
  </w:num>
  <w:num w:numId="4">
    <w:abstractNumId w:val="7"/>
  </w:num>
  <w:num w:numId="5">
    <w:abstractNumId w:val="0"/>
  </w:num>
  <w:num w:numId="6">
    <w:abstractNumId w:val="3"/>
  </w:num>
  <w:num w:numId="7">
    <w:abstractNumId w:val="5"/>
  </w:num>
  <w:num w:numId="8">
    <w:abstractNumId w:val="4"/>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60"/>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1MjFjMDUwODIwZDg4NDczZTI5ZmU1NTQ5YzljMTkifQ=="/>
  </w:docVars>
  <w:rsids>
    <w:rsidRoot w:val="00F1361C"/>
    <w:rsid w:val="00014A1C"/>
    <w:rsid w:val="000222C6"/>
    <w:rsid w:val="0002549F"/>
    <w:rsid w:val="00035392"/>
    <w:rsid w:val="000468DB"/>
    <w:rsid w:val="0006487A"/>
    <w:rsid w:val="00065F8F"/>
    <w:rsid w:val="00070A43"/>
    <w:rsid w:val="000768F2"/>
    <w:rsid w:val="00082EAC"/>
    <w:rsid w:val="0009184B"/>
    <w:rsid w:val="00094236"/>
    <w:rsid w:val="0009593C"/>
    <w:rsid w:val="00097322"/>
    <w:rsid w:val="00097358"/>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30E5"/>
    <w:rsid w:val="00174518"/>
    <w:rsid w:val="0018106D"/>
    <w:rsid w:val="001877A7"/>
    <w:rsid w:val="001901AF"/>
    <w:rsid w:val="00191536"/>
    <w:rsid w:val="00196687"/>
    <w:rsid w:val="001C0962"/>
    <w:rsid w:val="001C2738"/>
    <w:rsid w:val="001D7531"/>
    <w:rsid w:val="001E737D"/>
    <w:rsid w:val="001F0592"/>
    <w:rsid w:val="001F6419"/>
    <w:rsid w:val="001F7506"/>
    <w:rsid w:val="002006CD"/>
    <w:rsid w:val="00202B36"/>
    <w:rsid w:val="00204B7A"/>
    <w:rsid w:val="00204CDE"/>
    <w:rsid w:val="00206A1C"/>
    <w:rsid w:val="0021101A"/>
    <w:rsid w:val="00220536"/>
    <w:rsid w:val="00235629"/>
    <w:rsid w:val="00260289"/>
    <w:rsid w:val="00260C38"/>
    <w:rsid w:val="002616C0"/>
    <w:rsid w:val="002643DB"/>
    <w:rsid w:val="00265372"/>
    <w:rsid w:val="002662AA"/>
    <w:rsid w:val="00280496"/>
    <w:rsid w:val="00283D47"/>
    <w:rsid w:val="00294DC9"/>
    <w:rsid w:val="0029511D"/>
    <w:rsid w:val="00295495"/>
    <w:rsid w:val="002A31DE"/>
    <w:rsid w:val="002A62F7"/>
    <w:rsid w:val="002B2613"/>
    <w:rsid w:val="002C1468"/>
    <w:rsid w:val="002D6D05"/>
    <w:rsid w:val="002F1818"/>
    <w:rsid w:val="002F5109"/>
    <w:rsid w:val="002F567B"/>
    <w:rsid w:val="003216A9"/>
    <w:rsid w:val="00335A74"/>
    <w:rsid w:val="0036561B"/>
    <w:rsid w:val="0037013F"/>
    <w:rsid w:val="00380C92"/>
    <w:rsid w:val="003A2084"/>
    <w:rsid w:val="003A484F"/>
    <w:rsid w:val="003A4883"/>
    <w:rsid w:val="003B0BE0"/>
    <w:rsid w:val="003B0C1B"/>
    <w:rsid w:val="003B688C"/>
    <w:rsid w:val="003C0291"/>
    <w:rsid w:val="003C39AE"/>
    <w:rsid w:val="003C7B60"/>
    <w:rsid w:val="003D0C0F"/>
    <w:rsid w:val="003D1FB2"/>
    <w:rsid w:val="003D2919"/>
    <w:rsid w:val="003D66DA"/>
    <w:rsid w:val="003E1310"/>
    <w:rsid w:val="003E2E6A"/>
    <w:rsid w:val="003E6F55"/>
    <w:rsid w:val="00406254"/>
    <w:rsid w:val="00410559"/>
    <w:rsid w:val="0041585D"/>
    <w:rsid w:val="00420B47"/>
    <w:rsid w:val="004223DE"/>
    <w:rsid w:val="00434489"/>
    <w:rsid w:val="00437085"/>
    <w:rsid w:val="00443880"/>
    <w:rsid w:val="004464F4"/>
    <w:rsid w:val="00447329"/>
    <w:rsid w:val="00471401"/>
    <w:rsid w:val="00473F31"/>
    <w:rsid w:val="0048263A"/>
    <w:rsid w:val="004826A2"/>
    <w:rsid w:val="00487E5D"/>
    <w:rsid w:val="00497AF8"/>
    <w:rsid w:val="004A711F"/>
    <w:rsid w:val="004B199D"/>
    <w:rsid w:val="004B4690"/>
    <w:rsid w:val="004E0A2D"/>
    <w:rsid w:val="004E206B"/>
    <w:rsid w:val="004E3607"/>
    <w:rsid w:val="004E6DF7"/>
    <w:rsid w:val="004F0FBD"/>
    <w:rsid w:val="00505A47"/>
    <w:rsid w:val="00512FDA"/>
    <w:rsid w:val="00520DA0"/>
    <w:rsid w:val="005664BB"/>
    <w:rsid w:val="00566FFA"/>
    <w:rsid w:val="0057481D"/>
    <w:rsid w:val="0058486E"/>
    <w:rsid w:val="00585B33"/>
    <w:rsid w:val="0059014D"/>
    <w:rsid w:val="00597E18"/>
    <w:rsid w:val="005A09FD"/>
    <w:rsid w:val="005B0198"/>
    <w:rsid w:val="005B321C"/>
    <w:rsid w:val="005B5C64"/>
    <w:rsid w:val="005C5337"/>
    <w:rsid w:val="005C6BD0"/>
    <w:rsid w:val="005D1C8B"/>
    <w:rsid w:val="005D468D"/>
    <w:rsid w:val="005D5CED"/>
    <w:rsid w:val="005F1A4C"/>
    <w:rsid w:val="00605688"/>
    <w:rsid w:val="006070AF"/>
    <w:rsid w:val="00607E6C"/>
    <w:rsid w:val="006101B1"/>
    <w:rsid w:val="00614E44"/>
    <w:rsid w:val="00620030"/>
    <w:rsid w:val="0062270A"/>
    <w:rsid w:val="00622830"/>
    <w:rsid w:val="00623DA0"/>
    <w:rsid w:val="00630AEF"/>
    <w:rsid w:val="006325F8"/>
    <w:rsid w:val="00633463"/>
    <w:rsid w:val="00634C9A"/>
    <w:rsid w:val="00640417"/>
    <w:rsid w:val="00641F56"/>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516B"/>
    <w:rsid w:val="00746F48"/>
    <w:rsid w:val="0075404D"/>
    <w:rsid w:val="0076182A"/>
    <w:rsid w:val="007621CF"/>
    <w:rsid w:val="00762406"/>
    <w:rsid w:val="0076493D"/>
    <w:rsid w:val="00767B7E"/>
    <w:rsid w:val="00773421"/>
    <w:rsid w:val="007770C3"/>
    <w:rsid w:val="00784D24"/>
    <w:rsid w:val="00785FBA"/>
    <w:rsid w:val="00786E4A"/>
    <w:rsid w:val="007875EB"/>
    <w:rsid w:val="0079426B"/>
    <w:rsid w:val="007D1682"/>
    <w:rsid w:val="007D312A"/>
    <w:rsid w:val="007D3F19"/>
    <w:rsid w:val="007E23B0"/>
    <w:rsid w:val="007E23E5"/>
    <w:rsid w:val="007E6A82"/>
    <w:rsid w:val="007F1991"/>
    <w:rsid w:val="007F2C2F"/>
    <w:rsid w:val="007F55FC"/>
    <w:rsid w:val="007F5665"/>
    <w:rsid w:val="007F7385"/>
    <w:rsid w:val="00800112"/>
    <w:rsid w:val="00813348"/>
    <w:rsid w:val="008253BB"/>
    <w:rsid w:val="0083706E"/>
    <w:rsid w:val="008408F6"/>
    <w:rsid w:val="008423A5"/>
    <w:rsid w:val="00850625"/>
    <w:rsid w:val="00853718"/>
    <w:rsid w:val="00855221"/>
    <w:rsid w:val="00860645"/>
    <w:rsid w:val="00871F71"/>
    <w:rsid w:val="00872FD8"/>
    <w:rsid w:val="00875641"/>
    <w:rsid w:val="00885AF4"/>
    <w:rsid w:val="00887F08"/>
    <w:rsid w:val="008914B9"/>
    <w:rsid w:val="008939CD"/>
    <w:rsid w:val="008B3397"/>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34F0"/>
    <w:rsid w:val="00935C98"/>
    <w:rsid w:val="00946945"/>
    <w:rsid w:val="00951248"/>
    <w:rsid w:val="0095152F"/>
    <w:rsid w:val="009546E4"/>
    <w:rsid w:val="00954C49"/>
    <w:rsid w:val="00955E37"/>
    <w:rsid w:val="0097099F"/>
    <w:rsid w:val="00971997"/>
    <w:rsid w:val="00971FFC"/>
    <w:rsid w:val="00983619"/>
    <w:rsid w:val="0098660A"/>
    <w:rsid w:val="009931C3"/>
    <w:rsid w:val="009B2C43"/>
    <w:rsid w:val="009B4EAE"/>
    <w:rsid w:val="009B7573"/>
    <w:rsid w:val="009C22F4"/>
    <w:rsid w:val="009C2A4B"/>
    <w:rsid w:val="009C2E98"/>
    <w:rsid w:val="009D3447"/>
    <w:rsid w:val="009D4711"/>
    <w:rsid w:val="009E50C8"/>
    <w:rsid w:val="009F1185"/>
    <w:rsid w:val="009F18CD"/>
    <w:rsid w:val="009F2A13"/>
    <w:rsid w:val="009F7527"/>
    <w:rsid w:val="00A04EB0"/>
    <w:rsid w:val="00A13CC1"/>
    <w:rsid w:val="00A16847"/>
    <w:rsid w:val="00A237D8"/>
    <w:rsid w:val="00A25C9F"/>
    <w:rsid w:val="00A268C4"/>
    <w:rsid w:val="00A27C77"/>
    <w:rsid w:val="00A307CD"/>
    <w:rsid w:val="00A331C8"/>
    <w:rsid w:val="00A40A00"/>
    <w:rsid w:val="00A4142F"/>
    <w:rsid w:val="00A422EB"/>
    <w:rsid w:val="00A45BB7"/>
    <w:rsid w:val="00A56DF2"/>
    <w:rsid w:val="00A56E6E"/>
    <w:rsid w:val="00A67AB5"/>
    <w:rsid w:val="00A733B2"/>
    <w:rsid w:val="00A741C2"/>
    <w:rsid w:val="00A74A9E"/>
    <w:rsid w:val="00A91760"/>
    <w:rsid w:val="00A93439"/>
    <w:rsid w:val="00A93B00"/>
    <w:rsid w:val="00A93C21"/>
    <w:rsid w:val="00AB64C9"/>
    <w:rsid w:val="00AC2E50"/>
    <w:rsid w:val="00AC3C6A"/>
    <w:rsid w:val="00AC647D"/>
    <w:rsid w:val="00AD5620"/>
    <w:rsid w:val="00AD656B"/>
    <w:rsid w:val="00AD7C1B"/>
    <w:rsid w:val="00AE16BA"/>
    <w:rsid w:val="00AE1EBE"/>
    <w:rsid w:val="00B03C9D"/>
    <w:rsid w:val="00B060AE"/>
    <w:rsid w:val="00B10517"/>
    <w:rsid w:val="00B12E8B"/>
    <w:rsid w:val="00B14E76"/>
    <w:rsid w:val="00B161B8"/>
    <w:rsid w:val="00B2048C"/>
    <w:rsid w:val="00B310B9"/>
    <w:rsid w:val="00B35F3F"/>
    <w:rsid w:val="00B36CBB"/>
    <w:rsid w:val="00B411A6"/>
    <w:rsid w:val="00B425E0"/>
    <w:rsid w:val="00B440AA"/>
    <w:rsid w:val="00B44B70"/>
    <w:rsid w:val="00B53C56"/>
    <w:rsid w:val="00B57DAF"/>
    <w:rsid w:val="00B76F9D"/>
    <w:rsid w:val="00B77EA6"/>
    <w:rsid w:val="00B81598"/>
    <w:rsid w:val="00B841F1"/>
    <w:rsid w:val="00B944D6"/>
    <w:rsid w:val="00BA579E"/>
    <w:rsid w:val="00BB4DF0"/>
    <w:rsid w:val="00BC289F"/>
    <w:rsid w:val="00BC2D50"/>
    <w:rsid w:val="00BC5361"/>
    <w:rsid w:val="00BC5460"/>
    <w:rsid w:val="00BC6B50"/>
    <w:rsid w:val="00BD0E25"/>
    <w:rsid w:val="00BF5BD6"/>
    <w:rsid w:val="00C03E31"/>
    <w:rsid w:val="00C25547"/>
    <w:rsid w:val="00C33E72"/>
    <w:rsid w:val="00C354B2"/>
    <w:rsid w:val="00C35554"/>
    <w:rsid w:val="00C42709"/>
    <w:rsid w:val="00C46119"/>
    <w:rsid w:val="00C533CC"/>
    <w:rsid w:val="00C5751C"/>
    <w:rsid w:val="00C61BFC"/>
    <w:rsid w:val="00C62B85"/>
    <w:rsid w:val="00C65438"/>
    <w:rsid w:val="00C86018"/>
    <w:rsid w:val="00C860D5"/>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5563D"/>
    <w:rsid w:val="00D7035F"/>
    <w:rsid w:val="00D950A1"/>
    <w:rsid w:val="00DA634F"/>
    <w:rsid w:val="00DA65AC"/>
    <w:rsid w:val="00DB1913"/>
    <w:rsid w:val="00DC410D"/>
    <w:rsid w:val="00DC5A81"/>
    <w:rsid w:val="00DC68CA"/>
    <w:rsid w:val="00DC7CBA"/>
    <w:rsid w:val="00DD73B7"/>
    <w:rsid w:val="00DF096A"/>
    <w:rsid w:val="00DF24DF"/>
    <w:rsid w:val="00DF28BC"/>
    <w:rsid w:val="00DF34B9"/>
    <w:rsid w:val="00E01053"/>
    <w:rsid w:val="00E01B70"/>
    <w:rsid w:val="00E07ACF"/>
    <w:rsid w:val="00E11813"/>
    <w:rsid w:val="00E31EE9"/>
    <w:rsid w:val="00E331A1"/>
    <w:rsid w:val="00E33202"/>
    <w:rsid w:val="00E336A9"/>
    <w:rsid w:val="00E472B1"/>
    <w:rsid w:val="00E50624"/>
    <w:rsid w:val="00E568DF"/>
    <w:rsid w:val="00E64269"/>
    <w:rsid w:val="00E8069C"/>
    <w:rsid w:val="00E82267"/>
    <w:rsid w:val="00E853CE"/>
    <w:rsid w:val="00E867B6"/>
    <w:rsid w:val="00EA010F"/>
    <w:rsid w:val="00EB0FAE"/>
    <w:rsid w:val="00ED1B63"/>
    <w:rsid w:val="00ED3C1F"/>
    <w:rsid w:val="00ED4085"/>
    <w:rsid w:val="00ED420E"/>
    <w:rsid w:val="00ED6FBE"/>
    <w:rsid w:val="00EE2F57"/>
    <w:rsid w:val="00EF4C34"/>
    <w:rsid w:val="00EF77C6"/>
    <w:rsid w:val="00F03938"/>
    <w:rsid w:val="00F05438"/>
    <w:rsid w:val="00F1361C"/>
    <w:rsid w:val="00F156F0"/>
    <w:rsid w:val="00F160C7"/>
    <w:rsid w:val="00F2408F"/>
    <w:rsid w:val="00F240E9"/>
    <w:rsid w:val="00F36D8F"/>
    <w:rsid w:val="00F417B1"/>
    <w:rsid w:val="00F45853"/>
    <w:rsid w:val="00F5561B"/>
    <w:rsid w:val="00F602DF"/>
    <w:rsid w:val="00F754A1"/>
    <w:rsid w:val="00F81FD9"/>
    <w:rsid w:val="00F841AA"/>
    <w:rsid w:val="00F84A94"/>
    <w:rsid w:val="00F87E96"/>
    <w:rsid w:val="00FA23E8"/>
    <w:rsid w:val="00FA789D"/>
    <w:rsid w:val="00FC7DA4"/>
    <w:rsid w:val="00FD3CC1"/>
    <w:rsid w:val="00FE2C3C"/>
    <w:rsid w:val="00FF1E02"/>
    <w:rsid w:val="00FF30B4"/>
    <w:rsid w:val="015975B8"/>
    <w:rsid w:val="02FEBE30"/>
    <w:rsid w:val="036F8141"/>
    <w:rsid w:val="066E0107"/>
    <w:rsid w:val="07996F6E"/>
    <w:rsid w:val="07DFD8BA"/>
    <w:rsid w:val="085262B3"/>
    <w:rsid w:val="0A2032A3"/>
    <w:rsid w:val="0B2E3E12"/>
    <w:rsid w:val="0D35B1ED"/>
    <w:rsid w:val="0E7ED1F5"/>
    <w:rsid w:val="0F98263C"/>
    <w:rsid w:val="101860EC"/>
    <w:rsid w:val="10C055FF"/>
    <w:rsid w:val="118107EC"/>
    <w:rsid w:val="13D50BC4"/>
    <w:rsid w:val="13F5616D"/>
    <w:rsid w:val="14793246"/>
    <w:rsid w:val="15485429"/>
    <w:rsid w:val="16BB723D"/>
    <w:rsid w:val="17F9714D"/>
    <w:rsid w:val="1918F934"/>
    <w:rsid w:val="1BE76FB3"/>
    <w:rsid w:val="1BE8440E"/>
    <w:rsid w:val="1D155CEE"/>
    <w:rsid w:val="1DFBC4B3"/>
    <w:rsid w:val="1E740ACF"/>
    <w:rsid w:val="1F19C781"/>
    <w:rsid w:val="1F33FCE5"/>
    <w:rsid w:val="1F7F7398"/>
    <w:rsid w:val="1FD2DB6F"/>
    <w:rsid w:val="1FF35744"/>
    <w:rsid w:val="1FF6BC77"/>
    <w:rsid w:val="1FF9236D"/>
    <w:rsid w:val="2333840E"/>
    <w:rsid w:val="23860B96"/>
    <w:rsid w:val="240371BF"/>
    <w:rsid w:val="257C638F"/>
    <w:rsid w:val="26D47D06"/>
    <w:rsid w:val="29424D7C"/>
    <w:rsid w:val="29FD04D3"/>
    <w:rsid w:val="2BFF7BC6"/>
    <w:rsid w:val="2C8A61B5"/>
    <w:rsid w:val="2CD59C95"/>
    <w:rsid w:val="2DF04E50"/>
    <w:rsid w:val="2EFD05E5"/>
    <w:rsid w:val="2F040D46"/>
    <w:rsid w:val="2F4F95CE"/>
    <w:rsid w:val="2FACAFDD"/>
    <w:rsid w:val="2FAE5751"/>
    <w:rsid w:val="2FB1A395"/>
    <w:rsid w:val="2FCF0B76"/>
    <w:rsid w:val="2FD9A7D8"/>
    <w:rsid w:val="319F7F4E"/>
    <w:rsid w:val="3304709D"/>
    <w:rsid w:val="36AA5135"/>
    <w:rsid w:val="36BE0DA7"/>
    <w:rsid w:val="376B6AA6"/>
    <w:rsid w:val="376D39B2"/>
    <w:rsid w:val="37E16F03"/>
    <w:rsid w:val="37F53A3B"/>
    <w:rsid w:val="38D469F0"/>
    <w:rsid w:val="38F78389"/>
    <w:rsid w:val="397BAF1F"/>
    <w:rsid w:val="39E7B272"/>
    <w:rsid w:val="39F7642F"/>
    <w:rsid w:val="39FF7B37"/>
    <w:rsid w:val="3AB79AF3"/>
    <w:rsid w:val="3AFDCB77"/>
    <w:rsid w:val="3B7EF35A"/>
    <w:rsid w:val="3B9FDB6C"/>
    <w:rsid w:val="3BA02D2E"/>
    <w:rsid w:val="3BF5BC2F"/>
    <w:rsid w:val="3BF7C23A"/>
    <w:rsid w:val="3BFF223E"/>
    <w:rsid w:val="3C6EC0A1"/>
    <w:rsid w:val="3CDB0824"/>
    <w:rsid w:val="3CEBA265"/>
    <w:rsid w:val="3D6A7F9F"/>
    <w:rsid w:val="3D7E7F4D"/>
    <w:rsid w:val="3D98207C"/>
    <w:rsid w:val="3D9CF30A"/>
    <w:rsid w:val="3DFF5A3E"/>
    <w:rsid w:val="3E78745D"/>
    <w:rsid w:val="3EEE77E9"/>
    <w:rsid w:val="3F394AF5"/>
    <w:rsid w:val="3F6B3D8B"/>
    <w:rsid w:val="3FBE5714"/>
    <w:rsid w:val="3FDD8615"/>
    <w:rsid w:val="3FDFB2FF"/>
    <w:rsid w:val="3FF4CAE0"/>
    <w:rsid w:val="3FF75FAF"/>
    <w:rsid w:val="3FF7B227"/>
    <w:rsid w:val="41A539F3"/>
    <w:rsid w:val="44E268DA"/>
    <w:rsid w:val="457F4F6B"/>
    <w:rsid w:val="4737FB58"/>
    <w:rsid w:val="47ECCB02"/>
    <w:rsid w:val="47FA6A3F"/>
    <w:rsid w:val="49D7AE48"/>
    <w:rsid w:val="4A3F6C7E"/>
    <w:rsid w:val="4A627F82"/>
    <w:rsid w:val="4B0E749A"/>
    <w:rsid w:val="4B4F25DA"/>
    <w:rsid w:val="4BBB4781"/>
    <w:rsid w:val="4BD709A5"/>
    <w:rsid w:val="4BDD9BFF"/>
    <w:rsid w:val="4BE068DB"/>
    <w:rsid w:val="4D577224"/>
    <w:rsid w:val="4DBF1CEB"/>
    <w:rsid w:val="4DBF6A6B"/>
    <w:rsid w:val="4DF6A672"/>
    <w:rsid w:val="4E455CBE"/>
    <w:rsid w:val="4EAB630A"/>
    <w:rsid w:val="4ECE2238"/>
    <w:rsid w:val="4F7EA413"/>
    <w:rsid w:val="4FAB812F"/>
    <w:rsid w:val="4FE9BD67"/>
    <w:rsid w:val="4FEE4C07"/>
    <w:rsid w:val="4FFB052F"/>
    <w:rsid w:val="537E6D0A"/>
    <w:rsid w:val="53AB6B88"/>
    <w:rsid w:val="53F74C96"/>
    <w:rsid w:val="5583522D"/>
    <w:rsid w:val="57BD3DD4"/>
    <w:rsid w:val="57F9CD1E"/>
    <w:rsid w:val="5AF92295"/>
    <w:rsid w:val="5AF9D8E9"/>
    <w:rsid w:val="5BDD38BD"/>
    <w:rsid w:val="5BDD79E6"/>
    <w:rsid w:val="5BEFC772"/>
    <w:rsid w:val="5BFF5DFC"/>
    <w:rsid w:val="5CD71FC4"/>
    <w:rsid w:val="5D1F11B5"/>
    <w:rsid w:val="5D3647F9"/>
    <w:rsid w:val="5DA644D4"/>
    <w:rsid w:val="5DAE1B18"/>
    <w:rsid w:val="5DE7D9E5"/>
    <w:rsid w:val="5ECEC941"/>
    <w:rsid w:val="5EFF8FC6"/>
    <w:rsid w:val="5F5BA39A"/>
    <w:rsid w:val="5F7D3B79"/>
    <w:rsid w:val="5F7F4610"/>
    <w:rsid w:val="5FBF9FF3"/>
    <w:rsid w:val="5FCD4E2C"/>
    <w:rsid w:val="5FEF394A"/>
    <w:rsid w:val="5FF67715"/>
    <w:rsid w:val="61CA71D5"/>
    <w:rsid w:val="627EE9EA"/>
    <w:rsid w:val="63B23AA5"/>
    <w:rsid w:val="647F5392"/>
    <w:rsid w:val="64E322C4"/>
    <w:rsid w:val="65FB93B9"/>
    <w:rsid w:val="6633C463"/>
    <w:rsid w:val="67D55B77"/>
    <w:rsid w:val="67EE7F84"/>
    <w:rsid w:val="686F5F53"/>
    <w:rsid w:val="6AFFCEAF"/>
    <w:rsid w:val="6B96E9E6"/>
    <w:rsid w:val="6BCE57B5"/>
    <w:rsid w:val="6BFEA4DB"/>
    <w:rsid w:val="6BFFB662"/>
    <w:rsid w:val="6C4A05C8"/>
    <w:rsid w:val="6CFF4FB8"/>
    <w:rsid w:val="6D6BD6E0"/>
    <w:rsid w:val="6D77E73C"/>
    <w:rsid w:val="6DBF5E93"/>
    <w:rsid w:val="6DFF077E"/>
    <w:rsid w:val="6E7E3605"/>
    <w:rsid w:val="6E7FDCC7"/>
    <w:rsid w:val="6ED6A62E"/>
    <w:rsid w:val="6EE00B15"/>
    <w:rsid w:val="6EE737B2"/>
    <w:rsid w:val="6EEB2329"/>
    <w:rsid w:val="6EECE67A"/>
    <w:rsid w:val="6F6F90A8"/>
    <w:rsid w:val="6F6FB3EB"/>
    <w:rsid w:val="6F8731EA"/>
    <w:rsid w:val="6FBC2ADD"/>
    <w:rsid w:val="6FD57C00"/>
    <w:rsid w:val="6FEFFFD8"/>
    <w:rsid w:val="6FF5CC65"/>
    <w:rsid w:val="6FFB47EC"/>
    <w:rsid w:val="6FFF034A"/>
    <w:rsid w:val="712A28F1"/>
    <w:rsid w:val="715C0E4B"/>
    <w:rsid w:val="71FFD401"/>
    <w:rsid w:val="72233669"/>
    <w:rsid w:val="72734D90"/>
    <w:rsid w:val="7332FE48"/>
    <w:rsid w:val="73AD73D5"/>
    <w:rsid w:val="73B6EB34"/>
    <w:rsid w:val="73FA497D"/>
    <w:rsid w:val="744731E5"/>
    <w:rsid w:val="74BBD01D"/>
    <w:rsid w:val="74ED5379"/>
    <w:rsid w:val="75DEEEC2"/>
    <w:rsid w:val="767F479D"/>
    <w:rsid w:val="76E3355F"/>
    <w:rsid w:val="76F742AF"/>
    <w:rsid w:val="76F7BE7D"/>
    <w:rsid w:val="76FF5125"/>
    <w:rsid w:val="773570D3"/>
    <w:rsid w:val="77597F31"/>
    <w:rsid w:val="776F6FFA"/>
    <w:rsid w:val="7777A522"/>
    <w:rsid w:val="7783608C"/>
    <w:rsid w:val="77858688"/>
    <w:rsid w:val="778769C8"/>
    <w:rsid w:val="77CB741A"/>
    <w:rsid w:val="77D7BE3A"/>
    <w:rsid w:val="77DC22F5"/>
    <w:rsid w:val="797E3A6C"/>
    <w:rsid w:val="79CF70E2"/>
    <w:rsid w:val="79D7FD79"/>
    <w:rsid w:val="79E75806"/>
    <w:rsid w:val="79EE5BA4"/>
    <w:rsid w:val="7A641148"/>
    <w:rsid w:val="7A6F8BF5"/>
    <w:rsid w:val="7A894339"/>
    <w:rsid w:val="7ACF82B5"/>
    <w:rsid w:val="7AFF28C9"/>
    <w:rsid w:val="7AFF72A0"/>
    <w:rsid w:val="7AFF7572"/>
    <w:rsid w:val="7B5577A4"/>
    <w:rsid w:val="7B6C7DFB"/>
    <w:rsid w:val="7B7D76A7"/>
    <w:rsid w:val="7BAE2FE2"/>
    <w:rsid w:val="7BAF6951"/>
    <w:rsid w:val="7BBFBED0"/>
    <w:rsid w:val="7BC3E394"/>
    <w:rsid w:val="7BF3FE4C"/>
    <w:rsid w:val="7BFB5035"/>
    <w:rsid w:val="7BFDE17E"/>
    <w:rsid w:val="7CBFC87B"/>
    <w:rsid w:val="7CFE0F48"/>
    <w:rsid w:val="7D3DE31C"/>
    <w:rsid w:val="7D7EC23E"/>
    <w:rsid w:val="7D7F8A13"/>
    <w:rsid w:val="7DBBCB01"/>
    <w:rsid w:val="7DC765D0"/>
    <w:rsid w:val="7DDB0EE0"/>
    <w:rsid w:val="7DFF51D8"/>
    <w:rsid w:val="7E634199"/>
    <w:rsid w:val="7E8ADEBF"/>
    <w:rsid w:val="7EEF11D3"/>
    <w:rsid w:val="7EF78C20"/>
    <w:rsid w:val="7F3F679B"/>
    <w:rsid w:val="7F4FC4EF"/>
    <w:rsid w:val="7F5E4D54"/>
    <w:rsid w:val="7F6B75FA"/>
    <w:rsid w:val="7F9F518D"/>
    <w:rsid w:val="7FA30C79"/>
    <w:rsid w:val="7FAF8ABF"/>
    <w:rsid w:val="7FB7269E"/>
    <w:rsid w:val="7FBD6753"/>
    <w:rsid w:val="7FBFABB4"/>
    <w:rsid w:val="7FC65084"/>
    <w:rsid w:val="7FC96657"/>
    <w:rsid w:val="7FD72595"/>
    <w:rsid w:val="7FDA9588"/>
    <w:rsid w:val="7FDF220F"/>
    <w:rsid w:val="7FDF4542"/>
    <w:rsid w:val="7FDF5405"/>
    <w:rsid w:val="7FEDC251"/>
    <w:rsid w:val="7FEDC5F7"/>
    <w:rsid w:val="7FEDD9DE"/>
    <w:rsid w:val="7FEFCDB9"/>
    <w:rsid w:val="7FF5890D"/>
    <w:rsid w:val="7FF5EB09"/>
    <w:rsid w:val="7FF89B92"/>
    <w:rsid w:val="7FF8F2E7"/>
    <w:rsid w:val="7FF93490"/>
    <w:rsid w:val="7FFA6237"/>
    <w:rsid w:val="7FFB5275"/>
    <w:rsid w:val="7FFD14DE"/>
    <w:rsid w:val="7FFFF783"/>
    <w:rsid w:val="93F70A9E"/>
    <w:rsid w:val="997D060E"/>
    <w:rsid w:val="99FF2014"/>
    <w:rsid w:val="9E59F895"/>
    <w:rsid w:val="9E7DEDC1"/>
    <w:rsid w:val="9EEF2B0D"/>
    <w:rsid w:val="9FF6F2A6"/>
    <w:rsid w:val="9FFE4AD9"/>
    <w:rsid w:val="9FFF61B9"/>
    <w:rsid w:val="A6DD0D7F"/>
    <w:rsid w:val="A7955197"/>
    <w:rsid w:val="A7FE5E0E"/>
    <w:rsid w:val="ADC6F725"/>
    <w:rsid w:val="AF0FFA84"/>
    <w:rsid w:val="AF9F0A5E"/>
    <w:rsid w:val="AFEF7964"/>
    <w:rsid w:val="B27A6F28"/>
    <w:rsid w:val="B35F0D5A"/>
    <w:rsid w:val="B3F7F693"/>
    <w:rsid w:val="B3FBBB6C"/>
    <w:rsid w:val="B5FFE407"/>
    <w:rsid w:val="B7CF06AB"/>
    <w:rsid w:val="B7CFA926"/>
    <w:rsid w:val="B7F8786B"/>
    <w:rsid w:val="B9EF5647"/>
    <w:rsid w:val="BABB6AA1"/>
    <w:rsid w:val="BAFCD398"/>
    <w:rsid w:val="BAFFDA0F"/>
    <w:rsid w:val="BB2F4199"/>
    <w:rsid w:val="BBFBD24E"/>
    <w:rsid w:val="BD079C78"/>
    <w:rsid w:val="BD2DD278"/>
    <w:rsid w:val="BD733540"/>
    <w:rsid w:val="BDF7970E"/>
    <w:rsid w:val="BDFE68BD"/>
    <w:rsid w:val="BE6FC990"/>
    <w:rsid w:val="BEBE9537"/>
    <w:rsid w:val="BEFF0D62"/>
    <w:rsid w:val="BEFF90EF"/>
    <w:rsid w:val="BF3735D5"/>
    <w:rsid w:val="BF7F09AC"/>
    <w:rsid w:val="BFB3380D"/>
    <w:rsid w:val="BFB7E7A2"/>
    <w:rsid w:val="BFC2F103"/>
    <w:rsid w:val="BFD475C3"/>
    <w:rsid w:val="BFDE5EA6"/>
    <w:rsid w:val="BFEF99E9"/>
    <w:rsid w:val="BFF9E564"/>
    <w:rsid w:val="BFFF3A69"/>
    <w:rsid w:val="C7BFEF9C"/>
    <w:rsid w:val="C8BD8F25"/>
    <w:rsid w:val="C94DA72E"/>
    <w:rsid w:val="CBEEAA00"/>
    <w:rsid w:val="CC7E9ECE"/>
    <w:rsid w:val="CDBFF9FF"/>
    <w:rsid w:val="CDF78664"/>
    <w:rsid w:val="CE3FF57E"/>
    <w:rsid w:val="CF3AB4AC"/>
    <w:rsid w:val="CF6FC6F3"/>
    <w:rsid w:val="CFD3D3D7"/>
    <w:rsid w:val="CFDF1009"/>
    <w:rsid w:val="D6B7E4F6"/>
    <w:rsid w:val="D6CB2739"/>
    <w:rsid w:val="D776A8DB"/>
    <w:rsid w:val="D7B6B268"/>
    <w:rsid w:val="D7D7B16A"/>
    <w:rsid w:val="D7EF2E2A"/>
    <w:rsid w:val="D8D6DB89"/>
    <w:rsid w:val="DB6F4CAB"/>
    <w:rsid w:val="DB777682"/>
    <w:rsid w:val="DBDDA52A"/>
    <w:rsid w:val="DCFFC0D1"/>
    <w:rsid w:val="DD1FB521"/>
    <w:rsid w:val="DDCB2E5E"/>
    <w:rsid w:val="DDFE75CA"/>
    <w:rsid w:val="DEFBBE33"/>
    <w:rsid w:val="DEFBFEAE"/>
    <w:rsid w:val="DF1F3B80"/>
    <w:rsid w:val="DF6F9789"/>
    <w:rsid w:val="DF9B8D55"/>
    <w:rsid w:val="DF9D198A"/>
    <w:rsid w:val="DFDF1D8E"/>
    <w:rsid w:val="DFEFC58B"/>
    <w:rsid w:val="DFF5F241"/>
    <w:rsid w:val="DFFFA9E8"/>
    <w:rsid w:val="E37D5D3F"/>
    <w:rsid w:val="E3FFE98D"/>
    <w:rsid w:val="E5F4E9DC"/>
    <w:rsid w:val="E67FF583"/>
    <w:rsid w:val="E70FE695"/>
    <w:rsid w:val="E7676621"/>
    <w:rsid w:val="E76B2B9A"/>
    <w:rsid w:val="E7AB7A34"/>
    <w:rsid w:val="E7DF1E20"/>
    <w:rsid w:val="E7FF6381"/>
    <w:rsid w:val="E9A30291"/>
    <w:rsid w:val="EBBF924C"/>
    <w:rsid w:val="ECFED1BC"/>
    <w:rsid w:val="ED1D69BB"/>
    <w:rsid w:val="ED2C2584"/>
    <w:rsid w:val="ED7FD312"/>
    <w:rsid w:val="EDBE03E0"/>
    <w:rsid w:val="EDD1A84A"/>
    <w:rsid w:val="EDFF8263"/>
    <w:rsid w:val="EE1FA0C7"/>
    <w:rsid w:val="EF53993F"/>
    <w:rsid w:val="EF7B8152"/>
    <w:rsid w:val="EF8E27E2"/>
    <w:rsid w:val="EFBFB2F4"/>
    <w:rsid w:val="EFBFFA21"/>
    <w:rsid w:val="EFDF4337"/>
    <w:rsid w:val="EFF7097E"/>
    <w:rsid w:val="F2BEBCB8"/>
    <w:rsid w:val="F36FB518"/>
    <w:rsid w:val="F3DE1A04"/>
    <w:rsid w:val="F3E244FA"/>
    <w:rsid w:val="F3EFB7CA"/>
    <w:rsid w:val="F3F722E5"/>
    <w:rsid w:val="F699BB1A"/>
    <w:rsid w:val="F6DEABFE"/>
    <w:rsid w:val="F7B650C7"/>
    <w:rsid w:val="F7EF9033"/>
    <w:rsid w:val="F7FDC2B1"/>
    <w:rsid w:val="F8DDDAC6"/>
    <w:rsid w:val="F96B55C8"/>
    <w:rsid w:val="FA2F5BEB"/>
    <w:rsid w:val="FA5F1E70"/>
    <w:rsid w:val="FA5FDB97"/>
    <w:rsid w:val="FB1BB959"/>
    <w:rsid w:val="FB75E3C8"/>
    <w:rsid w:val="FB7F461B"/>
    <w:rsid w:val="FB7F486A"/>
    <w:rsid w:val="FB7F6E28"/>
    <w:rsid w:val="FB8778F4"/>
    <w:rsid w:val="FBB61866"/>
    <w:rsid w:val="FBEE055A"/>
    <w:rsid w:val="FBF91527"/>
    <w:rsid w:val="FBFD1260"/>
    <w:rsid w:val="FBFF5B2E"/>
    <w:rsid w:val="FC833EBB"/>
    <w:rsid w:val="FCFE0B49"/>
    <w:rsid w:val="FD4B388D"/>
    <w:rsid w:val="FD77A83C"/>
    <w:rsid w:val="FD7FFE2B"/>
    <w:rsid w:val="FDADA43D"/>
    <w:rsid w:val="FDBDC432"/>
    <w:rsid w:val="FDEB412A"/>
    <w:rsid w:val="FDEE196B"/>
    <w:rsid w:val="FDEF50BC"/>
    <w:rsid w:val="FDFD5EC3"/>
    <w:rsid w:val="FDFE6575"/>
    <w:rsid w:val="FE9E11AB"/>
    <w:rsid w:val="FEBF38CD"/>
    <w:rsid w:val="FEDFDDC2"/>
    <w:rsid w:val="FEEB4E4D"/>
    <w:rsid w:val="FEED32F6"/>
    <w:rsid w:val="FEF781DD"/>
    <w:rsid w:val="FEF9D8C4"/>
    <w:rsid w:val="FF3F7E3F"/>
    <w:rsid w:val="FF3FF759"/>
    <w:rsid w:val="FF4749A3"/>
    <w:rsid w:val="FF4D3A28"/>
    <w:rsid w:val="FF5913BC"/>
    <w:rsid w:val="FF7F1E7E"/>
    <w:rsid w:val="FF9BAA5C"/>
    <w:rsid w:val="FFA57884"/>
    <w:rsid w:val="FFB513DD"/>
    <w:rsid w:val="FFBA12D7"/>
    <w:rsid w:val="FFBFE8C6"/>
    <w:rsid w:val="FFCF2925"/>
    <w:rsid w:val="FFD33B6C"/>
    <w:rsid w:val="FFDAD824"/>
    <w:rsid w:val="FFDE4064"/>
    <w:rsid w:val="FFDEA9D8"/>
    <w:rsid w:val="FFDF2DEC"/>
    <w:rsid w:val="FFDF624E"/>
    <w:rsid w:val="FFDF6BC0"/>
    <w:rsid w:val="FFDFFAEE"/>
    <w:rsid w:val="FFE3BA41"/>
    <w:rsid w:val="FFE3BED4"/>
    <w:rsid w:val="FFF316C1"/>
    <w:rsid w:val="FFF63ECC"/>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5"/>
    <w:unhideWhenUsed/>
    <w:qFormat/>
    <w:uiPriority w:val="9"/>
    <w:pPr>
      <w:keepNext/>
      <w:keepLines/>
      <w:spacing w:before="260" w:after="260" w:line="416" w:lineRule="auto"/>
      <w:outlineLvl w:val="2"/>
    </w:pPr>
    <w:rPr>
      <w:b/>
      <w:bCs/>
      <w:sz w:val="32"/>
      <w:szCs w:val="32"/>
    </w:rPr>
  </w:style>
  <w:style w:type="character" w:default="1" w:styleId="18">
    <w:name w:val="Default Paragraph Font"/>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styleId="6">
    <w:name w:val="Body Text"/>
    <w:basedOn w:val="1"/>
    <w:link w:val="28"/>
    <w:qFormat/>
    <w:uiPriority w:val="99"/>
    <w:pPr>
      <w:spacing w:beforeLines="30"/>
    </w:pPr>
    <w:rPr>
      <w:rFonts w:ascii="仿宋_GB2312" w:eastAsia="仿宋_GB2312"/>
      <w:kern w:val="0"/>
      <w:sz w:val="30"/>
    </w:rPr>
  </w:style>
  <w:style w:type="paragraph" w:styleId="7">
    <w:name w:val="Body Text Indent"/>
    <w:basedOn w:val="1"/>
    <w:qFormat/>
    <w:uiPriority w:val="0"/>
    <w:pPr>
      <w:spacing w:after="120"/>
      <w:ind w:left="200"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4"/>
    <w:semiHidden/>
    <w:unhideWhenUsed/>
    <w:qFormat/>
    <w:uiPriority w:val="99"/>
    <w:rPr>
      <w:sz w:val="18"/>
      <w:szCs w:val="18"/>
    </w:rPr>
  </w:style>
  <w:style w:type="paragraph" w:styleId="10">
    <w:name w:val="footer"/>
    <w:basedOn w:val="1"/>
    <w:link w:val="26"/>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4"/>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paragraph" w:styleId="14">
    <w:name w:val="Normal (Web)"/>
    <w:basedOn w:val="1"/>
    <w:qFormat/>
    <w:uiPriority w:val="0"/>
    <w:pPr>
      <w:spacing w:beforeAutospacing="1" w:afterAutospacing="1"/>
      <w:jc w:val="left"/>
    </w:pPr>
    <w:rPr>
      <w:kern w:val="0"/>
      <w:sz w:val="24"/>
    </w:rPr>
  </w:style>
  <w:style w:type="paragraph" w:styleId="15">
    <w:name w:val="Title"/>
    <w:basedOn w:val="1"/>
    <w:next w:val="1"/>
    <w:link w:val="38"/>
    <w:qFormat/>
    <w:uiPriority w:val="0"/>
    <w:pPr>
      <w:spacing w:before="240" w:after="60"/>
      <w:jc w:val="center"/>
      <w:outlineLvl w:val="0"/>
    </w:pPr>
    <w:rPr>
      <w:rFonts w:ascii="Arial" w:hAnsi="Arial" w:cs="Arial"/>
      <w:b/>
      <w:bCs/>
      <w:sz w:val="32"/>
      <w:szCs w:val="32"/>
    </w:rPr>
  </w:style>
  <w:style w:type="paragraph" w:styleId="16">
    <w:name w:val="Body Text First Indent 2"/>
    <w:basedOn w:val="7"/>
    <w:unhideWhenUsed/>
    <w:qFormat/>
    <w:uiPriority w:val="99"/>
    <w:pPr>
      <w:ind w:firstLine="420" w:firstLineChars="200"/>
    </w:pPr>
  </w:style>
  <w:style w:type="character" w:styleId="19">
    <w:name w:val="Strong"/>
    <w:basedOn w:val="18"/>
    <w:qFormat/>
    <w:uiPriority w:val="99"/>
    <w:rPr>
      <w:b/>
    </w:rPr>
  </w:style>
  <w:style w:type="character" w:styleId="20">
    <w:name w:val="Emphasis"/>
    <w:basedOn w:val="18"/>
    <w:qFormat/>
    <w:uiPriority w:val="20"/>
    <w:rPr>
      <w:i/>
    </w:rPr>
  </w:style>
  <w:style w:type="character" w:styleId="21">
    <w:name w:val="Hyperlink"/>
    <w:basedOn w:val="18"/>
    <w:unhideWhenUsed/>
    <w:qFormat/>
    <w:uiPriority w:val="99"/>
    <w:rPr>
      <w:color w:val="0000FF" w:themeColor="hyperlink"/>
      <w:u w:val="single"/>
      <w14:textFill>
        <w14:solidFill>
          <w14:schemeClr w14:val="hlink"/>
        </w14:solidFill>
      </w14:textFill>
    </w:rPr>
  </w:style>
  <w:style w:type="paragraph" w:customStyle="1" w:styleId="22">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3">
    <w:name w:val="Header Char"/>
    <w:basedOn w:val="18"/>
    <w:semiHidden/>
    <w:qFormat/>
    <w:uiPriority w:val="99"/>
    <w:rPr>
      <w:rFonts w:ascii="Times New Roman" w:hAnsi="Times New Roman"/>
      <w:sz w:val="18"/>
      <w:szCs w:val="18"/>
    </w:rPr>
  </w:style>
  <w:style w:type="character" w:customStyle="1" w:styleId="24">
    <w:name w:val="页眉 Char"/>
    <w:link w:val="11"/>
    <w:semiHidden/>
    <w:qFormat/>
    <w:locked/>
    <w:uiPriority w:val="99"/>
    <w:rPr>
      <w:sz w:val="18"/>
    </w:rPr>
  </w:style>
  <w:style w:type="character" w:customStyle="1" w:styleId="25">
    <w:name w:val="Footer Char"/>
    <w:basedOn w:val="18"/>
    <w:semiHidden/>
    <w:qFormat/>
    <w:uiPriority w:val="99"/>
    <w:rPr>
      <w:rFonts w:ascii="Times New Roman" w:hAnsi="Times New Roman"/>
      <w:sz w:val="18"/>
      <w:szCs w:val="18"/>
    </w:rPr>
  </w:style>
  <w:style w:type="character" w:customStyle="1" w:styleId="26">
    <w:name w:val="页脚 Char"/>
    <w:link w:val="10"/>
    <w:qFormat/>
    <w:locked/>
    <w:uiPriority w:val="99"/>
    <w:rPr>
      <w:sz w:val="18"/>
    </w:rPr>
  </w:style>
  <w:style w:type="character" w:customStyle="1" w:styleId="27">
    <w:name w:val="Body Text Char"/>
    <w:basedOn w:val="18"/>
    <w:semiHidden/>
    <w:qFormat/>
    <w:uiPriority w:val="99"/>
    <w:rPr>
      <w:rFonts w:ascii="Times New Roman" w:hAnsi="Times New Roman"/>
      <w:szCs w:val="24"/>
    </w:rPr>
  </w:style>
  <w:style w:type="character" w:customStyle="1" w:styleId="28">
    <w:name w:val="正文文本 Char"/>
    <w:link w:val="6"/>
    <w:qFormat/>
    <w:locked/>
    <w:uiPriority w:val="99"/>
    <w:rPr>
      <w:rFonts w:ascii="仿宋_GB2312" w:hAnsi="Times New Roman" w:eastAsia="仿宋_GB2312"/>
      <w:sz w:val="24"/>
    </w:rPr>
  </w:style>
  <w:style w:type="paragraph" w:customStyle="1" w:styleId="29">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0">
    <w:name w:val="List Paragraph"/>
    <w:basedOn w:val="1"/>
    <w:qFormat/>
    <w:uiPriority w:val="34"/>
    <w:pPr>
      <w:ind w:firstLine="420" w:firstLineChars="200"/>
    </w:pPr>
  </w:style>
  <w:style w:type="character" w:customStyle="1" w:styleId="31">
    <w:name w:val="标题 1 Char"/>
    <w:basedOn w:val="18"/>
    <w:link w:val="3"/>
    <w:qFormat/>
    <w:uiPriority w:val="9"/>
    <w:rPr>
      <w:rFonts w:ascii="Times New Roman" w:hAnsi="Times New Roman"/>
      <w:b/>
      <w:bCs/>
      <w:kern w:val="44"/>
      <w:sz w:val="44"/>
      <w:szCs w:val="44"/>
    </w:rPr>
  </w:style>
  <w:style w:type="character" w:customStyle="1" w:styleId="32">
    <w:name w:val="标题 2 Char"/>
    <w:basedOn w:val="18"/>
    <w:link w:val="4"/>
    <w:qFormat/>
    <w:uiPriority w:val="9"/>
    <w:rPr>
      <w:rFonts w:asciiTheme="majorHAnsi" w:hAnsiTheme="majorHAnsi" w:eastAsiaTheme="majorEastAsia" w:cstheme="majorBidi"/>
      <w:b/>
      <w:bCs/>
      <w:kern w:val="2"/>
      <w:sz w:val="32"/>
      <w:szCs w:val="32"/>
    </w:rPr>
  </w:style>
  <w:style w:type="paragraph" w:customStyle="1" w:styleId="33">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4">
    <w:name w:val="批注框文本 Char"/>
    <w:basedOn w:val="18"/>
    <w:link w:val="9"/>
    <w:semiHidden/>
    <w:qFormat/>
    <w:uiPriority w:val="99"/>
    <w:rPr>
      <w:rFonts w:ascii="Times New Roman" w:hAnsi="Times New Roman"/>
      <w:kern w:val="2"/>
      <w:sz w:val="18"/>
      <w:szCs w:val="18"/>
    </w:rPr>
  </w:style>
  <w:style w:type="character" w:customStyle="1" w:styleId="35">
    <w:name w:val="标题 3 Char"/>
    <w:basedOn w:val="18"/>
    <w:link w:val="5"/>
    <w:qFormat/>
    <w:uiPriority w:val="9"/>
    <w:rPr>
      <w:rFonts w:ascii="Times New Roman" w:hAnsi="Times New Roman"/>
      <w:b/>
      <w:bCs/>
      <w:kern w:val="2"/>
      <w:sz w:val="32"/>
      <w:szCs w:val="32"/>
    </w:rPr>
  </w:style>
  <w:style w:type="paragraph" w:customStyle="1" w:styleId="36">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7">
    <w:name w:val="四号正文"/>
    <w:basedOn w:val="1"/>
    <w:qFormat/>
    <w:uiPriority w:val="0"/>
    <w:pPr>
      <w:spacing w:line="360" w:lineRule="auto"/>
    </w:pPr>
    <w:rPr>
      <w:rFonts w:ascii="??" w:hAnsi="??"/>
      <w:color w:val="000000"/>
      <w:kern w:val="0"/>
      <w:sz w:val="28"/>
      <w:szCs w:val="21"/>
      <w:lang w:val="zh-CN"/>
    </w:rPr>
  </w:style>
  <w:style w:type="character" w:customStyle="1" w:styleId="38">
    <w:name w:val="标题 Char"/>
    <w:basedOn w:val="18"/>
    <w:link w:val="15"/>
    <w:qFormat/>
    <w:uiPriority w:val="0"/>
    <w:rPr>
      <w:rFonts w:ascii="Arial" w:hAnsi="Arial" w:eastAsia="宋体" w:cs="Arial"/>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收、支出总计变动情况图</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c:v>
                </c:pt>
              </c:strCache>
            </c:strRef>
          </c:tx>
          <c:spPr>
            <a:solidFill>
              <a:schemeClr val="accent1"/>
            </a:solidFill>
            <a:ln>
              <a:noFill/>
            </a:ln>
            <a:effectLst/>
          </c:spPr>
          <c:invertIfNegative val="0"/>
          <c:dLbls>
            <c:delete val="1"/>
          </c:dLbls>
          <c:cat>
            <c:strRef>
              <c:f>Sheet1!$A$2</c:f>
              <c:strCache>
                <c:ptCount val="1"/>
                <c:pt idx="0">
                  <c:v>收、支总计金额</c:v>
                </c:pt>
              </c:strCache>
            </c:strRef>
          </c:cat>
          <c:val>
            <c:numRef>
              <c:f>Sheet1!$B$2</c:f>
              <c:numCache>
                <c:formatCode>General</c:formatCode>
                <c:ptCount val="1"/>
                <c:pt idx="0">
                  <c:v>753.55</c:v>
                </c:pt>
              </c:numCache>
            </c:numRef>
          </c:val>
        </c:ser>
        <c:ser>
          <c:idx val="1"/>
          <c:order val="1"/>
          <c:tx>
            <c:strRef>
              <c:f>Sheet1!$C$1</c:f>
              <c:strCache>
                <c:ptCount val="1"/>
                <c:pt idx="0">
                  <c:v>2022</c:v>
                </c:pt>
              </c:strCache>
            </c:strRef>
          </c:tx>
          <c:spPr>
            <a:solidFill>
              <a:schemeClr val="accent2"/>
            </a:solidFill>
            <a:ln>
              <a:noFill/>
            </a:ln>
            <a:effectLst/>
          </c:spPr>
          <c:invertIfNegative val="0"/>
          <c:dLbls>
            <c:delete val="1"/>
          </c:dLbls>
          <c:cat>
            <c:strRef>
              <c:f>Sheet1!$A$2</c:f>
              <c:strCache>
                <c:ptCount val="1"/>
                <c:pt idx="0">
                  <c:v>收、支总计金额</c:v>
                </c:pt>
              </c:strCache>
            </c:strRef>
          </c:cat>
          <c:val>
            <c:numRef>
              <c:f>Sheet1!$C$2</c:f>
              <c:numCache>
                <c:formatCode>General</c:formatCode>
                <c:ptCount val="1"/>
                <c:pt idx="0">
                  <c:v>765.96</c:v>
                </c:pt>
              </c:numCache>
            </c:numRef>
          </c:val>
        </c:ser>
        <c:dLbls>
          <c:showLegendKey val="0"/>
          <c:showVal val="0"/>
          <c:showCatName val="0"/>
          <c:showSerName val="0"/>
          <c:showPercent val="0"/>
          <c:showBubbleSize val="0"/>
        </c:dLbls>
        <c:gapWidth val="246"/>
        <c:overlap val="-28"/>
        <c:axId val="78707155"/>
        <c:axId val="754493960"/>
        <c:extLst>
          <c:ext xmlns:c15="http://schemas.microsoft.com/office/drawing/2012/chart" uri="{02D57815-91ED-43cb-92C2-25804820EDAC}">
            <c15:filteredBarSeries>
              <c15:ser>
                <c:idx val="2"/>
                <c:order val="2"/>
                <c:tx>
                  <c:strRef>
                    <c:extLst>
                      <c:ext uri="{02D57815-91ED-43cb-92C2-25804820EDAC}">
                        <c15:formulaRef>
                          <c15:sqref>Sheet1!#REF!</c15:sqref>
                        </c15:formulaRef>
                      </c:ext>
                    </c:extLst>
                    <c:strCache>
                      <c:ptCount val="1"/>
                      <c:pt idx="0">
                        <c:v/>
                      </c:pt>
                    </c:strCache>
                  </c:strRef>
                </c:tx>
                <c:spPr>
                  <a:solidFill>
                    <a:schemeClr val="accent3"/>
                  </a:solidFill>
                  <a:ln>
                    <a:noFill/>
                  </a:ln>
                  <a:effectLst/>
                </c:spPr>
                <c:invertIfNegative val="0"/>
                <c:dLbls>
                  <c:delete val="1"/>
                </c:dLbls>
                <c:cat>
                  <c:strRef>
                    <c:extLst>
                      <c:ext uri="{02D57815-91ED-43cb-92C2-25804820EDAC}">
                        <c15:fullRef>
                          <c15:sqref/>
                        </c15:fullRef>
                        <c15:formulaRef>
                          <c15:sqref>Sheet1!$A$2</c15:sqref>
                        </c15:formulaRef>
                      </c:ext>
                    </c:extLst>
                    <c:strCache>
                      <c:ptCount val="1"/>
                      <c:pt idx="0">
                        <c:v>收、支总计金额</c:v>
                      </c:pt>
                    </c:strCache>
                  </c:strRef>
                </c:cat>
                <c:val>
                  <c:numRef>
                    <c:extLst>
                      <c:ext uri="{02D57815-91ED-43cb-92C2-25804820EDAC}">
                        <c15:formulaRef>
                          <c15:sqref>Sheet1!#REF!</c15:sqref>
                        </c15:formulaRef>
                      </c:ext>
                    </c:extLst>
                    <c:numCache>
                      <c:formatCode>General</c:formatCode>
                      <c:ptCount val="1"/>
                      <c:pt idx="0">
                        <c:v>1</c:v>
                      </c:pt>
                    </c:numCache>
                  </c:numRef>
                </c:val>
              </c15:ser>
            </c15:filteredBarSeries>
          </c:ext>
        </c:extLst>
      </c:barChart>
      <c:catAx>
        <c:axId val="7870715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4493960"/>
        <c:crosses val="autoZero"/>
        <c:auto val="1"/>
        <c:lblAlgn val="ctr"/>
        <c:lblOffset val="100"/>
        <c:noMultiLvlLbl val="0"/>
      </c:catAx>
      <c:valAx>
        <c:axId val="75449396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70715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57571c0-1292-4a72-9fef-88649c9645f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收入决算结构图</a:t>
            </a:r>
          </a:p>
        </c:rich>
      </c:tx>
      <c:layout/>
      <c:overlay val="0"/>
      <c:spPr>
        <a:noFill/>
        <a:ln>
          <a:noFill/>
        </a:ln>
        <a:effectLst/>
      </c:spPr>
    </c:title>
    <c:autoTitleDeleted val="0"/>
    <c:plotArea>
      <c:layout>
        <c:manualLayout>
          <c:layoutTarget val="inner"/>
          <c:xMode val="edge"/>
          <c:yMode val="edge"/>
          <c:x val="0.27947571877265"/>
          <c:y val="0.298555036124097"/>
          <c:w val="0.39514375453008"/>
          <c:h val="0.695070123246919"/>
        </c:manualLayout>
      </c:layout>
      <c:pieChart>
        <c:varyColors val="1"/>
        <c:ser>
          <c:idx val="0"/>
          <c:order val="0"/>
          <c:tx>
            <c:strRef>
              <c:f>Sheet1!$B$1</c:f>
              <c:strCache>
                <c:ptCount val="1"/>
                <c:pt idx="0">
                  <c:v>年度收入额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elete val="1"/>
          </c:dLbls>
          <c:cat>
            <c:strRef>
              <c:f>Sheet1!$A$2:$A$3</c:f>
              <c:strCache>
                <c:ptCount val="2"/>
                <c:pt idx="0">
                  <c:v>一般公共预算财政拨款</c:v>
                </c:pt>
                <c:pt idx="1">
                  <c:v>政府性基金预算财政拨款收入</c:v>
                </c:pt>
              </c:strCache>
            </c:strRef>
          </c:cat>
          <c:val>
            <c:numRef>
              <c:f>Sheet1!$B$2:$B$3</c:f>
              <c:numCache>
                <c:formatCode>General</c:formatCode>
                <c:ptCount val="2"/>
                <c:pt idx="0">
                  <c:v>700.25</c:v>
                </c:pt>
                <c:pt idx="1">
                  <c:v>40.5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bee4c81-7dae-4c59-bfe6-cee92e8b997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manualLayout>
          <c:layoutTarget val="inner"/>
          <c:xMode val="edge"/>
          <c:yMode val="edge"/>
          <c:x val="0.284428605943465"/>
          <c:y val="0.249256268593285"/>
          <c:w val="0.39514375453008"/>
          <c:h val="0.695070123246919"/>
        </c:manualLayout>
      </c:layout>
      <c:pieChart>
        <c:varyColors val="1"/>
        <c:ser>
          <c:idx val="0"/>
          <c:order val="0"/>
          <c:tx>
            <c:strRef>
              <c:f>Sheet1!$B$1</c:f>
              <c:strCache>
                <c:ptCount val="1"/>
                <c:pt idx="0">
                  <c:v>支出决算结构图</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elete val="1"/>
          </c:dLbls>
          <c:cat>
            <c:strRef>
              <c:f>Sheet1!$A$2:$A$3</c:f>
              <c:strCache>
                <c:ptCount val="2"/>
                <c:pt idx="0">
                  <c:v>基本支出</c:v>
                </c:pt>
                <c:pt idx="1">
                  <c:v>项目支出</c:v>
                </c:pt>
              </c:strCache>
            </c:strRef>
          </c:cat>
          <c:val>
            <c:numRef>
              <c:f>Sheet1!$B$2:$B$3</c:f>
              <c:numCache>
                <c:formatCode>General</c:formatCode>
                <c:ptCount val="2"/>
                <c:pt idx="0">
                  <c:v>598.4</c:v>
                </c:pt>
                <c:pt idx="1">
                  <c:v>155.16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41e676f-09b9-498b-8859-55a8b67b405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财政拨款收、支决算总计变动情况</a:t>
            </a:r>
          </a:p>
        </c:rich>
      </c:tx>
      <c:layout>
        <c:manualLayout>
          <c:xMode val="edge"/>
          <c:yMode val="edge"/>
          <c:x val="0.266972698719497"/>
          <c:y val="0.0458988525286868"/>
        </c:manualLayout>
      </c:layout>
      <c:overlay val="0"/>
      <c:spPr>
        <a:noFill/>
        <a:ln>
          <a:noFill/>
        </a:ln>
        <a:effectLst/>
      </c:spPr>
    </c:title>
    <c:autoTitleDeleted val="0"/>
    <c:plotArea>
      <c:layout/>
      <c:barChart>
        <c:barDir val="col"/>
        <c:grouping val="clustered"/>
        <c:varyColors val="0"/>
        <c:ser>
          <c:idx val="0"/>
          <c:order val="0"/>
          <c:tx>
            <c:strRef>
              <c:f>"2023"</c:f>
              <c:strCache>
                <c:ptCount val="1"/>
                <c:pt idx="0">
                  <c:v>2023</c:v>
                </c:pt>
              </c:strCache>
            </c:strRef>
          </c:tx>
          <c:spPr>
            <a:solidFill>
              <a:schemeClr val="accent1"/>
            </a:solidFill>
            <a:ln>
              <a:noFill/>
            </a:ln>
            <a:effectLst/>
          </c:spPr>
          <c:invertIfNegative val="0"/>
          <c:dLbls>
            <c:delete val="1"/>
          </c:dLbls>
          <c:cat>
            <c:strRef>
              <c:f>Sheet1!$A$2</c:f>
              <c:strCache>
                <c:ptCount val="1"/>
                <c:pt idx="0">
                  <c:v>财政收支总计金额</c:v>
                </c:pt>
              </c:strCache>
            </c:strRef>
          </c:cat>
          <c:val>
            <c:numRef>
              <c:f>Sheet1!$B$2</c:f>
              <c:numCache>
                <c:formatCode>General</c:formatCode>
                <c:ptCount val="1"/>
                <c:pt idx="0">
                  <c:v>753.55</c:v>
                </c:pt>
              </c:numCache>
            </c:numRef>
          </c:val>
        </c:ser>
        <c:ser>
          <c:idx val="1"/>
          <c:order val="1"/>
          <c:tx>
            <c:strRef>
              <c:f>Sheet1!$C$1</c:f>
              <c:strCache>
                <c:ptCount val="1"/>
                <c:pt idx="0">
                  <c:v>2022</c:v>
                </c:pt>
              </c:strCache>
            </c:strRef>
          </c:tx>
          <c:spPr>
            <a:solidFill>
              <a:schemeClr val="accent2"/>
            </a:solidFill>
            <a:ln>
              <a:noFill/>
            </a:ln>
            <a:effectLst/>
          </c:spPr>
          <c:invertIfNegative val="0"/>
          <c:dLbls>
            <c:delete val="1"/>
          </c:dLbls>
          <c:cat>
            <c:strRef>
              <c:f>Sheet1!$A$2</c:f>
              <c:strCache>
                <c:ptCount val="1"/>
                <c:pt idx="0">
                  <c:v>财政收支总计金额</c:v>
                </c:pt>
              </c:strCache>
            </c:strRef>
          </c:cat>
          <c:val>
            <c:numRef>
              <c:f>Sheet1!$C$2</c:f>
              <c:numCache>
                <c:formatCode>General</c:formatCode>
                <c:ptCount val="1"/>
                <c:pt idx="0">
                  <c:v>765.96</c:v>
                </c:pt>
              </c:numCache>
            </c:numRef>
          </c:val>
        </c:ser>
        <c:dLbls>
          <c:showLegendKey val="0"/>
          <c:showVal val="0"/>
          <c:showCatName val="0"/>
          <c:showSerName val="0"/>
          <c:showPercent val="0"/>
          <c:showBubbleSize val="0"/>
        </c:dLbls>
        <c:gapWidth val="246"/>
        <c:overlap val="-28"/>
        <c:axId val="864634677"/>
        <c:axId val="565929943"/>
        <c:extLst>
          <c:ext xmlns:c15="http://schemas.microsoft.com/office/drawing/2012/chart" uri="{02D57815-91ED-43cb-92C2-25804820EDAC}">
            <c15:filteredBarSeries>
              <c15:ser>
                <c:idx val="2"/>
                <c:order val="2"/>
                <c:tx>
                  <c:strRef>
                    <c:extLst>
                      <c:ext uri="{02D57815-91ED-43cb-92C2-25804820EDAC}">
                        <c15:formulaRef>
                          <c15:sqref>Sheet1!#REF!</c15:sqref>
                        </c15:formulaRef>
                      </c:ext>
                    </c:extLst>
                    <c:strCache>
                      <c:ptCount val="1"/>
                      <c:pt idx="0">
                        <c:v/>
                      </c:pt>
                    </c:strCache>
                  </c:strRef>
                </c:tx>
                <c:spPr>
                  <a:solidFill>
                    <a:schemeClr val="accent3"/>
                  </a:solidFill>
                  <a:ln>
                    <a:noFill/>
                  </a:ln>
                  <a:effectLst/>
                </c:spPr>
                <c:invertIfNegative val="0"/>
                <c:dLbls>
                  <c:delete val="1"/>
                </c:dLbls>
                <c:cat>
                  <c:strRef>
                    <c:extLst>
                      <c:ext uri="{02D57815-91ED-43cb-92C2-25804820EDAC}">
                        <c15:fullRef>
                          <c15:sqref/>
                        </c15:fullRef>
                        <c15:formulaRef>
                          <c15:sqref>Sheet1!$A$2</c15:sqref>
                        </c15:formulaRef>
                      </c:ext>
                    </c:extLst>
                    <c:strCache>
                      <c:ptCount val="1"/>
                      <c:pt idx="0">
                        <c:v>财政收支总计金额</c:v>
                      </c:pt>
                    </c:strCache>
                  </c:strRef>
                </c:cat>
                <c:val>
                  <c:numRef>
                    <c:extLst>
                      <c:ext uri="{02D57815-91ED-43cb-92C2-25804820EDAC}">
                        <c15:formulaRef>
                          <c15:sqref>Sheet1!#REF!</c15:sqref>
                        </c15:formulaRef>
                      </c:ext>
                    </c:extLst>
                    <c:numCache>
                      <c:formatCode>General</c:formatCode>
                      <c:ptCount val="1"/>
                      <c:pt idx="0">
                        <c:v>1</c:v>
                      </c:pt>
                    </c:numCache>
                  </c:numRef>
                </c:val>
              </c15:ser>
            </c15:filteredBarSeries>
          </c:ext>
        </c:extLst>
      </c:barChart>
      <c:catAx>
        <c:axId val="86463467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5929943"/>
        <c:crosses val="autoZero"/>
        <c:auto val="1"/>
        <c:lblAlgn val="ctr"/>
        <c:lblOffset val="100"/>
        <c:noMultiLvlLbl val="0"/>
      </c:catAx>
      <c:valAx>
        <c:axId val="56592994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4634677"/>
        <c:crosses val="autoZero"/>
        <c:crossBetween val="between"/>
      </c:valAx>
      <c:spPr>
        <a:noFill/>
        <a:ln>
          <a:noFill/>
        </a:ln>
        <a:effectLst/>
      </c:spPr>
    </c:plotArea>
    <c:legend>
      <c:legendPos val="b"/>
      <c:layout>
        <c:manualLayout>
          <c:xMode val="edge"/>
          <c:yMode val="edge"/>
          <c:x val="0.41199565112346"/>
          <c:y val="0.90331491712707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08d808b-79b7-4bea-852f-2d9cf7bb99b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一般公共预算财政拨款支出决算变动情况</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c:v>
                </c:pt>
              </c:strCache>
            </c:strRef>
          </c:tx>
          <c:spPr>
            <a:solidFill>
              <a:schemeClr val="accent1"/>
            </a:solidFill>
            <a:ln>
              <a:noFill/>
            </a:ln>
            <a:effectLst/>
          </c:spPr>
          <c:invertIfNegative val="0"/>
          <c:dLbls>
            <c:delete val="1"/>
          </c:dLbls>
          <c:cat>
            <c:strRef>
              <c:extLst>
                <c:ext xmlns:c15="http://schemas.microsoft.com/office/drawing/2012/chart" uri="{02D57815-91ED-43cb-92C2-25804820EDAC}">
                  <c15:fullRef>
                    <c15:sqref>Sheet1!$A$2</c15:sqref>
                  </c15:fullRef>
                </c:ext>
              </c:extLst>
              <c:f>Sheet1!$A$2</c:f>
              <c:strCache>
                <c:ptCount val="1"/>
                <c:pt idx="0">
                  <c:v>财政拨款金额</c:v>
                </c:pt>
              </c:strCache>
            </c:strRef>
          </c:cat>
          <c:val>
            <c:numRef>
              <c:extLst>
                <c:ext xmlns:c15="http://schemas.microsoft.com/office/drawing/2012/chart" uri="{02D57815-91ED-43cb-92C2-25804820EDAC}">
                  <c15:fullRef>
                    <c15:sqref>Sheet1!$B$2</c15:sqref>
                  </c15:fullRef>
                </c:ext>
              </c:extLst>
              <c:f>Sheet1!$B$2</c:f>
              <c:numCache>
                <c:formatCode>General</c:formatCode>
                <c:ptCount val="1"/>
                <c:pt idx="0">
                  <c:v>713.05</c:v>
                </c:pt>
              </c:numCache>
            </c:numRef>
          </c:val>
        </c:ser>
        <c:ser>
          <c:idx val="1"/>
          <c:order val="1"/>
          <c:tx>
            <c:strRef>
              <c:f>Sheet1!$C$1</c:f>
              <c:strCache>
                <c:ptCount val="1"/>
                <c:pt idx="0">
                  <c:v>2022</c:v>
                </c:pt>
              </c:strCache>
            </c:strRef>
          </c:tx>
          <c:spPr>
            <a:solidFill>
              <a:schemeClr val="accent2"/>
            </a:solidFill>
            <a:ln>
              <a:noFill/>
            </a:ln>
            <a:effectLst/>
          </c:spPr>
          <c:invertIfNegative val="0"/>
          <c:dLbls>
            <c:delete val="1"/>
          </c:dLbls>
          <c:cat>
            <c:strRef>
              <c:extLst>
                <c:ext xmlns:c15="http://schemas.microsoft.com/office/drawing/2012/chart" uri="{02D57815-91ED-43cb-92C2-25804820EDAC}">
                  <c15:fullRef>
                    <c15:sqref>Sheet1!$A$2</c15:sqref>
                  </c15:fullRef>
                </c:ext>
              </c:extLst>
              <c:f>Sheet1!$A$2</c:f>
              <c:strCache>
                <c:ptCount val="1"/>
                <c:pt idx="0">
                  <c:v>财政拨款金额</c:v>
                </c:pt>
              </c:strCache>
            </c:strRef>
          </c:cat>
          <c:val>
            <c:numRef>
              <c:extLst>
                <c:ext xmlns:c15="http://schemas.microsoft.com/office/drawing/2012/chart" uri="{02D57815-91ED-43cb-92C2-25804820EDAC}">
                  <c15:fullRef>
                    <c15:sqref>Sheet1!$C$2</c15:sqref>
                  </c15:fullRef>
                </c:ext>
              </c:extLst>
              <c:f>Sheet1!$C$2</c:f>
              <c:numCache>
                <c:formatCode>General</c:formatCode>
                <c:ptCount val="1"/>
                <c:pt idx="0">
                  <c:v>752.46</c:v>
                </c:pt>
              </c:numCache>
            </c:numRef>
          </c:val>
        </c:ser>
        <c:dLbls>
          <c:showLegendKey val="0"/>
          <c:showVal val="0"/>
          <c:showCatName val="0"/>
          <c:showSerName val="0"/>
          <c:showPercent val="0"/>
          <c:showBubbleSize val="0"/>
        </c:dLbls>
        <c:gapWidth val="246"/>
        <c:overlap val="-28"/>
        <c:axId val="546774674"/>
        <c:axId val="790591147"/>
        <c:extLst>
          <c:ext xmlns:c15="http://schemas.microsoft.com/office/drawing/2012/chart" uri="{02D57815-91ED-43cb-92C2-25804820EDAC}">
            <c15:filteredBarSeries>
              <c15:ser>
                <c:idx val="2"/>
                <c:order val="2"/>
                <c:tx>
                  <c:strRef>
                    <c:extLst>
                      <c:ext uri="{02D57815-91ED-43cb-92C2-25804820EDAC}">
                        <c15:formulaRef>
                          <c15:sqref>Sheet1!#REF!</c15:sqref>
                        </c15:formulaRef>
                      </c:ext>
                    </c:extLst>
                    <c:strCache>
                      <c:ptCount val="1"/>
                      <c:pt idx="0">
                        <c:v/>
                      </c:pt>
                    </c:strCache>
                  </c:strRef>
                </c:tx>
                <c:spPr>
                  <a:solidFill>
                    <a:schemeClr val="accent3"/>
                  </a:solidFill>
                  <a:ln>
                    <a:noFill/>
                  </a:ln>
                  <a:effectLst/>
                </c:spPr>
                <c:invertIfNegative val="0"/>
                <c:dLbls>
                  <c:delete val="1"/>
                </c:dLbls>
                <c:cat>
                  <c:strRef>
                    <c:extLst>
                      <c:ext uri="{02D57815-91ED-43cb-92C2-25804820EDAC}">
                        <c15:fullRef>
                          <c15:sqref>Sheet1!$A$2</c15:sqref>
                        </c15:fullRef>
                        <c15:formulaRef>
                          <c15:sqref>Sheet1!$A$2</c15:sqref>
                        </c15:formulaRef>
                      </c:ext>
                    </c:extLst>
                    <c:strCache>
                      <c:ptCount val="1"/>
                      <c:pt idx="0">
                        <c:v>财政拨款金额</c:v>
                      </c:pt>
                    </c:strCache>
                  </c:strRef>
                </c:cat>
              </c15:ser>
            </c15:filteredBarSeries>
          </c:ext>
        </c:extLst>
      </c:barChart>
      <c:catAx>
        <c:axId val="54677467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0591147"/>
        <c:crosses val="autoZero"/>
        <c:auto val="1"/>
        <c:lblAlgn val="ctr"/>
        <c:lblOffset val="100"/>
        <c:noMultiLvlLbl val="0"/>
      </c:catAx>
      <c:valAx>
        <c:axId val="79059114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677467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5745ec6-9b02-4f96-9f40-054a94b2b53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一般公共预算财政拨款支出决算结构</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delete val="1"/>
          </c:dLbls>
          <c:cat>
            <c:strRef>
              <c:f>Sheet1!$A$2:$A$5</c:f>
              <c:strCache>
                <c:ptCount val="4"/>
                <c:pt idx="0">
                  <c:v>一般公共服务支出</c:v>
                </c:pt>
                <c:pt idx="1">
                  <c:v>社会保障和就业支出</c:v>
                </c:pt>
                <c:pt idx="2">
                  <c:v>卫生健康支出</c:v>
                </c:pt>
                <c:pt idx="3">
                  <c:v>住房保障支出</c:v>
                </c:pt>
              </c:strCache>
            </c:strRef>
          </c:cat>
          <c:val>
            <c:numRef>
              <c:f>Sheet1!$B$2:$B$5</c:f>
              <c:numCache>
                <c:formatCode>General</c:formatCode>
                <c:ptCount val="4"/>
                <c:pt idx="0">
                  <c:v>409.58</c:v>
                </c:pt>
                <c:pt idx="1">
                  <c:v>58.21</c:v>
                </c:pt>
                <c:pt idx="2">
                  <c:v>10.68</c:v>
                </c:pt>
                <c:pt idx="3">
                  <c:v>39.49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manualLayout>
          <c:xMode val="edge"/>
          <c:yMode val="edge"/>
          <c:x val="0.165317709591689"/>
          <c:y val="0.143008924776881"/>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100f051-0c4c-4e96-9157-661e3638ce2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50</Pages>
  <Words>8776</Words>
  <Characters>11514</Characters>
  <Lines>70</Lines>
  <Paragraphs>19</Paragraphs>
  <TotalTime>16</TotalTime>
  <ScaleCrop>false</ScaleCrop>
  <LinksUpToDate>false</LinksUpToDate>
  <CharactersWithSpaces>11558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2024-10-21T08:51:00Z</dcterms:created>
  <dc:creator>曹颖</dc:creator>
  <cp:lastModifiedBy>碧云天</cp:lastModifiedBy>
  <cp:lastPrinted>2023-08-03T10:35:00Z</cp:lastPrinted>
  <dcterms:modified xsi:type="dcterms:W3CDTF">2024-10-29T08:43:02Z</dcterms:modified>
  <dc:title>四川省***</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8B2752130B154FA687632B9DE8E00F6F_13</vt:lpwstr>
  </property>
</Properties>
</file>