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6822B">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57363A53">
      <w:pPr>
        <w:tabs>
          <w:tab w:val="left" w:pos="1440"/>
        </w:tabs>
        <w:spacing w:line="600" w:lineRule="exact"/>
        <w:rPr>
          <w:rFonts w:ascii="宋体" w:hAnsi="宋体" w:eastAsia="宋体"/>
          <w:sz w:val="30"/>
          <w:szCs w:val="30"/>
        </w:rPr>
      </w:pPr>
    </w:p>
    <w:p w14:paraId="2D5ADCCE">
      <w:pPr>
        <w:pStyle w:val="7"/>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基层组织和农村公共服务运行项目支出绩效自评报告范本</w:t>
      </w:r>
    </w:p>
    <w:p w14:paraId="0A2A8965">
      <w:pPr>
        <w:pStyle w:val="7"/>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（项目单位自评）</w:t>
      </w:r>
    </w:p>
    <w:p w14:paraId="4AE3245F">
      <w:pPr>
        <w:pStyle w:val="7"/>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639B881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13730C8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（一）项目资金申报及批复情况。</w:t>
      </w:r>
    </w:p>
    <w:p w14:paraId="58BA54C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仿宋_GB2312" w:hAnsi="宋体" w:cs="Times New Roman"/>
          <w:lang w:val="zh-CN"/>
        </w:rPr>
        <w:t>农村公共服务设施运行维护项目是党的十八大报告提出“让广大农民平等参与现代化进程、共同分享现代化成果”，</w:t>
      </w:r>
      <w:bookmarkStart w:id="0" w:name="_GoBack"/>
      <w:bookmarkEnd w:id="0"/>
      <w:r>
        <w:rPr>
          <w:rFonts w:hint="eastAsia" w:ascii="仿宋_GB2312" w:hAnsi="宋体" w:cs="Times New Roman"/>
          <w:lang w:val="zh-CN"/>
        </w:rPr>
        <w:t>是落实十八大精神，实现公共财政覆盖农村的一项重大制度创新，是深化农村综合改革的重要抓手和加强基层民主政治建设的助推器。我</w:t>
      </w:r>
      <w:r>
        <w:rPr>
          <w:rFonts w:hint="eastAsia" w:ascii="仿宋_GB2312" w:hAnsi="宋体" w:cs="Times New Roman"/>
          <w:lang w:val="en-US" w:eastAsia="zh-CN"/>
        </w:rPr>
        <w:t>乡2023年</w:t>
      </w:r>
      <w:r>
        <w:rPr>
          <w:rFonts w:hint="eastAsia" w:ascii="仿宋_GB2312" w:hAnsi="宋体" w:cs="Times New Roman"/>
          <w:lang w:val="zh-CN"/>
        </w:rPr>
        <w:t>农村公共服务运行维护项目涉及</w:t>
      </w:r>
      <w:r>
        <w:rPr>
          <w:rFonts w:hint="eastAsia" w:ascii="仿宋_GB2312" w:hAnsi="宋体" w:cs="Times New Roman"/>
          <w:lang w:val="en-US" w:eastAsia="zh-CN"/>
        </w:rPr>
        <w:t>5</w:t>
      </w:r>
      <w:r>
        <w:rPr>
          <w:rFonts w:hint="eastAsia" w:ascii="仿宋_GB2312" w:hAnsi="宋体" w:cs="Times New Roman"/>
          <w:lang w:val="zh-CN"/>
        </w:rPr>
        <w:t>个村，分别是：</w:t>
      </w:r>
      <w:r>
        <w:rPr>
          <w:rFonts w:hint="eastAsia" w:ascii="仿宋_GB2312" w:hAnsi="宋体" w:cs="Times New Roman"/>
          <w:lang w:val="en-US" w:eastAsia="zh-CN"/>
        </w:rPr>
        <w:t>祖玛村、余坪村、柑子口村、勒乌村、马井村</w:t>
      </w:r>
      <w:r>
        <w:rPr>
          <w:rFonts w:hint="eastAsia" w:ascii="仿宋_GB2312" w:hAnsi="宋体" w:cs="Times New Roman"/>
          <w:lang w:val="zh-CN"/>
        </w:rPr>
        <w:t>。</w:t>
      </w:r>
      <w:r>
        <w:rPr>
          <w:rFonts w:hint="eastAsia" w:ascii="仿宋_GB2312" w:hAnsi="宋体" w:cs="Times New Roman"/>
          <w:lang w:val="en-US" w:eastAsia="zh-CN"/>
        </w:rPr>
        <w:t>5</w:t>
      </w:r>
      <w:r>
        <w:rPr>
          <w:rFonts w:hint="eastAsia" w:ascii="仿宋_GB2312" w:hAnsi="宋体" w:cs="Times New Roman"/>
          <w:lang w:val="zh-CN"/>
        </w:rPr>
        <w:t>个村</w:t>
      </w:r>
      <w:r>
        <w:rPr>
          <w:rFonts w:hint="eastAsia" w:ascii="仿宋_GB2312" w:hAnsi="宋体" w:cs="Times New Roman"/>
          <w:lang w:val="en-US" w:eastAsia="zh-CN"/>
        </w:rPr>
        <w:t>农村公共服务运行费项目总资金88万元，其中：</w:t>
      </w:r>
      <w:r>
        <w:rPr>
          <w:rFonts w:hint="eastAsia" w:ascii="仿宋_GB2312" w:hAnsi="宋体" w:cs="Times New Roman"/>
          <w:lang w:val="zh-CN"/>
        </w:rPr>
        <w:t>省级专项拨款资金</w:t>
      </w:r>
      <w:r>
        <w:rPr>
          <w:rFonts w:hint="eastAsia" w:ascii="仿宋_GB2312" w:hAnsi="宋体" w:cs="Times New Roman"/>
          <w:lang w:val="en-US" w:eastAsia="zh-CN"/>
        </w:rPr>
        <w:t>31</w:t>
      </w:r>
      <w:r>
        <w:rPr>
          <w:rFonts w:hint="eastAsia" w:ascii="仿宋_GB2312" w:hAnsi="宋体" w:cs="Times New Roman"/>
          <w:lang w:val="zh-CN"/>
        </w:rPr>
        <w:t>万元，</w:t>
      </w:r>
      <w:r>
        <w:rPr>
          <w:rFonts w:hint="eastAsia" w:ascii="仿宋_GB2312" w:hAnsi="宋体" w:cs="Times New Roman"/>
          <w:lang w:val="en-US" w:eastAsia="zh-CN"/>
        </w:rPr>
        <w:t>县级拨款</w:t>
      </w:r>
      <w:r>
        <w:rPr>
          <w:rFonts w:hint="eastAsia" w:ascii="仿宋_GB2312" w:hAnsi="宋体" w:cs="Times New Roman"/>
          <w:lang w:val="zh-CN"/>
        </w:rPr>
        <w:t>资金</w:t>
      </w:r>
      <w:r>
        <w:rPr>
          <w:rFonts w:hint="eastAsia" w:ascii="仿宋_GB2312" w:hAnsi="宋体" w:cs="Times New Roman"/>
          <w:lang w:val="en-US" w:eastAsia="zh-CN"/>
        </w:rPr>
        <w:t>31</w:t>
      </w:r>
      <w:r>
        <w:rPr>
          <w:rFonts w:hint="eastAsia" w:ascii="仿宋_GB2312" w:hAnsi="宋体" w:cs="Times New Roman"/>
          <w:lang w:val="zh-CN"/>
        </w:rPr>
        <w:t>万元，中央直达资金</w:t>
      </w:r>
      <w:r>
        <w:rPr>
          <w:rFonts w:hint="eastAsia" w:ascii="仿宋_GB2312" w:hAnsi="宋体" w:cs="Times New Roman"/>
          <w:lang w:val="en-US" w:eastAsia="zh-CN"/>
        </w:rPr>
        <w:t>26万元</w:t>
      </w:r>
      <w:r>
        <w:rPr>
          <w:rFonts w:hint="eastAsia" w:ascii="仿宋_GB2312" w:hAnsi="宋体" w:cs="Times New Roman"/>
          <w:lang w:val="zh-CN"/>
        </w:rPr>
        <w:t>。</w:t>
      </w:r>
      <w:r>
        <w:rPr>
          <w:rFonts w:hint="eastAsia" w:ascii="仿宋_GB2312" w:hAnsi="宋体" w:cs="Times New Roman"/>
          <w:lang w:val="en-US" w:eastAsia="zh-CN"/>
        </w:rPr>
        <w:t>峨边彝族自治县财政局批复文号为峨财预项</w:t>
      </w:r>
      <w:r>
        <w:rPr>
          <w:rFonts w:ascii="仿宋_GB2312" w:hAnsi="仿宋_GB2312" w:eastAsia="仿宋_GB2312" w:cs="仿宋_GB2312"/>
          <w:color w:val="000000"/>
          <w:kern w:val="0"/>
          <w:sz w:val="31"/>
          <w:szCs w:val="31"/>
          <w:lang w:val="en-US" w:eastAsia="zh-CN" w:bidi="ar"/>
        </w:rPr>
        <w:t>〔</w:t>
      </w:r>
      <w:r>
        <w:rPr>
          <w:rFonts w:hint="eastAsia" w:ascii="仿宋_GB2312" w:hAnsi="宋体" w:cs="Times New Roman"/>
          <w:lang w:val="en-US" w:eastAsia="zh-CN"/>
        </w:rPr>
        <w:t>2021</w:t>
      </w:r>
      <w:r>
        <w:rPr>
          <w:rFonts w:ascii="仿宋_GB2312" w:hAnsi="仿宋_GB2312" w:eastAsia="仿宋_GB2312" w:cs="仿宋_GB2312"/>
          <w:color w:val="000000"/>
          <w:kern w:val="0"/>
          <w:sz w:val="31"/>
          <w:szCs w:val="31"/>
          <w:lang w:val="en-US" w:eastAsia="zh-CN" w:bidi="ar"/>
        </w:rPr>
        <w:t>〕</w:t>
      </w:r>
      <w:r>
        <w:rPr>
          <w:rFonts w:hint="eastAsia" w:ascii="仿宋_GB2312" w:hAnsi="宋体" w:cs="Times New Roman"/>
          <w:lang w:val="en-US" w:eastAsia="zh-CN"/>
        </w:rPr>
        <w:t>267号。</w:t>
      </w:r>
    </w:p>
    <w:p w14:paraId="0C39480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zh-CN"/>
        </w:rPr>
      </w:pPr>
      <w:r>
        <w:rPr>
          <w:rFonts w:hint="eastAsia" w:ascii="楷体_GB2312" w:hAnsi="宋体" w:eastAsia="楷体_GB2312"/>
          <w:b/>
          <w:lang w:val="zh-CN"/>
        </w:rPr>
        <w:t>（二）项目绩效目标。</w:t>
      </w:r>
    </w:p>
    <w:p w14:paraId="17AC78D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en-US" w:eastAsia="zh-CN"/>
        </w:rPr>
      </w:pPr>
      <w:r>
        <w:rPr>
          <w:rFonts w:hint="eastAsia" w:ascii="仿宋_GB2312" w:hAnsi="宋体" w:cs="Times New Roman"/>
          <w:lang w:val="en-US" w:eastAsia="zh-CN"/>
        </w:rPr>
        <w:t>该项目主要内容和</w:t>
      </w:r>
      <w:r>
        <w:rPr>
          <w:rFonts w:hint="eastAsia" w:ascii="仿宋_GB2312" w:hAnsi="宋体" w:cs="Times New Roman"/>
          <w:lang w:val="zh-CN"/>
        </w:rPr>
        <w:t>主要</w:t>
      </w:r>
      <w:r>
        <w:rPr>
          <w:rFonts w:hint="eastAsia" w:ascii="仿宋_GB2312" w:hAnsi="宋体" w:cs="Times New Roman"/>
          <w:lang w:val="en-US" w:eastAsia="zh-CN"/>
        </w:rPr>
        <w:t>绩效目标</w:t>
      </w:r>
      <w:r>
        <w:rPr>
          <w:rFonts w:hint="eastAsia" w:ascii="仿宋_GB2312" w:hAnsi="宋体" w:cs="Times New Roman"/>
          <w:lang w:val="zh-CN"/>
        </w:rPr>
        <w:t>为：（1）农村道路维护维修，（2）堰渠维护维修，（3）饮水管道维护维修（</w:t>
      </w:r>
      <w:r>
        <w:rPr>
          <w:rFonts w:hint="eastAsia" w:ascii="仿宋_GB2312" w:hAnsi="宋体" w:cs="Times New Roman"/>
          <w:lang w:val="en-US" w:eastAsia="zh-CN"/>
        </w:rPr>
        <w:t>4）人居环境卫生整治</w:t>
      </w:r>
      <w:r>
        <w:rPr>
          <w:rFonts w:hint="eastAsia" w:ascii="仿宋_GB2312" w:hAnsi="宋体" w:cs="Times New Roman"/>
          <w:lang w:val="zh-CN"/>
        </w:rPr>
        <w:t>等方面（</w:t>
      </w:r>
      <w:r>
        <w:rPr>
          <w:rFonts w:hint="eastAsia" w:ascii="仿宋_GB2312" w:hAnsi="宋体" w:cs="Times New Roman"/>
          <w:lang w:val="en-US" w:eastAsia="zh-CN"/>
        </w:rPr>
        <w:t>5）</w:t>
      </w:r>
      <w:r>
        <w:rPr>
          <w:rFonts w:hint="eastAsia" w:ascii="仿宋_GB2312" w:hAnsi="宋体" w:cs="Times New Roman"/>
          <w:lang w:val="zh-CN" w:eastAsia="zh-CN"/>
        </w:rPr>
        <w:t>各村日常办公经费支出。</w:t>
      </w:r>
    </w:p>
    <w:p w14:paraId="4E2DFA2E">
      <w:pPr>
        <w:keepNext w:val="0"/>
        <w:keepLines w:val="0"/>
        <w:pageBreakBefore w:val="0"/>
        <w:numPr>
          <w:ilvl w:val="0"/>
          <w:numId w:val="1"/>
        </w:numPr>
        <w:kinsoku/>
        <w:wordWrap/>
        <w:overflowPunct/>
        <w:topLinePunct w:val="0"/>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项目资金申报相符性。</w:t>
      </w:r>
    </w:p>
    <w:p w14:paraId="05C033F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分析评价申报内容与实际相符，申报目标合理可行。</w:t>
      </w:r>
    </w:p>
    <w:p w14:paraId="15F87C7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p>
    <w:p w14:paraId="0C85CA1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19D790D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41E0042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1</w:t>
      </w:r>
      <w:r>
        <w:rPr>
          <w:rFonts w:hint="eastAsia" w:ascii="仿宋_GB2312" w:hAnsi="宋体" w:cs="Times New Roman"/>
          <w:lang w:val="en-US" w:eastAsia="zh-CN"/>
        </w:rPr>
        <w:t>.</w:t>
      </w:r>
      <w:r>
        <w:rPr>
          <w:rFonts w:hint="eastAsia" w:ascii="仿宋_GB2312" w:hAnsi="宋体" w:cs="Times New Roman"/>
          <w:lang w:val="zh-CN" w:eastAsia="zh-CN"/>
        </w:rPr>
        <w:t>资金计划及到位。说明该项目各类资金计划及截止评价时点实际到位情况，包括中央、省、市（州）、县（市、区）财政资金、项目单位自筹资金及其他渠道资金。将资金到位情况与资金计划进行比对，分析说明资金到位率、到位及时性。如有资金未到位或到位不及时等情况应说明原因。</w:t>
      </w:r>
    </w:p>
    <w:p w14:paraId="31AFFD1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s="Times New Roman"/>
          <w:lang w:val="en-US" w:eastAsia="zh-CN"/>
        </w:rPr>
      </w:pPr>
      <w:r>
        <w:rPr>
          <w:rFonts w:hint="eastAsia" w:ascii="仿宋_GB2312" w:hAnsi="宋体" w:cs="Times New Roman"/>
          <w:lang w:val="en-US" w:eastAsia="zh-CN"/>
        </w:rPr>
        <w:t>2.该项目根据峨边彝族自治县财政局批复文号为峨财预项〔2021〕267号，2023年6月6日县财政局下达省级资金31万元，2023年6月6日县财政局下达县级资金31万元，2023年12月21日县财政局下达中央直达资金26万元，共计81万元。</w:t>
      </w:r>
    </w:p>
    <w:p w14:paraId="3AB29BE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24C116C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我</w:t>
      </w:r>
      <w:r>
        <w:rPr>
          <w:rFonts w:hint="eastAsia" w:ascii="仿宋_GB2312" w:hAnsi="宋体" w:cs="Times New Roman"/>
          <w:lang w:val="en-US" w:eastAsia="zh-CN"/>
        </w:rPr>
        <w:t>乡</w:t>
      </w:r>
      <w:r>
        <w:rPr>
          <w:rFonts w:hint="eastAsia" w:ascii="仿宋_GB2312" w:hAnsi="宋体" w:cs="Times New Roman"/>
          <w:lang w:val="zh-CN" w:eastAsia="zh-CN"/>
        </w:rPr>
        <w:t>农村公共服务运行项目资金使用符合国家财经法规和财务管理制度及有关专项资金管理办法规定；资金拨付有完整的审批程序和手续；符合项目预算批复或合同规定用途；不存在截留、挤占、挪用、虚列支出等情况。</w:t>
      </w:r>
    </w:p>
    <w:p w14:paraId="47E1A0E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11D5792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en-US" w:eastAsia="zh-CN"/>
        </w:rPr>
        <w:t>1.</w:t>
      </w:r>
      <w:r>
        <w:rPr>
          <w:rFonts w:hint="eastAsia" w:ascii="仿宋_GB2312" w:hAnsi="宋体" w:cs="Times New Roman"/>
          <w:lang w:val="zh-CN" w:eastAsia="zh-CN"/>
        </w:rPr>
        <w:t>项目组织架构及实施流程。按照财政部门要求进行项目资金预算，资金下达后由各村根据实际进行项目申报，经乡党委研究后批复各村实施项目清单，各村按照清单实施。</w:t>
      </w:r>
    </w:p>
    <w:p w14:paraId="1EFBAED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en-US" w:eastAsia="zh-CN"/>
        </w:rPr>
        <w:t>2.</w:t>
      </w:r>
      <w:r>
        <w:rPr>
          <w:rFonts w:hint="eastAsia" w:ascii="仿宋_GB2312" w:hAnsi="宋体" w:cs="Times New Roman"/>
          <w:lang w:val="zh-CN" w:eastAsia="zh-CN"/>
        </w:rPr>
        <w:t>项目管理情况。严格按照相关法律法规及项目管理制度推进相关工作。</w:t>
      </w:r>
    </w:p>
    <w:p w14:paraId="25FA9CA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shd w:val="clear" w:color="auto" w:fill="auto"/>
          <w:lang w:val="zh-CN" w:eastAsia="zh-CN"/>
        </w:rPr>
      </w:pPr>
      <w:r>
        <w:rPr>
          <w:rFonts w:hint="eastAsia" w:ascii="仿宋_GB2312" w:hAnsi="宋体" w:cs="Times New Roman"/>
          <w:lang w:val="en-US" w:eastAsia="zh-CN"/>
        </w:rPr>
        <w:t>3.</w:t>
      </w:r>
      <w:r>
        <w:rPr>
          <w:rFonts w:hint="eastAsia" w:ascii="仿宋_GB2312" w:hAnsi="宋体" w:cs="Times New Roman"/>
          <w:lang w:val="zh-CN" w:eastAsia="zh-CN"/>
        </w:rPr>
        <w:t>项目监管情况。由乡党委政府、乡纪委、村级纪检组、村级理财小组对项目实施全过程进行监督管理。</w:t>
      </w:r>
    </w:p>
    <w:p w14:paraId="073C8A2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198CE4B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035A46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cs="Times New Roman"/>
          <w:lang w:val="en-US" w:eastAsia="zh-CN"/>
        </w:rPr>
      </w:pPr>
      <w:r>
        <w:rPr>
          <w:rFonts w:hint="eastAsia" w:ascii="仿宋_GB2312" w:hAnsi="宋体" w:cs="Times New Roman"/>
          <w:lang w:val="en-US" w:eastAsia="zh-CN"/>
        </w:rPr>
        <w:t>2023年我乡农村公共服务运行项目资金总计划88万元，其中项目总体完成质量较高，在规定的时限内按照相关要求进行报账，成本控制在预算之内。</w:t>
      </w:r>
    </w:p>
    <w:p w14:paraId="089174E2">
      <w:pPr>
        <w:keepNext w:val="0"/>
        <w:keepLines w:val="0"/>
        <w:pageBreakBefore w:val="0"/>
        <w:widowControl w:val="0"/>
        <w:numPr>
          <w:ilvl w:val="0"/>
          <w:numId w:val="2"/>
        </w:numPr>
        <w:kinsoku/>
        <w:wordWrap/>
        <w:overflowPunct/>
        <w:topLinePunct w:val="0"/>
        <w:autoSpaceDE/>
        <w:autoSpaceDN/>
        <w:bidi w:val="0"/>
        <w:adjustRightInd w:val="0"/>
        <w:snapToGrid w:val="0"/>
        <w:spacing w:line="560" w:lineRule="exact"/>
        <w:ind w:left="0" w:leftChars="0" w:right="0" w:rightChars="0" w:firstLine="643" w:firstLineChars="200"/>
        <w:jc w:val="both"/>
        <w:textAlignment w:val="auto"/>
        <w:outlineLvl w:val="9"/>
        <w:rPr>
          <w:rFonts w:hint="eastAsia" w:ascii="楷体_GB2312" w:hAnsi="宋体" w:eastAsia="楷体_GB2312"/>
          <w:b/>
          <w:lang w:val="zh-CN"/>
        </w:rPr>
      </w:pPr>
      <w:r>
        <w:rPr>
          <w:rFonts w:hint="eastAsia" w:ascii="楷体_GB2312" w:hAnsi="宋体" w:eastAsia="楷体_GB2312"/>
          <w:b/>
          <w:lang w:val="zh-CN"/>
        </w:rPr>
        <w:t>项目效益情况。</w:t>
      </w:r>
    </w:p>
    <w:p w14:paraId="63D915F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cs="Times New Roman"/>
          <w:lang w:val="zh-CN" w:eastAsia="zh-CN"/>
        </w:rPr>
        <w:t>项目资金按时拨付，保障了村民的基本生活，农村公共服务设施运行维护项目的长效实施改善了群众的生产生活条件，提高了群众生活质量，完善了农村基础设施功能，该项目取得了较好的社会效益。</w:t>
      </w:r>
    </w:p>
    <w:p w14:paraId="1FEE729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102FE6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235BA37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en-US" w:eastAsia="zh-CN"/>
        </w:rPr>
        <w:t>资金拨付进度相对滞后</w:t>
      </w:r>
    </w:p>
    <w:p w14:paraId="6FFBC8AB">
      <w:pPr>
        <w:keepNext w:val="0"/>
        <w:keepLines w:val="0"/>
        <w:pageBreakBefore w:val="0"/>
        <w:numPr>
          <w:ilvl w:val="0"/>
          <w:numId w:val="2"/>
        </w:numPr>
        <w:kinsoku/>
        <w:wordWrap/>
        <w:overflowPunct/>
        <w:topLinePunct w:val="0"/>
        <w:autoSpaceDE/>
        <w:autoSpaceDN/>
        <w:bidi w:val="0"/>
        <w:adjustRightInd w:val="0"/>
        <w:snapToGrid w:val="0"/>
        <w:spacing w:line="600" w:lineRule="exact"/>
        <w:ind w:left="0" w:leftChars="0"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相关建议。</w:t>
      </w:r>
    </w:p>
    <w:p w14:paraId="0E7A962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en-US" w:eastAsia="zh-CN"/>
        </w:rPr>
      </w:pPr>
      <w:r>
        <w:rPr>
          <w:rFonts w:hint="eastAsia" w:ascii="仿宋_GB2312" w:hAnsi="宋体" w:cs="Times New Roman"/>
          <w:lang w:val="en-US" w:eastAsia="zh-CN"/>
        </w:rPr>
        <w:t>财政下达资金后，及时与各村对接，尽量按季度报账，杜绝年底一次性报账的现象。</w:t>
      </w:r>
    </w:p>
    <w:p w14:paraId="44F6860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en-US" w:eastAsia="zh-CN"/>
        </w:rPr>
      </w:pPr>
    </w:p>
    <w:p w14:paraId="78EC4FB1">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0AC27A-1546-4A32-A55A-1C9AC2D4997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E370D99-2DAF-4734-9646-245C7B0C5A7B}"/>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860DD6BB-B5B8-4A70-9DEE-1033590940D8}"/>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04C0E3DF-2B38-4FD7-A283-7E50CE99CE4C}"/>
  </w:font>
  <w:font w:name="楷体_GB2312">
    <w:panose1 w:val="02010609030101010101"/>
    <w:charset w:val="86"/>
    <w:family w:val="modern"/>
    <w:pitch w:val="default"/>
    <w:sig w:usb0="00000001" w:usb1="080E0000" w:usb2="00000000" w:usb3="00000000" w:csb0="00040000" w:csb1="00000000"/>
    <w:embedRegular r:id="rId5" w:fontKey="{5BDAB93E-9322-47E0-8B69-E03E14742926}"/>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F607C"/>
    <w:multiLevelType w:val="singleLevel"/>
    <w:tmpl w:val="104F607C"/>
    <w:lvl w:ilvl="0" w:tentative="0">
      <w:start w:val="2"/>
      <w:numFmt w:val="chineseCounting"/>
      <w:suff w:val="nothing"/>
      <w:lvlText w:val="（%1）"/>
      <w:lvlJc w:val="left"/>
      <w:rPr>
        <w:rFonts w:hint="eastAsia"/>
      </w:rPr>
    </w:lvl>
  </w:abstractNum>
  <w:abstractNum w:abstractNumId="1">
    <w:nsid w:val="1F856878"/>
    <w:multiLevelType w:val="singleLevel"/>
    <w:tmpl w:val="1F85687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86E1FF4"/>
    <w:rsid w:val="0D466608"/>
    <w:rsid w:val="0D850CC5"/>
    <w:rsid w:val="13722809"/>
    <w:rsid w:val="19B536B9"/>
    <w:rsid w:val="1E0A5785"/>
    <w:rsid w:val="291C455A"/>
    <w:rsid w:val="2A502512"/>
    <w:rsid w:val="36926D0C"/>
    <w:rsid w:val="373B602E"/>
    <w:rsid w:val="4097795B"/>
    <w:rsid w:val="414A628B"/>
    <w:rsid w:val="46514B7C"/>
    <w:rsid w:val="4F7F141A"/>
    <w:rsid w:val="539454CB"/>
    <w:rsid w:val="673E27F9"/>
    <w:rsid w:val="6D950364"/>
    <w:rsid w:val="6EF16389"/>
    <w:rsid w:val="703932FA"/>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1189</Words>
  <Characters>1232</Characters>
  <Lines>9</Lines>
  <Paragraphs>2</Paragraphs>
  <TotalTime>9</TotalTime>
  <ScaleCrop>false</ScaleCrop>
  <LinksUpToDate>false</LinksUpToDate>
  <CharactersWithSpaces>1234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2024-10-27T02:55:04Z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C1CEC4B286AA4297A4E1FB9EF93550DF_13</vt:lpwstr>
  </property>
</Properties>
</file>