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5E5B8">
      <w:pPr>
        <w:spacing w:line="580" w:lineRule="exact"/>
        <w:contextualSpacing/>
        <w:rPr>
          <w:rFonts w:hint="default" w:ascii="方正黑体_GBK" w:hAnsi="宋体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宋体" w:eastAsia="方正黑体_GBK"/>
          <w:sz w:val="33"/>
          <w:szCs w:val="33"/>
          <w:lang w:val="zh-CN"/>
        </w:rPr>
        <w:t>附</w:t>
      </w:r>
      <w:r>
        <w:rPr>
          <w:rFonts w:hint="eastAsia" w:ascii="方正黑体_GBK" w:hAnsi="宋体" w:eastAsia="方正黑体_GBK"/>
          <w:sz w:val="33"/>
          <w:szCs w:val="33"/>
          <w:lang w:val="en-US" w:eastAsia="zh-CN"/>
        </w:rPr>
        <w:t>5-2</w:t>
      </w:r>
    </w:p>
    <w:p w14:paraId="2719CE18">
      <w:pPr>
        <w:widowControl/>
        <w:spacing w:line="580" w:lineRule="exact"/>
        <w:ind w:firstLine="883" w:firstLineChars="200"/>
        <w:contextualSpacing/>
        <w:jc w:val="center"/>
        <w:rPr>
          <w:rFonts w:ascii="宋体"/>
          <w:b/>
          <w:sz w:val="44"/>
          <w:szCs w:val="44"/>
          <w:shd w:val="clear" w:color="auto" w:fill="FFFFFF"/>
        </w:rPr>
      </w:pPr>
    </w:p>
    <w:p w14:paraId="0D5722DC">
      <w:pPr>
        <w:widowControl/>
        <w:spacing w:line="580" w:lineRule="exact"/>
        <w:contextualSpacing/>
        <w:jc w:val="center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  <w:lang w:eastAsia="zh-CN"/>
        </w:rPr>
        <w:t>县</w:t>
      </w: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级部门整体绩效自评报告范本</w:t>
      </w:r>
    </w:p>
    <w:p w14:paraId="3975AFF0">
      <w:pPr>
        <w:widowControl/>
        <w:spacing w:line="580" w:lineRule="exact"/>
        <w:contextualSpacing/>
        <w:jc w:val="center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仿宋_GB2312" w:hAnsi="宋体" w:eastAsia="仿宋_GB2312"/>
          <w:szCs w:val="32"/>
          <w:shd w:val="clear" w:color="auto" w:fill="FFFFFF"/>
        </w:rPr>
        <w:t>（报告范围包括机关和下属单位）</w:t>
      </w:r>
    </w:p>
    <w:p w14:paraId="00D1C849">
      <w:pPr>
        <w:widowControl/>
        <w:adjustRightInd w:val="0"/>
        <w:snapToGrid w:val="0"/>
        <w:spacing w:line="580" w:lineRule="exact"/>
        <w:ind w:firstLine="660" w:firstLineChars="200"/>
        <w:contextualSpacing/>
        <w:jc w:val="left"/>
        <w:rPr>
          <w:rFonts w:ascii="方正仿宋_GBK" w:hAnsi="宋体" w:eastAsia="方正仿宋_GBK" w:cs="宋体"/>
          <w:color w:val="000000"/>
          <w:kern w:val="0"/>
          <w:sz w:val="33"/>
          <w:szCs w:val="33"/>
          <w:shd w:val="clear" w:color="auto" w:fill="FFFFFF"/>
        </w:rPr>
      </w:pPr>
    </w:p>
    <w:p w14:paraId="7C9C5418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  <w:t>部门基本情况</w:t>
      </w:r>
    </w:p>
    <w:p w14:paraId="2AA52014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 w14:paraId="1F6554B1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勒乌乡</w:t>
      </w:r>
      <w:r>
        <w:rPr>
          <w:rStyle w:val="12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人民政府属行政单位，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内设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五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办一所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两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中心。包括党政办、党建办公室、规划建设管理办公室、乡村振兴办公室、综合执法办公室、财政所、便民服务中心、农业综合服务中心、综治中心、文化旅游服务中心。</w:t>
      </w:r>
    </w:p>
    <w:p w14:paraId="37A2B3A3"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机构职能和人员概况。</w:t>
      </w:r>
    </w:p>
    <w:p w14:paraId="60DF2F32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Style w:val="12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落实国家政策，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严格依法行政，发挥经济管理职能，加强政策引导，制定发展规划，组织指导好各业生产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发展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好乡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村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集体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经济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</w:p>
    <w:p w14:paraId="247E0623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制定并组织实施村镇建设规划，部署重点工程建设，地方道路建设及公共设施，水利设施的管理，负责土地、林木、水等自然资源和生态环境的保护，做好护林防火工作。</w:t>
      </w:r>
    </w:p>
    <w:p w14:paraId="19E798B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负责本行政区域内的民政、计划生育、文化教育、卫生、体育等社会公益事业的综合性工作，维护一切经济单位和个人的正当经济权益，取缔非法经济活动，调解和处理民事纠纷，打击刑事犯罪维护社会稳定。</w:t>
      </w:r>
    </w:p>
    <w:p w14:paraId="442AB2A1">
      <w:pPr>
        <w:widowControl/>
        <w:numPr>
          <w:ilvl w:val="0"/>
          <w:numId w:val="0"/>
        </w:numPr>
        <w:tabs>
          <w:tab w:val="left" w:pos="3840"/>
        </w:tabs>
        <w:adjustRightInd w:val="0"/>
        <w:snapToGrid w:val="0"/>
        <w:spacing w:line="580" w:lineRule="exact"/>
        <w:ind w:firstLine="640" w:firstLineChars="200"/>
        <w:contextualSpacing/>
        <w:jc w:val="left"/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勒乌乡</w:t>
      </w:r>
      <w:r>
        <w:rPr>
          <w:rStyle w:val="12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总编制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21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名，其中：行政编制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15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名，工勤编制0名，事业编制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6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名。在职人员总数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15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名，其中：行政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名，工勤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0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名，事业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5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名。离休0名。</w:t>
      </w:r>
    </w:p>
    <w:p w14:paraId="4D1CE92F">
      <w:pPr>
        <w:pStyle w:val="2"/>
        <w:rPr>
          <w:rFonts w:hint="eastAsia"/>
          <w:lang w:val="zh-CN"/>
        </w:rPr>
      </w:pPr>
    </w:p>
    <w:p w14:paraId="419AD1C7"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年度主要工作任务。</w:t>
      </w:r>
    </w:p>
    <w:p w14:paraId="6E88E1B4">
      <w:pPr>
        <w:overflowPunct w:val="0"/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聚焦凝心聚魂，抓学习、强基础。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始终把习近平新时代中国特色社会主义思想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党的二十大精神、习近平总书记最新重要讲话和重要指示批示精神，列为党委会议、“三会一课”的第一议题，党委会会前学习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次，周例会学习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次，业务专题会和“三会一课”等学习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次，确保会议精神传达学习到位。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组织开展“七一”讲党课和优秀党课展播活动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次、培训党员干部2期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218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人，开展“强根基，壮枝干”村常职干部、村民小组长培训1期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</w:t>
      </w:r>
      <w:r>
        <w:rPr>
          <w:rFonts w:hint="eastAsia" w:ascii="仿宋_GB2312" w:hAnsi="仿宋_GB2312" w:eastAsia="仿宋_GB2312" w:cs="仿宋_GB2312"/>
          <w:sz w:val="32"/>
          <w:szCs w:val="32"/>
        </w:rPr>
        <w:t>人；组织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人次开展安全知识考试和党建知识竞赛。</w:t>
      </w:r>
    </w:p>
    <w:p w14:paraId="05E0503A">
      <w:pPr>
        <w:pStyle w:val="20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聚焦主题教育，强部署、见实效。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实行“1+9”党建引领，制定党委、支部、个人学习计划，落实“常态提示、每周汇总、每月研判、阶段部署”学习机制，压茬推进学习任务，确保主题教育走深走实。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sz w:val="32"/>
          <w:szCs w:val="40"/>
        </w:rPr>
        <w:t>是</w:t>
      </w:r>
      <w:r>
        <w:rPr>
          <w:rFonts w:hint="eastAsia" w:ascii="仿宋_GB2312" w:hAnsi="仿宋_GB2312" w:eastAsia="仿宋_GB2312" w:cs="仿宋_GB2312"/>
          <w:sz w:val="32"/>
          <w:szCs w:val="40"/>
        </w:rPr>
        <w:t>为民办实事走深走实，开展</w:t>
      </w:r>
      <w:r>
        <w:rPr>
          <w:rFonts w:hint="eastAsia" w:ascii="仿宋_GB2312" w:hAnsi="楷体_GB2312" w:eastAsia="仿宋_GB2312"/>
          <w:color w:val="000000"/>
          <w:sz w:val="32"/>
          <w:szCs w:val="40"/>
        </w:rPr>
        <w:t>“座谈问计”“一线问政”“走访问需”活动，收集建议意见</w:t>
      </w:r>
      <w:r>
        <w:rPr>
          <w:rFonts w:hint="eastAsia" w:ascii="仿宋_GB2312" w:hAnsi="楷体_GB2312" w:eastAsia="仿宋_GB2312"/>
          <w:color w:val="000000"/>
          <w:sz w:val="32"/>
          <w:szCs w:val="40"/>
          <w:lang w:val="en-US" w:eastAsia="zh-CN"/>
        </w:rPr>
        <w:t>27</w:t>
      </w:r>
      <w:r>
        <w:rPr>
          <w:rFonts w:hint="eastAsia" w:ascii="仿宋_GB2312" w:hAnsi="楷体_GB2312" w:eastAsia="仿宋_GB2312"/>
          <w:color w:val="000000"/>
          <w:sz w:val="32"/>
          <w:szCs w:val="40"/>
        </w:rPr>
        <w:t>条、问题</w:t>
      </w:r>
      <w:r>
        <w:rPr>
          <w:rFonts w:hint="eastAsia" w:ascii="仿宋_GB2312" w:hAnsi="楷体_GB2312" w:eastAsia="仿宋_GB2312"/>
          <w:color w:val="000000"/>
          <w:sz w:val="32"/>
          <w:szCs w:val="40"/>
          <w:lang w:val="en-US" w:eastAsia="zh-CN"/>
        </w:rPr>
        <w:t>34</w:t>
      </w:r>
      <w:r>
        <w:rPr>
          <w:rFonts w:hint="eastAsia" w:ascii="仿宋_GB2312" w:hAnsi="楷体_GB2312" w:eastAsia="仿宋_GB2312"/>
          <w:color w:val="000000"/>
          <w:sz w:val="32"/>
          <w:szCs w:val="40"/>
        </w:rPr>
        <w:t>条、需求</w:t>
      </w:r>
      <w:r>
        <w:rPr>
          <w:rFonts w:hint="eastAsia" w:ascii="仿宋_GB2312" w:hAnsi="楷体_GB2312" w:eastAsia="仿宋_GB2312"/>
          <w:color w:val="000000"/>
          <w:sz w:val="32"/>
          <w:szCs w:val="40"/>
          <w:lang w:val="en-US" w:eastAsia="zh-CN"/>
        </w:rPr>
        <w:t>11</w:t>
      </w:r>
      <w:r>
        <w:rPr>
          <w:rFonts w:hint="eastAsia" w:ascii="仿宋_GB2312" w:hAnsi="楷体_GB2312" w:eastAsia="仿宋_GB2312"/>
          <w:color w:val="000000"/>
          <w:sz w:val="32"/>
          <w:szCs w:val="40"/>
        </w:rPr>
        <w:t>条，搭建</w:t>
      </w:r>
      <w:r>
        <w:rPr>
          <w:rFonts w:hint="eastAsia" w:ascii="仿宋_GB2312" w:hAnsi="楷体_GB2312" w:eastAsia="仿宋_GB2312"/>
          <w:color w:val="000000"/>
          <w:sz w:val="32"/>
          <w:szCs w:val="40"/>
          <w:lang w:val="en-US" w:eastAsia="zh-CN"/>
        </w:rPr>
        <w:t>乡</w:t>
      </w:r>
      <w:r>
        <w:rPr>
          <w:rFonts w:hint="eastAsia" w:ascii="仿宋_GB2312" w:hAnsi="楷体_GB2312" w:eastAsia="仿宋_GB2312"/>
          <w:color w:val="000000"/>
          <w:sz w:val="32"/>
          <w:szCs w:val="40"/>
        </w:rPr>
        <w:t>人大民生实事票决、</w:t>
      </w:r>
      <w:r>
        <w:rPr>
          <w:rFonts w:hint="eastAsia" w:ascii="仿宋_GB2312" w:hAnsi="楷体_GB2312" w:eastAsia="仿宋_GB2312"/>
          <w:color w:val="000000"/>
          <w:sz w:val="32"/>
          <w:szCs w:val="40"/>
          <w:lang w:val="en-US" w:eastAsia="zh-CN"/>
        </w:rPr>
        <w:t>乡</w:t>
      </w:r>
      <w:r>
        <w:rPr>
          <w:rFonts w:hint="eastAsia" w:ascii="仿宋_GB2312" w:hAnsi="楷体_GB2312" w:eastAsia="仿宋_GB2312"/>
          <w:color w:val="000000"/>
          <w:sz w:val="32"/>
          <w:szCs w:val="40"/>
        </w:rPr>
        <w:t>村政协有事来协商、“四走”三个平台，深入解决群众问题</w:t>
      </w:r>
      <w:r>
        <w:rPr>
          <w:rFonts w:hint="eastAsia" w:ascii="仿宋_GB2312" w:hAnsi="楷体_GB2312" w:eastAsia="仿宋_GB2312"/>
          <w:color w:val="000000"/>
          <w:sz w:val="32"/>
          <w:szCs w:val="40"/>
          <w:lang w:val="en-US" w:eastAsia="zh-CN"/>
        </w:rPr>
        <w:t>53</w:t>
      </w:r>
      <w:r>
        <w:rPr>
          <w:rFonts w:hint="eastAsia" w:ascii="仿宋_GB2312" w:hAnsi="楷体_GB2312" w:eastAsia="仿宋_GB2312"/>
          <w:color w:val="000000"/>
          <w:sz w:val="32"/>
          <w:szCs w:val="40"/>
        </w:rPr>
        <w:t>个，</w:t>
      </w:r>
      <w:r>
        <w:rPr>
          <w:rFonts w:hint="eastAsia" w:ascii="仿宋_GB2312" w:hAnsi="仿宋_GB2312" w:eastAsia="仿宋_GB2312"/>
          <w:color w:val="000000"/>
          <w:sz w:val="32"/>
          <w:szCs w:val="32"/>
          <w:shd w:val="clear" w:color="auto" w:fill="FFFFFF"/>
        </w:rPr>
        <w:t>充分宣传动员群众参加医疗保险</w:t>
      </w:r>
      <w:r>
        <w:rPr>
          <w:rFonts w:hint="eastAsia" w:ascii="仿宋_GB2312" w:hAns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3418</w:t>
      </w:r>
      <w:r>
        <w:rPr>
          <w:rFonts w:hint="eastAsia" w:ascii="仿宋_GB2312" w:hAnsi="仿宋_GB2312" w:eastAsia="仿宋_GB2312"/>
          <w:color w:val="000000"/>
          <w:sz w:val="32"/>
          <w:szCs w:val="32"/>
          <w:shd w:val="clear" w:color="auto" w:fill="FFFFFF"/>
        </w:rPr>
        <w:t>人，做到已脱贫户、特殊群众全覆盖</w:t>
      </w:r>
      <w:r>
        <w:rPr>
          <w:rFonts w:hint="eastAsia" w:ascii="仿宋_GB2312" w:hAnsi="仿宋_GB2312" w:eastAsia="仿宋_GB2312"/>
          <w:color w:val="000000"/>
          <w:sz w:val="32"/>
          <w:szCs w:val="32"/>
          <w:shd w:val="clear" w:color="auto" w:fill="FFFFFF"/>
          <w:lang w:eastAsia="zh-CN"/>
        </w:rPr>
        <w:t>。</w:t>
      </w:r>
    </w:p>
    <w:p w14:paraId="33C08880"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部门整体支出绩效目标。</w:t>
      </w:r>
    </w:p>
    <w:p w14:paraId="2CE9FD0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保障乡镇机关运行，保障村干部缴纳养老保险、村组干部缴纳意外保险缴纳，解决全乡5个行政村村民最关心、最直接、最现实的问题，包括村各项公益事业建设，改善农村人居环境，保障为全乡辖区内群众办实事、做好事，解难事等支出。</w:t>
      </w:r>
    </w:p>
    <w:p w14:paraId="5F4D216C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二、部门财政资金收支情况</w:t>
      </w:r>
    </w:p>
    <w:p w14:paraId="5F84C538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b w:val="0"/>
          <w:bCs w:val="0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（一）部门财政资</w:t>
      </w:r>
      <w:r>
        <w:rPr>
          <w:rFonts w:hint="eastAsia" w:ascii="楷体_GB2312" w:hAnsi="宋体" w:eastAsia="楷体_GB2312" w:cs="宋体"/>
          <w:b w:val="0"/>
          <w:bCs w:val="0"/>
          <w:color w:val="000000"/>
          <w:kern w:val="0"/>
          <w:szCs w:val="32"/>
          <w:shd w:val="clear" w:color="auto" w:fill="FFFFFF"/>
          <w:lang w:val="zh-CN"/>
        </w:rPr>
        <w:t>金收入情况。</w:t>
      </w:r>
    </w:p>
    <w:p w14:paraId="7CA620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2023年度财政拨款收入740.7473万元，其中：上年结转为0万元，一般公共预算拨款收入740.7473万元，政府性基金预算拨款收入0万元。</w:t>
      </w:r>
    </w:p>
    <w:p w14:paraId="23A213A5"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b w:val="0"/>
          <w:bCs w:val="0"/>
          <w:color w:val="000000"/>
          <w:kern w:val="0"/>
          <w:szCs w:val="32"/>
          <w:shd w:val="clear" w:color="auto" w:fill="FFFFFF"/>
          <w:lang w:val="zh-CN"/>
        </w:rPr>
        <w:t>部门财政资金支出情况</w:t>
      </w: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。</w:t>
      </w:r>
    </w:p>
    <w:p w14:paraId="0C94070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40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2023年度财政资金支出753.5532万元，其中：基本支出598.3968万元；项目支出155.1565万元</w:t>
      </w:r>
    </w:p>
    <w:p w14:paraId="43BC4607"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部门财政资金结转结余情况。</w:t>
      </w:r>
    </w:p>
    <w:p w14:paraId="2CE702A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2023年财政资金结转结余0万元</w:t>
      </w:r>
    </w:p>
    <w:p w14:paraId="396AC038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三、部门整体绩效管理情况（根据自评体系进行描述）</w:t>
      </w:r>
    </w:p>
    <w:p w14:paraId="29287201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（一）部门整体履职绩效分析。</w:t>
      </w:r>
    </w:p>
    <w:p w14:paraId="53386716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Style w:val="12"/>
          <w:rFonts w:hint="eastAsia" w:asci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勒乌乡</w:t>
      </w:r>
      <w:r>
        <w:rPr>
          <w:rStyle w:val="12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人民政府绩效目标按要求向社会公开，部门整体绩效自评情况和自行组织的评价情况向社会公开，及时整改了绩效管理发现问题，向财政部门反馈结果应用情况。资金主要投入在城乡环境整治、人居环境改善、乡村及镇区风貌、村民活动场所建设、文化设施建设、治安维稳、基础设施建设等方面，通过统计分析获取了人民群众对生态环境的健康度、居住生活的舒适度、工作出行的便捷度、居住生活的安全度各方面的良好评价。</w:t>
      </w:r>
    </w:p>
    <w:p w14:paraId="0F945273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（二）特定目标类项目绩效分析。</w:t>
      </w:r>
    </w:p>
    <w:p w14:paraId="080ECDC5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zh-CN" w:eastAsia="zh-CN"/>
        </w:rPr>
      </w:pPr>
      <w:r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zh-CN" w:eastAsia="zh-CN"/>
        </w:rPr>
        <w:t>包括项目绩效目标制定、目标实现、支出控制、及时处置、执行进度、预算完成情况、资金结余率（低效无效率）和违规记录等情况。</w:t>
      </w:r>
    </w:p>
    <w:p w14:paraId="2B7DCE4D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zh-CN" w:eastAsia="zh-CN"/>
        </w:rPr>
      </w:pPr>
      <w:r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zh-CN" w:eastAsia="zh-CN"/>
        </w:rPr>
        <w:t>1.整体情况</w:t>
      </w:r>
    </w:p>
    <w:p w14:paraId="4A9EBCC1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勒乌乡</w:t>
      </w:r>
      <w:r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zh-CN" w:eastAsia="zh-CN"/>
        </w:rPr>
        <w:t>项目具体为：</w:t>
      </w:r>
      <w:r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乡镇安全管理相关4.8781万元；垃圾车运营维护费4万元；在职村干部养老保险补助、村组干部意外保险4.9724万元；基层组织和农村公共服务运行88万元。</w:t>
      </w:r>
    </w:p>
    <w:p w14:paraId="7AE974D9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zh-CN" w:eastAsia="zh-CN"/>
        </w:rPr>
      </w:pPr>
      <w:r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zh-CN" w:eastAsia="zh-CN"/>
        </w:rPr>
        <w:t>2.100万以上项目：无</w:t>
      </w:r>
    </w:p>
    <w:p w14:paraId="7EEBAB50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 w14:paraId="1CF29B40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（三）结果应用情况。</w:t>
      </w:r>
    </w:p>
    <w:p w14:paraId="34A97508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zh-CN" w:eastAsia="zh-CN"/>
        </w:rPr>
      </w:pPr>
      <w:r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zh-CN" w:eastAsia="zh-CN"/>
        </w:rPr>
        <w:t>预算执行情况为</w:t>
      </w:r>
      <w:r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100%</w:t>
      </w:r>
      <w:r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zh-CN" w:eastAsia="zh-CN"/>
        </w:rPr>
        <w:t>，较好地完成了县委</w:t>
      </w:r>
      <w:r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Style w:val="12"/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zh-CN" w:eastAsia="zh-CN"/>
        </w:rPr>
        <w:t>政府下达的目标任务，部门支出自评质量高，绩效目标及时公开，社会反映良好。</w:t>
      </w:r>
    </w:p>
    <w:p w14:paraId="339B537F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四、评价结论及建议</w:t>
      </w:r>
      <w:bookmarkStart w:id="0" w:name="_GoBack"/>
      <w:bookmarkEnd w:id="0"/>
    </w:p>
    <w:p w14:paraId="588E7A58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 w14:paraId="1B0C6DA4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lang w:val="zh-CN"/>
        </w:rPr>
      </w:pPr>
      <w:r>
        <w:rPr>
          <w:rStyle w:val="12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根据《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峨边彝族自治县财政局关于开展2022年部门整体、项目和政策支出绩效评价工作的通知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》文件精神，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勒乌乡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人民政府认真组织开展了部门整体支出绩效评价工作，绩效评价得分：</w:t>
      </w:r>
      <w:r>
        <w:rPr>
          <w:rStyle w:val="12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97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分。</w:t>
      </w:r>
    </w:p>
    <w:p w14:paraId="2551E8B0"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存在问题。</w:t>
      </w:r>
    </w:p>
    <w:p w14:paraId="664B08F6"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lang w:val="zh-CN"/>
        </w:rPr>
      </w:pPr>
      <w:r>
        <w:rPr>
          <w:rStyle w:val="12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在资金管理过程中，</w:t>
      </w:r>
      <w:r>
        <w:rPr>
          <w:rStyle w:val="12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还存在部分支出依据不合规，财务管理制度不够健全，财务人员业务水平还需加强等问题。</w:t>
      </w:r>
    </w:p>
    <w:p w14:paraId="7ADC0AA4"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 w14:paraId="76799826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12"/>
          <w:rFonts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1.</w:t>
      </w:r>
      <w:r>
        <w:rPr>
          <w:rStyle w:val="12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进一步加强单位内部机构各股室的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</w:t>
      </w:r>
    </w:p>
    <w:p w14:paraId="28AFCA85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12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、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。</w:t>
      </w:r>
    </w:p>
    <w:p w14:paraId="6460AABB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lang w:val="zh-CN"/>
        </w:rPr>
      </w:pPr>
      <w:r>
        <w:rPr>
          <w:rStyle w:val="12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、完善资产管理，抓好“三公”经费控制。严格编制政府采购年初预算和计划，规范各类资产的购置审批制度、资产出租出借和收入管理制度、资产采购制度、使用管理制度、资产处置和报废审批制度、资产管理岗位职责制度等，加强单位内部的资产管理工作。严格控制“三公”经费的规模和比例，把关“三公”经费支出的审核、审批，杜绝挪用和挤占其他预算资金行为：进一步细化“三公”经费的。</w:t>
      </w:r>
    </w:p>
    <w:p w14:paraId="6A6A15F3">
      <w:pPr>
        <w:pStyle w:val="2"/>
        <w:numPr>
          <w:ilvl w:val="0"/>
          <w:numId w:val="0"/>
        </w:numPr>
        <w:ind w:leftChars="200"/>
        <w:rPr>
          <w:lang w:val="zh-CN"/>
        </w:rPr>
      </w:pP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ECF386-758F-4CCF-A435-A3AA9E4B587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2" w:fontKey="{D382E83D-61C6-463A-BFE6-4302577AB864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21D4CE03-665A-4878-9D1E-09AAA78E9A1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C390F83-7B04-4172-8928-B66529320FC1}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5" w:fontKey="{F1CD6812-2AEF-4803-8C97-EFB2DE4BD2F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3007BAB4-FC4B-4C98-B5E0-4216F357239A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68531">
    <w:pPr>
      <w:pStyle w:val="5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 w14:paraId="7C80B8D0">
    <w:pPr>
      <w:pStyle w:val="5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DDE2F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F732C5"/>
    <w:multiLevelType w:val="singleLevel"/>
    <w:tmpl w:val="91F732C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988A5E3"/>
    <w:multiLevelType w:val="singleLevel"/>
    <w:tmpl w:val="3988A5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86C7C2D"/>
    <w:multiLevelType w:val="singleLevel"/>
    <w:tmpl w:val="586C7C2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00EC0174"/>
    <w:rsid w:val="00006E4D"/>
    <w:rsid w:val="00021652"/>
    <w:rsid w:val="00030311"/>
    <w:rsid w:val="00030782"/>
    <w:rsid w:val="00030B66"/>
    <w:rsid w:val="00052572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27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69C6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D76D5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57793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C6A76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75421"/>
    <w:rsid w:val="00782BBB"/>
    <w:rsid w:val="007A0690"/>
    <w:rsid w:val="007A078F"/>
    <w:rsid w:val="007B34D4"/>
    <w:rsid w:val="007C0633"/>
    <w:rsid w:val="007D086C"/>
    <w:rsid w:val="007F1BE1"/>
    <w:rsid w:val="007F637D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0337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2716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00BB4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37F7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C0839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2635B8F"/>
    <w:rsid w:val="03946B2A"/>
    <w:rsid w:val="18D17537"/>
    <w:rsid w:val="19927F78"/>
    <w:rsid w:val="1FDA0983"/>
    <w:rsid w:val="21AE59D8"/>
    <w:rsid w:val="2222268C"/>
    <w:rsid w:val="26937C58"/>
    <w:rsid w:val="286F56EA"/>
    <w:rsid w:val="2D527252"/>
    <w:rsid w:val="2E7C730B"/>
    <w:rsid w:val="329102D6"/>
    <w:rsid w:val="361B66A7"/>
    <w:rsid w:val="3A9520B3"/>
    <w:rsid w:val="3C5059FC"/>
    <w:rsid w:val="3DE562B7"/>
    <w:rsid w:val="3E6507EA"/>
    <w:rsid w:val="428C7662"/>
    <w:rsid w:val="44406DA5"/>
    <w:rsid w:val="47550EBA"/>
    <w:rsid w:val="4E7A6DBC"/>
    <w:rsid w:val="50BB3388"/>
    <w:rsid w:val="5CA71859"/>
    <w:rsid w:val="5FCE4E78"/>
    <w:rsid w:val="6636451A"/>
    <w:rsid w:val="6BE94116"/>
    <w:rsid w:val="6E833176"/>
    <w:rsid w:val="72207E23"/>
    <w:rsid w:val="78916378"/>
    <w:rsid w:val="7BC20073"/>
    <w:rsid w:val="7C631402"/>
    <w:rsid w:val="7DCC0F6E"/>
    <w:rsid w:val="7E140770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qFormat="1" w:unhideWhenUsed="0" w:uiPriority="0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locked/>
    <w:uiPriority w:val="0"/>
    <w:pPr>
      <w:ind w:firstLine="420" w:firstLineChars="200"/>
    </w:pPr>
  </w:style>
  <w:style w:type="paragraph" w:styleId="3">
    <w:name w:val="Document Map"/>
    <w:basedOn w:val="1"/>
    <w:link w:val="13"/>
    <w:qFormat/>
    <w:uiPriority w:val="99"/>
    <w:rPr>
      <w:rFonts w:ascii="宋体"/>
      <w:sz w:val="18"/>
      <w:szCs w:val="18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lock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99"/>
    <w:rPr>
      <w:rFonts w:cs="Times New Roman"/>
    </w:rPr>
  </w:style>
  <w:style w:type="character" w:styleId="12">
    <w:name w:val="Emphasis"/>
    <w:basedOn w:val="10"/>
    <w:qFormat/>
    <w:locked/>
    <w:uiPriority w:val="20"/>
    <w:rPr>
      <w:i/>
    </w:rPr>
  </w:style>
  <w:style w:type="character" w:customStyle="1" w:styleId="13">
    <w:name w:val="文档结构图 Char"/>
    <w:link w:val="3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4">
    <w:name w:val="批注框文本 Char"/>
    <w:link w:val="4"/>
    <w:semiHidden/>
    <w:qFormat/>
    <w:locked/>
    <w:uiPriority w:val="99"/>
    <w:rPr>
      <w:rFonts w:cs="Times New Roman"/>
      <w:sz w:val="2"/>
    </w:rPr>
  </w:style>
  <w:style w:type="character" w:customStyle="1" w:styleId="15">
    <w:name w:val="页脚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页眉 Char"/>
    <w:link w:val="6"/>
    <w:semiHidden/>
    <w:qFormat/>
    <w:locked/>
    <w:uiPriority w:val="99"/>
    <w:rPr>
      <w:rFonts w:cs="Times New Roman"/>
      <w:sz w:val="18"/>
      <w:szCs w:val="18"/>
    </w:rPr>
  </w:style>
  <w:style w:type="paragraph" w:customStyle="1" w:styleId="17">
    <w:name w:val="四号正文"/>
    <w:basedOn w:val="1"/>
    <w:link w:val="18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8">
    <w:name w:val="四号正文 Char"/>
    <w:link w:val="17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19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5</Pages>
  <Words>2190</Words>
  <Characters>2282</Characters>
  <Lines>3</Lines>
  <Paragraphs>1</Paragraphs>
  <TotalTime>442</TotalTime>
  <ScaleCrop>false</ScaleCrop>
  <LinksUpToDate>false</LinksUpToDate>
  <CharactersWithSpaces>2282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碧云天</cp:lastModifiedBy>
  <cp:lastPrinted>2023-06-14T09:44:00Z</cp:lastPrinted>
  <dcterms:modified xsi:type="dcterms:W3CDTF">2024-10-27T02:50:24Z</dcterms:modified>
  <dc:title>区域性就业培训基地建设项目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60E21DF9D85749B183F15A94B7AAFEBF_13</vt:lpwstr>
  </property>
</Properties>
</file>