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DB688">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425"/>
      <w:bookmarkStart w:id="3" w:name="_Toc15377193"/>
      <w:bookmarkStart w:id="4" w:name="_Toc15378441"/>
      <w:bookmarkStart w:id="5" w:name="_Toc15306267"/>
    </w:p>
    <w:p w14:paraId="5DC5E29B">
      <w:pPr>
        <w:pStyle w:val="6"/>
        <w:spacing w:before="93"/>
      </w:pPr>
    </w:p>
    <w:p w14:paraId="3545F751">
      <w:pPr>
        <w:pStyle w:val="6"/>
        <w:spacing w:before="93"/>
      </w:pPr>
    </w:p>
    <w:p w14:paraId="27543A91">
      <w:pPr>
        <w:pStyle w:val="6"/>
        <w:spacing w:before="93"/>
      </w:pPr>
    </w:p>
    <w:p w14:paraId="0ECF20E2">
      <w:pPr>
        <w:pStyle w:val="6"/>
        <w:spacing w:before="93"/>
      </w:pPr>
    </w:p>
    <w:p w14:paraId="51FEC6D9">
      <w:pPr>
        <w:pStyle w:val="6"/>
        <w:spacing w:before="93"/>
      </w:pPr>
    </w:p>
    <w:p w14:paraId="25A1F26B">
      <w:pPr>
        <w:pStyle w:val="6"/>
        <w:spacing w:before="93"/>
      </w:pPr>
    </w:p>
    <w:p w14:paraId="103FE03B">
      <w:pPr>
        <w:spacing w:line="600" w:lineRule="exact"/>
        <w:jc w:val="center"/>
        <w:outlineLvl w:val="0"/>
        <w:rPr>
          <w:rFonts w:ascii="方正小标宋简体" w:hAnsi="宋体" w:eastAsia="方正小标宋简体"/>
          <w:sz w:val="72"/>
          <w:szCs w:val="72"/>
        </w:rPr>
      </w:pPr>
    </w:p>
    <w:p w14:paraId="066D0CF7">
      <w:pPr>
        <w:spacing w:line="600" w:lineRule="exact"/>
        <w:jc w:val="center"/>
        <w:outlineLvl w:val="0"/>
        <w:rPr>
          <w:rFonts w:ascii="方正小标宋简体" w:hAnsi="宋体" w:eastAsia="方正小标宋简体"/>
          <w:sz w:val="72"/>
          <w:szCs w:val="72"/>
        </w:rPr>
      </w:pPr>
    </w:p>
    <w:p w14:paraId="1616FF22">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39D4746F">
      <w:pPr>
        <w:pStyle w:val="6"/>
        <w:spacing w:before="93"/>
        <w:jc w:val="center"/>
        <w:rPr>
          <w:rFonts w:ascii="方正小标宋简体" w:hAnsi="方正小标宋简体" w:eastAsia="方正小标宋简体" w:cs="方正小标宋简体"/>
          <w:kern w:val="2"/>
          <w:sz w:val="72"/>
          <w:szCs w:val="72"/>
        </w:rPr>
      </w:pPr>
      <w:bookmarkStart w:id="6" w:name="_Toc15378442"/>
      <w:bookmarkStart w:id="7" w:name="_Toc15396598"/>
      <w:bookmarkStart w:id="8" w:name="_Toc15377194"/>
      <w:bookmarkStart w:id="9" w:name="_Toc15306268"/>
      <w:bookmarkStart w:id="10" w:name="_Toc15396476"/>
      <w:bookmarkStart w:id="11" w:name="_Toc15377426"/>
      <w:r>
        <w:rPr>
          <w:rFonts w:hint="eastAsia" w:ascii="方正小标宋简体" w:hAnsi="方正小标宋简体" w:eastAsia="方正小标宋简体" w:cs="方正小标宋简体"/>
          <w:kern w:val="2"/>
          <w:sz w:val="72"/>
          <w:szCs w:val="72"/>
        </w:rPr>
        <w:t>勒乌乡人民政府</w:t>
      </w: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44E6DE0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3448EE6">
      <w:pPr>
        <w:widowControl/>
        <w:jc w:val="center"/>
        <w:rPr>
          <w:rFonts w:ascii="黑体" w:hAnsi="黑体" w:eastAsia="黑体" w:cstheme="minorBidi"/>
          <w:sz w:val="28"/>
          <w:szCs w:val="28"/>
        </w:rPr>
      </w:pPr>
    </w:p>
    <w:p w14:paraId="75575434">
      <w:pPr>
        <w:pStyle w:val="12"/>
      </w:pPr>
      <w:r>
        <w:rPr>
          <w:rFonts w:hint="eastAsia"/>
        </w:rPr>
        <w:t>公开时间：202</w:t>
      </w:r>
      <w:r>
        <w:rPr>
          <w:rFonts w:hint="eastAsia"/>
          <w:lang w:val="en-US" w:eastAsia="zh-CN"/>
        </w:rPr>
        <w:t>4</w:t>
      </w:r>
      <w:r>
        <w:rPr>
          <w:rFonts w:hint="eastAsia"/>
        </w:rPr>
        <w:t xml:space="preserve">年10月 </w:t>
      </w:r>
      <w:r>
        <w:rPr>
          <w:rFonts w:hint="eastAsia"/>
          <w:lang w:val="en-US" w:eastAsia="zh-CN"/>
        </w:rPr>
        <w:t>29</w:t>
      </w:r>
      <w:r>
        <w:rPr>
          <w:rFonts w:hint="eastAsia"/>
        </w:rPr>
        <w:t>日</w:t>
      </w:r>
    </w:p>
    <w:p w14:paraId="1ACF9681"/>
    <w:p w14:paraId="0D924D9A">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第一部分 部门概况......................................................................................................4</w:t>
      </w:r>
    </w:p>
    <w:p w14:paraId="03573008">
      <w:pPr>
        <w:pStyle w:val="13"/>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sz w:val="24"/>
        </w:rPr>
        <w:t>一、部门职责</w:t>
      </w:r>
      <w:r>
        <w:rPr>
          <w:rFonts w:hint="eastAsia"/>
          <w:sz w:val="24"/>
          <w:lang w:val="en-US" w:eastAsia="zh-CN"/>
        </w:rPr>
        <w:t>...........................................................................................................4</w:t>
      </w:r>
      <w:r>
        <w:rPr>
          <w:rFonts w:hint="eastAsia" w:ascii="Times New Roman" w:hAnsi="Times New Roman" w:eastAsia="宋体" w:cs="Times New Roman"/>
          <w:kern w:val="2"/>
          <w:sz w:val="24"/>
          <w:szCs w:val="24"/>
          <w:lang w:val="en-US" w:eastAsia="zh-CN" w:bidi="ar-SA"/>
        </w:rPr>
        <w:t>二、机构设置...............................................................................................</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.......6</w:t>
      </w:r>
    </w:p>
    <w:p w14:paraId="160EC919">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第二部分 2023年度部门决算情况说明.....................................................................7</w:t>
      </w:r>
    </w:p>
    <w:p w14:paraId="78F4B900">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一、收入支出决算总体情况说明...........................................................................7</w:t>
      </w:r>
    </w:p>
    <w:p w14:paraId="0A745A3D">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二、收入决算情况说明...........................................................................................7</w:t>
      </w:r>
    </w:p>
    <w:p w14:paraId="2A0EBCE0">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三、支出决算情况说明...........................................................................................8</w:t>
      </w:r>
    </w:p>
    <w:p w14:paraId="270C9A26">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四、财政拨款收入支出决算总体情况说明...........................................................9</w:t>
      </w:r>
    </w:p>
    <w:p w14:paraId="63D4642E">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五、一般公共预算财政拨款支出决算情况说明...................................................9</w:t>
      </w:r>
    </w:p>
    <w:p w14:paraId="72D17977">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六、一般公共预算财政拨款基本支出决算情况说明.........................................13</w:t>
      </w:r>
    </w:p>
    <w:p w14:paraId="7329A309">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七、财政拨款“三公”经费支出决算情况说明.....................................................14</w:t>
      </w:r>
    </w:p>
    <w:p w14:paraId="58495CEA">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八、政府性基金预算支出决算情况说明.............................................................14</w:t>
      </w:r>
    </w:p>
    <w:p w14:paraId="5601511D">
      <w:pPr>
        <w:pStyle w:val="13"/>
        <w:adjustRightInd w:val="0"/>
        <w:snapToGrid w:val="0"/>
        <w:spacing w:line="440" w:lineRule="exact"/>
        <w:ind w:leftChars="0"/>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九、国有资本经营预算支出决算情况说明.........................................................14</w:t>
      </w:r>
    </w:p>
    <w:p w14:paraId="7B8C891B">
      <w:pPr>
        <w:adjustRightInd w:val="0"/>
        <w:snapToGrid w:val="0"/>
        <w:spacing w:line="440" w:lineRule="exact"/>
        <w:ind w:firstLine="420" w:firstLineChars="175"/>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十、其他重要事项的情况说明.............................................................................15</w:t>
      </w:r>
    </w:p>
    <w:p w14:paraId="2A76C976">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第三部分 名词解释....................................................................................................17</w:t>
      </w:r>
    </w:p>
    <w:p w14:paraId="723563C2">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第四部分 附件............................................................................................................22</w:t>
      </w:r>
    </w:p>
    <w:p w14:paraId="788EB3BA">
      <w:pPr>
        <w:pStyle w:val="12"/>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第五部分 附表............................................................................................................26</w:t>
      </w:r>
    </w:p>
    <w:p w14:paraId="458145AA">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一、收入支出决算总表........................................................................................26</w:t>
      </w:r>
    </w:p>
    <w:p w14:paraId="73898EB2">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二、收入决算表....................................................................................................26</w:t>
      </w:r>
    </w:p>
    <w:p w14:paraId="4D876328">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w:t>
      </w:r>
      <w:r>
        <w:rPr>
          <w:rFonts w:hint="eastAsia" w:cs="Times New Roman"/>
          <w:kern w:val="2"/>
          <w:sz w:val="24"/>
          <w:szCs w:val="24"/>
          <w:lang w:val="en-US" w:eastAsia="zh-CN" w:bidi="ar-SA"/>
        </w:rPr>
        <w:t>....................................................................................................26</w:t>
      </w:r>
    </w:p>
    <w:p w14:paraId="79D3B860">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w:t>
      </w:r>
      <w:r>
        <w:rPr>
          <w:rFonts w:hint="eastAsia" w:cs="Times New Roman"/>
          <w:kern w:val="2"/>
          <w:sz w:val="24"/>
          <w:szCs w:val="24"/>
          <w:lang w:val="en-US" w:eastAsia="zh-CN" w:bidi="ar-SA"/>
        </w:rPr>
        <w:t>........................................................................26</w:t>
      </w:r>
    </w:p>
    <w:p w14:paraId="257AA53B">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w:t>
      </w:r>
      <w:r>
        <w:rPr>
          <w:rFonts w:hint="eastAsia" w:cs="Times New Roman"/>
          <w:kern w:val="2"/>
          <w:sz w:val="24"/>
          <w:szCs w:val="24"/>
          <w:lang w:val="en-US" w:eastAsia="zh-CN" w:bidi="ar-SA"/>
        </w:rPr>
        <w:t>.............................................................................26</w:t>
      </w:r>
    </w:p>
    <w:p w14:paraId="2D8E36C8">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w:t>
      </w:r>
      <w:r>
        <w:rPr>
          <w:rFonts w:hint="eastAsia" w:cs="Times New Roman"/>
          <w:kern w:val="2"/>
          <w:sz w:val="24"/>
          <w:szCs w:val="24"/>
          <w:lang w:val="en-US" w:eastAsia="zh-CN" w:bidi="ar-SA"/>
        </w:rPr>
        <w:t>............................................................26</w:t>
      </w:r>
    </w:p>
    <w:p w14:paraId="6A87930E">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w:t>
      </w:r>
      <w:r>
        <w:rPr>
          <w:rFonts w:hint="eastAsia" w:cs="Times New Roman"/>
          <w:kern w:val="2"/>
          <w:sz w:val="24"/>
          <w:szCs w:val="24"/>
          <w:lang w:val="en-US" w:eastAsia="zh-CN" w:bidi="ar-SA"/>
        </w:rPr>
        <w:t>....................................................26</w:t>
      </w:r>
    </w:p>
    <w:p w14:paraId="601A986F">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八、一般公共预算财政拨款基本支出决算明细表</w:t>
      </w:r>
      <w:r>
        <w:rPr>
          <w:rFonts w:hint="eastAsia" w:cs="Times New Roman"/>
          <w:kern w:val="2"/>
          <w:sz w:val="24"/>
          <w:szCs w:val="24"/>
          <w:lang w:val="en-US" w:eastAsia="zh-CN" w:bidi="ar-SA"/>
        </w:rPr>
        <w:t>............................................26</w:t>
      </w:r>
    </w:p>
    <w:p w14:paraId="5C2A83F6">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w:t>
      </w:r>
      <w:r>
        <w:rPr>
          <w:rFonts w:hint="eastAsia" w:cs="Times New Roman"/>
          <w:kern w:val="2"/>
          <w:sz w:val="24"/>
          <w:szCs w:val="24"/>
          <w:lang w:val="en-US" w:eastAsia="zh-CN" w:bidi="ar-SA"/>
        </w:rPr>
        <w:t>....................................................26</w:t>
      </w:r>
    </w:p>
    <w:p w14:paraId="3DD30433">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十、政府性基金预算财政拨款收入支出决算表</w:t>
      </w:r>
      <w:r>
        <w:rPr>
          <w:rFonts w:hint="eastAsia" w:cs="Times New Roman"/>
          <w:kern w:val="2"/>
          <w:sz w:val="24"/>
          <w:szCs w:val="24"/>
          <w:lang w:val="en-US" w:eastAsia="zh-CN" w:bidi="ar-SA"/>
        </w:rPr>
        <w:t>.................................................26</w:t>
      </w:r>
    </w:p>
    <w:p w14:paraId="21F89E6A">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十一、国有资本经营预算财政拨款收入支出决算表</w:t>
      </w:r>
      <w:r>
        <w:rPr>
          <w:rFonts w:hint="eastAsia" w:cs="Times New Roman"/>
          <w:kern w:val="2"/>
          <w:sz w:val="24"/>
          <w:szCs w:val="24"/>
          <w:lang w:val="en-US" w:eastAsia="zh-CN" w:bidi="ar-SA"/>
        </w:rPr>
        <w:t>........................................26</w:t>
      </w:r>
    </w:p>
    <w:p w14:paraId="2B25AFF0">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十二、国有资本经营预算财政拨款支出决算表</w:t>
      </w:r>
      <w:r>
        <w:rPr>
          <w:rFonts w:hint="eastAsia" w:cs="Times New Roman"/>
          <w:kern w:val="2"/>
          <w:sz w:val="24"/>
          <w:szCs w:val="24"/>
          <w:lang w:val="en-US" w:eastAsia="zh-CN" w:bidi="ar-SA"/>
        </w:rPr>
        <w:t>.................................................26</w:t>
      </w:r>
    </w:p>
    <w:p w14:paraId="161E7E83">
      <w:pPr>
        <w:pStyle w:val="13"/>
        <w:adjustRightInd w:val="0"/>
        <w:snapToGrid w:val="0"/>
        <w:spacing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十三、财政拨款“三公”经费支出决算表</w:t>
      </w:r>
      <w:r>
        <w:rPr>
          <w:rFonts w:hint="eastAsia" w:cs="Times New Roman"/>
          <w:kern w:val="2"/>
          <w:sz w:val="24"/>
          <w:szCs w:val="24"/>
          <w:lang w:val="en-US" w:eastAsia="zh-CN" w:bidi="ar-SA"/>
        </w:rPr>
        <w:t>.........................................................26</w:t>
      </w:r>
    </w:p>
    <w:p w14:paraId="1F624604">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72489B8B">
      <w:pPr>
        <w:pStyle w:val="3"/>
        <w:jc w:val="center"/>
        <w:rPr>
          <w:rStyle w:val="31"/>
          <w:rFonts w:ascii="黑体" w:hAnsi="黑体" w:eastAsia="黑体"/>
          <w:b/>
          <w:bCs w:val="0"/>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14:paraId="79F64E5F">
      <w:pPr>
        <w:widowControl/>
        <w:jc w:val="left"/>
        <w:rPr>
          <w:rFonts w:ascii="黑体" w:eastAsia="黑体"/>
          <w:sz w:val="32"/>
          <w:szCs w:val="32"/>
        </w:rPr>
      </w:pPr>
    </w:p>
    <w:p w14:paraId="34D241A1">
      <w:pPr>
        <w:pStyle w:val="4"/>
        <w:numPr>
          <w:ilvl w:val="0"/>
          <w:numId w:val="1"/>
        </w:numPr>
        <w:rPr>
          <w:rFonts w:ascii="黑体" w:hAnsi="黑体" w:eastAsia="黑体"/>
          <w:b w:val="0"/>
        </w:rPr>
      </w:pPr>
      <w:r>
        <w:rPr>
          <w:rFonts w:hint="eastAsia" w:ascii="黑体" w:hAnsi="黑体" w:eastAsia="黑体"/>
          <w:b w:val="0"/>
        </w:rPr>
        <w:t>部门职责</w:t>
      </w:r>
    </w:p>
    <w:p w14:paraId="03441286">
      <w:pPr>
        <w:pStyle w:val="14"/>
        <w:widowControl/>
        <w:shd w:val="clear" w:color="auto" w:fill="FFFFFF"/>
        <w:spacing w:before="315" w:beforeAutospacing="0" w:after="315" w:afterAutospacing="0" w:line="23" w:lineRule="atLeast"/>
        <w:jc w:val="both"/>
        <w:rPr>
          <w:rFonts w:ascii="仿宋" w:hAnsi="仿宋" w:eastAsia="仿宋"/>
          <w:color w:val="000000"/>
          <w:kern w:val="2"/>
          <w:sz w:val="32"/>
          <w:szCs w:val="32"/>
          <w:shd w:val="clear" w:color="auto" w:fill="FFFFFF"/>
        </w:rPr>
      </w:pPr>
      <w:r>
        <w:rPr>
          <w:rFonts w:hint="eastAsia" w:ascii="仿宋" w:hAnsi="仿宋" w:eastAsia="仿宋"/>
          <w:color w:val="000000"/>
          <w:kern w:val="2"/>
          <w:sz w:val="32"/>
          <w:szCs w:val="32"/>
          <w:shd w:val="clear" w:color="auto" w:fill="FFFFFF"/>
        </w:rPr>
        <w:t>1、勒乌乡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Fonts w:hint="eastAsia" w:ascii="仿宋" w:hAnsi="仿宋" w:eastAsia="仿宋"/>
          <w:color w:val="000000"/>
          <w:kern w:val="2"/>
          <w:sz w:val="32"/>
          <w:szCs w:val="32"/>
          <w:shd w:val="clear" w:color="auto" w:fill="FFFFFF"/>
          <w:lang w:eastAsia="zh-CN"/>
        </w:rPr>
        <w:t>组织</w:t>
      </w:r>
      <w:r>
        <w:rPr>
          <w:rFonts w:hint="eastAsia" w:ascii="仿宋" w:hAnsi="仿宋" w:eastAsia="仿宋"/>
          <w:color w:val="000000"/>
          <w:kern w:val="2"/>
          <w:sz w:val="32"/>
          <w:szCs w:val="32"/>
          <w:shd w:val="clear" w:color="auto" w:fill="FFFFFF"/>
        </w:rPr>
        <w:t>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14:paraId="27604DD0">
      <w:pPr>
        <w:pStyle w:val="14"/>
        <w:widowControl/>
        <w:shd w:val="clear" w:color="auto" w:fill="FFFFFF"/>
        <w:spacing w:before="315" w:beforeAutospacing="0" w:after="315" w:afterAutospacing="0" w:line="23" w:lineRule="atLeast"/>
        <w:ind w:firstLine="320" w:firstLineChars="100"/>
        <w:jc w:val="both"/>
        <w:rPr>
          <w:rFonts w:ascii="仿宋" w:hAnsi="仿宋" w:eastAsia="仿宋"/>
          <w:color w:val="000000"/>
          <w:kern w:val="2"/>
          <w:sz w:val="32"/>
          <w:szCs w:val="32"/>
          <w:shd w:val="clear" w:color="auto" w:fill="FFFFFF"/>
        </w:rPr>
      </w:pPr>
      <w:r>
        <w:rPr>
          <w:rFonts w:hint="eastAsia" w:ascii="仿宋" w:hAnsi="仿宋" w:eastAsia="仿宋"/>
          <w:color w:val="000000"/>
          <w:kern w:val="2"/>
          <w:sz w:val="32"/>
          <w:szCs w:val="32"/>
          <w:shd w:val="clear" w:color="auto" w:fill="FFFFFF"/>
        </w:rPr>
        <w:t>2、勒乌乡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 w:hAnsi="仿宋" w:eastAsia="仿宋"/>
          <w:color w:val="000000"/>
          <w:kern w:val="2"/>
          <w:sz w:val="32"/>
          <w:szCs w:val="32"/>
          <w:shd w:val="clear" w:color="auto" w:fill="FFFFFF"/>
          <w:lang w:eastAsia="zh-CN"/>
        </w:rPr>
        <w:t>立党为公、执政为民</w:t>
      </w:r>
      <w:r>
        <w:rPr>
          <w:rFonts w:hint="eastAsia" w:ascii="仿宋" w:hAnsi="仿宋" w:eastAsia="仿宋"/>
          <w:color w:val="000000"/>
          <w:kern w:val="2"/>
          <w:sz w:val="32"/>
          <w:szCs w:val="32"/>
          <w:shd w:val="clear" w:color="auto" w:fill="FFFFFF"/>
        </w:rPr>
        <w:t>”，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14:paraId="52521185">
      <w:pPr>
        <w:suppressAutoHyphens/>
        <w:ind w:firstLine="320" w:firstLineChars="100"/>
      </w:pPr>
      <w:r>
        <w:rPr>
          <w:rFonts w:hint="eastAsia" w:ascii="仿宋" w:hAnsi="仿宋" w:eastAsia="仿宋"/>
          <w:color w:val="000000"/>
          <w:sz w:val="32"/>
          <w:szCs w:val="32"/>
          <w:shd w:val="clear" w:color="auto" w:fill="FFFFFF"/>
        </w:rPr>
        <w:t>3、勒乌乡事业单位主要承担公益性职能：计划生育技术服务．宣传咨询．人员培训和药具发放；农林牧业生产中关键技术和新品种．新农具的引进．实验．示范；农作物和林木病虫害．动物疫病及农业灾害的监测．预报</w:t>
      </w:r>
      <w:r>
        <w:rPr>
          <w:rFonts w:hint="eastAsia" w:ascii="仿宋" w:hAnsi="仿宋" w:eastAsia="仿宋"/>
          <w:color w:val="000000"/>
          <w:sz w:val="32"/>
          <w:szCs w:val="32"/>
          <w:shd w:val="clear" w:color="auto" w:fill="FFFFFF"/>
          <w:lang w:eastAsia="zh-CN"/>
        </w:rPr>
        <w:t>防</w:t>
      </w:r>
      <w:r>
        <w:rPr>
          <w:rFonts w:hint="eastAsia" w:ascii="仿宋" w:hAnsi="仿宋" w:eastAsia="仿宋"/>
          <w:color w:val="000000"/>
          <w:sz w:val="32"/>
          <w:szCs w:val="32"/>
          <w:shd w:val="clear" w:color="auto" w:fill="FFFFFF"/>
        </w:rPr>
        <w:t>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46BDC89E"/>
    <w:p w14:paraId="1CF96F39">
      <w:pPr>
        <w:pStyle w:val="4"/>
        <w:rPr>
          <w:rStyle w:val="32"/>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4"/>
      <w:bookmarkEnd w:id="15"/>
    </w:p>
    <w:p w14:paraId="52E9BBBB">
      <w:pPr>
        <w:pStyle w:val="14"/>
        <w:widowControl/>
        <w:shd w:val="clear" w:color="auto" w:fill="FFFFFF"/>
        <w:spacing w:before="315" w:beforeAutospacing="0" w:after="315" w:afterAutospacing="0" w:line="23" w:lineRule="atLeast"/>
        <w:ind w:firstLine="640"/>
        <w:jc w:val="both"/>
        <w:rPr>
          <w:rFonts w:ascii="宋体" w:hAnsi="宋体" w:cs="宋体"/>
          <w:color w:val="333333"/>
        </w:rPr>
      </w:pPr>
      <w:bookmarkStart w:id="16" w:name="_Toc15377204"/>
      <w:bookmarkStart w:id="17" w:name="_Toc15396602"/>
      <w:r>
        <w:rPr>
          <w:rFonts w:hint="eastAsia" w:ascii="仿宋" w:hAnsi="仿宋" w:eastAsia="仿宋"/>
          <w:color w:val="000000"/>
          <w:kern w:val="2"/>
          <w:sz w:val="32"/>
          <w:szCs w:val="32"/>
          <w:shd w:val="clear" w:color="auto" w:fill="FFFFFF"/>
        </w:rPr>
        <w:t>勒乌乡人民政府预算单位1个，其中：行政单位1个，事业单位0个。</w:t>
      </w:r>
    </w:p>
    <w:p w14:paraId="19967F71">
      <w:pPr>
        <w:pStyle w:val="3"/>
        <w:ind w:right="440"/>
        <w:jc w:val="center"/>
        <w:rPr>
          <w:rStyle w:val="31"/>
          <w:rFonts w:ascii="黑体" w:hAnsi="黑体" w:eastAsia="黑体"/>
          <w:b w:val="0"/>
          <w:bCs/>
        </w:rPr>
      </w:pPr>
      <w:r>
        <w:rPr>
          <w:rFonts w:hint="eastAsia" w:ascii="黑体" w:hAnsi="黑体" w:eastAsia="黑体"/>
          <w:b w:val="0"/>
        </w:rPr>
        <w:t>第二部分 2023年度</w:t>
      </w:r>
      <w:r>
        <w:rPr>
          <w:rStyle w:val="31"/>
          <w:rFonts w:hint="eastAsia" w:ascii="黑体" w:hAnsi="黑体" w:eastAsia="黑体"/>
          <w:b w:val="0"/>
          <w:bCs/>
        </w:rPr>
        <w:t>部门决算情况说明</w:t>
      </w:r>
      <w:bookmarkEnd w:id="16"/>
      <w:bookmarkEnd w:id="17"/>
    </w:p>
    <w:p w14:paraId="1C21A5A3"/>
    <w:p w14:paraId="187AFDAD">
      <w:pPr>
        <w:pStyle w:val="30"/>
        <w:numPr>
          <w:ilvl w:val="0"/>
          <w:numId w:val="0"/>
        </w:numPr>
        <w:spacing w:line="600" w:lineRule="exact"/>
        <w:ind w:left="1360" w:leftChars="0" w:hanging="720" w:firstLineChars="0"/>
        <w:outlineLvl w:val="1"/>
        <w:rPr>
          <w:rStyle w:val="32"/>
          <w:rFonts w:ascii="黑体" w:hAnsi="黑体" w:eastAsia="黑体"/>
          <w:b w:val="0"/>
        </w:rPr>
      </w:pPr>
      <w:bookmarkStart w:id="18" w:name="_Toc15377205"/>
      <w:bookmarkStart w:id="19" w:name="_Toc15396603"/>
      <w:r>
        <w:rPr>
          <w:rFonts w:hint="default" w:ascii="黑体" w:hAnsi="黑体" w:eastAsia="黑体" w:cstheme="majorBidi"/>
          <w:b w:val="0"/>
          <w:bCs/>
          <w:kern w:val="2"/>
          <w:sz w:val="32"/>
          <w:szCs w:val="32"/>
          <w:lang w:val="en-US" w:eastAsia="zh-CN" w:bidi="ar-SA"/>
        </w:rPr>
        <w:t>一、</w:t>
      </w:r>
      <w:r>
        <w:rPr>
          <w:rFonts w:hint="eastAsia" w:ascii="黑体" w:hAnsi="黑体" w:eastAsia="黑体"/>
          <w:sz w:val="32"/>
          <w:szCs w:val="32"/>
        </w:rPr>
        <w:t>收</w:t>
      </w:r>
      <w:r>
        <w:rPr>
          <w:rStyle w:val="32"/>
          <w:rFonts w:hint="eastAsia" w:ascii="黑体" w:hAnsi="黑体" w:eastAsia="黑体"/>
          <w:b w:val="0"/>
        </w:rPr>
        <w:t>入支出决算总体情况说明</w:t>
      </w:r>
      <w:bookmarkEnd w:id="18"/>
      <w:bookmarkEnd w:id="19"/>
    </w:p>
    <w:p w14:paraId="1424A64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753.55</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与2022年度相比，收、支总计各减少12.41万元，下降1.62</w:t>
      </w:r>
      <w:r>
        <w:rPr>
          <w:rFonts w:ascii="仿宋" w:hAnsi="仿宋" w:eastAsia="仿宋"/>
          <w:sz w:val="32"/>
          <w:szCs w:val="32"/>
        </w:rPr>
        <w:t>%</w:t>
      </w:r>
      <w:r>
        <w:rPr>
          <w:rFonts w:hint="eastAsia" w:ascii="仿宋" w:hAnsi="仿宋" w:eastAsia="仿宋"/>
          <w:sz w:val="32"/>
          <w:szCs w:val="32"/>
        </w:rPr>
        <w:t>。主要变动原因是人员经费和办公费用的减少。</w:t>
      </w:r>
    </w:p>
    <w:p w14:paraId="3F45C0B3">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0787D8D">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130810</wp:posOffset>
            </wp:positionV>
            <wp:extent cx="5256530" cy="2988310"/>
            <wp:effectExtent l="5080" t="4445" r="1524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892DA76">
      <w:pPr>
        <w:pStyle w:val="30"/>
        <w:numPr>
          <w:ilvl w:val="0"/>
          <w:numId w:val="0"/>
        </w:numPr>
        <w:spacing w:line="600" w:lineRule="exact"/>
        <w:ind w:left="1360" w:leftChars="0" w:hanging="720" w:firstLineChars="0"/>
        <w:outlineLvl w:val="1"/>
        <w:rPr>
          <w:rStyle w:val="32"/>
          <w:rFonts w:ascii="黑体" w:hAnsi="黑体" w:eastAsia="黑体"/>
          <w:b w:val="0"/>
        </w:rPr>
      </w:pPr>
      <w:bookmarkStart w:id="20" w:name="_Toc15377206"/>
      <w:bookmarkStart w:id="21" w:name="_Toc15396604"/>
      <w:r>
        <w:rPr>
          <w:rFonts w:hint="default" w:ascii="黑体" w:hAnsi="黑体" w:eastAsia="黑体" w:cstheme="majorBidi"/>
          <w:b w:val="0"/>
          <w:bCs/>
          <w:kern w:val="2"/>
          <w:sz w:val="32"/>
          <w:szCs w:val="32"/>
          <w:lang w:val="en-US" w:eastAsia="zh-CN" w:bidi="ar-SA"/>
        </w:rPr>
        <w:t>二、</w:t>
      </w:r>
      <w:r>
        <w:rPr>
          <w:rFonts w:hint="eastAsia" w:ascii="黑体" w:hAnsi="黑体" w:eastAsia="黑体"/>
          <w:sz w:val="32"/>
          <w:szCs w:val="32"/>
        </w:rPr>
        <w:t>收</w:t>
      </w:r>
      <w:r>
        <w:rPr>
          <w:rStyle w:val="32"/>
          <w:rFonts w:hint="eastAsia" w:ascii="黑体" w:hAnsi="黑体" w:eastAsia="黑体"/>
          <w:b w:val="0"/>
        </w:rPr>
        <w:t>入决算情况说明</w:t>
      </w:r>
      <w:bookmarkEnd w:id="20"/>
      <w:bookmarkEnd w:id="21"/>
    </w:p>
    <w:p w14:paraId="7ED003B5">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740.75</w:t>
      </w:r>
      <w:r>
        <w:rPr>
          <w:rFonts w:hint="eastAsia" w:ascii="仿宋" w:hAnsi="仿宋" w:eastAsia="仿宋"/>
          <w:sz w:val="32"/>
          <w:szCs w:val="32"/>
        </w:rPr>
        <w:t>万元，其中：一般公共预算财政拨款收入</w:t>
      </w:r>
      <w:r>
        <w:rPr>
          <w:sz w:val="32"/>
          <w:szCs w:val="32"/>
        </w:rPr>
        <w:t>700.25</w:t>
      </w:r>
      <w:r>
        <w:rPr>
          <w:rFonts w:hint="eastAsia" w:ascii="仿宋" w:hAnsi="仿宋" w:eastAsia="仿宋"/>
          <w:sz w:val="32"/>
          <w:szCs w:val="32"/>
        </w:rPr>
        <w:t>万元，占</w:t>
      </w:r>
      <w:r>
        <w:rPr>
          <w:sz w:val="32"/>
          <w:szCs w:val="32"/>
        </w:rPr>
        <w:t>94.53</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40.5</w:t>
      </w:r>
      <w:r>
        <w:rPr>
          <w:rFonts w:hint="eastAsia" w:ascii="仿宋" w:hAnsi="仿宋" w:eastAsia="仿宋"/>
          <w:sz w:val="32"/>
          <w:szCs w:val="32"/>
        </w:rPr>
        <w:t>万元，占</w:t>
      </w:r>
      <w:r>
        <w:rPr>
          <w:sz w:val="32"/>
          <w:szCs w:val="32"/>
        </w:rPr>
        <w:t>5.46</w:t>
      </w:r>
      <w:r>
        <w:rPr>
          <w:rFonts w:ascii="仿宋" w:hAnsi="仿宋" w:eastAsia="仿宋"/>
          <w:sz w:val="32"/>
          <w:szCs w:val="32"/>
        </w:rPr>
        <w:t>%</w:t>
      </w:r>
      <w:r>
        <w:rPr>
          <w:rFonts w:hint="eastAsia" w:ascii="仿宋" w:hAnsi="仿宋" w:eastAsia="仿宋"/>
          <w:sz w:val="32"/>
          <w:szCs w:val="32"/>
        </w:rPr>
        <w:t>。</w:t>
      </w:r>
    </w:p>
    <w:p w14:paraId="299BE0AE">
      <w:pPr>
        <w:spacing w:line="600" w:lineRule="exact"/>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6A31C5E0">
      <w:pPr>
        <w:spacing w:line="600" w:lineRule="exact"/>
        <w:ind w:firstLine="640" w:firstLineChars="200"/>
        <w:outlineLvl w:val="1"/>
        <w:rPr>
          <w:rFonts w:ascii="仿宋" w:hAnsi="仿宋" w:eastAsia="仿宋"/>
          <w:sz w:val="32"/>
          <w:szCs w:val="32"/>
        </w:rPr>
      </w:pPr>
    </w:p>
    <w:p w14:paraId="182B25B3">
      <w:pPr>
        <w:spacing w:line="600" w:lineRule="exact"/>
        <w:ind w:firstLine="640" w:firstLineChars="200"/>
        <w:rPr>
          <w:rFonts w:hint="eastAsia" w:ascii="仿宋_GB2312" w:eastAsia="仿宋_GB2312"/>
          <w:sz w:val="32"/>
          <w:szCs w:val="32"/>
          <w:lang w:eastAsia="zh-CN"/>
        </w:rPr>
      </w:pPr>
      <w:r>
        <w:rPr>
          <w:rFonts w:hint="eastAsia" w:ascii="仿宋" w:hAnsi="仿宋" w:eastAsia="仿宋"/>
          <w:sz w:val="32"/>
          <w:szCs w:val="32"/>
        </w:rPr>
        <w:t>（图2：收入决算结构图）（饼状图）</w:t>
      </w:r>
    </w:p>
    <w:p w14:paraId="5BC1248E">
      <w:pPr>
        <w:pStyle w:val="30"/>
        <w:numPr>
          <w:ilvl w:val="0"/>
          <w:numId w:val="0"/>
        </w:numPr>
        <w:spacing w:line="600" w:lineRule="exact"/>
        <w:ind w:left="1360" w:leftChars="0" w:hanging="720" w:firstLineChars="0"/>
        <w:outlineLvl w:val="1"/>
        <w:rPr>
          <w:rFonts w:hint="default" w:ascii="黑体" w:hAnsi="黑体" w:eastAsia="黑体" w:cstheme="majorBidi"/>
          <w:b w:val="0"/>
          <w:bCs/>
          <w:kern w:val="2"/>
          <w:sz w:val="32"/>
          <w:szCs w:val="32"/>
          <w:lang w:val="en-US" w:eastAsia="zh-CN" w:bidi="ar-SA"/>
        </w:rPr>
      </w:pPr>
      <w:bookmarkStart w:id="22" w:name="_Toc15377207"/>
      <w:bookmarkStart w:id="23" w:name="_Toc15396605"/>
      <w:r>
        <w:rPr>
          <w:rFonts w:hint="eastAsia" w:ascii="仿宋_GB2312" w:eastAsia="仿宋_GB2312"/>
          <w:sz w:val="32"/>
          <w:szCs w:val="32"/>
          <w:lang w:eastAsia="zh-CN"/>
        </w:rPr>
        <w:drawing>
          <wp:anchor distT="0" distB="0" distL="114300" distR="114300" simplePos="0" relativeHeight="251660288" behindDoc="0" locked="0" layoutInCell="1" allowOverlap="1">
            <wp:simplePos x="0" y="0"/>
            <wp:positionH relativeFrom="column">
              <wp:posOffset>300355</wp:posOffset>
            </wp:positionH>
            <wp:positionV relativeFrom="paragraph">
              <wp:posOffset>275590</wp:posOffset>
            </wp:positionV>
            <wp:extent cx="4773295" cy="2822575"/>
            <wp:effectExtent l="4445" t="4445" r="22860" b="1143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E7492F9">
      <w:pPr>
        <w:pStyle w:val="30"/>
        <w:numPr>
          <w:ilvl w:val="0"/>
          <w:numId w:val="0"/>
        </w:numPr>
        <w:spacing w:line="600" w:lineRule="exact"/>
        <w:ind w:left="1360" w:leftChars="0" w:hanging="720" w:firstLineChars="0"/>
        <w:outlineLvl w:val="1"/>
        <w:rPr>
          <w:rStyle w:val="32"/>
          <w:rFonts w:ascii="黑体" w:hAnsi="黑体" w:eastAsia="黑体"/>
          <w:b w:val="0"/>
        </w:rPr>
      </w:pPr>
      <w:r>
        <w:rPr>
          <w:rFonts w:hint="default" w:ascii="黑体" w:hAnsi="黑体" w:eastAsia="黑体" w:cstheme="majorBidi"/>
          <w:b w:val="0"/>
          <w:bCs/>
          <w:kern w:val="2"/>
          <w:sz w:val="32"/>
          <w:szCs w:val="32"/>
          <w:lang w:val="en-US" w:eastAsia="zh-CN" w:bidi="ar-SA"/>
        </w:rPr>
        <w:t>三、</w:t>
      </w:r>
      <w:r>
        <w:rPr>
          <w:rFonts w:hint="eastAsia" w:ascii="黑体" w:hAnsi="黑体" w:eastAsia="黑体"/>
          <w:sz w:val="32"/>
          <w:szCs w:val="32"/>
        </w:rPr>
        <w:t>支</w:t>
      </w:r>
      <w:r>
        <w:rPr>
          <w:rStyle w:val="32"/>
          <w:rFonts w:hint="eastAsia" w:ascii="黑体" w:hAnsi="黑体" w:eastAsia="黑体"/>
          <w:b w:val="0"/>
        </w:rPr>
        <w:t>出决算情况说明</w:t>
      </w:r>
      <w:bookmarkEnd w:id="22"/>
      <w:bookmarkEnd w:id="23"/>
    </w:p>
    <w:p w14:paraId="52408308">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753.55</w:t>
      </w:r>
      <w:r>
        <w:rPr>
          <w:rFonts w:hint="eastAsia" w:ascii="仿宋" w:hAnsi="仿宋" w:eastAsia="仿宋"/>
          <w:sz w:val="32"/>
          <w:szCs w:val="32"/>
        </w:rPr>
        <w:t>万元，其中：基本支出</w:t>
      </w:r>
      <w:r>
        <w:rPr>
          <w:sz w:val="32"/>
          <w:szCs w:val="32"/>
        </w:rPr>
        <w:t>598.4</w:t>
      </w:r>
      <w:r>
        <w:rPr>
          <w:rFonts w:hint="eastAsia" w:ascii="仿宋" w:hAnsi="仿宋" w:eastAsia="仿宋"/>
          <w:sz w:val="32"/>
          <w:szCs w:val="32"/>
        </w:rPr>
        <w:t>万元，占</w:t>
      </w:r>
      <w:r>
        <w:rPr>
          <w:sz w:val="32"/>
          <w:szCs w:val="32"/>
        </w:rPr>
        <w:t>79.41</w:t>
      </w:r>
      <w:r>
        <w:rPr>
          <w:rFonts w:ascii="仿宋" w:hAnsi="仿宋" w:eastAsia="仿宋"/>
          <w:sz w:val="32"/>
          <w:szCs w:val="32"/>
        </w:rPr>
        <w:t>%</w:t>
      </w:r>
      <w:r>
        <w:rPr>
          <w:rFonts w:hint="eastAsia" w:ascii="仿宋" w:hAnsi="仿宋" w:eastAsia="仿宋"/>
          <w:sz w:val="32"/>
          <w:szCs w:val="32"/>
        </w:rPr>
        <w:t>；项目支出</w:t>
      </w:r>
      <w:r>
        <w:rPr>
          <w:sz w:val="32"/>
          <w:szCs w:val="32"/>
        </w:rPr>
        <w:t>155.16</w:t>
      </w:r>
      <w:r>
        <w:rPr>
          <w:rFonts w:hint="eastAsia" w:ascii="仿宋" w:hAnsi="仿宋" w:eastAsia="仿宋"/>
          <w:sz w:val="32"/>
          <w:szCs w:val="32"/>
        </w:rPr>
        <w:t>万元，占</w:t>
      </w:r>
      <w:r>
        <w:rPr>
          <w:sz w:val="32"/>
          <w:szCs w:val="32"/>
        </w:rPr>
        <w:t>20.58</w:t>
      </w:r>
      <w:r>
        <w:rPr>
          <w:rFonts w:ascii="仿宋" w:hAnsi="仿宋" w:eastAsia="仿宋"/>
          <w:sz w:val="32"/>
          <w:szCs w:val="32"/>
        </w:rPr>
        <w:t>%</w:t>
      </w:r>
      <w:r>
        <w:rPr>
          <w:rFonts w:hint="eastAsia" w:ascii="仿宋" w:hAnsi="仿宋" w:eastAsia="仿宋"/>
          <w:sz w:val="32"/>
          <w:szCs w:val="32"/>
        </w:rPr>
        <w:t>。</w:t>
      </w:r>
    </w:p>
    <w:p w14:paraId="121ED05A">
      <w:pPr>
        <w:spacing w:line="600" w:lineRule="exact"/>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6658A47D">
      <w:pPr>
        <w:spacing w:line="600" w:lineRule="exact"/>
        <w:rPr>
          <w:rFonts w:ascii="仿宋" w:hAnsi="仿宋" w:eastAsia="仿宋"/>
          <w:sz w:val="32"/>
          <w:szCs w:val="32"/>
        </w:rPr>
      </w:pPr>
      <w:r>
        <w:rPr>
          <w:rFonts w:hint="eastAsia" w:ascii="仿宋" w:hAnsi="仿宋" w:eastAsia="仿宋"/>
          <w:sz w:val="32"/>
          <w:szCs w:val="32"/>
        </w:rPr>
        <w:t>（图3：支出决算结构图）（饼状图）</w:t>
      </w:r>
    </w:p>
    <w:p w14:paraId="2C94E286">
      <w:pPr>
        <w:spacing w:line="600" w:lineRule="exact"/>
        <w:ind w:firstLine="640" w:firstLineChars="200"/>
        <w:outlineLvl w:val="1"/>
        <w:rPr>
          <w:rFonts w:hint="eastAsia" w:ascii="黑体" w:hAnsi="黑体" w:eastAsia="黑体"/>
          <w:sz w:val="32"/>
          <w:szCs w:val="32"/>
        </w:rPr>
      </w:pPr>
      <w:bookmarkStart w:id="24" w:name="_Toc15377208"/>
      <w:bookmarkStart w:id="25" w:name="_Toc15396606"/>
      <w:r>
        <w:rPr>
          <w:rFonts w:hint="eastAsia" w:ascii="仿宋_GB2312" w:eastAsia="仿宋_GB2312"/>
          <w:sz w:val="32"/>
          <w:szCs w:val="32"/>
          <w:lang w:eastAsia="zh-CN"/>
        </w:rPr>
        <w:drawing>
          <wp:anchor distT="0" distB="0" distL="114300" distR="114300" simplePos="0" relativeHeight="251661312" behindDoc="0" locked="0" layoutInCell="1" allowOverlap="1">
            <wp:simplePos x="0" y="0"/>
            <wp:positionH relativeFrom="column">
              <wp:posOffset>558165</wp:posOffset>
            </wp:positionH>
            <wp:positionV relativeFrom="paragraph">
              <wp:posOffset>186055</wp:posOffset>
            </wp:positionV>
            <wp:extent cx="4234180" cy="2666365"/>
            <wp:effectExtent l="4445" t="4445" r="9525"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0BFD610">
      <w:pPr>
        <w:spacing w:line="600" w:lineRule="exact"/>
        <w:ind w:firstLine="640" w:firstLineChars="200"/>
        <w:outlineLvl w:val="1"/>
        <w:rPr>
          <w:rStyle w:val="32"/>
          <w:rFonts w:ascii="黑体" w:hAnsi="黑体" w:eastAsia="黑体"/>
          <w:b w:val="0"/>
        </w:rPr>
      </w:pPr>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4"/>
      <w:bookmarkEnd w:id="25"/>
    </w:p>
    <w:p w14:paraId="290E41E2">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sz w:val="32"/>
          <w:szCs w:val="32"/>
        </w:rPr>
        <w:t>753.55</w:t>
      </w:r>
      <w:r>
        <w:rPr>
          <w:rFonts w:hint="eastAsia" w:ascii="仿宋" w:hAnsi="仿宋" w:eastAsia="仿宋"/>
          <w:sz w:val="32"/>
          <w:szCs w:val="32"/>
        </w:rPr>
        <w:t>万元。与2022年度相比，财政拨款收、支总计各减少12.41万元，下降1.62</w:t>
      </w:r>
      <w:r>
        <w:rPr>
          <w:rFonts w:ascii="仿宋" w:hAnsi="仿宋" w:eastAsia="仿宋"/>
          <w:sz w:val="32"/>
          <w:szCs w:val="32"/>
        </w:rPr>
        <w:t>%</w:t>
      </w:r>
      <w:r>
        <w:rPr>
          <w:rFonts w:hint="eastAsia" w:ascii="仿宋" w:hAnsi="仿宋" w:eastAsia="仿宋"/>
          <w:sz w:val="32"/>
          <w:szCs w:val="32"/>
        </w:rPr>
        <w:t>。主要变动原因是人员经费和办公费用的减少。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3D3AF234">
      <w:pPr>
        <w:spacing w:line="600" w:lineRule="exact"/>
        <w:ind w:firstLine="321" w:firstLineChars="100"/>
        <w:rPr>
          <w:rFonts w:ascii="仿宋" w:hAnsi="仿宋" w:eastAsia="仿宋"/>
          <w:sz w:val="32"/>
          <w:szCs w:val="32"/>
        </w:rPr>
      </w:pPr>
      <w:r>
        <w:rPr>
          <w:rFonts w:hint="eastAsia" w:ascii="仿宋" w:hAnsi="仿宋" w:eastAsia="仿宋"/>
          <w:b/>
          <w:sz w:val="32"/>
          <w:szCs w:val="32"/>
          <w:lang w:eastAsia="zh-CN"/>
        </w:rPr>
        <w:drawing>
          <wp:anchor distT="0" distB="0" distL="114300" distR="114300" simplePos="0" relativeHeight="251662336" behindDoc="0" locked="0" layoutInCell="1" allowOverlap="1">
            <wp:simplePos x="0" y="0"/>
            <wp:positionH relativeFrom="column">
              <wp:posOffset>90805</wp:posOffset>
            </wp:positionH>
            <wp:positionV relativeFrom="paragraph">
              <wp:posOffset>139065</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（图4：财政拨款收、支决算总计变动情况）（柱状图）</w:t>
      </w:r>
    </w:p>
    <w:p w14:paraId="28C5E805">
      <w:pPr>
        <w:spacing w:line="600" w:lineRule="exact"/>
        <w:ind w:firstLine="640"/>
        <w:rPr>
          <w:rFonts w:hint="eastAsia" w:ascii="仿宋" w:hAnsi="仿宋" w:eastAsia="仿宋"/>
          <w:b/>
          <w:sz w:val="32"/>
          <w:szCs w:val="32"/>
          <w:lang w:eastAsia="zh-CN"/>
        </w:rPr>
      </w:pPr>
    </w:p>
    <w:p w14:paraId="7A1EBA15">
      <w:pPr>
        <w:spacing w:line="600" w:lineRule="exact"/>
        <w:ind w:firstLine="640" w:firstLineChars="200"/>
        <w:outlineLvl w:val="1"/>
        <w:rPr>
          <w:rStyle w:val="32"/>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6"/>
      <w:bookmarkEnd w:id="27"/>
    </w:p>
    <w:p w14:paraId="4BF07B83">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81295CB">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713.05</w:t>
      </w:r>
      <w:r>
        <w:rPr>
          <w:rFonts w:hint="eastAsia" w:ascii="仿宋" w:hAnsi="仿宋" w:eastAsia="仿宋"/>
          <w:sz w:val="32"/>
          <w:szCs w:val="32"/>
        </w:rPr>
        <w:t>万元，占本年支出合计的</w:t>
      </w:r>
      <w:r>
        <w:rPr>
          <w:sz w:val="32"/>
          <w:szCs w:val="32"/>
        </w:rPr>
        <w:t>94.62</w:t>
      </w:r>
      <w:r>
        <w:rPr>
          <w:rFonts w:ascii="仿宋" w:hAnsi="仿宋" w:eastAsia="仿宋"/>
          <w:sz w:val="32"/>
          <w:szCs w:val="32"/>
        </w:rPr>
        <w:t>%</w:t>
      </w:r>
      <w:r>
        <w:rPr>
          <w:rFonts w:hint="eastAsia" w:ascii="仿宋" w:hAnsi="仿宋" w:eastAsia="仿宋"/>
          <w:sz w:val="32"/>
          <w:szCs w:val="32"/>
        </w:rPr>
        <w:t>。与2022年度相比，一般公共预算财政拨款支出减少39.41万元，下降5.24</w:t>
      </w:r>
      <w:r>
        <w:rPr>
          <w:rFonts w:ascii="仿宋" w:hAnsi="仿宋" w:eastAsia="仿宋"/>
          <w:sz w:val="32"/>
          <w:szCs w:val="32"/>
        </w:rPr>
        <w:t>%</w:t>
      </w:r>
      <w:r>
        <w:rPr>
          <w:rFonts w:hint="eastAsia" w:ascii="仿宋" w:hAnsi="仿宋" w:eastAsia="仿宋"/>
          <w:sz w:val="32"/>
          <w:szCs w:val="32"/>
        </w:rPr>
        <w:t>。主要变动原因是人员缩减和办公费用的减少。</w:t>
      </w:r>
    </w:p>
    <w:p w14:paraId="16B87761">
      <w:pPr>
        <w:spacing w:line="6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160020</wp:posOffset>
            </wp:positionH>
            <wp:positionV relativeFrom="paragraph">
              <wp:posOffset>1107440</wp:posOffset>
            </wp:positionV>
            <wp:extent cx="5256530" cy="2988310"/>
            <wp:effectExtent l="5080" t="4445" r="15240" b="1714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（图5：一般公共预算财政拨款支出决算变动情况）（柱状图）</w:t>
      </w:r>
    </w:p>
    <w:p w14:paraId="52116F3F">
      <w:pPr>
        <w:spacing w:line="600" w:lineRule="exact"/>
        <w:ind w:firstLine="640" w:firstLineChars="200"/>
        <w:rPr>
          <w:rFonts w:hint="eastAsia" w:ascii="仿宋" w:hAnsi="仿宋" w:eastAsia="仿宋"/>
          <w:sz w:val="32"/>
          <w:szCs w:val="32"/>
          <w:lang w:eastAsia="zh-CN"/>
        </w:rPr>
      </w:pPr>
    </w:p>
    <w:p w14:paraId="290A0E00">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D026D1C">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713.05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409.58万元，占57.4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58.21万元，占8.2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10.68万元，占1.5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rPr>
        <w:t>195.09万元，占27.4%，</w:t>
      </w:r>
      <w:r>
        <w:rPr>
          <w:rFonts w:hint="eastAsia" w:ascii="仿宋" w:hAnsi="仿宋" w:eastAsia="仿宋"/>
          <w:b/>
          <w:bCs/>
          <w:sz w:val="32"/>
          <w:szCs w:val="32"/>
        </w:rPr>
        <w:t>住房保障支出</w:t>
      </w:r>
      <w:r>
        <w:rPr>
          <w:rFonts w:hint="eastAsia" w:ascii="仿宋" w:hAnsi="仿宋" w:eastAsia="仿宋"/>
          <w:sz w:val="32"/>
          <w:szCs w:val="32"/>
        </w:rPr>
        <w:t>39.49万元，占5.5</w:t>
      </w:r>
      <w:r>
        <w:rPr>
          <w:rFonts w:ascii="仿宋" w:hAnsi="仿宋" w:eastAsia="仿宋"/>
          <w:sz w:val="32"/>
          <w:szCs w:val="32"/>
        </w:rPr>
        <w:t>%</w:t>
      </w:r>
      <w:r>
        <w:rPr>
          <w:rFonts w:hint="eastAsia" w:ascii="仿宋" w:hAnsi="仿宋" w:eastAsia="仿宋"/>
          <w:sz w:val="32"/>
          <w:szCs w:val="32"/>
        </w:rPr>
        <w:t>。</w:t>
      </w:r>
    </w:p>
    <w:p w14:paraId="59EDAEB1">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3632CD11">
      <w:pPr>
        <w:spacing w:line="600" w:lineRule="exact"/>
        <w:ind w:firstLine="640" w:firstLineChars="200"/>
        <w:rPr>
          <w:rFonts w:hint="eastAsia" w:ascii="仿宋" w:hAnsi="仿宋" w:eastAsia="仿宋"/>
          <w:sz w:val="32"/>
          <w:szCs w:val="32"/>
        </w:rPr>
      </w:pPr>
    </w:p>
    <w:p w14:paraId="1040BD6A">
      <w:pPr>
        <w:spacing w:line="600" w:lineRule="exact"/>
        <w:ind w:firstLine="640" w:firstLineChars="200"/>
        <w:rPr>
          <w:rFonts w:hint="eastAsia" w:ascii="仿宋" w:hAnsi="仿宋" w:eastAsia="仿宋"/>
          <w:sz w:val="32"/>
          <w:szCs w:val="32"/>
        </w:rPr>
      </w:pPr>
    </w:p>
    <w:p w14:paraId="6B99B1F6">
      <w:pPr>
        <w:spacing w:line="600" w:lineRule="exact"/>
        <w:ind w:firstLine="640" w:firstLineChars="200"/>
        <w:rPr>
          <w:rFonts w:hint="eastAsia" w:ascii="仿宋" w:hAnsi="仿宋" w:eastAsia="仿宋"/>
          <w:sz w:val="32"/>
          <w:szCs w:val="32"/>
        </w:rPr>
      </w:pPr>
    </w:p>
    <w:p w14:paraId="4215BC62">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14:paraId="60A3EA3A">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38735</wp:posOffset>
            </wp:positionH>
            <wp:positionV relativeFrom="paragraph">
              <wp:posOffset>163195</wp:posOffset>
            </wp:positionV>
            <wp:extent cx="5256530" cy="2988310"/>
            <wp:effectExtent l="5080" t="4445" r="15240" b="1714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35FA13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6BA9E3BD">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2023年度一般公共预算支出决算数为</w:t>
      </w:r>
      <w:r>
        <w:rPr>
          <w:sz w:val="32"/>
          <w:szCs w:val="32"/>
        </w:rPr>
        <w:t>713.05</w:t>
      </w:r>
      <w:r>
        <w:rPr>
          <w:rFonts w:hint="eastAsia" w:ascii="仿宋" w:hAnsi="仿宋" w:eastAsia="仿宋"/>
          <w:sz w:val="32"/>
          <w:szCs w:val="32"/>
        </w:rPr>
        <w:t>，</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60ED512E">
      <w:pPr>
        <w:tabs>
          <w:tab w:val="left" w:pos="312"/>
        </w:tabs>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1.一般公共服务（类）政府办公厅（室）及相关机构事务（款）行政运行（项）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支出决算为321.83万元，完成预算100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C5EFAB2">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2.一般公共服务（类）政府办公厅（室）及相关机构事务（款）事业运行（项）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支出决算为87.76万元，完成预算100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476234B1">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3</w:t>
      </w:r>
      <w:r>
        <w:rPr>
          <w:rStyle w:val="19"/>
          <w:rFonts w:ascii="仿宋" w:hAnsi="仿宋" w:eastAsia="仿宋"/>
          <w:bCs/>
          <w:sz w:val="32"/>
          <w:szCs w:val="32"/>
        </w:rPr>
        <w:t xml:space="preserve">. </w:t>
      </w:r>
      <w:r>
        <w:rPr>
          <w:rFonts w:hint="eastAsia" w:ascii="仿宋" w:hAnsi="仿宋" w:eastAsia="仿宋"/>
          <w:b/>
          <w:sz w:val="32"/>
          <w:szCs w:val="32"/>
        </w:rPr>
        <w:t>社会保障和就业</w:t>
      </w:r>
      <w:r>
        <w:rPr>
          <w:rFonts w:hint="eastAsia" w:ascii="仿宋" w:hAnsi="仿宋" w:eastAsia="仿宋"/>
          <w:b/>
          <w:bCs/>
          <w:sz w:val="32"/>
          <w:szCs w:val="32"/>
        </w:rPr>
        <w:t>支出</w:t>
      </w:r>
      <w:r>
        <w:rPr>
          <w:rStyle w:val="19"/>
          <w:rFonts w:hint="eastAsia" w:ascii="仿宋" w:hAnsi="仿宋" w:eastAsia="仿宋"/>
          <w:bCs/>
          <w:sz w:val="32"/>
          <w:szCs w:val="32"/>
        </w:rPr>
        <w:t>（类）行政事业单位养老支出（款）  机关事业单位基本养老保险缴费支出（项）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支出决算为37.87万元，完成预算100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D457D33">
      <w:pPr>
        <w:spacing w:line="600" w:lineRule="exact"/>
        <w:ind w:firstLine="643" w:firstLineChars="200"/>
        <w:rPr>
          <w:rStyle w:val="19"/>
          <w:rFonts w:ascii="仿宋" w:hAnsi="仿宋" w:eastAsia="仿宋"/>
          <w:b w:val="0"/>
          <w:bCs/>
          <w:sz w:val="32"/>
          <w:szCs w:val="32"/>
        </w:rPr>
      </w:pPr>
      <w:r>
        <w:rPr>
          <w:rFonts w:hint="eastAsia" w:ascii="仿宋" w:hAnsi="仿宋" w:eastAsia="仿宋"/>
          <w:b/>
          <w:sz w:val="32"/>
          <w:szCs w:val="32"/>
        </w:rPr>
        <w:t>4.社会保障和就业</w:t>
      </w:r>
      <w:r>
        <w:rPr>
          <w:rFonts w:hint="eastAsia" w:ascii="仿宋" w:hAnsi="仿宋" w:eastAsia="仿宋"/>
          <w:b/>
          <w:bCs/>
          <w:sz w:val="32"/>
          <w:szCs w:val="32"/>
        </w:rPr>
        <w:t>支出</w:t>
      </w:r>
      <w:r>
        <w:rPr>
          <w:rStyle w:val="19"/>
          <w:rFonts w:hint="eastAsia" w:ascii="仿宋" w:hAnsi="仿宋" w:eastAsia="仿宋"/>
          <w:bCs/>
          <w:sz w:val="32"/>
          <w:szCs w:val="32"/>
        </w:rPr>
        <w:t>（类）行政事业单位养老支出（款）    机关事业单位职业年金缴费支出（项）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支出决算为15.09万元，完成预算100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AA10CED">
      <w:pPr>
        <w:spacing w:line="600" w:lineRule="exact"/>
        <w:ind w:firstLine="643" w:firstLineChars="200"/>
        <w:rPr>
          <w:rStyle w:val="19"/>
          <w:rFonts w:ascii="仿宋" w:hAnsi="仿宋" w:eastAsia="仿宋"/>
          <w:b w:val="0"/>
          <w:bCs/>
          <w:sz w:val="32"/>
          <w:szCs w:val="32"/>
        </w:rPr>
      </w:pPr>
      <w:r>
        <w:rPr>
          <w:rFonts w:hint="eastAsia" w:ascii="仿宋" w:hAnsi="仿宋" w:eastAsia="仿宋"/>
          <w:b/>
          <w:sz w:val="32"/>
          <w:szCs w:val="32"/>
        </w:rPr>
        <w:t>5.社会保障和就业</w:t>
      </w:r>
      <w:r>
        <w:rPr>
          <w:rFonts w:hint="eastAsia" w:ascii="仿宋" w:hAnsi="仿宋" w:eastAsia="仿宋"/>
          <w:b/>
          <w:bCs/>
          <w:sz w:val="32"/>
          <w:szCs w:val="32"/>
        </w:rPr>
        <w:t>支出</w:t>
      </w:r>
      <w:r>
        <w:rPr>
          <w:rStyle w:val="19"/>
          <w:rFonts w:hint="eastAsia" w:ascii="仿宋" w:hAnsi="仿宋" w:eastAsia="仿宋"/>
          <w:bCs/>
          <w:sz w:val="32"/>
          <w:szCs w:val="32"/>
        </w:rPr>
        <w:t>（类）其他社会保障和就业支出（款）其他社会保障和就业支出（项）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支出决算为5.25万元，完成预算100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4387A565">
      <w:pPr>
        <w:spacing w:line="600" w:lineRule="exact"/>
        <w:ind w:firstLine="643" w:firstLineChars="200"/>
        <w:rPr>
          <w:rStyle w:val="19"/>
          <w:rFonts w:ascii="仿宋" w:hAnsi="仿宋" w:eastAsia="仿宋"/>
          <w:b w:val="0"/>
          <w:bCs/>
          <w:sz w:val="32"/>
          <w:szCs w:val="32"/>
        </w:rPr>
      </w:pPr>
      <w:r>
        <w:rPr>
          <w:rFonts w:hint="eastAsia" w:ascii="仿宋" w:hAnsi="仿宋" w:eastAsia="仿宋"/>
          <w:b/>
          <w:bCs/>
          <w:sz w:val="32"/>
          <w:szCs w:val="32"/>
        </w:rPr>
        <w:t>6.卫生健康支出</w:t>
      </w:r>
      <w:r>
        <w:rPr>
          <w:rStyle w:val="19"/>
          <w:rFonts w:hint="eastAsia" w:ascii="仿宋" w:hAnsi="仿宋" w:eastAsia="仿宋"/>
          <w:bCs/>
          <w:sz w:val="32"/>
          <w:szCs w:val="32"/>
        </w:rPr>
        <w:t>（类）</w:t>
      </w:r>
      <w:r>
        <w:rPr>
          <w:rFonts w:hint="eastAsia" w:ascii="仿宋" w:hAnsi="仿宋" w:eastAsia="仿宋"/>
          <w:b/>
          <w:bCs/>
          <w:sz w:val="32"/>
          <w:szCs w:val="32"/>
        </w:rPr>
        <w:t>行政事业单位医疗</w:t>
      </w:r>
      <w:r>
        <w:rPr>
          <w:rStyle w:val="19"/>
          <w:rFonts w:hint="eastAsia" w:ascii="仿宋" w:hAnsi="仿宋" w:eastAsia="仿宋"/>
          <w:bCs/>
          <w:sz w:val="32"/>
          <w:szCs w:val="32"/>
        </w:rPr>
        <w:t>（款）</w:t>
      </w:r>
      <w:r>
        <w:rPr>
          <w:rFonts w:hint="eastAsia" w:ascii="仿宋" w:hAnsi="仿宋" w:eastAsia="仿宋" w:cs="宋体"/>
          <w:b/>
          <w:bCs/>
          <w:color w:val="000000" w:themeColor="text1"/>
          <w:kern w:val="0"/>
          <w:sz w:val="32"/>
          <w:szCs w:val="32"/>
          <w14:textFill>
            <w14:solidFill>
              <w14:schemeClr w14:val="tx1"/>
            </w14:solidFill>
          </w14:textFill>
        </w:rPr>
        <w:t>行政单位医疗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支出决算为9.06万元，完成预算100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3F4F57BE">
      <w:pPr>
        <w:spacing w:line="600" w:lineRule="exact"/>
        <w:ind w:firstLine="643" w:firstLineChars="200"/>
        <w:rPr>
          <w:rStyle w:val="19"/>
          <w:rFonts w:ascii="仿宋" w:hAnsi="仿宋" w:eastAsia="仿宋"/>
          <w:b w:val="0"/>
          <w:bCs/>
          <w:sz w:val="32"/>
          <w:szCs w:val="32"/>
        </w:rPr>
      </w:pPr>
      <w:r>
        <w:rPr>
          <w:rFonts w:hint="eastAsia" w:ascii="仿宋" w:hAnsi="仿宋" w:eastAsia="仿宋"/>
          <w:b/>
          <w:bCs/>
          <w:sz w:val="32"/>
          <w:szCs w:val="32"/>
        </w:rPr>
        <w:t>7.卫生健康支出</w:t>
      </w:r>
      <w:r>
        <w:rPr>
          <w:rStyle w:val="19"/>
          <w:rFonts w:hint="eastAsia" w:ascii="仿宋" w:hAnsi="仿宋" w:eastAsia="仿宋"/>
          <w:bCs/>
          <w:sz w:val="32"/>
          <w:szCs w:val="32"/>
        </w:rPr>
        <w:t>（类）</w:t>
      </w:r>
      <w:r>
        <w:rPr>
          <w:rFonts w:hint="eastAsia" w:ascii="仿宋" w:hAnsi="仿宋" w:eastAsia="仿宋"/>
          <w:b/>
          <w:bCs/>
          <w:sz w:val="32"/>
          <w:szCs w:val="32"/>
        </w:rPr>
        <w:t>行政事业单位医疗</w:t>
      </w:r>
      <w:r>
        <w:rPr>
          <w:rStyle w:val="19"/>
          <w:rFonts w:hint="eastAsia" w:ascii="仿宋" w:hAnsi="仿宋" w:eastAsia="仿宋"/>
          <w:bCs/>
          <w:sz w:val="32"/>
          <w:szCs w:val="32"/>
        </w:rPr>
        <w:t>（款）</w:t>
      </w:r>
      <w:r>
        <w:rPr>
          <w:rFonts w:hint="eastAsia" w:ascii="仿宋" w:hAnsi="仿宋" w:eastAsia="仿宋" w:cs="宋体"/>
          <w:b/>
          <w:bCs/>
          <w:color w:val="000000" w:themeColor="text1"/>
          <w:kern w:val="0"/>
          <w:sz w:val="32"/>
          <w:szCs w:val="32"/>
          <w14:textFill>
            <w14:solidFill>
              <w14:schemeClr w14:val="tx1"/>
            </w14:solidFill>
          </w14:textFill>
        </w:rPr>
        <w:t>公务员医疗补助</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支出决算为1.62万元，完成预算100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54CD0860">
      <w:pPr>
        <w:pStyle w:val="22"/>
        <w:ind w:firstLine="643" w:firstLineChars="200"/>
        <w:jc w:val="both"/>
        <w:rPr>
          <w:rStyle w:val="19"/>
          <w:rFonts w:ascii="仿宋" w:hAnsi="仿宋" w:eastAsia="仿宋"/>
          <w:b w:val="0"/>
          <w:bCs/>
          <w:sz w:val="32"/>
          <w:szCs w:val="32"/>
        </w:rPr>
      </w:pPr>
      <w:r>
        <w:rPr>
          <w:rStyle w:val="19"/>
          <w:rFonts w:hint="eastAsia" w:ascii="仿宋" w:hAnsi="仿宋" w:eastAsia="仿宋"/>
          <w:b/>
          <w:bCs/>
          <w:sz w:val="32"/>
          <w:szCs w:val="32"/>
        </w:rPr>
        <w:t>8.农林水支出（类）农业农村（款）行政运行（项）</w:t>
      </w:r>
      <w:r>
        <w:rPr>
          <w:rStyle w:val="19"/>
          <w:rFonts w:hint="eastAsia" w:ascii="仿宋" w:hAnsi="仿宋" w:eastAsia="仿宋"/>
          <w:b/>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支出决算为1.39万元，完成预算100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7940A7E4">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9.农业水支出（类）巩固脱贫衔接乡村振兴（款）一般行政管理事务（项）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支出决算为4.88万元，完成预算100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32492EEE">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10.农业水支出（类）巩固脱贫衔接乡村振兴（款）</w:t>
      </w:r>
      <w:r>
        <w:rPr>
          <w:rFonts w:hint="eastAsia" w:ascii="仿宋" w:hAnsi="仿宋" w:eastAsia="仿宋"/>
          <w:b/>
          <w:bCs/>
          <w:sz w:val="32"/>
          <w:szCs w:val="32"/>
        </w:rPr>
        <w:t>农村基础设施建设</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支出决算为12.81万元，完成预算100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79EEC8D3">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11.农业水支出（类）巩固脱贫衔接乡村振兴（款）</w:t>
      </w:r>
      <w:r>
        <w:rPr>
          <w:rFonts w:hint="eastAsia" w:ascii="仿宋" w:hAnsi="仿宋" w:eastAsia="仿宋"/>
          <w:b/>
          <w:bCs/>
          <w:sz w:val="32"/>
          <w:szCs w:val="32"/>
        </w:rPr>
        <w:t>农社会发展</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42A5799">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12.农业水支出（类）农村综合改革（款）对村民委员会和村党支部的补助（项）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支出决算为84.02万元，完成预算100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5F812EC">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13.农业水支出（类）农村综合改革（款）农村综合改革示范试点补助（项）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支出决算为88万元，完成预算100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0B5423D">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14.住房保障支出（类）住房改革支出（款）住房公积金（项）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支出决算为39.49万元，完成预算100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21DA1798">
      <w:pPr>
        <w:spacing w:line="600" w:lineRule="exact"/>
        <w:ind w:firstLine="640"/>
        <w:rPr>
          <w:rFonts w:ascii="仿宋" w:hAnsi="仿宋" w:eastAsia="仿宋"/>
          <w:b/>
          <w:sz w:val="32"/>
          <w:szCs w:val="32"/>
        </w:rPr>
      </w:pPr>
    </w:p>
    <w:p w14:paraId="239A00BC">
      <w:pPr>
        <w:tabs>
          <w:tab w:val="right" w:pos="8306"/>
        </w:tabs>
        <w:spacing w:line="600" w:lineRule="exact"/>
        <w:ind w:firstLine="640"/>
        <w:outlineLvl w:val="1"/>
        <w:rPr>
          <w:rStyle w:val="32"/>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7B38E9D9">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598.4</w:t>
      </w:r>
      <w:r>
        <w:rPr>
          <w:rFonts w:hint="eastAsia" w:ascii="仿宋" w:hAnsi="仿宋" w:eastAsia="仿宋"/>
          <w:sz w:val="32"/>
          <w:szCs w:val="32"/>
        </w:rPr>
        <w:t>万元，其中：</w:t>
      </w:r>
    </w:p>
    <w:p w14:paraId="6737AF4E">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506.4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92</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B2CB725">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5D52CC11">
      <w:pPr>
        <w:spacing w:line="600" w:lineRule="exact"/>
        <w:ind w:firstLine="640"/>
        <w:rPr>
          <w:rFonts w:ascii="仿宋" w:hAnsi="仿宋" w:eastAsia="仿宋"/>
          <w:b/>
          <w:sz w:val="32"/>
          <w:szCs w:val="32"/>
        </w:rPr>
      </w:pPr>
    </w:p>
    <w:p w14:paraId="6339D342">
      <w:pPr>
        <w:spacing w:line="600" w:lineRule="exact"/>
        <w:ind w:firstLine="640"/>
        <w:outlineLvl w:val="1"/>
        <w:rPr>
          <w:rStyle w:val="32"/>
          <w:rFonts w:ascii="黑体" w:hAnsi="黑体" w:eastAsia="黑体"/>
          <w:b w:val="0"/>
        </w:rPr>
      </w:pPr>
      <w:bookmarkStart w:id="36" w:name="_Toc15396609"/>
      <w:bookmarkStart w:id="37"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6"/>
      <w:bookmarkEnd w:id="37"/>
    </w:p>
    <w:p w14:paraId="5741C227">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BAFBE63">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8.8</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，较上年度减少24.68万元，下降73.7%。</w:t>
      </w:r>
    </w:p>
    <w:p w14:paraId="2BC1034C">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18244ADB">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157B80CC">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2023年度“三公”经费财政拨款支出决算中，公务用车购置及运行维护费支出决算</w:t>
      </w:r>
      <w:r>
        <w:rPr>
          <w:sz w:val="32"/>
          <w:szCs w:val="32"/>
        </w:rPr>
        <w:t>5</w:t>
      </w:r>
      <w:r>
        <w:rPr>
          <w:rFonts w:hint="eastAsia" w:ascii="仿宋" w:hAnsi="仿宋" w:eastAsia="仿宋"/>
          <w:sz w:val="32"/>
          <w:szCs w:val="32"/>
        </w:rPr>
        <w:t>万元，占</w:t>
      </w:r>
      <w:r>
        <w:rPr>
          <w:sz w:val="32"/>
          <w:szCs w:val="32"/>
        </w:rPr>
        <w:t>56.81</w:t>
      </w:r>
      <w:r>
        <w:rPr>
          <w:rFonts w:ascii="仿宋" w:hAnsi="仿宋" w:eastAsia="仿宋"/>
          <w:sz w:val="32"/>
          <w:szCs w:val="32"/>
        </w:rPr>
        <w:t>%</w:t>
      </w:r>
      <w:r>
        <w:rPr>
          <w:rFonts w:hint="eastAsia" w:ascii="仿宋" w:hAnsi="仿宋" w:eastAsia="仿宋"/>
          <w:sz w:val="32"/>
          <w:szCs w:val="32"/>
        </w:rPr>
        <w:t>；公务接待费支出决算</w:t>
      </w:r>
      <w:r>
        <w:rPr>
          <w:sz w:val="32"/>
          <w:szCs w:val="32"/>
        </w:rPr>
        <w:t>3.8</w:t>
      </w:r>
      <w:r>
        <w:rPr>
          <w:rFonts w:hint="eastAsia" w:ascii="仿宋" w:hAnsi="仿宋" w:eastAsia="仿宋"/>
          <w:sz w:val="32"/>
          <w:szCs w:val="32"/>
        </w:rPr>
        <w:t>万元，占</w:t>
      </w:r>
      <w:r>
        <w:rPr>
          <w:sz w:val="32"/>
          <w:szCs w:val="32"/>
        </w:rPr>
        <w:t>43.18</w:t>
      </w:r>
      <w:r>
        <w:rPr>
          <w:rFonts w:ascii="仿宋" w:hAnsi="仿宋" w:eastAsia="仿宋"/>
          <w:sz w:val="32"/>
          <w:szCs w:val="32"/>
        </w:rPr>
        <w:t>%</w:t>
      </w:r>
      <w:r>
        <w:rPr>
          <w:rFonts w:hint="eastAsia" w:ascii="仿宋" w:hAnsi="仿宋" w:eastAsia="仿宋"/>
          <w:sz w:val="32"/>
          <w:szCs w:val="32"/>
        </w:rPr>
        <w:t>。具体情况如下：</w:t>
      </w:r>
    </w:p>
    <w:p w14:paraId="316B2D9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ED15EEC">
      <w:pPr>
        <w:spacing w:line="600" w:lineRule="exact"/>
        <w:ind w:firstLine="64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公务用车购置及运行维护费支出</w:t>
      </w:r>
      <w:r>
        <w:rPr>
          <w:sz w:val="32"/>
          <w:szCs w:val="32"/>
        </w:rPr>
        <w:t>5</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sz w:val="32"/>
          <w:szCs w:val="32"/>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公务用车购置及运行维护费支出决算比2022年度减少24.8万元，下降3.4</w:t>
      </w:r>
      <w:r>
        <w:rPr>
          <w:rFonts w:ascii="仿宋_GB2312" w:eastAsia="仿宋_GB2312"/>
          <w:sz w:val="32"/>
          <w:szCs w:val="32"/>
        </w:rPr>
        <w:t>%</w:t>
      </w:r>
      <w:r>
        <w:rPr>
          <w:rFonts w:hint="eastAsia" w:ascii="仿宋_GB2312" w:eastAsia="仿宋_GB2312"/>
          <w:sz w:val="32"/>
          <w:szCs w:val="32"/>
        </w:rPr>
        <w:t>。主要原因是厉行节约，减少经费支出。</w:t>
      </w:r>
    </w:p>
    <w:p w14:paraId="40F90A24">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公务用车运行维护费支出</w:t>
      </w:r>
      <w:r>
        <w:rPr>
          <w:sz w:val="32"/>
          <w:szCs w:val="32"/>
        </w:rPr>
        <w:t>5</w:t>
      </w:r>
      <w:r>
        <w:rPr>
          <w:rFonts w:hint="eastAsia" w:ascii="仿宋_GB2312" w:eastAsia="仿宋_GB2312"/>
          <w:sz w:val="32"/>
          <w:szCs w:val="32"/>
        </w:rPr>
        <w:t>万元。主要用于乡村振兴等日常工作等所需的公务用车燃料费、维修费、过路过桥费、保险费等支出。</w:t>
      </w:r>
    </w:p>
    <w:p w14:paraId="316B74D9">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3.8</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公务接待费支出决算比2022年度增加0.12万元，增长3.3</w:t>
      </w:r>
      <w:r>
        <w:rPr>
          <w:rFonts w:ascii="仿宋_GB2312" w:eastAsia="仿宋_GB2312"/>
          <w:sz w:val="32"/>
          <w:szCs w:val="32"/>
        </w:rPr>
        <w:t>%</w:t>
      </w:r>
      <w:r>
        <w:rPr>
          <w:rFonts w:hint="eastAsia" w:ascii="仿宋_GB2312" w:eastAsia="仿宋_GB2312"/>
          <w:sz w:val="32"/>
          <w:szCs w:val="32"/>
        </w:rPr>
        <w:t>。主要原因是向上衔接工作增多。其中：</w:t>
      </w:r>
    </w:p>
    <w:p w14:paraId="584E44EE">
      <w:pPr>
        <w:spacing w:line="600" w:lineRule="exact"/>
        <w:ind w:firstLine="640"/>
        <w:rPr>
          <w:rFonts w:ascii="仿宋_GB2312" w:eastAsia="仿宋_GB2312"/>
          <w:sz w:val="32"/>
          <w:szCs w:val="32"/>
        </w:rPr>
      </w:pPr>
      <w:r>
        <w:rPr>
          <w:rFonts w:hint="eastAsia" w:ascii="仿宋" w:hAnsi="仿宋" w:eastAsia="仿宋"/>
          <w:b/>
          <w:sz w:val="32"/>
          <w:szCs w:val="32"/>
        </w:rPr>
        <w:t>国内公务接待支出3.8</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乡村振兴、疫情防控、森林防火等调研指导工作和各级部门党委来我单位交流学习等执行公务、开展业务活动开支的交通费、住宿费、用餐费等。国内公务接待60批次，340人次（不包括陪同人员），共计支出3.8万元。</w:t>
      </w:r>
    </w:p>
    <w:p w14:paraId="7D8F9AAC">
      <w:pPr>
        <w:spacing w:line="600" w:lineRule="exact"/>
        <w:ind w:firstLine="640"/>
        <w:outlineLvl w:val="1"/>
        <w:rPr>
          <w:rFonts w:ascii="黑体" w:eastAsia="黑体"/>
          <w:sz w:val="32"/>
          <w:szCs w:val="32"/>
        </w:rPr>
      </w:pPr>
      <w:bookmarkStart w:id="40" w:name="_Toc15377218"/>
      <w:bookmarkStart w:id="41" w:name="_Toc15396610"/>
    </w:p>
    <w:p w14:paraId="3E220688">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0"/>
      <w:bookmarkEnd w:id="41"/>
    </w:p>
    <w:p w14:paraId="7FE75EAC">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40.5</w:t>
      </w:r>
      <w:r>
        <w:rPr>
          <w:rFonts w:hint="eastAsia" w:ascii="仿宋_GB2312" w:eastAsia="仿宋_GB2312"/>
          <w:sz w:val="32"/>
          <w:szCs w:val="32"/>
        </w:rPr>
        <w:t>万元。</w:t>
      </w:r>
    </w:p>
    <w:p w14:paraId="291E9A7E">
      <w:pPr>
        <w:spacing w:line="600" w:lineRule="exact"/>
        <w:ind w:firstLine="640"/>
        <w:rPr>
          <w:rFonts w:ascii="仿宋_GB2312" w:eastAsia="仿宋_GB2312"/>
          <w:sz w:val="32"/>
          <w:szCs w:val="32"/>
        </w:rPr>
      </w:pPr>
    </w:p>
    <w:p w14:paraId="6CF1D3D2">
      <w:pPr>
        <w:numPr>
          <w:ilvl w:val="0"/>
          <w:numId w:val="2"/>
        </w:numPr>
        <w:spacing w:line="600" w:lineRule="exact"/>
        <w:ind w:firstLine="640"/>
        <w:outlineLvl w:val="1"/>
        <w:rPr>
          <w:rStyle w:val="32"/>
          <w:rFonts w:ascii="黑体" w:hAnsi="黑体" w:eastAsia="黑体"/>
          <w:b w:val="0"/>
        </w:rPr>
      </w:pPr>
      <w:bookmarkStart w:id="42" w:name="_Toc15396611"/>
      <w:bookmarkStart w:id="43" w:name="_Toc15377219"/>
      <w:r>
        <w:rPr>
          <w:rStyle w:val="32"/>
          <w:rFonts w:hint="eastAsia" w:ascii="黑体" w:hAnsi="黑体" w:eastAsia="黑体"/>
          <w:b w:val="0"/>
        </w:rPr>
        <w:t>国有资本经营预算支出决算情况说明</w:t>
      </w:r>
      <w:bookmarkEnd w:id="42"/>
      <w:bookmarkEnd w:id="43"/>
    </w:p>
    <w:p w14:paraId="5C6C9943">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1AD33E02">
      <w:pPr>
        <w:spacing w:line="580" w:lineRule="exact"/>
        <w:jc w:val="center"/>
        <w:rPr>
          <w:rFonts w:ascii="方正小标宋简体" w:hAnsi="方正小标宋简体" w:eastAsia="方正小标宋简体" w:cs="方正小标宋简体"/>
          <w:sz w:val="44"/>
          <w:szCs w:val="44"/>
        </w:rPr>
      </w:pPr>
    </w:p>
    <w:p w14:paraId="3BFDE069">
      <w:pPr>
        <w:numPr>
          <w:ilvl w:val="0"/>
          <w:numId w:val="2"/>
        </w:numPr>
        <w:spacing w:line="600" w:lineRule="exact"/>
        <w:ind w:firstLine="640"/>
        <w:outlineLvl w:val="1"/>
        <w:rPr>
          <w:rStyle w:val="32"/>
          <w:rFonts w:ascii="黑体" w:hAnsi="黑体" w:eastAsia="黑体"/>
          <w:b w:val="0"/>
        </w:rPr>
      </w:pPr>
      <w:bookmarkStart w:id="44" w:name="_Toc15377221"/>
      <w:bookmarkStart w:id="45" w:name="_Toc15396612"/>
      <w:r>
        <w:rPr>
          <w:rStyle w:val="32"/>
          <w:rFonts w:hint="eastAsia" w:ascii="黑体" w:hAnsi="黑体" w:eastAsia="黑体"/>
          <w:b w:val="0"/>
        </w:rPr>
        <w:t>其他重要事项的情况说明</w:t>
      </w:r>
      <w:bookmarkEnd w:id="44"/>
      <w:bookmarkEnd w:id="45"/>
    </w:p>
    <w:p w14:paraId="7A5F04D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10F5C70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峨边彝族自治县勒乌乡人民政府</w:t>
      </w:r>
      <w:r>
        <w:rPr>
          <w:rFonts w:hint="eastAsia" w:ascii="仿宋_GB2312" w:eastAsia="仿宋_GB2312"/>
          <w:sz w:val="32"/>
          <w:szCs w:val="32"/>
        </w:rPr>
        <w:t>机关运行经费支出</w:t>
      </w:r>
      <w:r>
        <w:rPr>
          <w:sz w:val="32"/>
          <w:szCs w:val="32"/>
        </w:rPr>
        <w:t>92</w:t>
      </w:r>
      <w:r>
        <w:rPr>
          <w:rFonts w:hint="eastAsia" w:ascii="仿宋_GB2312" w:eastAsia="仿宋_GB2312"/>
          <w:sz w:val="32"/>
          <w:szCs w:val="32"/>
        </w:rPr>
        <w:t>万元，比2022年度减少24.49万元，下降21</w:t>
      </w:r>
      <w:r>
        <w:rPr>
          <w:rFonts w:ascii="仿宋_GB2312" w:eastAsia="仿宋_GB2312"/>
          <w:sz w:val="32"/>
          <w:szCs w:val="32"/>
        </w:rPr>
        <w:t>%</w:t>
      </w:r>
      <w:r>
        <w:rPr>
          <w:rFonts w:hint="eastAsia" w:ascii="仿宋_GB2312" w:eastAsia="仿宋_GB2312"/>
          <w:sz w:val="32"/>
          <w:szCs w:val="32"/>
        </w:rPr>
        <w:t>。主要原因是厉行节约，严格控制经费支出。</w:t>
      </w:r>
    </w:p>
    <w:p w14:paraId="0EFBEBAE">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2A06F1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0DBF4E8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峨边彝族自治县勒乌乡人民政府</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w:t>
      </w:r>
    </w:p>
    <w:p w14:paraId="375E5F0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1B06B8B5">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05C63261">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峨边彝族自治县勒乌乡人民政府</w:t>
      </w:r>
      <w:r>
        <w:rPr>
          <w:rFonts w:hint="eastAsia" w:ascii="仿宋_GB2312" w:eastAsia="仿宋_GB2312"/>
          <w:sz w:val="32"/>
          <w:szCs w:val="32"/>
        </w:rPr>
        <w:t>共有车辆</w:t>
      </w:r>
      <w:r>
        <w:rPr>
          <w:rFonts w:ascii="仿宋_GB2312" w:eastAsia="仿宋_GB2312"/>
          <w:sz w:val="32"/>
          <w:szCs w:val="32"/>
        </w:rPr>
        <w:t>1</w:t>
      </w:r>
      <w:r>
        <w:rPr>
          <w:rFonts w:hint="eastAsia" w:ascii="仿宋_GB2312" w:eastAsia="仿宋_GB2312"/>
          <w:sz w:val="32"/>
          <w:szCs w:val="32"/>
        </w:rPr>
        <w:t>辆，其中：主要领导干部用车1辆。</w:t>
      </w:r>
    </w:p>
    <w:p w14:paraId="25D9409A">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56304C8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875B32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ascii="仿宋_GB2312" w:hAnsi="仿宋_GB2312" w:eastAsia="仿宋_GB2312" w:cs="仿宋_GB2312"/>
          <w:sz w:val="32"/>
          <w:szCs w:val="32"/>
        </w:rPr>
        <w:t>乡镇农村人居环境整治</w:t>
      </w:r>
      <w:r>
        <w:rPr>
          <w:rFonts w:hint="eastAsia" w:ascii="仿宋_GB2312" w:hAnsi="仿宋_GB2312" w:eastAsia="仿宋_GB2312" w:cs="仿宋_GB2312"/>
          <w:sz w:val="32"/>
          <w:szCs w:val="32"/>
        </w:rPr>
        <w:t>考核奖补资金、垃圾车运营维护费、村（</w:t>
      </w:r>
      <w:r>
        <w:rPr>
          <w:rFonts w:hint="eastAsia" w:ascii="仿宋_GB2312" w:hAnsi="仿宋_GB2312" w:eastAsia="仿宋_GB2312" w:cs="仿宋_GB2312"/>
          <w:sz w:val="32"/>
          <w:szCs w:val="32"/>
          <w:lang w:eastAsia="zh-CN"/>
        </w:rPr>
        <w:t>社区</w:t>
      </w:r>
      <w:bookmarkStart w:id="49" w:name="_GoBack"/>
      <w:bookmarkEnd w:id="49"/>
      <w:r>
        <w:rPr>
          <w:rFonts w:hint="eastAsia" w:ascii="仿宋_GB2312" w:hAnsi="仿宋_GB2312" w:eastAsia="仿宋_GB2312" w:cs="仿宋_GB2312"/>
          <w:sz w:val="32"/>
          <w:szCs w:val="32"/>
        </w:rPr>
        <w:t>）干部养老保险补助意外伤害保险、基层组织和农村公共服务运行维护费项目（项目名称）等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w:t>
      </w:r>
    </w:p>
    <w:p w14:paraId="6680D94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峨边彝族自治县勒乌乡人民政府部门整体（含部门预算项目）绩效自评报告、</w:t>
      </w:r>
      <w:r>
        <w:rPr>
          <w:rFonts w:ascii="仿宋_GB2312" w:hAnsi="仿宋_GB2312" w:eastAsia="仿宋_GB2312" w:cs="仿宋_GB2312"/>
          <w:sz w:val="32"/>
          <w:szCs w:val="32"/>
        </w:rPr>
        <w:t>乡镇农村人居环境整治</w:t>
      </w:r>
      <w:r>
        <w:rPr>
          <w:rFonts w:hint="eastAsia" w:ascii="仿宋_GB2312" w:hAnsi="仿宋_GB2312" w:eastAsia="仿宋_GB2312" w:cs="仿宋_GB2312"/>
          <w:sz w:val="32"/>
          <w:szCs w:val="32"/>
        </w:rPr>
        <w:t>等专项预算项目绩效自评报告，其中，</w:t>
      </w:r>
      <w:r>
        <w:rPr>
          <w:rFonts w:ascii="仿宋_GB2312" w:hAnsi="仿宋_GB2312" w:eastAsia="仿宋_GB2312" w:cs="仿宋_GB2312"/>
          <w:sz w:val="32"/>
          <w:szCs w:val="32"/>
        </w:rPr>
        <w:t>乡镇农村人居环境整治</w:t>
      </w:r>
      <w:r>
        <w:rPr>
          <w:rFonts w:hint="eastAsia" w:ascii="仿宋_GB2312" w:hAnsi="仿宋_GB2312" w:eastAsia="仿宋_GB2312" w:cs="仿宋_GB2312"/>
          <w:sz w:val="32"/>
          <w:szCs w:val="32"/>
        </w:rPr>
        <w:t>整体（含部门预算项目）绩效自评得分为98分；垃圾车运营维护费专项预算项目绩效自评得分为9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）干部养老保险补助意外伤害保险专项预算项目绩效自评得分为9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分；基层组织和农村公共服务运行维护费专项预算项目绩效自评得分为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分。绩效自评报告详见附件。</w:t>
      </w:r>
    </w:p>
    <w:p w14:paraId="7CDF6732">
      <w:pPr>
        <w:pStyle w:val="3"/>
        <w:jc w:val="center"/>
      </w:pPr>
      <w:r>
        <w:rPr>
          <w:rFonts w:hint="eastAsia"/>
        </w:rPr>
        <w:t>第三部分 名词解释</w:t>
      </w:r>
    </w:p>
    <w:p w14:paraId="59C1D0F5"/>
    <w:p w14:paraId="7CFCD7ED">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1.财政拨款收入：指单位从同级财政部门取得的财政预算资金。</w:t>
      </w:r>
    </w:p>
    <w:p w14:paraId="13A7B095">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2.事业收入：指事业单位开展专业业务活动及辅助活动取得的收入。</w:t>
      </w:r>
    </w:p>
    <w:p w14:paraId="17570F3F">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3.经营收入：指事业单位在专业业务活动及其辅助活动之外开展非独立核算经营活动取得的收入。</w:t>
      </w:r>
    </w:p>
    <w:p w14:paraId="3A368C40">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4.其他收入：指单位取得的除上述收入以外的各项收入。</w:t>
      </w:r>
    </w:p>
    <w:p w14:paraId="45FC4925">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5.使用非财政拨款结余：指事业单位使用以前年度积累的非财政拨款结余弥补当年收支差额的金额。 </w:t>
      </w:r>
    </w:p>
    <w:p w14:paraId="33F46375">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6.年初结转和结余：指以前年度尚未完成、结转到本年按有关规定继续使用的资金。 </w:t>
      </w:r>
    </w:p>
    <w:p w14:paraId="0C29A26C">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7.结余分配：指事业单位按照会计制度规定缴纳的所得税、提取的专用结余以及转入非财政拨款结余的金额等。</w:t>
      </w:r>
    </w:p>
    <w:p w14:paraId="631F7F87">
      <w:pPr>
        <w:spacing w:line="576" w:lineRule="exac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8.年末结转和结余：指单位按有关规定结转到下年或以后年度继续使用的资金。</w:t>
      </w:r>
    </w:p>
    <w:p w14:paraId="598DCED7">
      <w:pPr>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9、一般公共服务（类）政府办公厅（室）及相关机构事务（款）行政运行（项）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 xml:space="preserve">  指反映行政单位（包括实行公务员管理的事业单位）的基本支出。</w:t>
      </w:r>
    </w:p>
    <w:p w14:paraId="35F25EB6">
      <w:pPr>
        <w:pStyle w:val="29"/>
        <w:spacing w:line="560" w:lineRule="exact"/>
        <w:ind w:firstLine="640" w:firstLineChars="200"/>
        <w:rPr>
          <w:rFonts w:hAnsi="仿宋" w:cs="宋体"/>
          <w:color w:val="000000" w:themeColor="text1"/>
          <w:sz w:val="32"/>
          <w:szCs w:val="32"/>
          <w14:textFill>
            <w14:solidFill>
              <w14:schemeClr w14:val="tx1"/>
            </w14:solidFill>
          </w14:textFill>
        </w:rPr>
      </w:pPr>
      <w:r>
        <w:rPr>
          <w:rFonts w:hint="eastAsia" w:hAnsi="仿宋" w:cs="宋体"/>
          <w:color w:val="000000" w:themeColor="text1"/>
          <w:sz w:val="32"/>
          <w:szCs w:val="32"/>
          <w14:textFill>
            <w14:solidFill>
              <w14:schemeClr w14:val="tx1"/>
            </w14:solidFill>
          </w14:textFill>
        </w:rPr>
        <w:t>10、一般公共服务（类）政府办公厅（室）及相关机构事务（款）事业运行（项）</w:t>
      </w:r>
      <w:r>
        <w:rPr>
          <w:rFonts w:hint="eastAsia" w:hAnsi="仿宋" w:cs="宋体"/>
          <w:color w:val="000000" w:themeColor="text1"/>
          <w:sz w:val="32"/>
          <w:szCs w:val="32"/>
          <w:lang w:eastAsia="zh-CN"/>
          <w14:textFill>
            <w14:solidFill>
              <w14:schemeClr w14:val="tx1"/>
            </w14:solidFill>
          </w14:textFill>
        </w:rPr>
        <w:t>：</w:t>
      </w:r>
      <w:r>
        <w:rPr>
          <w:rFonts w:hint="eastAsia" w:hAnsi="仿宋" w:cs="宋体"/>
          <w:color w:val="000000" w:themeColor="text1"/>
          <w:sz w:val="32"/>
          <w:szCs w:val="32"/>
          <w14:textFill>
            <w14:solidFill>
              <w14:schemeClr w14:val="tx1"/>
            </w14:solidFill>
          </w14:textFill>
        </w:rPr>
        <w:t>指反映事业单位的基本支出，不包括行政单位（包括实行公务员管理的事业单位）后勤服务中心、医务室等附属事业单位。</w:t>
      </w:r>
    </w:p>
    <w:p w14:paraId="6808FEAB">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11、一般公共服务（类）政府办公厅（室）及相关机构事务（款）一般行政管理事务（项）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反映行政单位（包括实行公务员管理的事业单位）未单独设置项级科目的其他项目支出。</w:t>
      </w:r>
    </w:p>
    <w:p w14:paraId="7C66919E">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12、社会保障和就业支出（类）行政事业单位离退休（款）机关事业单位基本养老保险缴费支出（项）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指反映机关事业单位实施养老保险制度由单位缴纳的基本养老保险费支出。</w:t>
      </w:r>
    </w:p>
    <w:p w14:paraId="77DCFE0D">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13、社会保障和就业支出（类）行政事业单位离退休（款）机关事业单位职业年金缴费支出（项）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 xml:space="preserve"> 指反映机关事业单位实施养老保险制度由单位实际缴纳的职业年金支出。</w:t>
      </w:r>
    </w:p>
    <w:p w14:paraId="6A0834D3">
      <w:pPr>
        <w:pStyle w:val="15"/>
        <w:ind w:firstLine="640"/>
        <w:jc w:val="both"/>
        <w:rPr>
          <w:rFonts w:ascii="仿宋" w:hAnsi="仿宋" w:eastAsia="仿宋" w:cs="宋体"/>
          <w:b w:val="0"/>
          <w:bCs w:val="0"/>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14、社会保障和就业支出（类）抚恤（款）死亡抚恤（项）：指反映按规定用于烈士和牺牲、病故人员家属的一次性和定期抚恤金、丧葬补助费以及烈士褒扬金。</w:t>
      </w:r>
    </w:p>
    <w:p w14:paraId="6C77811D">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15、社会保障和就业支出（类）其他社会保障和就业支出（款）其他社会保障和就业支出（项）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 xml:space="preserve"> 指反映其他用于社会保障和就业方面的支出。</w:t>
      </w:r>
    </w:p>
    <w:p w14:paraId="23E0186B">
      <w:pPr>
        <w:pStyle w:val="15"/>
        <w:ind w:firstLine="640" w:firstLineChars="200"/>
        <w:jc w:val="both"/>
        <w:rPr>
          <w:rFonts w:ascii="仿宋" w:hAnsi="仿宋" w:eastAsia="仿宋" w:cs="宋体"/>
          <w:b w:val="0"/>
          <w:bCs w:val="0"/>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16、卫生健康支出（类）计划生育事务（款）其他计划生育事务支出（项）</w:t>
      </w:r>
      <w:r>
        <w:rPr>
          <w:rFonts w:hint="eastAsia" w:ascii="仿宋" w:hAnsi="仿宋" w:eastAsia="仿宋" w:cs="宋体"/>
          <w:b w:val="0"/>
          <w:bCs w:val="0"/>
          <w:color w:val="000000" w:themeColor="text1"/>
          <w:kern w:val="0"/>
          <w:lang w:eastAsia="zh-CN"/>
          <w14:textFill>
            <w14:solidFill>
              <w14:schemeClr w14:val="tx1"/>
            </w14:solidFill>
          </w14:textFill>
        </w:rPr>
        <w:t>：</w:t>
      </w:r>
      <w:r>
        <w:rPr>
          <w:rFonts w:hint="eastAsia" w:ascii="仿宋" w:hAnsi="仿宋" w:eastAsia="仿宋" w:cs="宋体"/>
          <w:b w:val="0"/>
          <w:bCs w:val="0"/>
          <w:color w:val="000000" w:themeColor="text1"/>
          <w:kern w:val="0"/>
          <w14:textFill>
            <w14:solidFill>
              <w14:schemeClr w14:val="tx1"/>
            </w14:solidFill>
          </w14:textFill>
        </w:rPr>
        <w:t>指反映除卫生健康部门所属计划生育机构的支出和计划生育服务支出外其他用于计划生育管理事务方面的支出。</w:t>
      </w:r>
    </w:p>
    <w:p w14:paraId="3F826BDB">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17、卫生健康支出（类）行政事业单位医疗（款）行政单位医疗（项）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 xml:space="preserve"> 指反映财政部门安排的行政单位（包括实行公务员管理的事业单位）基本医疗保险缴费经费，未参加医疗保险的行政单位的公费医疗经费，按国家规定享受离休人员、红军老战士待遇的医疗经费。</w:t>
      </w:r>
    </w:p>
    <w:p w14:paraId="53A41FAA">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18、卫生健康支出（类）行政事业单位医疗（款）公务员医疗补助（项）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指反映财政部门安排的公务员医疗补助经费。</w:t>
      </w:r>
    </w:p>
    <w:p w14:paraId="09A7AE05">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19、农林水支出（类）巩固脱贫衔接乡村振兴（款）农村基础设施建设（项）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指反映农村欠发达地区乡村道路、住房、基本农田、水利设施、人畜饮水、生态环境保护等生产生活条件改善方面的支出。</w:t>
      </w:r>
    </w:p>
    <w:p w14:paraId="6D8EFEEE">
      <w:pPr>
        <w:spacing w:line="60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20、农林水支出（类）农村综合改革（款）对村民委员会和村党支部的补助（项）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指反映各级财政对村民委员会和村党支部的补助支出，以及支持建立县级基本财力保障机制安排的村级组织运转奖补资金。</w:t>
      </w:r>
    </w:p>
    <w:p w14:paraId="188F042C">
      <w:pPr>
        <w:pStyle w:val="15"/>
        <w:ind w:firstLine="640" w:firstLineChars="200"/>
        <w:jc w:val="both"/>
        <w:rPr>
          <w:rFonts w:ascii="仿宋" w:hAnsi="仿宋" w:eastAsia="仿宋" w:cs="宋体"/>
          <w:b w:val="0"/>
          <w:bCs w:val="0"/>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21、农林水支出（类）巩固脱贫衔接乡村振兴（款）其他巩固脱贫衔接乡村振兴支出（项）</w:t>
      </w:r>
      <w:r>
        <w:rPr>
          <w:rFonts w:hint="eastAsia" w:ascii="仿宋" w:hAnsi="仿宋" w:eastAsia="仿宋" w:cs="宋体"/>
          <w:b w:val="0"/>
          <w:bCs w:val="0"/>
          <w:color w:val="000000" w:themeColor="text1"/>
          <w:kern w:val="0"/>
          <w:lang w:eastAsia="zh-CN"/>
          <w14:textFill>
            <w14:solidFill>
              <w14:schemeClr w14:val="tx1"/>
            </w14:solidFill>
          </w14:textFill>
        </w:rPr>
        <w:t>：</w:t>
      </w:r>
      <w:r>
        <w:rPr>
          <w:rFonts w:hint="eastAsia" w:ascii="仿宋" w:hAnsi="仿宋" w:eastAsia="仿宋" w:cs="宋体"/>
          <w:b w:val="0"/>
          <w:bCs w:val="0"/>
          <w:color w:val="000000" w:themeColor="text1"/>
          <w:kern w:val="0"/>
          <w14:textFill>
            <w14:solidFill>
              <w14:schemeClr w14:val="tx1"/>
            </w14:solidFill>
          </w14:textFill>
        </w:rPr>
        <w:t>指反映除行政运行、一般行政管理事务、机关服务、农村基础设施建设、生产发展、社会发展、贷款奖补和贴息、“三西”农业建设专项补助等项以外其他用于巩固拓展脱贫攻坚成果同乡村振兴有效衔接方面的支出。</w:t>
      </w:r>
    </w:p>
    <w:p w14:paraId="61CF1B10">
      <w:pPr>
        <w:pStyle w:val="15"/>
        <w:ind w:firstLine="640" w:firstLineChars="200"/>
        <w:jc w:val="both"/>
        <w:rPr>
          <w:rFonts w:ascii="仿宋" w:hAnsi="仿宋" w:eastAsia="仿宋" w:cs="宋体"/>
          <w:b w:val="0"/>
          <w:bCs w:val="0"/>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22、农林水支出（类）农村综合改革（款）农村综合改革示范试点补助（项）</w:t>
      </w:r>
      <w:r>
        <w:rPr>
          <w:rFonts w:hint="eastAsia" w:ascii="仿宋" w:hAnsi="仿宋" w:eastAsia="仿宋" w:cs="宋体"/>
          <w:b w:val="0"/>
          <w:bCs w:val="0"/>
          <w:color w:val="000000" w:themeColor="text1"/>
          <w:kern w:val="0"/>
          <w:lang w:eastAsia="zh-CN"/>
          <w14:textFill>
            <w14:solidFill>
              <w14:schemeClr w14:val="tx1"/>
            </w14:solidFill>
          </w14:textFill>
        </w:rPr>
        <w:t>：</w:t>
      </w:r>
      <w:r>
        <w:rPr>
          <w:rFonts w:hint="eastAsia" w:ascii="仿宋" w:hAnsi="仿宋" w:eastAsia="仿宋" w:cs="宋体"/>
          <w:b w:val="0"/>
          <w:bCs w:val="0"/>
          <w:color w:val="000000" w:themeColor="text1"/>
          <w:kern w:val="0"/>
          <w14:textFill>
            <w14:solidFill>
              <w14:schemeClr w14:val="tx1"/>
            </w14:solidFill>
          </w14:textFill>
        </w:rPr>
        <w:t>指反映各级财政对农村综合改革示范试点、新型农业社会化服务体系建设等补助支出。</w:t>
      </w:r>
    </w:p>
    <w:p w14:paraId="0053C367">
      <w:pPr>
        <w:pStyle w:val="15"/>
        <w:autoSpaceDE w:val="0"/>
        <w:autoSpaceDN w:val="0"/>
        <w:adjustRightInd w:val="0"/>
        <w:ind w:firstLine="640" w:firstLineChars="200"/>
        <w:jc w:val="both"/>
        <w:rPr>
          <w:rFonts w:ascii="仿宋" w:hAnsi="仿宋" w:eastAsia="仿宋" w:cs="宋体"/>
          <w:b w:val="0"/>
          <w:bCs w:val="0"/>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23、农林水支出（类）农村综合改革（款）对村级公益事业建设的补助（项）</w:t>
      </w:r>
      <w:r>
        <w:rPr>
          <w:rFonts w:hint="eastAsia" w:ascii="仿宋" w:hAnsi="仿宋" w:eastAsia="仿宋" w:cs="宋体"/>
          <w:b w:val="0"/>
          <w:bCs w:val="0"/>
          <w:color w:val="000000" w:themeColor="text1"/>
          <w:kern w:val="0"/>
          <w:lang w:eastAsia="zh-CN"/>
          <w14:textFill>
            <w14:solidFill>
              <w14:schemeClr w14:val="tx1"/>
            </w14:solidFill>
          </w14:textFill>
        </w:rPr>
        <w:t>：</w:t>
      </w:r>
      <w:r>
        <w:rPr>
          <w:rFonts w:hint="eastAsia" w:ascii="仿宋" w:hAnsi="仿宋" w:eastAsia="仿宋" w:cs="宋体"/>
          <w:b w:val="0"/>
          <w:bCs w:val="0"/>
          <w:color w:val="000000" w:themeColor="text1"/>
          <w:kern w:val="0"/>
          <w14:textFill>
            <w14:solidFill>
              <w14:schemeClr w14:val="tx1"/>
            </w14:solidFill>
          </w14:textFill>
        </w:rPr>
        <w:t>指反映农村税费改革后对村级公益事业建设的补助支出。</w:t>
      </w:r>
    </w:p>
    <w:p w14:paraId="39CACC6C">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24、交通运输支出（类）公路水路运输（款）公路和运输安全（项）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指反映公路和运输安全支出。</w:t>
      </w:r>
    </w:p>
    <w:p w14:paraId="67C1CAC9">
      <w:pPr>
        <w:pStyle w:val="29"/>
        <w:spacing w:line="560" w:lineRule="exact"/>
        <w:ind w:firstLine="640" w:firstLineChars="200"/>
        <w:rPr>
          <w:rFonts w:hAnsi="仿宋" w:cs="宋体"/>
          <w:color w:val="000000" w:themeColor="text1"/>
          <w:sz w:val="32"/>
          <w:szCs w:val="32"/>
          <w14:textFill>
            <w14:solidFill>
              <w14:schemeClr w14:val="tx1"/>
            </w14:solidFill>
          </w14:textFill>
        </w:rPr>
      </w:pPr>
      <w:r>
        <w:rPr>
          <w:rFonts w:hint="eastAsia" w:hAnsi="仿宋" w:cs="宋体"/>
          <w:color w:val="000000" w:themeColor="text1"/>
          <w:sz w:val="32"/>
          <w:szCs w:val="32"/>
          <w14:textFill>
            <w14:solidFill>
              <w14:schemeClr w14:val="tx1"/>
            </w14:solidFill>
          </w14:textFill>
        </w:rPr>
        <w:t>25、住房保障支出（类）住房改革支出（款）住房公积金（项）</w:t>
      </w:r>
      <w:r>
        <w:rPr>
          <w:rFonts w:hint="eastAsia" w:hAnsi="仿宋" w:cs="宋体"/>
          <w:color w:val="000000" w:themeColor="text1"/>
          <w:sz w:val="32"/>
          <w:szCs w:val="32"/>
          <w:lang w:eastAsia="zh-CN"/>
          <w14:textFill>
            <w14:solidFill>
              <w14:schemeClr w14:val="tx1"/>
            </w14:solidFill>
          </w14:textFill>
        </w:rPr>
        <w:t>：</w:t>
      </w:r>
      <w:r>
        <w:rPr>
          <w:rFonts w:hint="eastAsia" w:hAnsi="仿宋" w:cs="宋体"/>
          <w:color w:val="000000" w:themeColor="text1"/>
          <w:sz w:val="32"/>
          <w:szCs w:val="32"/>
          <w14:textFill>
            <w14:solidFill>
              <w14:schemeClr w14:val="tx1"/>
            </w14:solidFill>
          </w14:textFill>
        </w:rPr>
        <w:t>指反映行政事业单位按人力资源和社会保障部、财政部规定的基本工资和津贴补贴以及规定比例为职工缴纳的住房公积金。</w:t>
      </w:r>
    </w:p>
    <w:p w14:paraId="7987C89F">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26、基本支出：指为保障机构正常运转、完成日常工作任务而发生的人员支出和公用支出。</w:t>
      </w:r>
    </w:p>
    <w:p w14:paraId="1BECA6FB">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27、项目支出：指在基本支出之外为完成特定行政任务和事业发展目标所发生的支出。 </w:t>
      </w:r>
    </w:p>
    <w:p w14:paraId="37502B86">
      <w:pPr>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28、经营支出：指事业单位在专业业务活动及其辅助活动之外开展非独立核算经营活动发生的支出。</w:t>
      </w:r>
    </w:p>
    <w:p w14:paraId="754A7A15">
      <w:pPr>
        <w:pStyle w:val="29"/>
        <w:spacing w:line="560" w:lineRule="exact"/>
        <w:ind w:firstLine="640" w:firstLineChars="200"/>
        <w:rPr>
          <w:rFonts w:hAnsi="仿宋" w:cs="宋体"/>
          <w:color w:val="000000" w:themeColor="text1"/>
          <w:sz w:val="32"/>
          <w:szCs w:val="32"/>
          <w14:textFill>
            <w14:solidFill>
              <w14:schemeClr w14:val="tx1"/>
            </w14:solidFill>
          </w14:textFill>
        </w:rPr>
      </w:pPr>
      <w:r>
        <w:rPr>
          <w:rFonts w:hint="eastAsia" w:hAnsi="仿宋" w:cs="宋体"/>
          <w:color w:val="000000" w:themeColor="text1"/>
          <w:sz w:val="32"/>
          <w:szCs w:val="32"/>
          <w14:textFill>
            <w14:solidFill>
              <w14:schemeClr w14:val="tx1"/>
            </w14:solidFill>
          </w14:textFill>
        </w:rPr>
        <w:t>29、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AA59C63">
      <w:pPr>
        <w:pStyle w:val="29"/>
        <w:spacing w:line="560" w:lineRule="exact"/>
        <w:ind w:firstLine="640" w:firstLineChars="200"/>
        <w:rPr>
          <w:rFonts w:hAnsi="仿宋" w:cs="宋体"/>
          <w:color w:val="000000" w:themeColor="text1"/>
          <w:sz w:val="32"/>
          <w:szCs w:val="32"/>
          <w14:textFill>
            <w14:solidFill>
              <w14:schemeClr w14:val="tx1"/>
            </w14:solidFill>
          </w14:textFill>
        </w:rPr>
      </w:pPr>
      <w:r>
        <w:rPr>
          <w:rFonts w:hint="eastAsia" w:hAnsi="仿宋" w:cs="宋体"/>
          <w:color w:val="000000" w:themeColor="text1"/>
          <w:sz w:val="32"/>
          <w:szCs w:val="32"/>
          <w14:textFill>
            <w14:solidFill>
              <w14:schemeClr w14:val="tx1"/>
            </w14:solidFill>
          </w14:textFill>
        </w:rPr>
        <w:t>30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2F945A">
      <w:pPr>
        <w:ind w:firstLine="883" w:firstLineChars="200"/>
        <w:rPr>
          <w:rFonts w:ascii="仿宋" w:hAnsi="仿宋" w:eastAsia="仿宋"/>
          <w:b/>
          <w:sz w:val="32"/>
          <w:szCs w:val="32"/>
        </w:rPr>
      </w:pPr>
      <w:r>
        <w:rPr>
          <w:rFonts w:ascii="宋体"/>
          <w:b/>
          <w:sz w:val="44"/>
          <w:szCs w:val="44"/>
        </w:rPr>
        <w:br w:type="page"/>
      </w:r>
    </w:p>
    <w:p w14:paraId="019DB1DC">
      <w:pPr>
        <w:pStyle w:val="3"/>
        <w:jc w:val="center"/>
        <w:rPr>
          <w:rFonts w:ascii="黑体" w:hAnsi="黑体" w:eastAsia="黑体"/>
          <w:b w:val="0"/>
        </w:rPr>
      </w:pPr>
      <w:r>
        <w:rPr>
          <w:rFonts w:hint="eastAsia" w:ascii="黑体" w:hAnsi="黑体" w:eastAsia="黑体"/>
          <w:b w:val="0"/>
        </w:rPr>
        <w:t>第四部分 附件</w:t>
      </w:r>
    </w:p>
    <w:p w14:paraId="221A8980">
      <w:pPr>
        <w:ind w:firstLine="320" w:firstLineChars="1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14:paraId="6E81FB7A">
      <w:pPr>
        <w:pStyle w:val="2"/>
        <w:rPr>
          <w:lang w:val="zh-CN"/>
        </w:rPr>
      </w:pPr>
      <w:r>
        <w:rPr>
          <w:lang w:val="zh-CN"/>
        </w:rPr>
        <w:drawing>
          <wp:inline distT="0" distB="0" distL="114300" distR="114300">
            <wp:extent cx="5250180" cy="6467475"/>
            <wp:effectExtent l="0" t="0" r="7620" b="9525"/>
            <wp:docPr id="8" name="图片 8" descr="172960154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9601547994"/>
                    <pic:cNvPicPr>
                      <a:picLocks noChangeAspect="1"/>
                    </pic:cNvPicPr>
                  </pic:nvPicPr>
                  <pic:blipFill>
                    <a:blip r:embed="rId13"/>
                    <a:stretch>
                      <a:fillRect/>
                    </a:stretch>
                  </pic:blipFill>
                  <pic:spPr>
                    <a:xfrm>
                      <a:off x="0" y="0"/>
                      <a:ext cx="5250180" cy="6467475"/>
                    </a:xfrm>
                    <a:prstGeom prst="rect">
                      <a:avLst/>
                    </a:prstGeom>
                  </pic:spPr>
                </pic:pic>
              </a:graphicData>
            </a:graphic>
          </wp:inline>
        </w:drawing>
      </w:r>
      <w:r>
        <w:rPr>
          <w:lang w:val="zh-CN"/>
        </w:rPr>
        <w:drawing>
          <wp:inline distT="0" distB="0" distL="114300" distR="114300">
            <wp:extent cx="5274310" cy="7509510"/>
            <wp:effectExtent l="0" t="0" r="2540" b="15240"/>
            <wp:docPr id="1" name="图片 1" descr="172991705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9917059653"/>
                    <pic:cNvPicPr>
                      <a:picLocks noChangeAspect="1"/>
                    </pic:cNvPicPr>
                  </pic:nvPicPr>
                  <pic:blipFill>
                    <a:blip r:embed="rId14"/>
                    <a:stretch>
                      <a:fillRect/>
                    </a:stretch>
                  </pic:blipFill>
                  <pic:spPr>
                    <a:xfrm>
                      <a:off x="0" y="0"/>
                      <a:ext cx="5274310" cy="7509510"/>
                    </a:xfrm>
                    <a:prstGeom prst="rect">
                      <a:avLst/>
                    </a:prstGeom>
                  </pic:spPr>
                </pic:pic>
              </a:graphicData>
            </a:graphic>
          </wp:inline>
        </w:drawing>
      </w:r>
      <w:r>
        <w:rPr>
          <w:lang w:val="zh-CN"/>
        </w:rPr>
        <w:drawing>
          <wp:inline distT="0" distB="0" distL="114300" distR="114300">
            <wp:extent cx="5274310" cy="7353300"/>
            <wp:effectExtent l="0" t="0" r="2540" b="0"/>
            <wp:docPr id="9" name="图片 9" descr="172991707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29917076353"/>
                    <pic:cNvPicPr>
                      <a:picLocks noChangeAspect="1"/>
                    </pic:cNvPicPr>
                  </pic:nvPicPr>
                  <pic:blipFill>
                    <a:blip r:embed="rId15"/>
                    <a:stretch>
                      <a:fillRect/>
                    </a:stretch>
                  </pic:blipFill>
                  <pic:spPr>
                    <a:xfrm>
                      <a:off x="0" y="0"/>
                      <a:ext cx="5274310" cy="7353300"/>
                    </a:xfrm>
                    <a:prstGeom prst="rect">
                      <a:avLst/>
                    </a:prstGeom>
                  </pic:spPr>
                </pic:pic>
              </a:graphicData>
            </a:graphic>
          </wp:inline>
        </w:drawing>
      </w:r>
      <w:r>
        <w:rPr>
          <w:lang w:val="zh-CN"/>
        </w:rPr>
        <w:drawing>
          <wp:inline distT="0" distB="0" distL="114300" distR="114300">
            <wp:extent cx="5273040" cy="7265670"/>
            <wp:effectExtent l="0" t="0" r="3810" b="11430"/>
            <wp:docPr id="10" name="图片 10" descr="172991709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9917092943"/>
                    <pic:cNvPicPr>
                      <a:picLocks noChangeAspect="1"/>
                    </pic:cNvPicPr>
                  </pic:nvPicPr>
                  <pic:blipFill>
                    <a:blip r:embed="rId16"/>
                    <a:stretch>
                      <a:fillRect/>
                    </a:stretch>
                  </pic:blipFill>
                  <pic:spPr>
                    <a:xfrm>
                      <a:off x="0" y="0"/>
                      <a:ext cx="5273040" cy="7265670"/>
                    </a:xfrm>
                    <a:prstGeom prst="rect">
                      <a:avLst/>
                    </a:prstGeom>
                  </pic:spPr>
                </pic:pic>
              </a:graphicData>
            </a:graphic>
          </wp:inline>
        </w:drawing>
      </w:r>
    </w:p>
    <w:p w14:paraId="6D94E4C7">
      <w:pPr>
        <w:pStyle w:val="3"/>
        <w:jc w:val="center"/>
        <w:rPr>
          <w:rFonts w:hint="eastAsia" w:ascii="黑体" w:hAnsi="黑体" w:eastAsia="黑体"/>
        </w:rPr>
      </w:pPr>
    </w:p>
    <w:p w14:paraId="2F83C45D">
      <w:pPr>
        <w:pStyle w:val="3"/>
        <w:jc w:val="center"/>
        <w:rPr>
          <w:rFonts w:ascii="黑体" w:hAnsi="黑体" w:eastAsia="黑体"/>
        </w:rPr>
      </w:pPr>
      <w:r>
        <w:rPr>
          <w:rFonts w:hint="eastAsia" w:ascii="黑体" w:hAnsi="黑体" w:eastAsia="黑体"/>
        </w:rPr>
        <w:t>第五部分 附表</w:t>
      </w:r>
    </w:p>
    <w:p w14:paraId="1BBCC190">
      <w:pPr>
        <w:rPr>
          <w:rFonts w:ascii="仿宋" w:hAnsi="仿宋" w:eastAsia="仿宋"/>
          <w:sz w:val="32"/>
          <w:szCs w:val="32"/>
        </w:rPr>
      </w:pPr>
      <w:r>
        <w:rPr>
          <w:rFonts w:hint="eastAsia" w:ascii="仿宋" w:hAnsi="仿宋" w:eastAsia="仿宋"/>
          <w:sz w:val="32"/>
          <w:szCs w:val="32"/>
        </w:rPr>
        <w:t>一、收入支出决算总表</w:t>
      </w:r>
    </w:p>
    <w:p w14:paraId="7D03DF0F">
      <w:pPr>
        <w:rPr>
          <w:rFonts w:ascii="仿宋" w:hAnsi="仿宋" w:eastAsia="仿宋"/>
          <w:sz w:val="32"/>
          <w:szCs w:val="32"/>
        </w:rPr>
      </w:pPr>
      <w:r>
        <w:rPr>
          <w:rFonts w:hint="eastAsia" w:ascii="仿宋" w:hAnsi="仿宋" w:eastAsia="仿宋"/>
          <w:sz w:val="32"/>
          <w:szCs w:val="32"/>
        </w:rPr>
        <w:t>二、收入决算表</w:t>
      </w:r>
    </w:p>
    <w:p w14:paraId="136DBC17">
      <w:pPr>
        <w:rPr>
          <w:rFonts w:ascii="仿宋" w:hAnsi="仿宋" w:eastAsia="仿宋"/>
          <w:sz w:val="32"/>
          <w:szCs w:val="32"/>
        </w:rPr>
      </w:pPr>
      <w:r>
        <w:rPr>
          <w:rFonts w:hint="eastAsia" w:ascii="仿宋" w:hAnsi="仿宋" w:eastAsia="仿宋"/>
          <w:sz w:val="32"/>
          <w:szCs w:val="32"/>
        </w:rPr>
        <w:t>三、支出决算表</w:t>
      </w:r>
    </w:p>
    <w:p w14:paraId="05EC9A36">
      <w:pPr>
        <w:rPr>
          <w:rFonts w:ascii="仿宋" w:hAnsi="仿宋" w:eastAsia="仿宋"/>
          <w:sz w:val="32"/>
          <w:szCs w:val="32"/>
        </w:rPr>
      </w:pPr>
      <w:r>
        <w:rPr>
          <w:rFonts w:hint="eastAsia" w:ascii="仿宋" w:hAnsi="仿宋" w:eastAsia="仿宋"/>
          <w:sz w:val="32"/>
          <w:szCs w:val="32"/>
        </w:rPr>
        <w:t>四、财政拨款收入支出决算总表</w:t>
      </w:r>
    </w:p>
    <w:p w14:paraId="05B57A7B">
      <w:pPr>
        <w:rPr>
          <w:rFonts w:ascii="仿宋" w:hAnsi="仿宋" w:eastAsia="仿宋"/>
          <w:sz w:val="32"/>
          <w:szCs w:val="32"/>
        </w:rPr>
      </w:pPr>
      <w:r>
        <w:rPr>
          <w:rFonts w:hint="eastAsia" w:ascii="仿宋" w:hAnsi="仿宋" w:eastAsia="仿宋"/>
          <w:sz w:val="32"/>
          <w:szCs w:val="32"/>
        </w:rPr>
        <w:t>五、财政拨款支出决算明细表</w:t>
      </w:r>
    </w:p>
    <w:p w14:paraId="10654FF3">
      <w:pPr>
        <w:rPr>
          <w:rFonts w:ascii="仿宋" w:hAnsi="仿宋" w:eastAsia="仿宋"/>
          <w:sz w:val="32"/>
          <w:szCs w:val="32"/>
        </w:rPr>
      </w:pPr>
      <w:r>
        <w:rPr>
          <w:rFonts w:hint="eastAsia" w:ascii="仿宋" w:hAnsi="仿宋" w:eastAsia="仿宋"/>
          <w:sz w:val="32"/>
          <w:szCs w:val="32"/>
        </w:rPr>
        <w:t>六、一般公共预算财政拨款支出决算表</w:t>
      </w:r>
    </w:p>
    <w:p w14:paraId="4C50BED4">
      <w:pPr>
        <w:rPr>
          <w:rFonts w:ascii="仿宋" w:hAnsi="仿宋" w:eastAsia="仿宋"/>
          <w:sz w:val="32"/>
          <w:szCs w:val="32"/>
        </w:rPr>
      </w:pPr>
      <w:r>
        <w:rPr>
          <w:rFonts w:hint="eastAsia" w:ascii="仿宋" w:hAnsi="仿宋" w:eastAsia="仿宋"/>
          <w:sz w:val="32"/>
          <w:szCs w:val="32"/>
        </w:rPr>
        <w:t>七、一般公共预算财政拨款支出决算明细表</w:t>
      </w:r>
    </w:p>
    <w:p w14:paraId="0D73E967">
      <w:pPr>
        <w:rPr>
          <w:rFonts w:ascii="仿宋" w:hAnsi="仿宋" w:eastAsia="仿宋"/>
          <w:sz w:val="32"/>
          <w:szCs w:val="32"/>
        </w:rPr>
      </w:pPr>
      <w:r>
        <w:rPr>
          <w:rFonts w:hint="eastAsia" w:ascii="仿宋" w:hAnsi="仿宋" w:eastAsia="仿宋"/>
          <w:sz w:val="32"/>
          <w:szCs w:val="32"/>
        </w:rPr>
        <w:t>八、一般公共预算财政拨款基本支出决算表</w:t>
      </w:r>
    </w:p>
    <w:p w14:paraId="3D6A7D47">
      <w:pPr>
        <w:rPr>
          <w:rFonts w:ascii="仿宋" w:hAnsi="仿宋" w:eastAsia="仿宋"/>
          <w:sz w:val="32"/>
          <w:szCs w:val="32"/>
        </w:rPr>
      </w:pPr>
      <w:r>
        <w:rPr>
          <w:rFonts w:hint="eastAsia" w:ascii="仿宋" w:hAnsi="仿宋" w:eastAsia="仿宋"/>
          <w:sz w:val="32"/>
          <w:szCs w:val="32"/>
        </w:rPr>
        <w:t>九、一般公共预算财政拨款项目支出决算表</w:t>
      </w:r>
    </w:p>
    <w:p w14:paraId="15C0CC72">
      <w:pPr>
        <w:rPr>
          <w:rFonts w:ascii="仿宋" w:hAnsi="仿宋" w:eastAsia="仿宋"/>
          <w:sz w:val="32"/>
          <w:szCs w:val="32"/>
        </w:rPr>
      </w:pPr>
      <w:r>
        <w:rPr>
          <w:rFonts w:hint="eastAsia" w:ascii="仿宋" w:hAnsi="仿宋" w:eastAsia="仿宋"/>
          <w:sz w:val="32"/>
          <w:szCs w:val="32"/>
        </w:rPr>
        <w:t>十、政府性基金预算财政拨款收入支出决算表</w:t>
      </w:r>
    </w:p>
    <w:p w14:paraId="1358C84F">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4FE29CDD">
      <w:pPr>
        <w:rPr>
          <w:rFonts w:ascii="仿宋" w:hAnsi="仿宋" w:eastAsia="仿宋"/>
          <w:sz w:val="32"/>
          <w:szCs w:val="32"/>
        </w:rPr>
      </w:pPr>
      <w:r>
        <w:rPr>
          <w:rFonts w:hint="eastAsia" w:ascii="仿宋" w:hAnsi="仿宋" w:eastAsia="仿宋"/>
          <w:sz w:val="32"/>
          <w:szCs w:val="32"/>
        </w:rPr>
        <w:t>十二、国有资本经营预算财政拨款支出决算表</w:t>
      </w:r>
    </w:p>
    <w:p w14:paraId="4C5D111B">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A6284E-75BF-460F-9B86-AF169823C0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D5B8740B-DA4D-4567-B2A4-DA85EFD12059}"/>
  </w:font>
  <w:font w:name="Cambria">
    <w:panose1 w:val="02040503050406030204"/>
    <w:charset w:val="00"/>
    <w:family w:val="roman"/>
    <w:pitch w:val="default"/>
    <w:sig w:usb0="E00002FF" w:usb1="400004FF" w:usb2="00000000" w:usb3="00000000" w:csb0="2000019F" w:csb1="00000000"/>
    <w:embedRegular r:id="rId3" w:fontKey="{73507B6F-36BF-4307-B974-DFB5563D913B}"/>
  </w:font>
  <w:font w:name="仿宋_GB2312">
    <w:panose1 w:val="02010609030101010101"/>
    <w:charset w:val="86"/>
    <w:family w:val="modern"/>
    <w:pitch w:val="default"/>
    <w:sig w:usb0="00000001" w:usb1="080E0000" w:usb2="00000000" w:usb3="00000000" w:csb0="00040000" w:csb1="00000000"/>
    <w:embedRegular r:id="rId4" w:fontKey="{D08B5C9E-EF4B-4FB8-BD26-E2C504174D9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B5C44F19-45FF-476C-A08D-1AD176245F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EF23">
    <w:pPr>
      <w:pStyle w:val="6"/>
      <w:bidi w:val="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135"/>
                          </w:sdtPr>
                          <w:sdtContent>
                            <w:p w14:paraId="5D32CEDD">
                              <w:pPr>
                                <w:pStyle w:val="10"/>
                                <w:jc w:val="center"/>
                              </w:pPr>
                              <w:r>
                                <w:fldChar w:fldCharType="begin"/>
                              </w:r>
                              <w:r>
                                <w:instrText xml:space="preserve">PAGE   \* MERGEFORMAT</w:instrText>
                              </w:r>
                              <w:r>
                                <w:fldChar w:fldCharType="separate"/>
                              </w:r>
                              <w:r>
                                <w:rPr>
                                  <w:lang w:val="zh-CN"/>
                                </w:rPr>
                                <w:t>8</w:t>
                              </w:r>
                              <w:r>
                                <w:fldChar w:fldCharType="end"/>
                              </w:r>
                            </w:p>
                          </w:sdtContent>
                        </w:sdt>
                        <w:p w14:paraId="2780A4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78135"/>
                    </w:sdtPr>
                    <w:sdtContent>
                      <w:p w14:paraId="5D32CEDD">
                        <w:pPr>
                          <w:pStyle w:val="10"/>
                          <w:jc w:val="center"/>
                        </w:pPr>
                        <w:r>
                          <w:fldChar w:fldCharType="begin"/>
                        </w:r>
                        <w:r>
                          <w:instrText xml:space="preserve">PAGE   \* MERGEFORMAT</w:instrText>
                        </w:r>
                        <w:r>
                          <w:fldChar w:fldCharType="separate"/>
                        </w:r>
                        <w:r>
                          <w:rPr>
                            <w:lang w:val="zh-CN"/>
                          </w:rPr>
                          <w:t>8</w:t>
                        </w:r>
                        <w:r>
                          <w:fldChar w:fldCharType="end"/>
                        </w:r>
                      </w:p>
                    </w:sdtContent>
                  </w:sdt>
                  <w:p w14:paraId="2780A40B">
                    <w:pPr>
                      <w:pStyle w:val="2"/>
                    </w:pPr>
                  </w:p>
                </w:txbxContent>
              </v:textbox>
            </v:shape>
          </w:pict>
        </mc:Fallback>
      </mc:AlternateContent>
    </w:r>
  </w:p>
  <w:p w14:paraId="4D2E73E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9743C">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FB31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2FB31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13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3EB308AC"/>
    <w:multiLevelType w:val="multilevel"/>
    <w:tmpl w:val="3EB308AC"/>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01AF"/>
    <w:rsid w:val="00191536"/>
    <w:rsid w:val="00196687"/>
    <w:rsid w:val="001C0962"/>
    <w:rsid w:val="001C2738"/>
    <w:rsid w:val="001D7531"/>
    <w:rsid w:val="001E737D"/>
    <w:rsid w:val="001F0592"/>
    <w:rsid w:val="001F6419"/>
    <w:rsid w:val="001F7506"/>
    <w:rsid w:val="002006CD"/>
    <w:rsid w:val="00202B36"/>
    <w:rsid w:val="00204B7A"/>
    <w:rsid w:val="00204CDE"/>
    <w:rsid w:val="00206A1C"/>
    <w:rsid w:val="0021101A"/>
    <w:rsid w:val="00220536"/>
    <w:rsid w:val="00235629"/>
    <w:rsid w:val="00260289"/>
    <w:rsid w:val="00260C38"/>
    <w:rsid w:val="002616C0"/>
    <w:rsid w:val="002643DB"/>
    <w:rsid w:val="00265372"/>
    <w:rsid w:val="002662AA"/>
    <w:rsid w:val="00280496"/>
    <w:rsid w:val="00283D47"/>
    <w:rsid w:val="00294DC9"/>
    <w:rsid w:val="0029511D"/>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2084"/>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97AF8"/>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97E18"/>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1CF"/>
    <w:rsid w:val="00762406"/>
    <w:rsid w:val="0076493D"/>
    <w:rsid w:val="00767B7E"/>
    <w:rsid w:val="00773421"/>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3397"/>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3619"/>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439"/>
    <w:rsid w:val="00A93B00"/>
    <w:rsid w:val="00A93C21"/>
    <w:rsid w:val="00AB64C9"/>
    <w:rsid w:val="00AC2E50"/>
    <w:rsid w:val="00AC3C6A"/>
    <w:rsid w:val="00AC647D"/>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25547"/>
    <w:rsid w:val="00C33E72"/>
    <w:rsid w:val="00C354B2"/>
    <w:rsid w:val="00C35554"/>
    <w:rsid w:val="00C42709"/>
    <w:rsid w:val="00C46119"/>
    <w:rsid w:val="00C533CC"/>
    <w:rsid w:val="00C5751C"/>
    <w:rsid w:val="00C61BFC"/>
    <w:rsid w:val="00C62B85"/>
    <w:rsid w:val="00C65438"/>
    <w:rsid w:val="00C8601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63D"/>
    <w:rsid w:val="00D7035F"/>
    <w:rsid w:val="00D950A1"/>
    <w:rsid w:val="00DA634F"/>
    <w:rsid w:val="00DA65AC"/>
    <w:rsid w:val="00DB1913"/>
    <w:rsid w:val="00DC410D"/>
    <w:rsid w:val="00DC5A81"/>
    <w:rsid w:val="00DC68CA"/>
    <w:rsid w:val="00DC7CBA"/>
    <w:rsid w:val="00DD73B7"/>
    <w:rsid w:val="00DF096A"/>
    <w:rsid w:val="00DF24DF"/>
    <w:rsid w:val="00DF28BC"/>
    <w:rsid w:val="00DF34B9"/>
    <w:rsid w:val="00E01053"/>
    <w:rsid w:val="00E01B70"/>
    <w:rsid w:val="00E07ACF"/>
    <w:rsid w:val="00E11813"/>
    <w:rsid w:val="00E31EE9"/>
    <w:rsid w:val="00E331A1"/>
    <w:rsid w:val="00E33202"/>
    <w:rsid w:val="00E336A9"/>
    <w:rsid w:val="00E472B1"/>
    <w:rsid w:val="00E50624"/>
    <w:rsid w:val="00E568DF"/>
    <w:rsid w:val="00E64269"/>
    <w:rsid w:val="00E8069C"/>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E2C3C"/>
    <w:rsid w:val="00FF1E02"/>
    <w:rsid w:val="00FF30B4"/>
    <w:rsid w:val="015975B8"/>
    <w:rsid w:val="02FEBE30"/>
    <w:rsid w:val="036F8141"/>
    <w:rsid w:val="066E0107"/>
    <w:rsid w:val="07996F6E"/>
    <w:rsid w:val="07DFD8BA"/>
    <w:rsid w:val="085262B3"/>
    <w:rsid w:val="0A2032A3"/>
    <w:rsid w:val="0B2E3E12"/>
    <w:rsid w:val="0D35B1ED"/>
    <w:rsid w:val="0E7ED1F5"/>
    <w:rsid w:val="0F98263C"/>
    <w:rsid w:val="101860EC"/>
    <w:rsid w:val="10C055FF"/>
    <w:rsid w:val="118107EC"/>
    <w:rsid w:val="13D50BC4"/>
    <w:rsid w:val="13F5616D"/>
    <w:rsid w:val="145E6879"/>
    <w:rsid w:val="14793246"/>
    <w:rsid w:val="15485429"/>
    <w:rsid w:val="16BB723D"/>
    <w:rsid w:val="17F9714D"/>
    <w:rsid w:val="1918F934"/>
    <w:rsid w:val="1BE76FB3"/>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6D47D06"/>
    <w:rsid w:val="29424D7C"/>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451789"/>
    <w:rsid w:val="3E78745D"/>
    <w:rsid w:val="3EEE77E9"/>
    <w:rsid w:val="3F394AF5"/>
    <w:rsid w:val="3FBE5714"/>
    <w:rsid w:val="3FDD8615"/>
    <w:rsid w:val="3FDFB2FF"/>
    <w:rsid w:val="3FF4CAE0"/>
    <w:rsid w:val="3FF75FAF"/>
    <w:rsid w:val="3FF7B227"/>
    <w:rsid w:val="41A539F3"/>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455CBE"/>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025468"/>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55BB9"/>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3608C"/>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5577A4"/>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link w:val="38"/>
    <w:qFormat/>
    <w:uiPriority w:val="0"/>
    <w:pPr>
      <w:spacing w:before="240" w:after="60"/>
      <w:jc w:val="center"/>
      <w:outlineLvl w:val="0"/>
    </w:pPr>
    <w:rPr>
      <w:rFonts w:ascii="Arial" w:hAnsi="Arial" w:cs="Arial"/>
      <w:b/>
      <w:bCs/>
      <w:sz w:val="32"/>
      <w:szCs w:val="32"/>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Emphasis"/>
    <w:basedOn w:val="18"/>
    <w:qFormat/>
    <w:uiPriority w:val="2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9"/>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标题 Char"/>
    <w:basedOn w:val="18"/>
    <w:link w:val="15"/>
    <w:qFormat/>
    <w:uiPriority w:val="0"/>
    <w:rPr>
      <w:rFonts w:ascii="Arial" w:hAnsi="Arial" w:eastAsia="宋体" w:cs="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收、支出总计变动情况图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elete val="1"/>
          </c:dLbls>
          <c:cat>
            <c:strRef>
              <c:f>Sheet1!$A$2</c:f>
              <c:strCache>
                <c:ptCount val="1"/>
                <c:pt idx="0">
                  <c:v>收、支总计金额</c:v>
                </c:pt>
              </c:strCache>
            </c:strRef>
          </c:cat>
          <c:val>
            <c:numRef>
              <c:f>Sheet1!$B$2</c:f>
              <c:numCache>
                <c:formatCode>General</c:formatCode>
                <c:ptCount val="1"/>
                <c:pt idx="0">
                  <c:v>753.55</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收、支总计金额</c:v>
                </c:pt>
              </c:strCache>
            </c:strRef>
          </c:cat>
          <c:val>
            <c:numRef>
              <c:f>Sheet1!$C$2</c:f>
              <c:numCache>
                <c:formatCode>General</c:formatCode>
                <c:ptCount val="1"/>
                <c:pt idx="0">
                  <c:v>765.96</c:v>
                </c:pt>
              </c:numCache>
            </c:numRef>
          </c:val>
        </c:ser>
        <c:dLbls>
          <c:showLegendKey val="0"/>
          <c:showVal val="0"/>
          <c:showCatName val="0"/>
          <c:showSerName val="0"/>
          <c:showPercent val="0"/>
          <c:showBubbleSize val="0"/>
        </c:dLbls>
        <c:gapWidth val="246"/>
        <c:overlap val="-28"/>
        <c:axId val="78707155"/>
        <c:axId val="75449396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收、支总计金额</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787071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493960"/>
        <c:crosses val="autoZero"/>
        <c:auto val="1"/>
        <c:lblAlgn val="ctr"/>
        <c:lblOffset val="100"/>
        <c:noMultiLvlLbl val="0"/>
      </c:catAx>
      <c:valAx>
        <c:axId val="7544939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7071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7571c0-1292-4a72-9fef-88649c9645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27947571877265"/>
          <c:y val="0.298555036124097"/>
          <c:w val="0.39514375453008"/>
          <c:h val="0.695070123246919"/>
        </c:manualLayout>
      </c:layout>
      <c:pieChart>
        <c:varyColors val="1"/>
        <c:ser>
          <c:idx val="0"/>
          <c:order val="0"/>
          <c:tx>
            <c:strRef>
              <c:f>Sheet1!$B$1</c:f>
              <c:strCache>
                <c:ptCount val="1"/>
                <c:pt idx="0">
                  <c:v>年度收入额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c:v>
                </c:pt>
                <c:pt idx="1">
                  <c:v>政府性基金预算财政拨款收入</c:v>
                </c:pt>
              </c:strCache>
            </c:strRef>
          </c:cat>
          <c:val>
            <c:numRef>
              <c:f>Sheet1!$B$2:$B$3</c:f>
              <c:numCache>
                <c:formatCode>General</c:formatCode>
                <c:ptCount val="2"/>
                <c:pt idx="0">
                  <c:v>700.25</c:v>
                </c:pt>
                <c:pt idx="1">
                  <c:v>40.5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ee4c81-7dae-4c59-bfe6-cee92e8b997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84428605943465"/>
          <c:y val="0.249256268593285"/>
          <c:w val="0.39514375453008"/>
          <c:h val="0.695070123246919"/>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598.4</c:v>
                </c:pt>
                <c:pt idx="1">
                  <c:v>155.16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1e676f-09b9-498b-8859-55a8b67b40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66972698719497"/>
          <c:y val="0.0458988525286868"/>
        </c:manualLayout>
      </c:layout>
      <c:overlay val="0"/>
      <c:spPr>
        <a:noFill/>
        <a:ln>
          <a:noFill/>
        </a:ln>
        <a:effectLst/>
      </c:spPr>
    </c:title>
    <c:autoTitleDeleted val="0"/>
    <c:plotArea>
      <c:layout/>
      <c:barChart>
        <c:barDir val="col"/>
        <c:grouping val="clustered"/>
        <c:varyColors val="0"/>
        <c:ser>
          <c:idx val="0"/>
          <c:order val="0"/>
          <c:tx>
            <c:strRef>
              <c:f>"2023"</c:f>
              <c:strCache>
                <c:ptCount val="1"/>
                <c:pt idx="0">
                  <c:v>2023</c:v>
                </c:pt>
              </c:strCache>
            </c:strRef>
          </c:tx>
          <c:spPr>
            <a:solidFill>
              <a:schemeClr val="accent1"/>
            </a:solidFill>
            <a:ln>
              <a:noFill/>
            </a:ln>
            <a:effectLst/>
          </c:spPr>
          <c:invertIfNegative val="0"/>
          <c:dLbls>
            <c:delete val="1"/>
          </c:dLbls>
          <c:cat>
            <c:strRef>
              <c:f>Sheet1!$A$2</c:f>
              <c:strCache>
                <c:ptCount val="1"/>
                <c:pt idx="0">
                  <c:v>财政收支总计金额</c:v>
                </c:pt>
              </c:strCache>
            </c:strRef>
          </c:cat>
          <c:val>
            <c:numRef>
              <c:f>Sheet1!$B$2</c:f>
              <c:numCache>
                <c:formatCode>General</c:formatCode>
                <c:ptCount val="1"/>
                <c:pt idx="0">
                  <c:v>753.55</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c:f>
              <c:strCache>
                <c:ptCount val="1"/>
                <c:pt idx="0">
                  <c:v>财政收支总计金额</c:v>
                </c:pt>
              </c:strCache>
            </c:strRef>
          </c:cat>
          <c:val>
            <c:numRef>
              <c:f>Sheet1!$C$2</c:f>
              <c:numCache>
                <c:formatCode>General</c:formatCode>
                <c:ptCount val="1"/>
                <c:pt idx="0">
                  <c:v>765.96</c:v>
                </c:pt>
              </c:numCache>
            </c:numRef>
          </c:val>
        </c:ser>
        <c:dLbls>
          <c:showLegendKey val="0"/>
          <c:showVal val="0"/>
          <c:showCatName val="0"/>
          <c:showSerName val="0"/>
          <c:showPercent val="0"/>
          <c:showBubbleSize val="0"/>
        </c:dLbls>
        <c:gapWidth val="246"/>
        <c:overlap val="-28"/>
        <c:axId val="864634677"/>
        <c:axId val="56592994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财政收支总计金额</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646346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929943"/>
        <c:crosses val="autoZero"/>
        <c:auto val="1"/>
        <c:lblAlgn val="ctr"/>
        <c:lblOffset val="100"/>
        <c:noMultiLvlLbl val="0"/>
      </c:catAx>
      <c:valAx>
        <c:axId val="5659299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634677"/>
        <c:crosses val="autoZero"/>
        <c:crossBetween val="between"/>
      </c:valAx>
      <c:spPr>
        <a:noFill/>
        <a:ln>
          <a:noFill/>
        </a:ln>
        <a:effectLst/>
      </c:spPr>
    </c:plotArea>
    <c:legend>
      <c:legendPos val="b"/>
      <c:layout>
        <c:manualLayout>
          <c:xMode val="edge"/>
          <c:yMode val="edge"/>
          <c:x val="0.41199565112346"/>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08d808b-79b7-4bea-852f-2d9cf7bb99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c15:sqref>
                  </c15:fullRef>
                </c:ext>
              </c:extLst>
              <c:f>Sheet1!$A$2</c:f>
              <c:strCache>
                <c:ptCount val="1"/>
                <c:pt idx="0">
                  <c:v>财政拨款金额</c:v>
                </c:pt>
              </c:strCache>
            </c:strRef>
          </c:cat>
          <c:val>
            <c:numRef>
              <c:extLst>
                <c:ext xmlns:c15="http://schemas.microsoft.com/office/drawing/2012/chart" uri="{02D57815-91ED-43cb-92C2-25804820EDAC}">
                  <c15:fullRef>
                    <c15:sqref>Sheet1!$B$2</c15:sqref>
                  </c15:fullRef>
                </c:ext>
              </c:extLst>
              <c:f>Sheet1!$B$2</c:f>
              <c:numCache>
                <c:formatCode>General</c:formatCode>
                <c:ptCount val="1"/>
                <c:pt idx="0">
                  <c:v>713.05</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c15:sqref>
                  </c15:fullRef>
                </c:ext>
              </c:extLst>
              <c:f>Sheet1!$A$2</c:f>
              <c:strCache>
                <c:ptCount val="1"/>
                <c:pt idx="0">
                  <c:v>财政拨款金额</c:v>
                </c:pt>
              </c:strCache>
            </c:strRef>
          </c:cat>
          <c:val>
            <c:numRef>
              <c:extLst>
                <c:ext xmlns:c15="http://schemas.microsoft.com/office/drawing/2012/chart" uri="{02D57815-91ED-43cb-92C2-25804820EDAC}">
                  <c15:fullRef>
                    <c15:sqref>Sheet1!$C$2</c15:sqref>
                  </c15:fullRef>
                </c:ext>
              </c:extLst>
              <c:f>Sheet1!$C$2</c:f>
              <c:numCache>
                <c:formatCode>General</c:formatCode>
                <c:ptCount val="1"/>
                <c:pt idx="0">
                  <c:v>752.46</c:v>
                </c:pt>
              </c:numCache>
            </c:numRef>
          </c:val>
        </c:ser>
        <c:dLbls>
          <c:showLegendKey val="0"/>
          <c:showVal val="0"/>
          <c:showCatName val="0"/>
          <c:showSerName val="0"/>
          <c:showPercent val="0"/>
          <c:showBubbleSize val="0"/>
        </c:dLbls>
        <c:gapWidth val="246"/>
        <c:overlap val="-28"/>
        <c:axId val="546774674"/>
        <c:axId val="790591147"/>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c15:sqref>
                        </c15:fullRef>
                        <c15:formulaRef>
                          <c15:sqref>Sheet1!$A$2</c15:sqref>
                        </c15:formulaRef>
                      </c:ext>
                    </c:extLst>
                    <c:strCache>
                      <c:ptCount val="1"/>
                      <c:pt idx="0">
                        <c:v>财政拨款金额</c:v>
                      </c:pt>
                    </c:strCache>
                  </c:strRef>
                </c:cat>
              </c15:ser>
            </c15:filteredBarSeries>
          </c:ext>
        </c:extLst>
      </c:barChart>
      <c:catAx>
        <c:axId val="5467746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0591147"/>
        <c:crosses val="autoZero"/>
        <c:auto val="1"/>
        <c:lblAlgn val="ctr"/>
        <c:lblOffset val="100"/>
        <c:noMultiLvlLbl val="0"/>
      </c:catAx>
      <c:valAx>
        <c:axId val="79059114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7746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745ec6-9b02-4f96-9f40-054a94b2b5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409.58</c:v>
                </c:pt>
                <c:pt idx="1">
                  <c:v>58.21</c:v>
                </c:pt>
                <c:pt idx="2">
                  <c:v>10.68</c:v>
                </c:pt>
                <c:pt idx="3">
                  <c:v>39.49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65317709591689"/>
          <c:y val="0.1430089247768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100f051-0c4c-4e96-9157-661e3638ce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7613</Words>
  <Characters>10288</Characters>
  <Lines>70</Lines>
  <Paragraphs>19</Paragraphs>
  <TotalTime>4</TotalTime>
  <ScaleCrop>false</ScaleCrop>
  <LinksUpToDate>false</LinksUpToDate>
  <CharactersWithSpaces>10333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2024-10-21T08:51:00Z</dcterms:created>
  <dc:creator>曹颖</dc:creator>
  <cp:lastModifiedBy>碧云天</cp:lastModifiedBy>
  <cp:lastPrinted>2023-08-03T10:35:00Z</cp:lastPrinted>
  <dcterms:modified xsi:type="dcterms:W3CDTF">2024-10-29T09:08:56Z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E16620F3E09245A6891D473BDFB56357_13</vt:lpwstr>
  </property>
</Properties>
</file>