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E0456">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5CCA43CF">
      <w:pPr>
        <w:tabs>
          <w:tab w:val="left" w:pos="1440"/>
        </w:tabs>
        <w:spacing w:line="600" w:lineRule="exact"/>
        <w:jc w:val="center"/>
        <w:rPr>
          <w:rFonts w:hint="eastAsia" w:ascii="方正小标宋简体" w:hAnsi="宋体" w:eastAsia="方正小标宋简体" w:cs="Times New Roman"/>
          <w:color w:val="000000"/>
          <w:kern w:val="0"/>
          <w:sz w:val="44"/>
          <w:szCs w:val="44"/>
          <w:lang w:val="zh-CN" w:eastAsia="zh-CN" w:bidi="ar-SA"/>
        </w:rPr>
      </w:pPr>
      <w:r>
        <w:rPr>
          <w:rFonts w:hint="eastAsia" w:ascii="方正小标宋简体" w:hAnsi="宋体" w:eastAsia="方正小标宋简体" w:cs="Times New Roman"/>
          <w:color w:val="000000"/>
          <w:kern w:val="0"/>
          <w:sz w:val="44"/>
          <w:szCs w:val="44"/>
          <w:lang w:val="zh-CN" w:eastAsia="zh-CN" w:bidi="ar-SA"/>
        </w:rPr>
        <w:t>峨边彝族自治县粮食和物资储备中心</w:t>
      </w:r>
    </w:p>
    <w:p w14:paraId="105DA384">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3E670D84">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eastAsia="zh-CN"/>
        </w:rPr>
        <w:t>政府性基金项目维护费</w:t>
      </w:r>
      <w:r>
        <w:rPr>
          <w:rFonts w:hint="eastAsia" w:ascii="仿宋_GB2312" w:hAnsi="宋体" w:eastAsia="仿宋_GB2312"/>
          <w:color w:val="auto"/>
          <w:kern w:val="2"/>
          <w:sz w:val="32"/>
          <w:szCs w:val="32"/>
          <w:lang w:val="en-US" w:eastAsia="zh-CN"/>
        </w:rPr>
        <w:t>2万元</w:t>
      </w:r>
      <w:r>
        <w:rPr>
          <w:rFonts w:hint="eastAsia" w:ascii="仿宋_GB2312" w:hAnsi="宋体" w:eastAsia="仿宋_GB2312"/>
          <w:color w:val="auto"/>
          <w:kern w:val="2"/>
          <w:sz w:val="32"/>
          <w:szCs w:val="32"/>
        </w:rPr>
        <w:t>）</w:t>
      </w:r>
    </w:p>
    <w:p w14:paraId="35A7B707">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63C1122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5B58CA7F">
      <w:pPr>
        <w:keepNext w:val="0"/>
        <w:keepLines w:val="0"/>
        <w:pageBreakBefore w:val="0"/>
        <w:widowControl w:val="0"/>
        <w:kinsoku/>
        <w:wordWrap/>
        <w:overflowPunct/>
        <w:topLinePunct w:val="0"/>
        <w:autoSpaceDE/>
        <w:autoSpaceDN/>
        <w:bidi w:val="0"/>
        <w:adjustRightInd w:val="0"/>
        <w:snapToGrid w:val="0"/>
        <w:spacing w:line="560" w:lineRule="exact"/>
        <w:ind w:firstLine="321" w:firstLineChars="100"/>
        <w:textAlignment w:val="auto"/>
        <w:rPr>
          <w:rFonts w:hint="eastAsia" w:ascii="楷体_GB2312" w:hAnsi="宋体" w:eastAsia="楷体_GB2312"/>
          <w:b/>
          <w:lang w:val="zh-CN"/>
        </w:rPr>
      </w:pPr>
      <w:r>
        <w:rPr>
          <w:rFonts w:hint="eastAsia" w:ascii="楷体_GB2312" w:hAnsi="宋体" w:eastAsia="楷体_GB2312"/>
          <w:b/>
          <w:lang w:val="zh-CN"/>
        </w:rPr>
        <w:t>（一）项目资金申报及批复情况。</w:t>
      </w:r>
    </w:p>
    <w:p w14:paraId="6C4078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lang w:val="en-US" w:eastAsia="zh-CN"/>
        </w:rPr>
      </w:pPr>
      <w:r>
        <w:rPr>
          <w:rFonts w:hint="eastAsia" w:ascii="仿宋_GB2312" w:hAnsi="宋体"/>
          <w:lang w:val="en-US" w:eastAsia="zh-CN"/>
        </w:rPr>
        <w:t>2023年初部门政府性基金项目维护费2万元，财政批复下达维护费2万元，用于智能化升级项目专线业务使用费。</w:t>
      </w:r>
    </w:p>
    <w:p w14:paraId="67CC9217">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321" w:firstLineChars="100"/>
        <w:textAlignment w:val="auto"/>
        <w:rPr>
          <w:rFonts w:hint="eastAsia" w:ascii="楷体_GB2312" w:hAnsi="宋体" w:eastAsia="楷体_GB2312"/>
          <w:b/>
          <w:lang w:val="zh-CN"/>
        </w:rPr>
      </w:pPr>
      <w:r>
        <w:rPr>
          <w:rFonts w:hint="eastAsia" w:ascii="楷体_GB2312" w:hAnsi="宋体" w:eastAsia="楷体_GB2312"/>
          <w:b/>
          <w:lang w:val="zh-CN"/>
        </w:rPr>
        <w:t>项目绩效目标。</w:t>
      </w:r>
    </w:p>
    <w:p w14:paraId="4E287D5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lang w:val="en-US" w:eastAsia="zh-CN"/>
        </w:rPr>
      </w:pPr>
      <w:r>
        <w:rPr>
          <w:rFonts w:hint="eastAsia" w:ascii="仿宋_GB2312" w:hAnsi="宋体"/>
          <w:lang w:val="zh-CN" w:eastAsia="zh-CN"/>
        </w:rPr>
        <w:t>该项目主要用于中心连接粮库智能化升级项目的专线电信业务使用费及系统维护费，确保粮库系统动态管控正常运行。中心随时监控。</w:t>
      </w:r>
    </w:p>
    <w:p w14:paraId="2BEEA7B5">
      <w:pPr>
        <w:numPr>
          <w:ilvl w:val="0"/>
          <w:numId w:val="1"/>
        </w:numPr>
        <w:adjustRightInd w:val="0"/>
        <w:snapToGrid w:val="0"/>
        <w:spacing w:line="560" w:lineRule="exact"/>
        <w:ind w:left="0" w:leftChars="0" w:firstLine="321" w:firstLineChars="100"/>
        <w:rPr>
          <w:rFonts w:hint="eastAsia" w:ascii="楷体_GB2312" w:hAnsi="宋体" w:eastAsia="楷体_GB2312"/>
          <w:b/>
          <w:lang w:val="zh-CN"/>
        </w:rPr>
      </w:pPr>
      <w:r>
        <w:rPr>
          <w:rFonts w:hint="eastAsia" w:ascii="楷体_GB2312" w:hAnsi="宋体" w:eastAsia="楷体_GB2312"/>
          <w:b/>
          <w:lang w:val="zh-CN"/>
        </w:rPr>
        <w:t>项目资金申报相符性。</w:t>
      </w:r>
    </w:p>
    <w:p w14:paraId="7F218C1F">
      <w:pPr>
        <w:numPr>
          <w:ilvl w:val="0"/>
          <w:numId w:val="0"/>
        </w:numPr>
        <w:adjustRightInd w:val="0"/>
        <w:snapToGrid w:val="0"/>
        <w:spacing w:line="560" w:lineRule="exact"/>
        <w:ind w:firstLine="640" w:firstLineChars="200"/>
        <w:rPr>
          <w:rFonts w:hint="eastAsia" w:ascii="仿宋_GB2312" w:hAnsi="宋体"/>
          <w:lang w:val="zh-CN" w:eastAsia="zh-CN"/>
        </w:rPr>
      </w:pPr>
      <w:r>
        <w:rPr>
          <w:rFonts w:hint="eastAsia" w:ascii="仿宋_GB2312" w:hAnsi="宋体"/>
          <w:lang w:val="zh-CN" w:eastAsia="zh-CN"/>
        </w:rPr>
        <w:t>该政府性基金项目主要用于中心连接粮库智能化升级项目的专线电信业务使用及系统维护费，</w:t>
      </w:r>
      <w:r>
        <w:rPr>
          <w:rFonts w:hint="eastAsia" w:ascii="仿宋_GB2312" w:hAnsi="宋体"/>
          <w:lang w:val="en-US" w:eastAsia="zh-CN"/>
        </w:rPr>
        <w:t>实施以年为单位，与</w:t>
      </w:r>
      <w:bookmarkStart w:id="0" w:name="_GoBack"/>
      <w:bookmarkEnd w:id="0"/>
      <w:r>
        <w:rPr>
          <w:rFonts w:hint="eastAsia" w:ascii="仿宋_GB2312" w:hAnsi="宋体"/>
          <w:lang w:val="en-US" w:eastAsia="zh-CN"/>
        </w:rPr>
        <w:t>申报内容一致</w:t>
      </w:r>
      <w:r>
        <w:rPr>
          <w:rFonts w:hint="eastAsia" w:ascii="仿宋_GB2312" w:hAnsi="宋体"/>
          <w:lang w:val="zh-CN" w:eastAsia="zh-CN"/>
        </w:rPr>
        <w:t>申报目标合理可行。</w:t>
      </w:r>
    </w:p>
    <w:p w14:paraId="1B7F1801">
      <w:pPr>
        <w:numPr>
          <w:ilvl w:val="0"/>
          <w:numId w:val="0"/>
        </w:numPr>
        <w:adjustRightInd w:val="0"/>
        <w:snapToGrid w:val="0"/>
        <w:spacing w:line="560" w:lineRule="exact"/>
        <w:ind w:firstLine="640" w:firstLineChars="200"/>
        <w:rPr>
          <w:rFonts w:hint="eastAsia" w:ascii="仿宋_GB2312" w:hAnsi="宋体"/>
          <w:lang w:val="zh-CN" w:eastAsia="zh-CN"/>
        </w:rPr>
      </w:pPr>
    </w:p>
    <w:p w14:paraId="2F85A0BD">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720"/>
        <w:textAlignment w:val="auto"/>
        <w:rPr>
          <w:rFonts w:hint="eastAsia" w:ascii="黑体" w:hAnsi="宋体" w:eastAsia="黑体"/>
          <w:lang w:eastAsia="zh-CN"/>
        </w:rPr>
      </w:pPr>
      <w:r>
        <w:rPr>
          <w:rFonts w:hint="eastAsia" w:ascii="黑体" w:hAnsi="宋体" w:eastAsia="黑体"/>
        </w:rPr>
        <w:t>项目实施及管理情况</w:t>
      </w:r>
      <w:r>
        <w:rPr>
          <w:rFonts w:hint="eastAsia" w:ascii="黑体" w:hAnsi="宋体" w:eastAsia="黑体"/>
          <w:lang w:eastAsia="zh-CN"/>
        </w:rPr>
        <w:t>、</w:t>
      </w:r>
    </w:p>
    <w:p w14:paraId="132EC3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321" w:firstLineChars="100"/>
        <w:textAlignment w:val="auto"/>
        <w:rPr>
          <w:rFonts w:ascii="楷体_GB2312" w:hAnsi="宋体" w:eastAsia="楷体_GB2312"/>
          <w:b/>
          <w:lang w:val="zh-CN"/>
        </w:rPr>
      </w:pPr>
      <w:r>
        <w:rPr>
          <w:rFonts w:hint="eastAsia" w:ascii="楷体_GB2312" w:hAnsi="宋体" w:eastAsia="楷体_GB2312"/>
          <w:b/>
          <w:lang w:val="zh-CN"/>
        </w:rPr>
        <w:t>（一）资金计划、到位及使用情况。</w:t>
      </w:r>
    </w:p>
    <w:p w14:paraId="604BB2CD">
      <w:pPr>
        <w:adjustRightInd w:val="0"/>
        <w:snapToGrid w:val="0"/>
        <w:spacing w:line="560" w:lineRule="exact"/>
        <w:ind w:firstLine="640" w:firstLineChars="200"/>
        <w:rPr>
          <w:rFonts w:hint="default" w:ascii="仿宋_GB2312" w:hAnsi="宋体"/>
          <w:lang w:val="en-US" w:eastAsia="zh-CN"/>
        </w:rPr>
      </w:pPr>
      <w:r>
        <w:rPr>
          <w:rFonts w:hint="eastAsia" w:ascii="仿宋_GB2312" w:hAnsi="宋体"/>
          <w:lang w:val="en-US" w:eastAsia="zh-CN"/>
        </w:rPr>
        <w:t>政府性基金维护费2万元，我单位以报账制按时向财政申请，预算资金2万元，实际到位资金2万元，到位率100%。</w:t>
      </w:r>
    </w:p>
    <w:p w14:paraId="2A868799">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80" w:leftChars="0" w:firstLine="720" w:firstLineChars="0"/>
        <w:textAlignment w:val="auto"/>
        <w:rPr>
          <w:rFonts w:hint="eastAsia" w:ascii="楷体_GB2312" w:hAnsi="宋体" w:eastAsia="楷体_GB2312"/>
          <w:lang w:val="zh-CN"/>
        </w:rPr>
      </w:pPr>
      <w:r>
        <w:rPr>
          <w:rFonts w:hint="eastAsia" w:ascii="楷体_GB2312" w:hAnsi="宋体" w:eastAsia="楷体_GB2312"/>
          <w:lang w:val="zh-CN"/>
        </w:rPr>
        <w:t>资金使用。</w:t>
      </w:r>
    </w:p>
    <w:p w14:paraId="5FD731F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lang w:val="en-US" w:eastAsia="zh-CN"/>
        </w:rPr>
      </w:pPr>
      <w:r>
        <w:rPr>
          <w:rFonts w:hint="eastAsia" w:ascii="仿宋_GB2312" w:hAnsi="宋体"/>
          <w:lang w:val="en-US" w:eastAsia="zh-CN"/>
        </w:rPr>
        <w:t>2023年我中心该项目资金总计2万元，支出2万元，无任何调整。</w:t>
      </w:r>
    </w:p>
    <w:p w14:paraId="3A34C9B1">
      <w:pPr>
        <w:keepNext w:val="0"/>
        <w:keepLines w:val="0"/>
        <w:pageBreakBefore w:val="0"/>
        <w:widowControl w:val="0"/>
        <w:kinsoku/>
        <w:wordWrap/>
        <w:overflowPunct/>
        <w:topLinePunct w:val="0"/>
        <w:autoSpaceDE/>
        <w:autoSpaceDN/>
        <w:bidi w:val="0"/>
        <w:adjustRightInd w:val="0"/>
        <w:snapToGrid w:val="0"/>
        <w:spacing w:line="560" w:lineRule="exact"/>
        <w:ind w:firstLine="321" w:firstLineChars="10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25CB7CE6">
      <w:pPr>
        <w:adjustRightInd w:val="0"/>
        <w:snapToGrid w:val="0"/>
        <w:spacing w:line="560" w:lineRule="exact"/>
        <w:ind w:firstLine="640" w:firstLineChars="200"/>
        <w:rPr>
          <w:rFonts w:hint="eastAsia" w:ascii="仿宋_GB2312" w:hAnsi="宋体"/>
          <w:lang w:val="zh-CN"/>
        </w:rPr>
      </w:pPr>
      <w:r>
        <w:rPr>
          <w:rFonts w:hint="eastAsia" w:ascii="仿宋_GB2312" w:hAnsi="宋体"/>
          <w:lang w:val="en-US" w:eastAsia="zh-CN"/>
        </w:rPr>
        <w:t>该项目</w:t>
      </w:r>
      <w:r>
        <w:rPr>
          <w:rFonts w:hint="eastAsia" w:ascii="仿宋_GB2312" w:hAnsi="宋体"/>
          <w:lang w:val="zh-CN"/>
        </w:rPr>
        <w:t>资金严格按照财政财经管理制度规定使用，财务处理及时。规范。资料齐全、归档及时，无截留、挤占。挪用、套取、转移和浪费现象，无任何违规记录。</w:t>
      </w:r>
    </w:p>
    <w:p w14:paraId="03E82E40">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321" w:firstLineChars="100"/>
        <w:textAlignment w:val="auto"/>
        <w:rPr>
          <w:rFonts w:hint="eastAsia" w:ascii="楷体_GB2312" w:hAnsi="宋体" w:eastAsia="楷体_GB2312"/>
          <w:b/>
          <w:lang w:val="zh-CN"/>
        </w:rPr>
      </w:pPr>
      <w:r>
        <w:rPr>
          <w:rFonts w:hint="eastAsia" w:ascii="楷体_GB2312" w:hAnsi="宋体" w:eastAsia="楷体_GB2312"/>
          <w:b/>
          <w:lang w:val="zh-CN"/>
        </w:rPr>
        <w:t>项目组织实施情况。</w:t>
      </w:r>
    </w:p>
    <w:p w14:paraId="3E9D694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lang w:val="zh-CN"/>
        </w:rPr>
      </w:pPr>
      <w:r>
        <w:rPr>
          <w:rFonts w:hint="eastAsia" w:ascii="仿宋_GB2312" w:hAnsi="宋体"/>
          <w:lang w:val="zh-CN" w:eastAsia="zh-CN"/>
        </w:rPr>
        <w:t>政府性基金项目</w:t>
      </w:r>
      <w:r>
        <w:rPr>
          <w:rFonts w:hint="eastAsia" w:ascii="仿宋_GB2312" w:hAnsi="宋体"/>
          <w:lang w:val="en-US" w:eastAsia="zh-CN"/>
        </w:rPr>
        <w:t>维护费2万元，以报账制按时提交资料向财政申请拨付。无违规挪用等现象。</w:t>
      </w:r>
    </w:p>
    <w:p w14:paraId="6C5FF061">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黑体" w:hAnsi="宋体" w:eastAsia="黑体"/>
        </w:rPr>
        <w:t>项目绩效情况</w:t>
      </w:r>
      <w:r>
        <w:rPr>
          <w:rFonts w:hint="eastAsia" w:ascii="仿宋_GB2312" w:hAnsi="宋体"/>
          <w:lang w:val="zh-CN"/>
        </w:rPr>
        <w:tab/>
      </w:r>
    </w:p>
    <w:p w14:paraId="6E63CD60">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firstLine="321" w:firstLineChars="100"/>
        <w:textAlignment w:val="auto"/>
        <w:rPr>
          <w:rFonts w:hint="eastAsia" w:ascii="楷体_GB2312" w:hAnsi="宋体" w:eastAsia="楷体_GB2312"/>
          <w:b/>
          <w:lang w:val="zh-CN"/>
        </w:rPr>
      </w:pPr>
      <w:r>
        <w:rPr>
          <w:rFonts w:hint="eastAsia" w:ascii="楷体_GB2312" w:hAnsi="宋体" w:eastAsia="楷体_GB2312"/>
          <w:b/>
          <w:lang w:val="zh-CN"/>
        </w:rPr>
        <w:t>项目完成情况。</w:t>
      </w:r>
    </w:p>
    <w:p w14:paraId="7494150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b w:val="0"/>
          <w:bCs/>
          <w:sz w:val="32"/>
          <w:szCs w:val="32"/>
          <w:lang w:val="en-US" w:eastAsia="zh-CN"/>
        </w:rPr>
      </w:pPr>
      <w:r>
        <w:rPr>
          <w:rFonts w:hint="eastAsia" w:ascii="仿宋_GB2312" w:hAnsi="宋体"/>
          <w:b w:val="0"/>
          <w:bCs/>
          <w:sz w:val="32"/>
          <w:szCs w:val="32"/>
          <w:lang w:val="en-US" w:eastAsia="zh-CN"/>
        </w:rPr>
        <w:t>2023年</w:t>
      </w:r>
      <w:r>
        <w:rPr>
          <w:rFonts w:hint="eastAsia" w:ascii="仿宋_GB2312" w:hAnsi="宋体"/>
          <w:b w:val="0"/>
          <w:bCs/>
          <w:sz w:val="32"/>
          <w:szCs w:val="32"/>
          <w:lang w:val="zh-CN" w:eastAsia="zh-CN"/>
        </w:rPr>
        <w:t>我中心对完善智能化项目提档升级，该设备连接中心实施动态管控，实时监控粮库动态，完善智能化设备，该政府性基金项目维护费</w:t>
      </w:r>
      <w:r>
        <w:rPr>
          <w:rFonts w:hint="eastAsia" w:ascii="仿宋_GB2312" w:hAnsi="宋体"/>
          <w:b w:val="0"/>
          <w:bCs/>
          <w:sz w:val="32"/>
          <w:szCs w:val="32"/>
          <w:lang w:val="en-US" w:eastAsia="zh-CN"/>
        </w:rPr>
        <w:t>2万元，</w:t>
      </w:r>
      <w:r>
        <w:rPr>
          <w:rFonts w:hint="eastAsia" w:ascii="仿宋_GB2312" w:hAnsi="宋体"/>
          <w:b w:val="0"/>
          <w:bCs/>
          <w:sz w:val="32"/>
          <w:szCs w:val="32"/>
          <w:lang w:val="zh-CN" w:eastAsia="zh-CN"/>
        </w:rPr>
        <w:t>主要用于中心连接粮库智能化设备业务使用费合理合规使用，确保中心实时管控粮库动态。及时做好全县粮食后勤保障。</w:t>
      </w:r>
      <w:r>
        <w:rPr>
          <w:rFonts w:hint="eastAsia" w:ascii="仿宋_GB2312" w:hAnsi="宋体"/>
          <w:b w:val="0"/>
          <w:bCs/>
          <w:sz w:val="32"/>
          <w:szCs w:val="32"/>
          <w:lang w:val="en-US" w:eastAsia="zh-CN"/>
        </w:rPr>
        <w:t>未出现违规发放使用资金等现象。</w:t>
      </w:r>
    </w:p>
    <w:p w14:paraId="2E4B2C26">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400" w:leftChars="0" w:firstLine="720" w:firstLineChars="0"/>
        <w:textAlignment w:val="auto"/>
        <w:rPr>
          <w:rFonts w:hint="eastAsia" w:ascii="楷体_GB2312" w:hAnsi="宋体" w:eastAsia="楷体_GB2312"/>
          <w:b/>
          <w:lang w:val="zh-CN"/>
        </w:rPr>
      </w:pPr>
      <w:r>
        <w:rPr>
          <w:rFonts w:hint="eastAsia" w:ascii="楷体_GB2312" w:hAnsi="宋体" w:eastAsia="楷体_GB2312"/>
          <w:b/>
          <w:lang w:val="zh-CN"/>
        </w:rPr>
        <w:t>项目效益情况。</w:t>
      </w:r>
    </w:p>
    <w:p w14:paraId="20E231C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lang w:val="zh-CN" w:eastAsia="zh-CN"/>
        </w:rPr>
      </w:pPr>
      <w:r>
        <w:rPr>
          <w:rFonts w:hint="eastAsia" w:ascii="仿宋_GB2312" w:hAnsi="宋体"/>
          <w:lang w:val="en-US" w:eastAsia="zh-CN"/>
        </w:rPr>
        <w:t>为扎实推进依法管粮维护粮食流通的正常秩序，保持粮食市场的平稳运行，强化仓储管理，定期对应急成品粮进行轮换，</w:t>
      </w:r>
      <w:r>
        <w:rPr>
          <w:rFonts w:hint="eastAsia" w:ascii="仿宋_GB2312" w:hAnsi="宋体"/>
          <w:lang w:val="zh-CN" w:eastAsia="zh-CN"/>
        </w:rPr>
        <w:t>保障了县级储备粮油的储备与供应等各项工作，在突发事件情况下保障民生后勤保障工作。</w:t>
      </w:r>
    </w:p>
    <w:p w14:paraId="182A71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lang w:val="en-US" w:eastAsia="zh-CN"/>
        </w:rPr>
      </w:pPr>
    </w:p>
    <w:p w14:paraId="1635F199">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firstLine="720"/>
        <w:textAlignment w:val="auto"/>
        <w:rPr>
          <w:rFonts w:hint="eastAsia" w:ascii="黑体" w:hAnsi="宋体" w:eastAsia="黑体"/>
        </w:rPr>
      </w:pPr>
      <w:r>
        <w:rPr>
          <w:rFonts w:hint="eastAsia" w:ascii="黑体" w:hAnsi="宋体" w:eastAsia="黑体"/>
        </w:rPr>
        <w:t>问题及建议</w:t>
      </w:r>
    </w:p>
    <w:p w14:paraId="0BD967AD">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left="-400" w:leftChars="0" w:firstLine="720" w:firstLineChars="0"/>
        <w:textAlignment w:val="auto"/>
        <w:rPr>
          <w:rFonts w:hint="eastAsia" w:ascii="楷体_GB2312" w:hAnsi="宋体" w:eastAsia="楷体_GB2312"/>
          <w:b/>
          <w:lang w:val="zh-CN"/>
        </w:rPr>
      </w:pPr>
      <w:r>
        <w:rPr>
          <w:rFonts w:hint="eastAsia" w:ascii="楷体_GB2312" w:hAnsi="宋体" w:eastAsia="楷体_GB2312"/>
          <w:b/>
          <w:lang w:val="zh-CN"/>
        </w:rPr>
        <w:t>存在的问题。</w:t>
      </w:r>
    </w:p>
    <w:p w14:paraId="6A6EE6C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b/>
          <w:lang w:val="zh-CN"/>
        </w:rPr>
      </w:pPr>
      <w:r>
        <w:rPr>
          <w:rFonts w:hint="eastAsia" w:ascii="仿宋_GB2312" w:hAnsi="宋体"/>
          <w:lang w:val="zh-CN" w:eastAsia="zh-CN"/>
        </w:rPr>
        <w:t>无</w:t>
      </w:r>
    </w:p>
    <w:p w14:paraId="636E53AC">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left="-400" w:leftChars="0" w:firstLine="720" w:firstLineChars="0"/>
        <w:textAlignment w:val="auto"/>
      </w:pPr>
      <w:r>
        <w:rPr>
          <w:rFonts w:hint="eastAsia" w:ascii="楷体_GB2312" w:hAnsi="宋体" w:eastAsia="楷体_GB2312"/>
          <w:b/>
          <w:lang w:val="zh-CN"/>
        </w:rPr>
        <w:t>相关建议。</w:t>
      </w:r>
    </w:p>
    <w:p w14:paraId="3123FB1F">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left="-400" w:leftChars="0" w:firstLine="720" w:firstLineChars="0"/>
        <w:textAlignment w:val="auto"/>
      </w:pPr>
      <w:r>
        <w:rPr>
          <w:rFonts w:hint="eastAsia" w:ascii="仿宋_GB2312" w:hAnsi="宋体"/>
          <w:lang w:val="zh-CN"/>
        </w:rPr>
        <w:t>无</w:t>
      </w:r>
    </w:p>
    <w:p w14:paraId="536B5EBA">
      <w:pPr>
        <w:adjustRightInd w:val="0"/>
        <w:snapToGrid w:val="0"/>
        <w:spacing w:line="600" w:lineRule="exact"/>
        <w:ind w:firstLine="720"/>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E39B85-8AF3-40DE-AFF0-A7E2E9123C0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517A3CF-6CB1-44A0-A87A-337BA52B8874}"/>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E1D40E12-9CD4-441D-B275-0F2C338B99A5}"/>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FC1D1AD9-6B36-4D3D-BD9F-96BBB296B83F}"/>
  </w:font>
  <w:font w:name="楷体_GB2312">
    <w:panose1 w:val="02010609030101010101"/>
    <w:charset w:val="86"/>
    <w:family w:val="modern"/>
    <w:pitch w:val="default"/>
    <w:sig w:usb0="00000001" w:usb1="080E0000" w:usb2="00000000" w:usb3="00000000" w:csb0="00040000" w:csb1="00000000"/>
    <w:embedRegular r:id="rId5" w:fontKey="{429BE64C-07E4-4430-9514-44F0F7600514}"/>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55167"/>
    <w:multiLevelType w:val="singleLevel"/>
    <w:tmpl w:val="A5E55167"/>
    <w:lvl w:ilvl="0" w:tentative="0">
      <w:start w:val="3"/>
      <w:numFmt w:val="chineseCounting"/>
      <w:suff w:val="nothing"/>
      <w:lvlText w:val="（%1）"/>
      <w:lvlJc w:val="left"/>
      <w:rPr>
        <w:rFonts w:hint="eastAsia"/>
      </w:rPr>
    </w:lvl>
  </w:abstractNum>
  <w:abstractNum w:abstractNumId="1">
    <w:nsid w:val="B4175E82"/>
    <w:multiLevelType w:val="singleLevel"/>
    <w:tmpl w:val="B4175E82"/>
    <w:lvl w:ilvl="0" w:tentative="0">
      <w:start w:val="2"/>
      <w:numFmt w:val="chineseCounting"/>
      <w:suff w:val="nothing"/>
      <w:lvlText w:val="%1、"/>
      <w:lvlJc w:val="left"/>
      <w:rPr>
        <w:rFonts w:hint="eastAsia"/>
      </w:rPr>
    </w:lvl>
  </w:abstractNum>
  <w:abstractNum w:abstractNumId="2">
    <w:nsid w:val="D08F2932"/>
    <w:multiLevelType w:val="singleLevel"/>
    <w:tmpl w:val="D08F2932"/>
    <w:lvl w:ilvl="0" w:tentative="0">
      <w:start w:val="2"/>
      <w:numFmt w:val="chineseCounting"/>
      <w:suff w:val="nothing"/>
      <w:lvlText w:val="（%1）"/>
      <w:lvlJc w:val="left"/>
      <w:rPr>
        <w:rFonts w:hint="eastAsia"/>
      </w:rPr>
    </w:lvl>
  </w:abstractNum>
  <w:abstractNum w:abstractNumId="3">
    <w:nsid w:val="E323F03F"/>
    <w:multiLevelType w:val="singleLevel"/>
    <w:tmpl w:val="E323F03F"/>
    <w:lvl w:ilvl="0" w:tentative="0">
      <w:start w:val="2"/>
      <w:numFmt w:val="decimal"/>
      <w:suff w:val="nothing"/>
      <w:lvlText w:val="%1．"/>
      <w:lvlJc w:val="left"/>
      <w:pPr>
        <w:ind w:left="-80"/>
      </w:pPr>
    </w:lvl>
  </w:abstractNum>
  <w:abstractNum w:abstractNumId="4">
    <w:nsid w:val="E822333D"/>
    <w:multiLevelType w:val="singleLevel"/>
    <w:tmpl w:val="E822333D"/>
    <w:lvl w:ilvl="0" w:tentative="0">
      <w:start w:val="4"/>
      <w:numFmt w:val="chineseCounting"/>
      <w:suff w:val="nothing"/>
      <w:lvlText w:val="%1、"/>
      <w:lvlJc w:val="left"/>
      <w:rPr>
        <w:rFonts w:hint="eastAsia"/>
      </w:rPr>
    </w:lvl>
  </w:abstractNum>
  <w:abstractNum w:abstractNumId="5">
    <w:nsid w:val="EE883DC8"/>
    <w:multiLevelType w:val="singleLevel"/>
    <w:tmpl w:val="EE883DC8"/>
    <w:lvl w:ilvl="0" w:tentative="0">
      <w:start w:val="1"/>
      <w:numFmt w:val="chineseCounting"/>
      <w:suff w:val="nothing"/>
      <w:lvlText w:val="（%1）"/>
      <w:lvlJc w:val="left"/>
      <w:pPr>
        <w:ind w:left="-400"/>
      </w:pPr>
      <w:rPr>
        <w:rFonts w:hint="eastAsia"/>
      </w:rPr>
    </w:lvl>
  </w:abstractNum>
  <w:abstractNum w:abstractNumId="6">
    <w:nsid w:val="1F3E0721"/>
    <w:multiLevelType w:val="singleLevel"/>
    <w:tmpl w:val="1F3E0721"/>
    <w:lvl w:ilvl="0" w:tentative="0">
      <w:start w:val="2"/>
      <w:numFmt w:val="chineseCounting"/>
      <w:suff w:val="nothing"/>
      <w:lvlText w:val="（%1）"/>
      <w:lvlJc w:val="left"/>
      <w:pPr>
        <w:ind w:left="-400"/>
      </w:pPr>
      <w:rPr>
        <w:rFonts w:hint="eastAsia"/>
      </w:rPr>
    </w:lvl>
  </w:abstractNum>
  <w:abstractNum w:abstractNumId="7">
    <w:nsid w:val="1FF28A57"/>
    <w:multiLevelType w:val="singleLevel"/>
    <w:tmpl w:val="1FF28A57"/>
    <w:lvl w:ilvl="0" w:tentative="0">
      <w:start w:val="3"/>
      <w:numFmt w:val="chineseCounting"/>
      <w:suff w:val="nothing"/>
      <w:lvlText w:val="%1、"/>
      <w:lvlJc w:val="left"/>
      <w:rPr>
        <w:rFonts w:hint="eastAsia"/>
      </w:rPr>
    </w:lvl>
  </w:abstractNum>
  <w:abstractNum w:abstractNumId="8">
    <w:nsid w:val="2ED9928F"/>
    <w:multiLevelType w:val="singleLevel"/>
    <w:tmpl w:val="2ED9928F"/>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 w:numId="5">
    <w:abstractNumId w:val="7"/>
  </w:num>
  <w:num w:numId="6">
    <w:abstractNumId w:val="8"/>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1B1813"/>
    <w:rsid w:val="002A5E78"/>
    <w:rsid w:val="003315AE"/>
    <w:rsid w:val="0049716B"/>
    <w:rsid w:val="006F6CE7"/>
    <w:rsid w:val="00C073E9"/>
    <w:rsid w:val="00E42B1E"/>
    <w:rsid w:val="0533287B"/>
    <w:rsid w:val="085806EF"/>
    <w:rsid w:val="0C937D2A"/>
    <w:rsid w:val="0D466608"/>
    <w:rsid w:val="0D850CC5"/>
    <w:rsid w:val="0DA97527"/>
    <w:rsid w:val="0E665320"/>
    <w:rsid w:val="11A46535"/>
    <w:rsid w:val="13722809"/>
    <w:rsid w:val="166B5873"/>
    <w:rsid w:val="19B536B9"/>
    <w:rsid w:val="1E0A5785"/>
    <w:rsid w:val="275B1262"/>
    <w:rsid w:val="291C455A"/>
    <w:rsid w:val="2A502512"/>
    <w:rsid w:val="2A9C0733"/>
    <w:rsid w:val="2D285E15"/>
    <w:rsid w:val="33CC574C"/>
    <w:rsid w:val="36926D0C"/>
    <w:rsid w:val="3978678E"/>
    <w:rsid w:val="3B5249ED"/>
    <w:rsid w:val="3DB72FC9"/>
    <w:rsid w:val="3EB76FF8"/>
    <w:rsid w:val="414A628B"/>
    <w:rsid w:val="539454CB"/>
    <w:rsid w:val="5846521D"/>
    <w:rsid w:val="5AC13672"/>
    <w:rsid w:val="5EDC2437"/>
    <w:rsid w:val="615564D1"/>
    <w:rsid w:val="673E27F9"/>
    <w:rsid w:val="6D950364"/>
    <w:rsid w:val="6EF16389"/>
    <w:rsid w:val="74276058"/>
    <w:rsid w:val="74B41184"/>
    <w:rsid w:val="76EB7264"/>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761</Words>
  <Characters>775</Characters>
  <Lines>9</Lines>
  <Paragraphs>2</Paragraphs>
  <TotalTime>14</TotalTime>
  <ScaleCrop>false</ScaleCrop>
  <LinksUpToDate>false</LinksUpToDate>
  <CharactersWithSpaces>776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2024-07-02T06:41:00Z</cp:lastPrinted>
  <dcterms:modified xsi:type="dcterms:W3CDTF">2024-10-31T02:00:36Z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27258ED91B3C4B54AEA809B9BF5D8077_13</vt:lpwstr>
  </property>
</Properties>
</file>