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rFonts w:hint="eastAsia" w:ascii="方正小标宋简体" w:hAnsi="宋体" w:eastAsia="方正小标宋简体" w:cs="Times New Roman"/>
          <w:color w:val="auto"/>
          <w:kern w:val="2"/>
          <w:sz w:val="44"/>
          <w:szCs w:val="44"/>
          <w:highlight w:val="none"/>
          <w:lang w:val="en-US" w:eastAsia="zh-CN" w:bidi="ar-SA"/>
        </w:rPr>
      </w:pPr>
      <w:bookmarkStart w:id="0" w:name="YS060101"/>
      <w:r>
        <w:rPr>
          <w:rFonts w:hint="eastAsia" w:ascii="方正小标宋简体" w:hAnsi="宋体" w:eastAsia="方正小标宋简体" w:cs="Times New Roman"/>
          <w:color w:val="auto"/>
          <w:kern w:val="2"/>
          <w:sz w:val="44"/>
          <w:szCs w:val="44"/>
          <w:highlight w:val="none"/>
          <w:lang w:val="en-US" w:eastAsia="zh-CN" w:bidi="ar-SA"/>
        </w:rPr>
        <w:t>2023年度</w:t>
      </w:r>
    </w:p>
    <w:p>
      <w:pPr>
        <w:pStyle w:val="7"/>
        <w:jc w:val="center"/>
        <w:rPr>
          <w:rFonts w:hint="default" w:ascii="方正小标宋简体" w:hAnsi="宋体" w:eastAsia="方正小标宋简体" w:cs="Times New Roman"/>
          <w:color w:val="auto"/>
          <w:kern w:val="2"/>
          <w:sz w:val="72"/>
          <w:szCs w:val="72"/>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峨边彝族自治县粮食和物资储备中心单位决算</w:t>
      </w: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ascii="黑体" w:hAnsi="黑体" w:eastAsia="黑体"/>
          <w:sz w:val="48"/>
          <w:szCs w:val="48"/>
        </w:rPr>
      </w:pPr>
      <w:bookmarkStart w:id="44" w:name="_GoBack"/>
      <w:bookmarkEnd w:id="44"/>
      <w:r>
        <w:rPr>
          <w:rFonts w:hint="eastAsia" w:ascii="黑体" w:hAnsi="黑体" w:eastAsia="黑体"/>
          <w:sz w:val="48"/>
          <w:szCs w:val="48"/>
        </w:rPr>
        <w:t>目录</w:t>
      </w:r>
    </w:p>
    <w:p>
      <w:pPr>
        <w:widowControl/>
        <w:jc w:val="center"/>
        <w:rPr>
          <w:rFonts w:ascii="黑体" w:hAnsi="黑体" w:eastAsia="黑体" w:cs="Times New Roman"/>
          <w:sz w:val="28"/>
          <w:szCs w:val="28"/>
        </w:rPr>
      </w:pPr>
    </w:p>
    <w:p>
      <w:pPr>
        <w:pStyle w:val="10"/>
        <w:rPr>
          <w:sz w:val="32"/>
          <w:szCs w:val="32"/>
        </w:rPr>
      </w:pPr>
      <w:r>
        <w:rPr>
          <w:rFonts w:hint="eastAsia"/>
          <w:sz w:val="32"/>
          <w:szCs w:val="32"/>
        </w:rPr>
        <w:t>公开时间：202</w:t>
      </w:r>
      <w:r>
        <w:rPr>
          <w:rFonts w:hint="eastAsia"/>
          <w:sz w:val="32"/>
          <w:szCs w:val="32"/>
          <w:lang w:val="en-US" w:eastAsia="zh-CN"/>
        </w:rPr>
        <w:t>4</w:t>
      </w:r>
      <w:r>
        <w:rPr>
          <w:rFonts w:hint="eastAsia"/>
          <w:sz w:val="32"/>
          <w:szCs w:val="32"/>
        </w:rPr>
        <w:t>年</w:t>
      </w:r>
      <w:r>
        <w:rPr>
          <w:rFonts w:hint="eastAsia"/>
          <w:sz w:val="32"/>
          <w:szCs w:val="32"/>
          <w:lang w:val="en-US" w:eastAsia="zh-CN"/>
        </w:rPr>
        <w:t>10</w:t>
      </w:r>
      <w:r>
        <w:rPr>
          <w:rFonts w:hint="eastAsia"/>
          <w:sz w:val="32"/>
          <w:szCs w:val="32"/>
        </w:rPr>
        <w:t xml:space="preserve">月 </w:t>
      </w:r>
      <w:r>
        <w:rPr>
          <w:rFonts w:hint="eastAsia"/>
          <w:sz w:val="32"/>
          <w:szCs w:val="32"/>
          <w:lang w:val="en-US" w:eastAsia="zh-CN"/>
        </w:rPr>
        <w:t>17</w:t>
      </w:r>
      <w:r>
        <w:rPr>
          <w:rFonts w:hint="eastAsia"/>
          <w:sz w:val="32"/>
          <w:szCs w:val="32"/>
        </w:rPr>
        <w:t xml:space="preserve"> 日</w:t>
      </w:r>
    </w:p>
    <w:p/>
    <w:p>
      <w:pPr>
        <w:pStyle w:val="10"/>
        <w:adjustRightInd w:val="0"/>
        <w:snapToGrid w:val="0"/>
        <w:spacing w:before="0" w:line="440" w:lineRule="exact"/>
        <w:jc w:val="left"/>
        <w:rPr>
          <w:rFonts w:hint="eastAsia" w:ascii="仿宋" w:hAnsi="仿宋" w:eastAsia="仿宋" w:cs="仿宋"/>
          <w:sz w:val="32"/>
          <w:szCs w:val="32"/>
        </w:rPr>
      </w:pPr>
      <w:r>
        <w:rPr>
          <w:rFonts w:hint="eastAsia" w:ascii="仿宋" w:hAnsi="仿宋" w:eastAsia="仿宋" w:cs="仿宋"/>
          <w:sz w:val="32"/>
          <w:szCs w:val="32"/>
        </w:rPr>
        <w:t xml:space="preserve">第一部分 </w:t>
      </w:r>
      <w:r>
        <w:rPr>
          <w:rFonts w:hint="eastAsia" w:cs="仿宋"/>
          <w:sz w:val="32"/>
          <w:szCs w:val="32"/>
          <w:lang w:val="en-US" w:eastAsia="zh-CN"/>
        </w:rPr>
        <w:t>单位</w:t>
      </w:r>
      <w:r>
        <w:rPr>
          <w:rFonts w:hint="eastAsia" w:ascii="仿宋" w:hAnsi="仿宋" w:eastAsia="仿宋" w:cs="仿宋"/>
          <w:sz w:val="32"/>
          <w:szCs w:val="32"/>
        </w:rPr>
        <w:t>概况</w:t>
      </w:r>
      <w:r>
        <w:rPr>
          <w:rFonts w:hint="eastAsia" w:ascii="仿宋" w:hAnsi="仿宋" w:eastAsia="仿宋" w:cs="仿宋"/>
          <w:sz w:val="32"/>
          <w:szCs w:val="32"/>
        </w:rPr>
        <w:tab/>
      </w:r>
      <w:r>
        <w:rPr>
          <w:rFonts w:hint="eastAsia" w:ascii="仿宋" w:hAnsi="仿宋" w:eastAsia="仿宋" w:cs="仿宋"/>
          <w:sz w:val="32"/>
          <w:szCs w:val="32"/>
          <w:lang w:val="en-US" w:eastAsia="zh-CN"/>
        </w:rPr>
        <w:t>4</w:t>
      </w:r>
    </w:p>
    <w:p>
      <w:pPr>
        <w:pStyle w:val="10"/>
        <w:adjustRightInd w:val="0"/>
        <w:snapToGrid w:val="0"/>
        <w:spacing w:before="0" w:line="440" w:lineRule="exact"/>
        <w:jc w:val="left"/>
        <w:rPr>
          <w:rFonts w:hint="eastAsia" w:ascii="仿宋" w:hAnsi="仿宋" w:eastAsia="仿宋" w:cs="仿宋"/>
          <w:sz w:val="32"/>
          <w:szCs w:val="32"/>
          <w:lang w:val="en-US"/>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一、主要职责</w:t>
      </w:r>
      <w:r>
        <w:rPr>
          <w:rFonts w:hint="eastAsia" w:ascii="仿宋" w:hAnsi="仿宋" w:eastAsia="仿宋" w:cs="仿宋"/>
          <w:sz w:val="32"/>
          <w:szCs w:val="32"/>
        </w:rPr>
        <w:tab/>
      </w:r>
      <w:r>
        <w:rPr>
          <w:rFonts w:hint="eastAsia" w:ascii="仿宋" w:hAnsi="仿宋" w:eastAsia="仿宋" w:cs="仿宋"/>
          <w:sz w:val="32"/>
          <w:szCs w:val="32"/>
          <w:lang w:val="en-US" w:eastAsia="zh-CN"/>
        </w:rPr>
        <w:t>4</w:t>
      </w:r>
    </w:p>
    <w:p>
      <w:pPr>
        <w:pStyle w:val="10"/>
        <w:adjustRightInd w:val="0"/>
        <w:snapToGrid w:val="0"/>
        <w:spacing w:before="0" w:line="440" w:lineRule="exact"/>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cs="仿宋"/>
          <w:sz w:val="32"/>
          <w:szCs w:val="32"/>
          <w:lang w:val="en-US" w:eastAsia="zh-CN"/>
        </w:rPr>
        <w:t>4</w:t>
      </w:r>
    </w:p>
    <w:p>
      <w:pPr>
        <w:pStyle w:val="10"/>
        <w:adjustRightInd w:val="0"/>
        <w:snapToGrid w:val="0"/>
        <w:spacing w:before="0" w:line="440" w:lineRule="exact"/>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第二部分 2023年度</w:t>
      </w:r>
      <w:r>
        <w:rPr>
          <w:rFonts w:hint="eastAsia" w:cs="仿宋"/>
          <w:sz w:val="32"/>
          <w:szCs w:val="32"/>
          <w:lang w:val="en-US" w:eastAsia="zh-CN"/>
        </w:rPr>
        <w:t>单位</w:t>
      </w:r>
      <w:r>
        <w:rPr>
          <w:rFonts w:hint="eastAsia" w:ascii="仿宋" w:hAnsi="仿宋" w:eastAsia="仿宋" w:cs="仿宋"/>
          <w:sz w:val="32"/>
          <w:szCs w:val="32"/>
        </w:rPr>
        <w:t>决算情况说明</w:t>
      </w:r>
      <w:r>
        <w:rPr>
          <w:rFonts w:hint="eastAsia" w:ascii="仿宋" w:hAnsi="仿宋" w:eastAsia="仿宋" w:cs="仿宋"/>
          <w:sz w:val="32"/>
          <w:szCs w:val="32"/>
        </w:rPr>
        <w:tab/>
      </w:r>
      <w:r>
        <w:rPr>
          <w:rFonts w:hint="eastAsia" w:cs="仿宋"/>
          <w:sz w:val="32"/>
          <w:szCs w:val="32"/>
          <w:lang w:val="en-US" w:eastAsia="zh-CN"/>
        </w:rPr>
        <w:t>5</w:t>
      </w:r>
    </w:p>
    <w:p>
      <w:pPr>
        <w:pStyle w:val="10"/>
        <w:adjustRightInd w:val="0"/>
        <w:snapToGrid w:val="0"/>
        <w:spacing w:before="0" w:line="440" w:lineRule="exact"/>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一、收入支出决算总体情况说明</w:t>
      </w:r>
      <w:r>
        <w:rPr>
          <w:rFonts w:hint="eastAsia" w:ascii="仿宋" w:hAnsi="仿宋" w:eastAsia="仿宋" w:cs="仿宋"/>
          <w:sz w:val="32"/>
          <w:szCs w:val="32"/>
        </w:rPr>
        <w:tab/>
      </w:r>
      <w:r>
        <w:rPr>
          <w:rFonts w:hint="eastAsia" w:cs="仿宋"/>
          <w:sz w:val="32"/>
          <w:szCs w:val="32"/>
          <w:lang w:val="en-US" w:eastAsia="zh-CN"/>
        </w:rPr>
        <w:t>5</w:t>
      </w:r>
    </w:p>
    <w:p>
      <w:pPr>
        <w:pStyle w:val="10"/>
        <w:adjustRightInd w:val="0"/>
        <w:snapToGrid w:val="0"/>
        <w:spacing w:before="0" w:line="440" w:lineRule="exact"/>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二、收入决算情况说明</w:t>
      </w:r>
      <w:r>
        <w:rPr>
          <w:rFonts w:hint="eastAsia" w:ascii="仿宋" w:hAnsi="仿宋" w:eastAsia="仿宋" w:cs="仿宋"/>
          <w:sz w:val="32"/>
          <w:szCs w:val="32"/>
        </w:rPr>
        <w:tab/>
      </w:r>
      <w:r>
        <w:rPr>
          <w:rFonts w:hint="eastAsia" w:cs="仿宋"/>
          <w:sz w:val="32"/>
          <w:szCs w:val="32"/>
          <w:lang w:val="en-US" w:eastAsia="zh-CN"/>
        </w:rPr>
        <w:t>5</w:t>
      </w:r>
      <w:r>
        <w:rPr>
          <w:rFonts w:hint="eastAsia" w:ascii="仿宋" w:hAnsi="仿宋" w:eastAsia="仿宋" w:cs="仿宋"/>
          <w:sz w:val="32"/>
          <w:szCs w:val="32"/>
          <w:lang w:val="en-US" w:eastAsia="zh-CN"/>
        </w:rPr>
        <w:t>-</w:t>
      </w:r>
      <w:r>
        <w:rPr>
          <w:rFonts w:hint="eastAsia" w:cs="仿宋"/>
          <w:sz w:val="32"/>
          <w:szCs w:val="32"/>
          <w:lang w:val="en-US" w:eastAsia="zh-CN"/>
        </w:rPr>
        <w:t>6</w:t>
      </w:r>
      <w:r>
        <w:rPr>
          <w:rFonts w:hint="eastAsia" w:ascii="仿宋" w:hAnsi="仿宋" w:eastAsia="仿宋" w:cs="仿宋"/>
          <w:sz w:val="32"/>
          <w:szCs w:val="32"/>
          <w:lang w:val="en-US" w:eastAsia="zh-CN"/>
        </w:rPr>
        <w:t xml:space="preserve">  </w:t>
      </w:r>
    </w:p>
    <w:p>
      <w:pPr>
        <w:pStyle w:val="10"/>
        <w:adjustRightInd w:val="0"/>
        <w:snapToGrid w:val="0"/>
        <w:spacing w:before="0" w:line="440" w:lineRule="exact"/>
        <w:ind w:firstLine="320" w:firstLineChars="100"/>
        <w:jc w:val="left"/>
        <w:rPr>
          <w:rFonts w:hint="default" w:ascii="仿宋" w:hAnsi="仿宋" w:eastAsia="仿宋" w:cs="仿宋"/>
          <w:sz w:val="32"/>
          <w:szCs w:val="32"/>
          <w:lang w:val="en-US"/>
        </w:rPr>
      </w:pPr>
      <w:r>
        <w:rPr>
          <w:rFonts w:hint="eastAsia" w:ascii="仿宋" w:hAnsi="仿宋" w:eastAsia="仿宋" w:cs="仿宋"/>
          <w:sz w:val="32"/>
          <w:szCs w:val="32"/>
        </w:rPr>
        <w:t>三、支出决算情况说明</w:t>
      </w:r>
      <w:r>
        <w:rPr>
          <w:rFonts w:hint="eastAsia" w:ascii="仿宋" w:hAnsi="仿宋" w:eastAsia="仿宋" w:cs="仿宋"/>
          <w:sz w:val="32"/>
          <w:szCs w:val="32"/>
        </w:rPr>
        <w:tab/>
      </w:r>
      <w:r>
        <w:rPr>
          <w:rFonts w:hint="eastAsia" w:cs="仿宋"/>
          <w:sz w:val="32"/>
          <w:szCs w:val="32"/>
          <w:lang w:val="en-US" w:eastAsia="zh-CN"/>
        </w:rPr>
        <w:t>6</w:t>
      </w:r>
      <w:r>
        <w:rPr>
          <w:rFonts w:hint="eastAsia" w:ascii="仿宋" w:hAnsi="仿宋" w:eastAsia="仿宋" w:cs="仿宋"/>
          <w:sz w:val="32"/>
          <w:szCs w:val="32"/>
          <w:lang w:val="en-US" w:eastAsia="zh-CN"/>
        </w:rPr>
        <w:t>-</w:t>
      </w:r>
      <w:r>
        <w:rPr>
          <w:rFonts w:hint="eastAsia" w:cs="仿宋"/>
          <w:sz w:val="32"/>
          <w:szCs w:val="32"/>
          <w:lang w:val="en-US" w:eastAsia="zh-CN"/>
        </w:rPr>
        <w:t>7</w:t>
      </w:r>
    </w:p>
    <w:p>
      <w:pPr>
        <w:pStyle w:val="10"/>
        <w:adjustRightInd w:val="0"/>
        <w:snapToGrid w:val="0"/>
        <w:spacing w:before="0" w:line="440" w:lineRule="exact"/>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四、财政拨款收入支出决算总体情况说明</w:t>
      </w:r>
      <w:r>
        <w:rPr>
          <w:rFonts w:hint="eastAsia" w:ascii="仿宋" w:hAnsi="仿宋" w:eastAsia="仿宋" w:cs="仿宋"/>
          <w:sz w:val="32"/>
          <w:szCs w:val="32"/>
        </w:rPr>
        <w:tab/>
      </w:r>
      <w:r>
        <w:rPr>
          <w:rFonts w:hint="eastAsia" w:cs="仿宋"/>
          <w:sz w:val="32"/>
          <w:szCs w:val="32"/>
          <w:lang w:val="en-US" w:eastAsia="zh-CN"/>
        </w:rPr>
        <w:t>7</w:t>
      </w:r>
    </w:p>
    <w:p>
      <w:pPr>
        <w:pStyle w:val="10"/>
        <w:adjustRightInd w:val="0"/>
        <w:snapToGrid w:val="0"/>
        <w:spacing w:before="0" w:line="440" w:lineRule="exact"/>
        <w:jc w:val="left"/>
        <w:rPr>
          <w:rFonts w:hint="default" w:ascii="仿宋" w:hAnsi="仿宋" w:eastAsia="仿宋" w:cs="仿宋"/>
          <w:sz w:val="32"/>
          <w:szCs w:val="32"/>
          <w:lang w:val="en-US"/>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五、一般公共预算财政拨款支出决算情况说明</w:t>
      </w:r>
      <w:r>
        <w:rPr>
          <w:rFonts w:hint="eastAsia" w:ascii="仿宋" w:hAnsi="仿宋" w:eastAsia="仿宋" w:cs="仿宋"/>
          <w:sz w:val="32"/>
          <w:szCs w:val="32"/>
        </w:rPr>
        <w:tab/>
      </w:r>
      <w:r>
        <w:rPr>
          <w:rFonts w:hint="eastAsia" w:cs="仿宋"/>
          <w:sz w:val="32"/>
          <w:szCs w:val="32"/>
          <w:lang w:val="en-US" w:eastAsia="zh-CN"/>
        </w:rPr>
        <w:t>8-11</w:t>
      </w:r>
    </w:p>
    <w:p>
      <w:pPr>
        <w:pStyle w:val="10"/>
        <w:adjustRightInd w:val="0"/>
        <w:snapToGrid w:val="0"/>
        <w:spacing w:before="0" w:line="440" w:lineRule="exact"/>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六、一般公共预算财政拨款基本支出决算情况说明</w:t>
      </w:r>
      <w:r>
        <w:rPr>
          <w:rFonts w:hint="eastAsia" w:ascii="仿宋" w:hAnsi="仿宋" w:eastAsia="仿宋" w:cs="仿宋"/>
          <w:sz w:val="32"/>
          <w:szCs w:val="32"/>
        </w:rPr>
        <w:tab/>
      </w:r>
      <w:r>
        <w:rPr>
          <w:rFonts w:hint="eastAsia" w:cs="仿宋"/>
          <w:sz w:val="32"/>
          <w:szCs w:val="32"/>
          <w:lang w:val="en-US" w:eastAsia="zh-CN"/>
        </w:rPr>
        <w:t>11</w:t>
      </w:r>
    </w:p>
    <w:p>
      <w:pPr>
        <w:pStyle w:val="10"/>
        <w:adjustRightInd w:val="0"/>
        <w:snapToGrid w:val="0"/>
        <w:spacing w:before="0" w:line="440" w:lineRule="exact"/>
        <w:jc w:val="left"/>
        <w:rPr>
          <w:rFonts w:hint="default" w:ascii="仿宋" w:hAnsi="仿宋" w:eastAsia="仿宋" w:cs="仿宋"/>
          <w:sz w:val="32"/>
          <w:szCs w:val="32"/>
          <w:lang w:val="en-US"/>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七、财政拨款“三公”经费支出决算情况说明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lang w:val="en-US" w:eastAsia="zh-CN"/>
        </w:rPr>
        <w:t>1</w:t>
      </w:r>
      <w:r>
        <w:rPr>
          <w:rFonts w:hint="eastAsia" w:cs="仿宋"/>
          <w:sz w:val="32"/>
          <w:szCs w:val="32"/>
          <w:lang w:val="en-US" w:eastAsia="zh-CN"/>
        </w:rPr>
        <w:t>1</w:t>
      </w:r>
      <w:r>
        <w:rPr>
          <w:rFonts w:hint="eastAsia" w:ascii="仿宋" w:hAnsi="仿宋" w:eastAsia="仿宋" w:cs="仿宋"/>
          <w:sz w:val="32"/>
          <w:szCs w:val="32"/>
          <w:lang w:val="en-US" w:eastAsia="zh-CN"/>
        </w:rPr>
        <w:t>-1</w:t>
      </w:r>
      <w:r>
        <w:rPr>
          <w:rFonts w:hint="eastAsia" w:cs="仿宋"/>
          <w:sz w:val="32"/>
          <w:szCs w:val="32"/>
          <w:lang w:val="en-US" w:eastAsia="zh-CN"/>
        </w:rPr>
        <w:t>3</w:t>
      </w:r>
    </w:p>
    <w:p>
      <w:pPr>
        <w:pStyle w:val="10"/>
        <w:adjustRightInd w:val="0"/>
        <w:snapToGrid w:val="0"/>
        <w:spacing w:before="0" w:line="440" w:lineRule="exact"/>
        <w:jc w:val="left"/>
        <w:rPr>
          <w:rFonts w:hint="default" w:ascii="仿宋" w:hAnsi="仿宋" w:eastAsia="仿宋" w:cs="仿宋"/>
          <w:sz w:val="32"/>
          <w:szCs w:val="32"/>
          <w:lang w:val="en-US"/>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八、政府性基金预算支出决算情况说明</w:t>
      </w:r>
      <w:r>
        <w:rPr>
          <w:rFonts w:hint="eastAsia" w:ascii="仿宋" w:hAnsi="仿宋" w:eastAsia="仿宋" w:cs="仿宋"/>
          <w:sz w:val="32"/>
          <w:szCs w:val="32"/>
        </w:rPr>
        <w:tab/>
      </w:r>
      <w:r>
        <w:rPr>
          <w:rFonts w:hint="eastAsia" w:ascii="仿宋" w:hAnsi="仿宋" w:eastAsia="仿宋" w:cs="仿宋"/>
          <w:sz w:val="32"/>
          <w:szCs w:val="32"/>
          <w:lang w:val="en-US" w:eastAsia="zh-CN"/>
        </w:rPr>
        <w:t>1</w:t>
      </w:r>
      <w:r>
        <w:rPr>
          <w:rFonts w:hint="eastAsia" w:cs="仿宋"/>
          <w:sz w:val="32"/>
          <w:szCs w:val="32"/>
          <w:lang w:val="en-US" w:eastAsia="zh-CN"/>
        </w:rPr>
        <w:t>3</w:t>
      </w:r>
    </w:p>
    <w:p>
      <w:pPr>
        <w:pStyle w:val="10"/>
        <w:adjustRightInd w:val="0"/>
        <w:snapToGrid w:val="0"/>
        <w:spacing w:before="0" w:line="440" w:lineRule="exact"/>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九、国有资本经营预算支出决算情况说明</w:t>
      </w:r>
      <w:r>
        <w:rPr>
          <w:rFonts w:hint="eastAsia" w:ascii="仿宋" w:hAnsi="仿宋" w:eastAsia="仿宋" w:cs="仿宋"/>
          <w:sz w:val="32"/>
          <w:szCs w:val="32"/>
        </w:rPr>
        <w:tab/>
      </w:r>
      <w:r>
        <w:rPr>
          <w:rFonts w:hint="eastAsia" w:ascii="仿宋" w:hAnsi="仿宋" w:eastAsia="仿宋" w:cs="仿宋"/>
          <w:sz w:val="32"/>
          <w:szCs w:val="32"/>
          <w:lang w:val="en-US" w:eastAsia="zh-CN"/>
        </w:rPr>
        <w:t>1</w:t>
      </w:r>
      <w:r>
        <w:rPr>
          <w:rFonts w:hint="eastAsia" w:cs="仿宋"/>
          <w:sz w:val="32"/>
          <w:szCs w:val="32"/>
          <w:lang w:val="en-US" w:eastAsia="zh-CN"/>
        </w:rPr>
        <w:t>3</w:t>
      </w:r>
    </w:p>
    <w:p>
      <w:pPr>
        <w:pStyle w:val="10"/>
        <w:adjustRightInd w:val="0"/>
        <w:snapToGrid w:val="0"/>
        <w:spacing w:before="0" w:line="440" w:lineRule="exact"/>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十、其他重要事项的情况说明</w:t>
      </w:r>
      <w:r>
        <w:rPr>
          <w:rFonts w:hint="eastAsia" w:ascii="仿宋" w:hAnsi="仿宋" w:eastAsia="仿宋" w:cs="仿宋"/>
          <w:sz w:val="32"/>
          <w:szCs w:val="32"/>
        </w:rPr>
        <w:tab/>
      </w:r>
      <w:r>
        <w:rPr>
          <w:rFonts w:hint="eastAsia" w:ascii="仿宋" w:hAnsi="仿宋" w:eastAsia="仿宋" w:cs="仿宋"/>
          <w:sz w:val="32"/>
          <w:szCs w:val="32"/>
          <w:lang w:val="en-US" w:eastAsia="zh-CN"/>
        </w:rPr>
        <w:t>1</w:t>
      </w:r>
      <w:r>
        <w:rPr>
          <w:rFonts w:hint="eastAsia" w:cs="仿宋"/>
          <w:sz w:val="32"/>
          <w:szCs w:val="32"/>
          <w:lang w:val="en-US" w:eastAsia="zh-CN"/>
        </w:rPr>
        <w:t>3</w:t>
      </w:r>
      <w:r>
        <w:rPr>
          <w:rFonts w:hint="eastAsia" w:ascii="仿宋" w:hAnsi="仿宋" w:eastAsia="仿宋" w:cs="仿宋"/>
          <w:sz w:val="32"/>
          <w:szCs w:val="32"/>
          <w:lang w:val="en-US" w:eastAsia="zh-CN"/>
        </w:rPr>
        <w:t>-</w:t>
      </w:r>
      <w:r>
        <w:rPr>
          <w:rFonts w:hint="eastAsia" w:cs="仿宋"/>
          <w:sz w:val="32"/>
          <w:szCs w:val="32"/>
          <w:lang w:val="en-US" w:eastAsia="zh-CN"/>
        </w:rPr>
        <w:t>16</w:t>
      </w:r>
    </w:p>
    <w:p>
      <w:pPr>
        <w:pStyle w:val="10"/>
        <w:adjustRightInd w:val="0"/>
        <w:snapToGrid w:val="0"/>
        <w:spacing w:before="0" w:line="440" w:lineRule="exact"/>
        <w:jc w:val="left"/>
        <w:rPr>
          <w:rFonts w:hint="default" w:ascii="仿宋" w:hAnsi="仿宋" w:eastAsia="仿宋" w:cs="仿宋"/>
          <w:sz w:val="32"/>
          <w:szCs w:val="32"/>
          <w:lang w:val="en-US" w:eastAsia="zh-CN"/>
        </w:rPr>
      </w:pPr>
      <w:r>
        <w:rPr>
          <w:rFonts w:hint="eastAsia" w:ascii="仿宋" w:hAnsi="仿宋" w:eastAsia="仿宋" w:cs="仿宋"/>
          <w:sz w:val="32"/>
          <w:szCs w:val="32"/>
        </w:rPr>
        <w:t>第三部分 名词解释</w:t>
      </w:r>
      <w:r>
        <w:rPr>
          <w:rFonts w:hint="eastAsia" w:ascii="仿宋" w:hAnsi="仿宋" w:eastAsia="仿宋" w:cs="仿宋"/>
          <w:sz w:val="32"/>
          <w:szCs w:val="32"/>
        </w:rPr>
        <w:tab/>
      </w:r>
      <w:r>
        <w:rPr>
          <w:rFonts w:hint="eastAsia" w:cs="仿宋"/>
          <w:sz w:val="32"/>
          <w:szCs w:val="32"/>
          <w:lang w:val="en-US" w:eastAsia="zh-CN"/>
        </w:rPr>
        <w:t>17</w:t>
      </w:r>
      <w:r>
        <w:rPr>
          <w:rFonts w:hint="eastAsia" w:ascii="仿宋" w:hAnsi="仿宋" w:eastAsia="仿宋" w:cs="仿宋"/>
          <w:sz w:val="32"/>
          <w:szCs w:val="32"/>
          <w:lang w:val="en-US" w:eastAsia="zh-CN"/>
        </w:rPr>
        <w:t>-</w:t>
      </w:r>
      <w:r>
        <w:rPr>
          <w:rFonts w:hint="eastAsia" w:cs="仿宋"/>
          <w:sz w:val="32"/>
          <w:szCs w:val="32"/>
          <w:lang w:val="en-US" w:eastAsia="zh-CN"/>
        </w:rPr>
        <w:t>19</w:t>
      </w:r>
    </w:p>
    <w:p>
      <w:pPr>
        <w:pStyle w:val="10"/>
        <w:adjustRightInd w:val="0"/>
        <w:snapToGrid w:val="0"/>
        <w:spacing w:before="0" w:line="440" w:lineRule="exact"/>
        <w:jc w:val="left"/>
        <w:rPr>
          <w:rFonts w:hint="default" w:ascii="仿宋" w:hAnsi="仿宋" w:eastAsia="仿宋" w:cs="仿宋"/>
          <w:sz w:val="32"/>
          <w:szCs w:val="32"/>
          <w:highlight w:val="none"/>
          <w:lang w:val="en-US" w:eastAsia="zh-CN"/>
        </w:rPr>
      </w:pPr>
      <w:r>
        <w:rPr>
          <w:rFonts w:hint="eastAsia" w:ascii="仿宋" w:hAnsi="仿宋" w:eastAsia="仿宋" w:cs="仿宋"/>
          <w:sz w:val="32"/>
          <w:szCs w:val="32"/>
        </w:rPr>
        <w:t>第四部分 附件</w:t>
      </w:r>
      <w:r>
        <w:rPr>
          <w:rFonts w:hint="eastAsia" w:ascii="仿宋" w:hAnsi="仿宋" w:eastAsia="仿宋" w:cs="仿宋"/>
          <w:sz w:val="32"/>
          <w:szCs w:val="32"/>
        </w:rPr>
        <w:tab/>
      </w:r>
      <w:r>
        <w:rPr>
          <w:rFonts w:hint="eastAsia" w:ascii="仿宋" w:hAnsi="仿宋" w:eastAsia="仿宋" w:cs="仿宋"/>
          <w:sz w:val="32"/>
          <w:szCs w:val="32"/>
          <w:highlight w:val="none"/>
          <w:lang w:val="en-US" w:eastAsia="zh-CN"/>
        </w:rPr>
        <w:t>2</w:t>
      </w:r>
      <w:r>
        <w:rPr>
          <w:rFonts w:hint="eastAsia" w:cs="仿宋"/>
          <w:sz w:val="32"/>
          <w:szCs w:val="32"/>
          <w:highlight w:val="none"/>
          <w:lang w:val="en-US" w:eastAsia="zh-CN"/>
        </w:rPr>
        <w:t>0</w:t>
      </w:r>
      <w:r>
        <w:rPr>
          <w:rFonts w:hint="eastAsia" w:ascii="仿宋" w:hAnsi="仿宋" w:eastAsia="仿宋" w:cs="仿宋"/>
          <w:sz w:val="32"/>
          <w:szCs w:val="32"/>
          <w:highlight w:val="none"/>
          <w:lang w:val="en-US" w:eastAsia="zh-CN"/>
        </w:rPr>
        <w:t>-</w:t>
      </w:r>
      <w:r>
        <w:rPr>
          <w:rFonts w:hint="eastAsia" w:cs="仿宋"/>
          <w:sz w:val="32"/>
          <w:szCs w:val="32"/>
          <w:highlight w:val="none"/>
          <w:lang w:val="en-US" w:eastAsia="zh-CN"/>
        </w:rPr>
        <w:t>27</w:t>
      </w:r>
    </w:p>
    <w:p>
      <w:pPr>
        <w:pStyle w:val="10"/>
        <w:adjustRightInd w:val="0"/>
        <w:snapToGrid w:val="0"/>
        <w:spacing w:before="0" w:line="440" w:lineRule="exact"/>
        <w:jc w:val="left"/>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rPr>
        <w:t>第五部分 附表</w:t>
      </w:r>
      <w:r>
        <w:rPr>
          <w:rFonts w:hint="eastAsia" w:ascii="仿宋" w:hAnsi="仿宋" w:eastAsia="仿宋" w:cs="仿宋"/>
          <w:sz w:val="32"/>
          <w:szCs w:val="32"/>
          <w:highlight w:val="none"/>
        </w:rPr>
        <w:tab/>
      </w:r>
      <w:r>
        <w:rPr>
          <w:rFonts w:hint="eastAsia" w:cs="仿宋"/>
          <w:sz w:val="32"/>
          <w:szCs w:val="32"/>
          <w:highlight w:val="none"/>
          <w:lang w:val="en-US" w:eastAsia="zh-CN"/>
        </w:rPr>
        <w:t>28</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一、收入支出决算总表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二、收入决算表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三、支出决算表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四、财政拨款收入支出决算总表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五、财政拨款支出决算明细表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六、一般公共预算财政拨款支出决算表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七、一般公共预算财政拨款支出决算明细表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八、一般公共预算财政拨款基本支出决算明细表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九、一般公共预算财政拨款项目支出决算表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十、政府性基金预算财政拨款收入支出决算表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十一、国有资本经营预算财政拨款收入支出决算表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十二、国有资本经营预算财政拨款支出决算表</w:t>
      </w:r>
    </w:p>
    <w:p>
      <w:pPr>
        <w:pStyle w:val="11"/>
        <w:adjustRightInd w:val="0"/>
        <w:snapToGrid w:val="0"/>
        <w:spacing w:line="440" w:lineRule="exact"/>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十三、财政拨款“三公”经费支出决算表</w:t>
      </w:r>
    </w:p>
    <w:p>
      <w:pPr>
        <w:widowControl/>
        <w:adjustRightInd w:val="0"/>
        <w:snapToGrid w:val="0"/>
        <w:spacing w:line="440" w:lineRule="exact"/>
        <w:ind w:firstLine="1760" w:firstLineChars="550"/>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(注：请单位根据实际注明页码)</w:t>
      </w:r>
    </w:p>
    <w:p>
      <w:pPr>
        <w:pStyle w:val="2"/>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rPr>
          <w:rFonts w:hint="eastAsia" w:ascii="仿宋" w:hAnsi="仿宋" w:eastAsia="仿宋" w:cs="仿宋"/>
          <w:color w:val="auto"/>
          <w:kern w:val="2"/>
          <w:sz w:val="32"/>
          <w:szCs w:val="32"/>
          <w:lang w:val="en-US" w:eastAsia="zh-CN" w:bidi="ar-SA"/>
        </w:rPr>
      </w:pPr>
    </w:p>
    <w:p>
      <w:pPr>
        <w:pStyle w:val="3"/>
        <w:jc w:val="center"/>
        <w:rPr>
          <w:rFonts w:hint="eastAsia" w:ascii="黑体" w:hAnsi="黑体" w:eastAsia="黑体" w:cs="黑体"/>
          <w:color w:val="auto"/>
          <w:kern w:val="2"/>
          <w:sz w:val="44"/>
          <w:szCs w:val="44"/>
          <w:lang w:val="en-US" w:eastAsia="zh-CN" w:bidi="ar-SA"/>
        </w:rPr>
      </w:pPr>
      <w:r>
        <w:rPr>
          <w:rFonts w:hint="eastAsia" w:ascii="黑体" w:hAnsi="黑体" w:eastAsia="黑体" w:cs="黑体"/>
          <w:color w:val="auto"/>
          <w:kern w:val="2"/>
          <w:sz w:val="44"/>
          <w:szCs w:val="44"/>
          <w:lang w:val="en-US" w:eastAsia="zh-CN" w:bidi="ar-SA"/>
        </w:rPr>
        <w:t>第一部分  单位概况</w:t>
      </w:r>
    </w:p>
    <w:p>
      <w:pPr>
        <w:snapToGrid w:val="0"/>
        <w:spacing w:line="520" w:lineRule="exact"/>
        <w:ind w:firstLine="640" w:firstLineChars="200"/>
        <w:rPr>
          <w:rFonts w:hint="eastAsia" w:ascii="黑体" w:hAnsi="黑体" w:eastAsia="黑体"/>
          <w:sz w:val="32"/>
          <w:szCs w:val="32"/>
        </w:rPr>
      </w:pPr>
    </w:p>
    <w:p>
      <w:pPr>
        <w:snapToGrid w:val="0"/>
        <w:spacing w:line="52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w:t>
      </w:r>
      <w:bookmarkEnd w:id="0"/>
      <w:r>
        <w:rPr>
          <w:rFonts w:hint="eastAsia" w:ascii="黑体" w:hAnsi="黑体" w:eastAsia="黑体" w:cs="黑体"/>
          <w:sz w:val="32"/>
          <w:szCs w:val="32"/>
        </w:rPr>
        <w:t>主要</w:t>
      </w:r>
      <w:r>
        <w:rPr>
          <w:rFonts w:hint="eastAsia" w:ascii="黑体" w:hAnsi="黑体" w:eastAsia="黑体" w:cs="黑体"/>
          <w:sz w:val="32"/>
          <w:szCs w:val="32"/>
          <w:lang w:val="en-US" w:eastAsia="zh-CN"/>
        </w:rPr>
        <w:t>职责</w:t>
      </w:r>
    </w:p>
    <w:p>
      <w:pPr>
        <w:pStyle w:val="7"/>
        <w:adjustRightInd w:val="0"/>
        <w:snapToGrid w:val="0"/>
        <w:spacing w:before="93" w:line="600" w:lineRule="exact"/>
        <w:ind w:firstLine="672" w:firstLineChars="210"/>
        <w:rPr>
          <w:rFonts w:hint="eastAsia" w:eastAsia="仿宋_GB2312"/>
          <w:bCs/>
          <w:color w:val="000000"/>
          <w:sz w:val="32"/>
          <w:szCs w:val="32"/>
          <w:lang w:eastAsia="zh-CN"/>
        </w:rPr>
      </w:pPr>
      <w:r>
        <w:rPr>
          <w:rFonts w:hint="eastAsia"/>
          <w:bCs/>
          <w:color w:val="000000"/>
          <w:sz w:val="32"/>
          <w:szCs w:val="32"/>
          <w:lang w:val="en-US" w:eastAsia="zh-CN"/>
        </w:rPr>
        <w:t>1、</w:t>
      </w:r>
      <w:r>
        <w:rPr>
          <w:rFonts w:hint="eastAsia"/>
          <w:bCs/>
          <w:color w:val="000000"/>
          <w:sz w:val="32"/>
          <w:szCs w:val="32"/>
        </w:rPr>
        <w:t>主要负责全县粮食流通宏观调控，依法加强对全市粮食流通的监管</w:t>
      </w:r>
      <w:r>
        <w:rPr>
          <w:rFonts w:hint="eastAsia"/>
          <w:bCs/>
          <w:color w:val="000000"/>
          <w:sz w:val="32"/>
          <w:szCs w:val="32"/>
          <w:lang w:eastAsia="zh-CN"/>
        </w:rPr>
        <w:t>。</w:t>
      </w:r>
    </w:p>
    <w:p>
      <w:pPr>
        <w:pStyle w:val="7"/>
        <w:adjustRightInd w:val="0"/>
        <w:snapToGrid w:val="0"/>
        <w:spacing w:before="93" w:line="600" w:lineRule="exact"/>
        <w:ind w:firstLine="672" w:firstLineChars="210"/>
        <w:rPr>
          <w:rFonts w:hint="eastAsia" w:eastAsia="仿宋_GB2312"/>
          <w:bCs/>
          <w:color w:val="000000"/>
          <w:sz w:val="32"/>
          <w:szCs w:val="32"/>
          <w:lang w:eastAsia="zh-CN"/>
        </w:rPr>
      </w:pPr>
      <w:r>
        <w:rPr>
          <w:rFonts w:hint="eastAsia"/>
          <w:bCs/>
          <w:color w:val="000000"/>
          <w:sz w:val="32"/>
          <w:szCs w:val="32"/>
          <w:lang w:val="en-US" w:eastAsia="zh-CN"/>
        </w:rPr>
        <w:t>2、</w:t>
      </w:r>
      <w:r>
        <w:rPr>
          <w:rFonts w:hint="eastAsia"/>
          <w:bCs/>
          <w:color w:val="000000"/>
          <w:sz w:val="32"/>
          <w:szCs w:val="32"/>
        </w:rPr>
        <w:t>履行粮食监测预警和应急责任，组织指导全县粮食系统统计工作</w:t>
      </w:r>
      <w:r>
        <w:rPr>
          <w:rFonts w:hint="eastAsia"/>
          <w:bCs/>
          <w:color w:val="000000"/>
          <w:sz w:val="32"/>
          <w:szCs w:val="32"/>
          <w:lang w:eastAsia="zh-CN"/>
        </w:rPr>
        <w:t>。</w:t>
      </w:r>
    </w:p>
    <w:p>
      <w:pPr>
        <w:pStyle w:val="7"/>
        <w:adjustRightInd w:val="0"/>
        <w:snapToGrid w:val="0"/>
        <w:spacing w:before="93" w:line="600" w:lineRule="exact"/>
        <w:ind w:firstLine="672" w:firstLineChars="210"/>
        <w:rPr>
          <w:rFonts w:hint="eastAsia" w:eastAsia="仿宋_GB2312"/>
          <w:bCs/>
          <w:color w:val="000000"/>
          <w:sz w:val="32"/>
          <w:szCs w:val="32"/>
          <w:lang w:eastAsia="zh-CN"/>
        </w:rPr>
      </w:pPr>
      <w:r>
        <w:rPr>
          <w:rFonts w:hint="eastAsia"/>
          <w:bCs/>
          <w:color w:val="000000"/>
          <w:sz w:val="32"/>
          <w:szCs w:val="32"/>
          <w:lang w:val="en-US" w:eastAsia="zh-CN"/>
        </w:rPr>
        <w:t>3、</w:t>
      </w:r>
      <w:r>
        <w:rPr>
          <w:rFonts w:hint="eastAsia"/>
          <w:bCs/>
          <w:color w:val="000000"/>
          <w:sz w:val="32"/>
          <w:szCs w:val="32"/>
        </w:rPr>
        <w:t>履行地方储备粮行政管理责任，指导全县粮食储备体系建设</w:t>
      </w:r>
      <w:r>
        <w:rPr>
          <w:rFonts w:hint="eastAsia"/>
          <w:bCs/>
          <w:color w:val="000000"/>
          <w:sz w:val="32"/>
          <w:szCs w:val="32"/>
          <w:lang w:eastAsia="zh-CN"/>
        </w:rPr>
        <w:t>。</w:t>
      </w:r>
    </w:p>
    <w:p>
      <w:pPr>
        <w:pStyle w:val="7"/>
        <w:adjustRightInd w:val="0"/>
        <w:snapToGrid w:val="0"/>
        <w:spacing w:before="93" w:line="600" w:lineRule="exact"/>
        <w:ind w:firstLine="672" w:firstLineChars="210"/>
        <w:rPr>
          <w:rFonts w:hint="eastAsia" w:eastAsia="仿宋_GB2312"/>
          <w:bCs/>
          <w:color w:val="000000"/>
          <w:sz w:val="32"/>
          <w:szCs w:val="32"/>
          <w:lang w:eastAsia="zh-CN"/>
        </w:rPr>
      </w:pPr>
      <w:r>
        <w:rPr>
          <w:rFonts w:hint="eastAsia"/>
          <w:bCs/>
          <w:color w:val="000000"/>
          <w:sz w:val="32"/>
          <w:szCs w:val="32"/>
          <w:lang w:val="en-US" w:eastAsia="zh-CN"/>
        </w:rPr>
        <w:t>4、</w:t>
      </w:r>
      <w:r>
        <w:rPr>
          <w:rFonts w:hint="eastAsia"/>
          <w:bCs/>
          <w:color w:val="000000"/>
          <w:sz w:val="32"/>
          <w:szCs w:val="32"/>
        </w:rPr>
        <w:t>负责全县粮食购销、储存和政策性用粮</w:t>
      </w:r>
      <w:r>
        <w:rPr>
          <w:rFonts w:hint="eastAsia"/>
          <w:bCs/>
          <w:color w:val="000000"/>
          <w:sz w:val="32"/>
          <w:szCs w:val="32"/>
          <w:lang w:eastAsia="zh-CN"/>
        </w:rPr>
        <w:t>质</w:t>
      </w:r>
      <w:r>
        <w:rPr>
          <w:rFonts w:hint="eastAsia"/>
          <w:bCs/>
          <w:color w:val="000000"/>
          <w:sz w:val="32"/>
          <w:szCs w:val="32"/>
        </w:rPr>
        <w:t>量安全</w:t>
      </w:r>
      <w:r>
        <w:rPr>
          <w:rFonts w:hint="eastAsia"/>
          <w:bCs/>
          <w:color w:val="000000"/>
          <w:sz w:val="32"/>
          <w:szCs w:val="32"/>
          <w:lang w:eastAsia="zh-CN"/>
        </w:rPr>
        <w:t>。</w:t>
      </w:r>
    </w:p>
    <w:p>
      <w:pPr>
        <w:pStyle w:val="7"/>
        <w:adjustRightInd w:val="0"/>
        <w:snapToGrid w:val="0"/>
        <w:spacing w:before="93" w:line="600" w:lineRule="exact"/>
        <w:ind w:firstLine="672" w:firstLineChars="210"/>
        <w:rPr>
          <w:rFonts w:hint="eastAsia"/>
          <w:bCs/>
          <w:color w:val="000000"/>
          <w:sz w:val="32"/>
          <w:szCs w:val="32"/>
        </w:rPr>
      </w:pPr>
      <w:r>
        <w:rPr>
          <w:rFonts w:hint="eastAsia"/>
          <w:bCs/>
          <w:color w:val="000000"/>
          <w:sz w:val="32"/>
          <w:szCs w:val="32"/>
          <w:lang w:val="en-US" w:eastAsia="zh-CN"/>
        </w:rPr>
        <w:t>5、</w:t>
      </w:r>
      <w:r>
        <w:rPr>
          <w:rFonts w:hint="eastAsia"/>
          <w:bCs/>
          <w:color w:val="000000"/>
          <w:sz w:val="32"/>
          <w:szCs w:val="32"/>
          <w:lang w:eastAsia="zh-CN"/>
        </w:rPr>
        <w:t>负责起草</w:t>
      </w:r>
      <w:r>
        <w:rPr>
          <w:rFonts w:hint="eastAsia"/>
          <w:bCs/>
          <w:color w:val="000000"/>
          <w:sz w:val="32"/>
          <w:szCs w:val="32"/>
        </w:rPr>
        <w:t>粮食流通管理条例等工作。</w:t>
      </w:r>
    </w:p>
    <w:p>
      <w:pPr>
        <w:pStyle w:val="7"/>
        <w:adjustRightInd w:val="0"/>
        <w:snapToGrid w:val="0"/>
        <w:spacing w:before="93" w:line="600" w:lineRule="exact"/>
        <w:ind w:firstLine="672" w:firstLineChars="210"/>
        <w:rPr>
          <w:rFonts w:hint="eastAsia"/>
          <w:bCs/>
          <w:color w:val="000000"/>
          <w:sz w:val="32"/>
          <w:szCs w:val="32"/>
        </w:rPr>
      </w:pPr>
    </w:p>
    <w:p>
      <w:pPr>
        <w:numPr>
          <w:ilvl w:val="0"/>
          <w:numId w:val="0"/>
        </w:numPr>
        <w:snapToGrid w:val="0"/>
        <w:spacing w:line="520" w:lineRule="exact"/>
        <w:ind w:firstLine="640" w:firstLineChars="200"/>
        <w:rPr>
          <w:rStyle w:val="18"/>
          <w:rFonts w:hint="default" w:ascii="仿宋" w:hAnsi="仿宋" w:eastAsia="仿宋" w:cs="仿宋"/>
          <w:b w:val="0"/>
          <w:i w:val="0"/>
          <w:caps w:val="0"/>
          <w:color w:val="000000"/>
          <w:spacing w:val="0"/>
          <w:sz w:val="32"/>
          <w:szCs w:val="32"/>
          <w:shd w:val="clear" w:color="auto" w:fill="FFFFFF"/>
          <w:lang w:val="en-US"/>
        </w:rPr>
      </w:pPr>
      <w:r>
        <w:rPr>
          <w:rFonts w:hint="eastAsia" w:ascii="黑体" w:hAnsi="黑体" w:eastAsia="黑体" w:cs="黑体"/>
          <w:sz w:val="32"/>
          <w:szCs w:val="32"/>
          <w:lang w:val="en-US" w:eastAsia="zh-CN"/>
        </w:rPr>
        <w:t>二、机构设置</w:t>
      </w:r>
    </w:p>
    <w:p>
      <w:pPr>
        <w:numPr>
          <w:ilvl w:val="0"/>
          <w:numId w:val="0"/>
        </w:numPr>
        <w:snapToGrid w:val="0"/>
        <w:spacing w:line="520" w:lineRule="exact"/>
        <w:ind w:firstLine="640" w:firstLineChars="200"/>
        <w:rPr>
          <w:rStyle w:val="18"/>
          <w:rFonts w:hint="eastAsia" w:ascii="仿宋" w:hAnsi="仿宋" w:eastAsia="仿宋" w:cs="仿宋"/>
          <w:b w:val="0"/>
          <w:i w:val="0"/>
          <w:caps w:val="0"/>
          <w:color w:val="000000"/>
          <w:spacing w:val="0"/>
          <w:sz w:val="32"/>
          <w:szCs w:val="32"/>
          <w:shd w:val="clear" w:color="auto" w:fill="FFFFFF"/>
        </w:rPr>
      </w:pPr>
      <w:r>
        <w:rPr>
          <w:rStyle w:val="18"/>
          <w:rFonts w:hint="eastAsia" w:ascii="仿宋" w:hAnsi="仿宋" w:eastAsia="仿宋" w:cs="仿宋"/>
          <w:b w:val="0"/>
          <w:i w:val="0"/>
          <w:caps w:val="0"/>
          <w:color w:val="000000"/>
          <w:spacing w:val="0"/>
          <w:sz w:val="32"/>
          <w:szCs w:val="32"/>
          <w:shd w:val="clear" w:color="auto" w:fill="FFFFFF"/>
        </w:rPr>
        <w:t>县粮储中心预算单位1个，其中：行政单位0个，事业单位1个。</w:t>
      </w:r>
    </w:p>
    <w:p>
      <w:pPr>
        <w:pStyle w:val="21"/>
        <w:keepNext w:val="0"/>
        <w:keepLines w:val="0"/>
        <w:pageBreakBefore w:val="0"/>
        <w:widowControl w:val="0"/>
        <w:kinsoku/>
        <w:wordWrap/>
        <w:overflowPunct/>
        <w:topLinePunct w:val="0"/>
        <w:bidi w:val="0"/>
        <w:snapToGrid/>
        <w:spacing w:line="560" w:lineRule="exact"/>
        <w:ind w:left="0" w:right="0" w:rightChars="0" w:firstLine="640" w:firstLineChars="200"/>
        <w:jc w:val="both"/>
        <w:textAlignment w:val="auto"/>
        <w:rPr>
          <w:rFonts w:hint="eastAsia" w:ascii="楷体" w:hAnsi="楷体" w:eastAsia="楷体" w:cs="楷体"/>
          <w:color w:val="auto"/>
          <w:sz w:val="32"/>
          <w:szCs w:val="32"/>
          <w:lang w:eastAsia="zh-CN"/>
        </w:rPr>
      </w:pPr>
    </w:p>
    <w:p>
      <w:pPr>
        <w:pStyle w:val="21"/>
        <w:keepNext w:val="0"/>
        <w:keepLines w:val="0"/>
        <w:pageBreakBefore w:val="0"/>
        <w:widowControl w:val="0"/>
        <w:kinsoku/>
        <w:wordWrap/>
        <w:overflowPunct/>
        <w:topLinePunct w:val="0"/>
        <w:bidi w:val="0"/>
        <w:snapToGrid/>
        <w:spacing w:line="560" w:lineRule="exact"/>
        <w:ind w:left="0" w:right="0" w:rightChars="0" w:firstLine="640" w:firstLineChars="200"/>
        <w:jc w:val="both"/>
        <w:textAlignment w:val="auto"/>
        <w:rPr>
          <w:rFonts w:hint="eastAsia" w:ascii="楷体" w:hAnsi="楷体" w:eastAsia="楷体" w:cs="楷体"/>
          <w:color w:val="auto"/>
          <w:sz w:val="32"/>
          <w:szCs w:val="32"/>
          <w:lang w:eastAsia="zh-CN"/>
        </w:rPr>
      </w:pPr>
    </w:p>
    <w:p>
      <w:pPr>
        <w:pStyle w:val="21"/>
        <w:keepNext w:val="0"/>
        <w:keepLines w:val="0"/>
        <w:pageBreakBefore w:val="0"/>
        <w:widowControl w:val="0"/>
        <w:kinsoku/>
        <w:wordWrap/>
        <w:overflowPunct/>
        <w:topLinePunct w:val="0"/>
        <w:bidi w:val="0"/>
        <w:snapToGrid/>
        <w:spacing w:line="560" w:lineRule="exact"/>
        <w:ind w:left="0" w:right="0" w:rightChars="0" w:firstLine="640" w:firstLineChars="200"/>
        <w:jc w:val="both"/>
        <w:textAlignment w:val="auto"/>
        <w:rPr>
          <w:rFonts w:hint="eastAsia" w:ascii="楷体" w:hAnsi="楷体" w:eastAsia="楷体" w:cs="楷体"/>
          <w:color w:val="auto"/>
          <w:sz w:val="32"/>
          <w:szCs w:val="32"/>
          <w:lang w:eastAsia="zh-CN"/>
        </w:rPr>
      </w:pPr>
    </w:p>
    <w:p>
      <w:pPr>
        <w:pStyle w:val="21"/>
        <w:keepNext w:val="0"/>
        <w:keepLines w:val="0"/>
        <w:pageBreakBefore w:val="0"/>
        <w:widowControl w:val="0"/>
        <w:kinsoku/>
        <w:wordWrap/>
        <w:overflowPunct/>
        <w:topLinePunct w:val="0"/>
        <w:bidi w:val="0"/>
        <w:snapToGrid/>
        <w:spacing w:line="560" w:lineRule="exact"/>
        <w:ind w:left="0" w:right="0" w:rightChars="0" w:firstLine="640" w:firstLineChars="200"/>
        <w:jc w:val="both"/>
        <w:textAlignment w:val="auto"/>
        <w:rPr>
          <w:rFonts w:hint="eastAsia" w:ascii="楷体" w:hAnsi="楷体" w:eastAsia="楷体" w:cs="楷体"/>
          <w:color w:val="auto"/>
          <w:sz w:val="32"/>
          <w:szCs w:val="32"/>
          <w:lang w:eastAsia="zh-CN"/>
        </w:rPr>
      </w:pPr>
    </w:p>
    <w:p>
      <w:pPr>
        <w:pStyle w:val="21"/>
        <w:keepNext w:val="0"/>
        <w:keepLines w:val="0"/>
        <w:pageBreakBefore w:val="0"/>
        <w:widowControl w:val="0"/>
        <w:kinsoku/>
        <w:wordWrap/>
        <w:overflowPunct/>
        <w:topLinePunct w:val="0"/>
        <w:bidi w:val="0"/>
        <w:snapToGrid/>
        <w:spacing w:line="560" w:lineRule="exact"/>
        <w:ind w:left="0" w:right="0" w:rightChars="0" w:firstLine="640" w:firstLineChars="200"/>
        <w:jc w:val="both"/>
        <w:textAlignment w:val="auto"/>
        <w:rPr>
          <w:rFonts w:hint="eastAsia" w:ascii="楷体" w:hAnsi="楷体" w:eastAsia="楷体" w:cs="楷体"/>
          <w:color w:val="auto"/>
          <w:sz w:val="32"/>
          <w:szCs w:val="32"/>
          <w:lang w:eastAsia="zh-CN"/>
        </w:rPr>
      </w:pPr>
    </w:p>
    <w:p>
      <w:pPr>
        <w:pStyle w:val="5"/>
        <w:ind w:right="440" w:firstLine="440" w:firstLineChars="100"/>
        <w:jc w:val="both"/>
        <w:rPr>
          <w:rFonts w:hint="eastAsia" w:ascii="仿宋_GB2312" w:hAnsi="仿宋_GB2312" w:eastAsia="仿宋_GB2312" w:cs="仿宋_GB2312"/>
          <w:color w:val="auto"/>
          <w:sz w:val="32"/>
          <w:szCs w:val="32"/>
          <w:lang w:val="en-US" w:eastAsia="zh-CN"/>
        </w:rPr>
      </w:pPr>
      <w:bookmarkStart w:id="1" w:name="_Toc15396602"/>
      <w:bookmarkStart w:id="2" w:name="_Toc15377204"/>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2023年度单位</w:t>
      </w:r>
      <w:r>
        <w:rPr>
          <w:rStyle w:val="22"/>
          <w:rFonts w:hint="eastAsia" w:ascii="黑体" w:hAnsi="黑体" w:eastAsia="黑体"/>
          <w:b w:val="0"/>
          <w:bCs/>
          <w:color w:val="auto"/>
          <w:highlight w:val="none"/>
        </w:rPr>
        <w:t>决算情况说明</w:t>
      </w:r>
      <w:bookmarkEnd w:id="1"/>
      <w:bookmarkEnd w:id="2"/>
    </w:p>
    <w:p>
      <w:pPr>
        <w:pStyle w:val="19"/>
        <w:numPr>
          <w:ilvl w:val="0"/>
          <w:numId w:val="1"/>
        </w:numPr>
        <w:spacing w:line="600" w:lineRule="exact"/>
        <w:ind w:firstLineChars="0"/>
        <w:outlineLvl w:val="1"/>
        <w:rPr>
          <w:rStyle w:val="23"/>
          <w:rFonts w:ascii="黑体" w:hAnsi="黑体" w:eastAsia="黑体"/>
          <w:b w:val="0"/>
          <w:color w:val="auto"/>
          <w:highlight w:val="none"/>
        </w:rPr>
      </w:pPr>
      <w:bookmarkStart w:id="3" w:name="_Toc15377205"/>
      <w:bookmarkStart w:id="4" w:name="_Toc15396603"/>
      <w:r>
        <w:rPr>
          <w:rFonts w:hint="eastAsia" w:ascii="黑体" w:hAnsi="黑体" w:eastAsia="黑体"/>
          <w:color w:val="auto"/>
          <w:sz w:val="32"/>
          <w:szCs w:val="32"/>
          <w:highlight w:val="none"/>
        </w:rPr>
        <w:t>收</w:t>
      </w:r>
      <w:r>
        <w:rPr>
          <w:rStyle w:val="23"/>
          <w:rFonts w:hint="eastAsia" w:ascii="黑体" w:hAnsi="黑体" w:eastAsia="黑体"/>
          <w:b w:val="0"/>
          <w:color w:val="auto"/>
          <w:highlight w:val="none"/>
        </w:rPr>
        <w:t>入支出决算总体情况说明</w:t>
      </w:r>
      <w:bookmarkEnd w:id="3"/>
      <w:bookmarkEnd w:id="4"/>
    </w:p>
    <w:p>
      <w:pPr>
        <w:snapToGrid w:val="0"/>
        <w:spacing w:line="520" w:lineRule="exact"/>
        <w:ind w:firstLine="640" w:firstLineChars="200"/>
        <w:rPr>
          <w:rFonts w:hint="eastAsia" w:ascii="楷体_GB2312" w:hAnsi="仿宋" w:eastAsia="仿宋"/>
          <w:b/>
          <w:sz w:val="32"/>
          <w:szCs w:val="32"/>
          <w:lang w:val="en-US" w:eastAsia="zh-CN"/>
        </w:rPr>
      </w:pPr>
      <w:r>
        <w:rPr>
          <w:rStyle w:val="18"/>
          <w:rFonts w:hint="eastAsia" w:ascii="仿宋" w:hAnsi="仿宋" w:eastAsia="仿宋" w:cs="仿宋"/>
          <w:b w:val="0"/>
          <w:i w:val="0"/>
          <w:caps w:val="0"/>
          <w:color w:val="000000"/>
          <w:spacing w:val="0"/>
          <w:sz w:val="32"/>
          <w:szCs w:val="32"/>
          <w:shd w:val="clear" w:color="auto" w:fill="FFFFFF"/>
          <w:lang w:val="en-US" w:eastAsia="zh-CN"/>
        </w:rPr>
        <w:drawing>
          <wp:anchor distT="0" distB="0" distL="114300" distR="114300" simplePos="0" relativeHeight="251660288" behindDoc="0" locked="0" layoutInCell="1" allowOverlap="1">
            <wp:simplePos x="0" y="0"/>
            <wp:positionH relativeFrom="column">
              <wp:posOffset>-395605</wp:posOffset>
            </wp:positionH>
            <wp:positionV relativeFrom="paragraph">
              <wp:posOffset>1123950</wp:posOffset>
            </wp:positionV>
            <wp:extent cx="5080000" cy="3918585"/>
            <wp:effectExtent l="4445" t="4445" r="20955" b="2032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r>
        <w:rPr>
          <w:rStyle w:val="18"/>
          <w:rFonts w:hint="eastAsia" w:ascii="仿宋" w:hAnsi="仿宋" w:eastAsia="仿宋" w:cs="仿宋"/>
          <w:b w:val="0"/>
          <w:i w:val="0"/>
          <w:caps w:val="0"/>
          <w:color w:val="000000"/>
          <w:spacing w:val="0"/>
          <w:sz w:val="32"/>
          <w:szCs w:val="32"/>
          <w:shd w:val="clear" w:color="auto" w:fill="FFFFFF"/>
        </w:rPr>
        <w:t>202</w:t>
      </w:r>
      <w:r>
        <w:rPr>
          <w:rStyle w:val="18"/>
          <w:rFonts w:hint="eastAsia" w:ascii="仿宋" w:hAnsi="仿宋" w:eastAsia="仿宋" w:cs="仿宋"/>
          <w:b w:val="0"/>
          <w:i w:val="0"/>
          <w:caps w:val="0"/>
          <w:color w:val="000000"/>
          <w:spacing w:val="0"/>
          <w:sz w:val="32"/>
          <w:szCs w:val="32"/>
          <w:shd w:val="clear" w:color="auto" w:fill="FFFFFF"/>
          <w:lang w:val="en-US" w:eastAsia="zh-CN"/>
        </w:rPr>
        <w:t>3</w:t>
      </w:r>
      <w:r>
        <w:rPr>
          <w:rStyle w:val="18"/>
          <w:rFonts w:hint="eastAsia" w:ascii="仿宋" w:hAnsi="仿宋" w:eastAsia="仿宋" w:cs="仿宋"/>
          <w:b w:val="0"/>
          <w:i w:val="0"/>
          <w:caps w:val="0"/>
          <w:color w:val="000000"/>
          <w:spacing w:val="0"/>
          <w:sz w:val="32"/>
          <w:szCs w:val="32"/>
          <w:shd w:val="clear" w:color="auto" w:fill="FFFFFF"/>
        </w:rPr>
        <w:t>年</w:t>
      </w:r>
      <w:r>
        <w:rPr>
          <w:rFonts w:hint="eastAsia" w:ascii="仿宋" w:hAnsi="仿宋" w:eastAsia="仿宋" w:cs="仿宋"/>
          <w:color w:val="auto"/>
          <w:sz w:val="32"/>
          <w:szCs w:val="32"/>
          <w:highlight w:val="none"/>
        </w:rPr>
        <w:t>度收、支总计</w:t>
      </w:r>
      <w:r>
        <w:rPr>
          <w:rFonts w:hint="eastAsia" w:ascii="仿宋" w:hAnsi="仿宋" w:eastAsia="仿宋" w:cs="仿宋"/>
          <w:color w:val="auto"/>
          <w:sz w:val="32"/>
          <w:szCs w:val="32"/>
          <w:highlight w:val="none"/>
          <w:lang w:eastAsia="zh-CN"/>
        </w:rPr>
        <w:t>均为</w:t>
      </w:r>
      <w:r>
        <w:rPr>
          <w:rStyle w:val="18"/>
          <w:rFonts w:hint="eastAsia" w:ascii="仿宋" w:hAnsi="仿宋" w:eastAsia="仿宋" w:cs="仿宋"/>
          <w:b w:val="0"/>
          <w:i w:val="0"/>
          <w:caps w:val="0"/>
          <w:color w:val="000000"/>
          <w:spacing w:val="0"/>
          <w:sz w:val="32"/>
          <w:szCs w:val="32"/>
          <w:shd w:val="clear" w:color="auto" w:fill="FFFFFF"/>
          <w:lang w:val="en-US" w:eastAsia="zh-CN"/>
        </w:rPr>
        <w:t>286.07</w:t>
      </w:r>
      <w:r>
        <w:rPr>
          <w:rStyle w:val="18"/>
          <w:rFonts w:hint="eastAsia" w:ascii="仿宋" w:hAnsi="仿宋" w:eastAsia="仿宋" w:cs="仿宋"/>
          <w:b w:val="0"/>
          <w:i w:val="0"/>
          <w:caps w:val="0"/>
          <w:color w:val="000000"/>
          <w:spacing w:val="0"/>
          <w:sz w:val="32"/>
          <w:szCs w:val="32"/>
          <w:shd w:val="clear" w:color="auto" w:fill="FFFFFF"/>
        </w:rPr>
        <w:t>万元，比</w:t>
      </w:r>
      <w:r>
        <w:rPr>
          <w:rStyle w:val="18"/>
          <w:rFonts w:hint="eastAsia" w:ascii="仿宋" w:hAnsi="仿宋" w:eastAsia="仿宋" w:cs="仿宋"/>
          <w:b w:val="0"/>
          <w:i w:val="0"/>
          <w:caps w:val="0"/>
          <w:color w:val="000000"/>
          <w:spacing w:val="0"/>
          <w:sz w:val="32"/>
          <w:szCs w:val="32"/>
          <w:shd w:val="clear" w:color="auto" w:fill="FFFFFF"/>
          <w:lang w:val="en-US" w:eastAsia="zh-CN"/>
        </w:rPr>
        <w:t>2022</w:t>
      </w:r>
      <w:r>
        <w:rPr>
          <w:rStyle w:val="18"/>
          <w:rFonts w:hint="eastAsia" w:ascii="仿宋" w:hAnsi="仿宋" w:eastAsia="仿宋" w:cs="仿宋"/>
          <w:b w:val="0"/>
          <w:i w:val="0"/>
          <w:caps w:val="0"/>
          <w:color w:val="000000"/>
          <w:spacing w:val="0"/>
          <w:sz w:val="32"/>
          <w:szCs w:val="32"/>
          <w:shd w:val="clear" w:color="auto" w:fill="FFFFFF"/>
        </w:rPr>
        <w:t>年收支预算总数</w:t>
      </w:r>
      <w:r>
        <w:rPr>
          <w:rStyle w:val="18"/>
          <w:rFonts w:hint="eastAsia" w:ascii="仿宋" w:hAnsi="仿宋" w:eastAsia="仿宋" w:cs="仿宋"/>
          <w:b w:val="0"/>
          <w:i w:val="0"/>
          <w:caps w:val="0"/>
          <w:color w:val="000000"/>
          <w:spacing w:val="0"/>
          <w:sz w:val="32"/>
          <w:szCs w:val="32"/>
          <w:shd w:val="clear" w:color="auto" w:fill="FFFFFF"/>
          <w:lang w:val="en-US" w:eastAsia="zh-CN"/>
        </w:rPr>
        <w:t>减少113.36</w:t>
      </w:r>
      <w:r>
        <w:rPr>
          <w:rStyle w:val="18"/>
          <w:rFonts w:hint="eastAsia" w:ascii="仿宋" w:hAnsi="仿宋" w:eastAsia="仿宋" w:cs="仿宋"/>
          <w:b w:val="0"/>
          <w:i w:val="0"/>
          <w:caps w:val="0"/>
          <w:color w:val="000000"/>
          <w:spacing w:val="0"/>
          <w:sz w:val="32"/>
          <w:szCs w:val="32"/>
          <w:shd w:val="clear" w:color="auto" w:fill="FFFFFF"/>
        </w:rPr>
        <w:t>万元，主要是由于</w:t>
      </w:r>
      <w:r>
        <w:rPr>
          <w:rStyle w:val="18"/>
          <w:rFonts w:hint="eastAsia" w:ascii="仿宋" w:hAnsi="仿宋" w:eastAsia="仿宋" w:cs="仿宋"/>
          <w:b w:val="0"/>
          <w:i w:val="0"/>
          <w:caps w:val="0"/>
          <w:color w:val="000000"/>
          <w:spacing w:val="0"/>
          <w:sz w:val="32"/>
          <w:szCs w:val="32"/>
          <w:shd w:val="clear" w:color="auto" w:fill="FFFFFF"/>
          <w:lang w:eastAsia="zh-CN"/>
        </w:rPr>
        <w:t>粮食轮换批次减少</w:t>
      </w:r>
      <w:r>
        <w:rPr>
          <w:rStyle w:val="18"/>
          <w:rFonts w:hint="eastAsia" w:ascii="仿宋" w:hAnsi="仿宋" w:eastAsia="仿宋" w:cs="仿宋"/>
          <w:b w:val="0"/>
          <w:i w:val="0"/>
          <w:caps w:val="0"/>
          <w:color w:val="000000"/>
          <w:spacing w:val="0"/>
          <w:sz w:val="32"/>
          <w:szCs w:val="32"/>
          <w:shd w:val="clear" w:color="auto" w:fill="FFFFFF"/>
          <w:lang w:val="en-US" w:eastAsia="zh-CN"/>
        </w:rPr>
        <w:t>,项目减少。</w:t>
      </w:r>
    </w:p>
    <w:p>
      <w:pPr>
        <w:snapToGrid w:val="0"/>
        <w:spacing w:line="520" w:lineRule="exact"/>
        <w:ind w:firstLine="640" w:firstLineChars="200"/>
        <w:rPr>
          <w:rFonts w:hint="eastAsia" w:ascii="黑体" w:hAnsi="黑体" w:eastAsia="黑体"/>
          <w:sz w:val="32"/>
          <w:szCs w:val="32"/>
        </w:rPr>
      </w:pPr>
      <w:bookmarkStart w:id="5" w:name="YS060102"/>
    </w:p>
    <w:p>
      <w:pPr>
        <w:snapToGrid w:val="0"/>
        <w:spacing w:line="520" w:lineRule="exact"/>
        <w:ind w:firstLine="640" w:firstLineChars="200"/>
        <w:rPr>
          <w:rFonts w:hint="eastAsia" w:ascii="黑体" w:hAnsi="黑体" w:eastAsia="黑体"/>
          <w:sz w:val="32"/>
          <w:szCs w:val="32"/>
        </w:rPr>
      </w:pPr>
    </w:p>
    <w:p>
      <w:pPr>
        <w:pStyle w:val="19"/>
        <w:numPr>
          <w:ilvl w:val="0"/>
          <w:numId w:val="1"/>
        </w:numPr>
        <w:spacing w:line="600" w:lineRule="exact"/>
        <w:ind w:firstLineChars="0"/>
        <w:outlineLvl w:val="1"/>
        <w:rPr>
          <w:rStyle w:val="23"/>
          <w:rFonts w:ascii="黑体" w:hAnsi="黑体" w:eastAsia="黑体"/>
          <w:b w:val="0"/>
          <w:color w:val="auto"/>
          <w:highlight w:val="none"/>
        </w:rPr>
      </w:pPr>
      <w:bookmarkStart w:id="6" w:name="_Toc15396604"/>
      <w:bookmarkStart w:id="7" w:name="_Toc15377206"/>
      <w:r>
        <w:rPr>
          <w:rFonts w:hint="eastAsia" w:ascii="黑体" w:hAnsi="黑体" w:eastAsia="黑体"/>
          <w:color w:val="auto"/>
          <w:sz w:val="32"/>
          <w:szCs w:val="32"/>
          <w:highlight w:val="none"/>
        </w:rPr>
        <w:t>收</w:t>
      </w:r>
      <w:r>
        <w:rPr>
          <w:rStyle w:val="23"/>
          <w:rFonts w:hint="eastAsia" w:ascii="黑体" w:hAnsi="黑体" w:eastAsia="黑体"/>
          <w:b w:val="0"/>
          <w:color w:val="auto"/>
          <w:highlight w:val="none"/>
        </w:rPr>
        <w:t>入决算情况说明</w:t>
      </w:r>
      <w:bookmarkEnd w:id="6"/>
      <w:bookmarkEnd w:id="7"/>
    </w:p>
    <w:bookmarkEnd w:id="5"/>
    <w:p>
      <w:pPr>
        <w:spacing w:line="600" w:lineRule="exact"/>
        <w:ind w:firstLine="640" w:firstLineChars="200"/>
        <w:outlineLvl w:val="1"/>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本年收入合计</w:t>
      </w:r>
      <w:r>
        <w:rPr>
          <w:rFonts w:hint="eastAsia" w:ascii="仿宋" w:hAnsi="仿宋" w:eastAsia="仿宋" w:cs="仿宋"/>
          <w:color w:val="auto"/>
          <w:sz w:val="32"/>
          <w:szCs w:val="32"/>
          <w:highlight w:val="none"/>
          <w:lang w:val="en-US" w:eastAsia="zh-CN"/>
        </w:rPr>
        <w:t>286.07</w:t>
      </w:r>
      <w:r>
        <w:rPr>
          <w:rFonts w:hint="eastAsia" w:ascii="仿宋" w:hAnsi="仿宋" w:eastAsia="仿宋" w:cs="仿宋"/>
          <w:color w:val="auto"/>
          <w:sz w:val="32"/>
          <w:szCs w:val="32"/>
          <w:highlight w:val="none"/>
        </w:rPr>
        <w:t>万元，其中：一般公共预算财政拨款收入</w:t>
      </w:r>
      <w:r>
        <w:rPr>
          <w:rFonts w:hint="eastAsia" w:ascii="仿宋" w:hAnsi="仿宋" w:eastAsia="仿宋" w:cs="仿宋"/>
          <w:color w:val="auto"/>
          <w:sz w:val="32"/>
          <w:szCs w:val="32"/>
          <w:highlight w:val="none"/>
          <w:lang w:val="en-US" w:eastAsia="zh-CN"/>
        </w:rPr>
        <w:t>284.07</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99.3</w:t>
      </w:r>
      <w:r>
        <w:rPr>
          <w:rFonts w:hint="eastAsia" w:ascii="仿宋" w:hAnsi="仿宋" w:eastAsia="仿宋" w:cs="仿宋"/>
          <w:color w:val="auto"/>
          <w:sz w:val="32"/>
          <w:szCs w:val="32"/>
          <w:highlight w:val="none"/>
        </w:rPr>
        <w:t>%；政府性基金预算财政拨款收入</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0.7</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国有资本经营预算财政拨款收入</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%；上级补助收入</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%；事业收入</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%；经营收入</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%；附属单位上缴收入</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%；其他收入</w:t>
      </w:r>
      <w:r>
        <w:rPr>
          <w:rFonts w:hint="eastAsia" w:ascii="仿宋" w:hAnsi="仿宋" w:eastAsia="仿宋" w:cs="仿宋"/>
          <w:color w:val="auto"/>
          <w:sz w:val="32"/>
          <w:szCs w:val="32"/>
          <w:highlight w:val="none"/>
          <w:lang w:val="en-US" w:eastAsia="zh-CN"/>
        </w:rPr>
        <w:t>0.02</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w:t>
      </w:r>
    </w:p>
    <w:p>
      <w:pPr>
        <w:numPr>
          <w:ilvl w:val="0"/>
          <w:numId w:val="0"/>
        </w:numPr>
        <w:ind w:firstLine="643" w:firstLineChars="200"/>
        <w:jc w:val="both"/>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01表</w:t>
      </w:r>
      <w:r>
        <w:rPr>
          <w:rFonts w:hint="eastAsia" w:ascii="仿宋" w:hAnsi="仿宋" w:eastAsia="仿宋"/>
          <w:b/>
          <w:color w:val="auto"/>
          <w:sz w:val="32"/>
          <w:szCs w:val="32"/>
          <w:highlight w:val="none"/>
          <w:lang w:eastAsia="zh-CN"/>
        </w:rPr>
        <w:t>，仅罗列本单位涉及的收入。</w:t>
      </w:r>
      <w:r>
        <w:rPr>
          <w:rFonts w:ascii="仿宋" w:hAnsi="仿宋" w:eastAsia="仿宋"/>
          <w:b/>
          <w:color w:val="auto"/>
          <w:sz w:val="32"/>
          <w:szCs w:val="32"/>
          <w:highlight w:val="none"/>
        </w:rPr>
        <w:t>）</w:t>
      </w:r>
    </w:p>
    <w:p>
      <w:pPr>
        <w:pStyle w:val="2"/>
        <w:rPr>
          <w:rFonts w:ascii="仿宋" w:hAnsi="仿宋" w:eastAsia="仿宋"/>
          <w:b/>
          <w:color w:val="auto"/>
          <w:sz w:val="32"/>
          <w:szCs w:val="32"/>
          <w:highlight w:val="none"/>
        </w:rPr>
      </w:pPr>
      <w:r>
        <w:drawing>
          <wp:inline distT="0" distB="0" distL="114300" distR="114300">
            <wp:extent cx="4826000" cy="2743200"/>
            <wp:effectExtent l="4445" t="4445" r="8255" b="1460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（图2：收入决算结构图）（饼状图）</w:t>
      </w:r>
    </w:p>
    <w:p>
      <w:pPr>
        <w:pStyle w:val="3"/>
        <w:rPr>
          <w:rFonts w:hint="eastAsia"/>
          <w:lang w:val="en-US" w:eastAsia="zh-CN"/>
        </w:rPr>
      </w:pPr>
    </w:p>
    <w:p>
      <w:pPr>
        <w:pStyle w:val="19"/>
        <w:numPr>
          <w:ilvl w:val="0"/>
          <w:numId w:val="1"/>
        </w:numPr>
        <w:spacing w:line="600" w:lineRule="exact"/>
        <w:ind w:firstLineChars="0"/>
        <w:outlineLvl w:val="1"/>
        <w:rPr>
          <w:rStyle w:val="23"/>
          <w:rFonts w:ascii="黑体" w:hAnsi="黑体" w:eastAsia="黑体"/>
          <w:b w:val="0"/>
          <w:color w:val="auto"/>
          <w:highlight w:val="none"/>
        </w:rPr>
      </w:pPr>
      <w:bookmarkStart w:id="8" w:name="_Toc15377207"/>
      <w:bookmarkStart w:id="9" w:name="_Toc15396605"/>
      <w:r>
        <w:rPr>
          <w:rFonts w:hint="eastAsia" w:ascii="黑体" w:hAnsi="黑体" w:eastAsia="黑体"/>
          <w:color w:val="auto"/>
          <w:sz w:val="32"/>
          <w:szCs w:val="32"/>
          <w:highlight w:val="none"/>
        </w:rPr>
        <w:t>支</w:t>
      </w:r>
      <w:r>
        <w:rPr>
          <w:rStyle w:val="23"/>
          <w:rFonts w:hint="eastAsia" w:ascii="黑体" w:hAnsi="黑体" w:eastAsia="黑体"/>
          <w:b w:val="0"/>
          <w:color w:val="auto"/>
          <w:highlight w:val="none"/>
        </w:rPr>
        <w:t>出决算情况说明</w:t>
      </w:r>
      <w:bookmarkEnd w:id="8"/>
      <w:bookmarkEnd w:id="9"/>
    </w:p>
    <w:p>
      <w:pPr>
        <w:spacing w:line="600" w:lineRule="exact"/>
        <w:ind w:firstLine="640" w:firstLineChars="200"/>
        <w:outlineLvl w:val="1"/>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本年支出合计</w:t>
      </w:r>
      <w:r>
        <w:rPr>
          <w:rFonts w:hint="eastAsia" w:ascii="仿宋" w:hAnsi="仿宋" w:eastAsia="仿宋" w:cs="仿宋"/>
          <w:color w:val="auto"/>
          <w:sz w:val="32"/>
          <w:szCs w:val="32"/>
          <w:highlight w:val="none"/>
          <w:lang w:val="en-US" w:eastAsia="zh-CN"/>
        </w:rPr>
        <w:t>286.07</w:t>
      </w:r>
      <w:r>
        <w:rPr>
          <w:rFonts w:hint="eastAsia" w:ascii="仿宋" w:hAnsi="仿宋" w:eastAsia="仿宋" w:cs="仿宋"/>
          <w:color w:val="auto"/>
          <w:sz w:val="32"/>
          <w:szCs w:val="32"/>
          <w:highlight w:val="none"/>
        </w:rPr>
        <w:t>万元，其中：基本支出</w:t>
      </w:r>
      <w:r>
        <w:rPr>
          <w:rFonts w:hint="eastAsia" w:ascii="仿宋" w:hAnsi="仿宋" w:eastAsia="仿宋" w:cs="仿宋"/>
          <w:color w:val="auto"/>
          <w:sz w:val="32"/>
          <w:szCs w:val="32"/>
          <w:highlight w:val="none"/>
          <w:lang w:val="en-US" w:eastAsia="zh-CN"/>
        </w:rPr>
        <w:t>147.18</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51.45</w:t>
      </w:r>
      <w:r>
        <w:rPr>
          <w:rFonts w:hint="eastAsia" w:ascii="仿宋" w:hAnsi="仿宋" w:eastAsia="仿宋" w:cs="仿宋"/>
          <w:color w:val="auto"/>
          <w:sz w:val="32"/>
          <w:szCs w:val="32"/>
          <w:highlight w:val="none"/>
        </w:rPr>
        <w:t>%；项目支出</w:t>
      </w:r>
      <w:r>
        <w:rPr>
          <w:rFonts w:hint="eastAsia" w:ascii="仿宋" w:hAnsi="仿宋" w:eastAsia="仿宋" w:cs="仿宋"/>
          <w:color w:val="auto"/>
          <w:sz w:val="32"/>
          <w:szCs w:val="32"/>
          <w:highlight w:val="none"/>
          <w:lang w:val="en-US" w:eastAsia="zh-CN"/>
        </w:rPr>
        <w:t>138.89</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48.55</w:t>
      </w:r>
      <w:r>
        <w:rPr>
          <w:rFonts w:hint="eastAsia" w:ascii="仿宋" w:hAnsi="仿宋" w:eastAsia="仿宋" w:cs="仿宋"/>
          <w:color w:val="auto"/>
          <w:sz w:val="32"/>
          <w:szCs w:val="32"/>
          <w:highlight w:val="none"/>
        </w:rPr>
        <w:t>%；上缴上级支出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%；经营支出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%；对附属单位补助支出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w:t>
      </w:r>
    </w:p>
    <w:p>
      <w:pPr>
        <w:spacing w:line="600" w:lineRule="exact"/>
        <w:ind w:firstLine="321" w:firstLineChars="100"/>
        <w:outlineLvl w:val="1"/>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04</w:t>
      </w:r>
      <w:r>
        <w:rPr>
          <w:rFonts w:hint="eastAsia" w:ascii="仿宋" w:hAnsi="仿宋" w:eastAsia="仿宋"/>
          <w:b/>
          <w:color w:val="auto"/>
          <w:sz w:val="32"/>
          <w:szCs w:val="32"/>
          <w:highlight w:val="none"/>
        </w:rPr>
        <w:t>表</w:t>
      </w:r>
      <w:r>
        <w:rPr>
          <w:rFonts w:hint="eastAsia" w:ascii="仿宋" w:hAnsi="仿宋" w:eastAsia="仿宋"/>
          <w:b/>
          <w:color w:val="auto"/>
          <w:sz w:val="32"/>
          <w:szCs w:val="32"/>
          <w:highlight w:val="none"/>
          <w:lang w:eastAsia="zh-CN"/>
        </w:rPr>
        <w:t>，仅罗列本单位涉及的支出。</w:t>
      </w:r>
      <w:r>
        <w:rPr>
          <w:rFonts w:hint="eastAsia" w:ascii="仿宋" w:hAnsi="仿宋" w:eastAsia="仿宋"/>
          <w:b/>
          <w:color w:val="auto"/>
          <w:sz w:val="32"/>
          <w:szCs w:val="32"/>
          <w:highlight w:val="none"/>
        </w:rPr>
        <w:t>）</w:t>
      </w:r>
    </w:p>
    <w:p>
      <w:pPr>
        <w:pStyle w:val="2"/>
        <w:rPr>
          <w:rFonts w:ascii="仿宋" w:hAnsi="仿宋" w:eastAsia="仿宋"/>
          <w:color w:val="auto"/>
          <w:sz w:val="32"/>
          <w:szCs w:val="32"/>
          <w:highlight w:val="none"/>
          <w:shd w:val="pct10" w:color="auto" w:fill="FFFFFF"/>
        </w:rPr>
      </w:pPr>
    </w:p>
    <w:p>
      <w:pPr>
        <w:keepNext w:val="0"/>
        <w:keepLines w:val="0"/>
        <w:widowControl/>
        <w:suppressLineNumbers w:val="0"/>
        <w:spacing w:line="600" w:lineRule="exact"/>
        <w:ind w:firstLine="640" w:firstLineChars="200"/>
        <w:jc w:val="left"/>
        <w:rPr>
          <w:rFonts w:hint="eastAsia" w:ascii="仿宋_GB2312" w:hAnsi="仿宋" w:eastAsia="仿宋_GB2312"/>
          <w:sz w:val="32"/>
          <w:szCs w:val="32"/>
        </w:rPr>
      </w:pPr>
    </w:p>
    <w:p>
      <w:pPr>
        <w:pStyle w:val="2"/>
        <w:rPr>
          <w:rFonts w:hint="eastAsia" w:ascii="仿宋_GB2312" w:hAnsi="仿宋" w:eastAsia="仿宋_GB2312"/>
          <w:sz w:val="32"/>
          <w:szCs w:val="32"/>
        </w:rPr>
      </w:pPr>
    </w:p>
    <w:p>
      <w:pPr>
        <w:pStyle w:val="3"/>
        <w:rPr>
          <w:rFonts w:hint="eastAsia"/>
        </w:rPr>
      </w:pPr>
      <w:r>
        <w:drawing>
          <wp:inline distT="0" distB="0" distL="114300" distR="114300">
            <wp:extent cx="4826000" cy="2743200"/>
            <wp:effectExtent l="4445" t="4445" r="8255" b="14605"/>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keepNext w:val="0"/>
        <w:keepLines w:val="0"/>
        <w:widowControl/>
        <w:suppressLineNumbers w:val="0"/>
        <w:spacing w:line="600" w:lineRule="exact"/>
        <w:jc w:val="left"/>
        <w:rPr>
          <w:rFonts w:hint="eastAsia" w:ascii="仿宋_GB2312" w:hAnsi="仿宋" w:eastAsia="仿宋_GB2312"/>
          <w:sz w:val="32"/>
          <w:szCs w:val="32"/>
        </w:rPr>
      </w:pPr>
    </w:p>
    <w:p>
      <w:pPr>
        <w:spacing w:line="600" w:lineRule="exact"/>
        <w:ind w:firstLine="640" w:firstLineChars="200"/>
        <w:outlineLvl w:val="1"/>
        <w:rPr>
          <w:rStyle w:val="23"/>
          <w:rFonts w:ascii="黑体" w:hAnsi="黑体" w:eastAsia="黑体"/>
          <w:b w:val="0"/>
          <w:color w:val="auto"/>
          <w:highlight w:val="none"/>
        </w:rPr>
      </w:pPr>
      <w:bookmarkStart w:id="10" w:name="_Toc15377208"/>
      <w:bookmarkStart w:id="11" w:name="_Toc15396606"/>
      <w:r>
        <w:rPr>
          <w:rFonts w:hint="eastAsia" w:ascii="黑体" w:hAnsi="黑体" w:eastAsia="黑体"/>
          <w:color w:val="auto"/>
          <w:sz w:val="32"/>
          <w:szCs w:val="32"/>
          <w:highlight w:val="none"/>
        </w:rPr>
        <w:t>四、财</w:t>
      </w:r>
      <w:r>
        <w:rPr>
          <w:rStyle w:val="23"/>
          <w:rFonts w:hint="eastAsia" w:ascii="黑体" w:hAnsi="黑体" w:eastAsia="黑体"/>
          <w:b w:val="0"/>
          <w:color w:val="auto"/>
          <w:highlight w:val="none"/>
        </w:rPr>
        <w:t>政拨款收入支出决算总体情况说明</w:t>
      </w:r>
      <w:bookmarkEnd w:id="10"/>
      <w:bookmarkEnd w:id="11"/>
    </w:p>
    <w:p>
      <w:pPr>
        <w:spacing w:line="600" w:lineRule="exact"/>
        <w:ind w:firstLine="640"/>
        <w:rPr>
          <w:rFonts w:hint="default" w:ascii="仿宋" w:hAnsi="仿宋" w:eastAsia="仿宋"/>
          <w:color w:val="auto"/>
          <w:sz w:val="32"/>
          <w:szCs w:val="32"/>
          <w:highlight w:val="none"/>
          <w:lang w:val="en-US"/>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财政拨款收、支总计</w:t>
      </w:r>
      <w:r>
        <w:rPr>
          <w:rFonts w:hint="eastAsia" w:ascii="仿宋" w:hAnsi="仿宋" w:eastAsia="仿宋"/>
          <w:color w:val="auto"/>
          <w:sz w:val="32"/>
          <w:szCs w:val="32"/>
          <w:highlight w:val="none"/>
          <w:lang w:eastAsia="zh-CN"/>
        </w:rPr>
        <w:t>均</w:t>
      </w:r>
      <w:r>
        <w:rPr>
          <w:rFonts w:hint="eastAsia" w:ascii="仿宋" w:hAnsi="仿宋" w:eastAsia="仿宋"/>
          <w:color w:val="auto"/>
          <w:sz w:val="32"/>
          <w:szCs w:val="32"/>
          <w:highlight w:val="none"/>
          <w:lang w:val="en-US" w:eastAsia="zh-CN"/>
        </w:rPr>
        <w:t>为286.07</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相比，财政拨款收、支总计各</w:t>
      </w:r>
      <w:r>
        <w:rPr>
          <w:rFonts w:hint="eastAsia" w:ascii="仿宋" w:hAnsi="仿宋" w:eastAsia="仿宋"/>
          <w:color w:val="auto"/>
          <w:sz w:val="32"/>
          <w:szCs w:val="32"/>
          <w:highlight w:val="none"/>
          <w:lang w:val="en-US" w:eastAsia="zh-CN"/>
        </w:rPr>
        <w:t>减少113.36</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减少28.38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lang w:eastAsia="zh-CN"/>
        </w:rPr>
        <w:t>20</w:t>
      </w:r>
      <w:r>
        <w:rPr>
          <w:rFonts w:hint="eastAsia" w:ascii="仿宋" w:hAnsi="仿宋" w:eastAsia="仿宋"/>
          <w:color w:val="auto"/>
          <w:sz w:val="32"/>
          <w:szCs w:val="32"/>
          <w:lang w:val="en-US" w:eastAsia="zh-CN"/>
        </w:rPr>
        <w:t>23</w:t>
      </w:r>
      <w:r>
        <w:rPr>
          <w:rFonts w:hint="eastAsia" w:ascii="仿宋" w:hAnsi="仿宋" w:eastAsia="仿宋"/>
          <w:color w:val="auto"/>
          <w:sz w:val="32"/>
          <w:szCs w:val="32"/>
        </w:rPr>
        <w:t>年项目</w:t>
      </w:r>
      <w:r>
        <w:rPr>
          <w:rFonts w:hint="eastAsia" w:ascii="仿宋" w:hAnsi="仿宋" w:eastAsia="仿宋"/>
          <w:color w:val="auto"/>
          <w:sz w:val="32"/>
          <w:szCs w:val="32"/>
          <w:lang w:eastAsia="zh-CN"/>
        </w:rPr>
        <w:t>减少，轮换批次减少</w:t>
      </w:r>
      <w:r>
        <w:rPr>
          <w:rFonts w:hint="eastAsia" w:ascii="仿宋" w:hAnsi="仿宋" w:eastAsia="仿宋" w:cs="Times New Roman"/>
          <w:kern w:val="2"/>
          <w:sz w:val="32"/>
          <w:szCs w:val="32"/>
          <w:lang w:val="en-US" w:eastAsia="zh-CN" w:bidi="ar"/>
        </w:rPr>
        <w:t>。</w:t>
      </w:r>
    </w:p>
    <w:p>
      <w:pPr>
        <w:spacing w:line="600" w:lineRule="exact"/>
        <w:ind w:firstLine="321" w:firstLineChars="100"/>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01-1</w:t>
      </w:r>
      <w:r>
        <w:rPr>
          <w:rFonts w:hint="eastAsia" w:ascii="仿宋" w:hAnsi="仿宋" w:eastAsia="仿宋"/>
          <w:b/>
          <w:color w:val="auto"/>
          <w:sz w:val="32"/>
          <w:szCs w:val="32"/>
          <w:highlight w:val="none"/>
        </w:rPr>
        <w:t>表</w:t>
      </w:r>
      <w:r>
        <w:rPr>
          <w:rFonts w:ascii="仿宋" w:hAnsi="仿宋" w:eastAsia="仿宋"/>
          <w:b/>
          <w:color w:val="auto"/>
          <w:sz w:val="32"/>
          <w:szCs w:val="32"/>
          <w:highlight w:val="none"/>
        </w:rPr>
        <w:t>）</w:t>
      </w:r>
    </w:p>
    <w:p>
      <w:pPr>
        <w:pStyle w:val="3"/>
        <w:ind w:left="0" w:leftChars="0" w:firstLine="0" w:firstLineChars="0"/>
        <w:rPr>
          <w:rFonts w:hint="eastAsia"/>
        </w:rPr>
      </w:pPr>
    </w:p>
    <w:p>
      <w:pPr>
        <w:pStyle w:val="3"/>
        <w:rPr>
          <w:rFonts w:hint="eastAsia" w:ascii="仿宋_GB2312" w:hAnsi="仿宋" w:eastAsia="仿宋_GB2312"/>
          <w:sz w:val="32"/>
          <w:szCs w:val="32"/>
        </w:rPr>
      </w:pPr>
      <w:r>
        <w:drawing>
          <wp:inline distT="0" distB="0" distL="114300" distR="114300">
            <wp:extent cx="4826000" cy="2743200"/>
            <wp:effectExtent l="4445" t="4445" r="8255" b="14605"/>
            <wp:docPr id="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3"/>
        <w:ind w:left="0" w:leftChars="0" w:firstLine="320" w:firstLineChars="100"/>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spacing w:line="600" w:lineRule="exact"/>
        <w:ind w:firstLine="640" w:firstLineChars="200"/>
        <w:outlineLvl w:val="1"/>
        <w:rPr>
          <w:rStyle w:val="23"/>
          <w:rFonts w:ascii="黑体" w:hAnsi="黑体" w:eastAsia="黑体"/>
          <w:b w:val="0"/>
          <w:color w:val="auto"/>
          <w:highlight w:val="none"/>
        </w:rPr>
      </w:pPr>
      <w:bookmarkStart w:id="12" w:name="_Toc15396607"/>
      <w:bookmarkStart w:id="13"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3"/>
          <w:rFonts w:hint="eastAsia" w:ascii="黑体" w:hAnsi="黑体" w:eastAsia="黑体"/>
          <w:b w:val="0"/>
          <w:color w:val="auto"/>
          <w:highlight w:val="none"/>
        </w:rPr>
        <w:t>般公共预算财政拨款支出决算情况说明</w:t>
      </w:r>
      <w:bookmarkEnd w:id="12"/>
      <w:bookmarkEnd w:id="13"/>
    </w:p>
    <w:p>
      <w:pPr>
        <w:spacing w:line="600" w:lineRule="exact"/>
        <w:ind w:firstLine="643" w:firstLineChars="200"/>
        <w:outlineLvl w:val="2"/>
        <w:rPr>
          <w:rFonts w:ascii="仿宋" w:hAnsi="仿宋" w:eastAsia="仿宋"/>
          <w:b/>
          <w:color w:val="auto"/>
          <w:sz w:val="32"/>
          <w:szCs w:val="32"/>
          <w:highlight w:val="none"/>
        </w:rPr>
      </w:pPr>
      <w:bookmarkStart w:id="14" w:name="_Toc15377210"/>
      <w:r>
        <w:rPr>
          <w:rFonts w:hint="eastAsia" w:ascii="仿宋" w:hAnsi="仿宋" w:eastAsia="仿宋"/>
          <w:b/>
          <w:color w:val="auto"/>
          <w:sz w:val="32"/>
          <w:szCs w:val="32"/>
          <w:highlight w:val="none"/>
        </w:rPr>
        <w:t>（一）一般公共预算财政拨款支出决算总体情况</w:t>
      </w:r>
      <w:bookmarkEnd w:id="14"/>
    </w:p>
    <w:p>
      <w:pPr>
        <w:spacing w:line="600" w:lineRule="exact"/>
        <w:ind w:firstLine="640" w:firstLineChars="200"/>
        <w:rPr>
          <w:rFonts w:hint="eastAsia" w:ascii="仿宋" w:hAnsi="仿宋" w:eastAsia="仿宋" w:cs="Times New Roman"/>
          <w:kern w:val="2"/>
          <w:sz w:val="32"/>
          <w:szCs w:val="32"/>
          <w:lang w:val="en-US" w:eastAsia="zh-CN" w:bidi="ar"/>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val="en-US" w:eastAsia="zh-CN"/>
        </w:rPr>
        <w:t>284.07</w:t>
      </w:r>
      <w:r>
        <w:rPr>
          <w:rFonts w:hint="eastAsia" w:ascii="仿宋" w:hAnsi="仿宋" w:eastAsia="仿宋"/>
          <w:color w:val="auto"/>
          <w:sz w:val="32"/>
          <w:szCs w:val="32"/>
          <w:highlight w:val="none"/>
        </w:rPr>
        <w:t>万元，占本年支出合计的</w:t>
      </w:r>
      <w:r>
        <w:rPr>
          <w:rFonts w:hint="eastAsia" w:ascii="仿宋" w:hAnsi="仿宋" w:eastAsia="仿宋" w:cs="仿宋"/>
          <w:color w:val="auto"/>
          <w:sz w:val="32"/>
          <w:szCs w:val="32"/>
          <w:highlight w:val="none"/>
          <w:lang w:val="en-US" w:eastAsia="zh-CN"/>
        </w:rPr>
        <w:t>99.3</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lang w:val="en-US" w:eastAsia="zh-CN"/>
        </w:rPr>
        <w:t>减少20.44</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减少6.71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s="Times New Roman"/>
          <w:kern w:val="2"/>
          <w:sz w:val="32"/>
          <w:szCs w:val="32"/>
          <w:lang w:val="en-US" w:eastAsia="zh-CN" w:bidi="ar"/>
        </w:rPr>
        <w:t>2023年度项目支出数减少。</w:t>
      </w:r>
    </w:p>
    <w:p>
      <w:pPr>
        <w:pStyle w:val="2"/>
        <w:rPr>
          <w:rFonts w:hint="eastAsia" w:ascii="仿宋" w:hAnsi="仿宋" w:eastAsia="仿宋" w:cs="Times New Roman"/>
          <w:kern w:val="2"/>
          <w:sz w:val="32"/>
          <w:szCs w:val="32"/>
          <w:lang w:val="en-US" w:eastAsia="zh-CN" w:bidi="ar"/>
        </w:rPr>
      </w:pPr>
    </w:p>
    <w:p>
      <w:pPr>
        <w:pStyle w:val="3"/>
        <w:rPr>
          <w:rFonts w:hint="eastAsia"/>
        </w:rPr>
      </w:pPr>
    </w:p>
    <w:p>
      <w:pPr>
        <w:pStyle w:val="3"/>
      </w:pPr>
      <w:r>
        <w:drawing>
          <wp:inline distT="0" distB="0" distL="114300" distR="114300">
            <wp:extent cx="5111750" cy="2743200"/>
            <wp:effectExtent l="4445" t="4445" r="8255"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3" w:firstLineChars="200"/>
        <w:outlineLvl w:val="2"/>
        <w:rPr>
          <w:rFonts w:ascii="仿宋" w:hAnsi="仿宋" w:eastAsia="仿宋"/>
          <w:b/>
          <w:color w:val="auto"/>
          <w:sz w:val="32"/>
          <w:szCs w:val="32"/>
          <w:highlight w:val="none"/>
        </w:rPr>
      </w:pPr>
      <w:bookmarkStart w:id="15" w:name="_Toc15377211"/>
      <w:r>
        <w:rPr>
          <w:rFonts w:hint="eastAsia" w:ascii="仿宋" w:hAnsi="仿宋" w:eastAsia="仿宋"/>
          <w:b/>
          <w:color w:val="auto"/>
          <w:sz w:val="32"/>
          <w:szCs w:val="32"/>
          <w:highlight w:val="none"/>
        </w:rPr>
        <w:t>（二）一般公共预算财政拨款支出决算结构情况</w:t>
      </w:r>
      <w:bookmarkEnd w:id="15"/>
    </w:p>
    <w:p>
      <w:pPr>
        <w:spacing w:line="600" w:lineRule="exact"/>
        <w:ind w:firstLine="640"/>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一般公共预算财政拨款出</w:t>
      </w:r>
      <w:r>
        <w:rPr>
          <w:rFonts w:hint="eastAsia" w:ascii="仿宋" w:hAnsi="仿宋" w:eastAsia="仿宋"/>
          <w:color w:val="auto"/>
          <w:sz w:val="32"/>
          <w:szCs w:val="32"/>
          <w:highlight w:val="none"/>
          <w:lang w:val="en-US" w:eastAsia="zh-CN"/>
        </w:rPr>
        <w:t>284.07</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一般公共服务</w:t>
      </w:r>
      <w:r>
        <w:rPr>
          <w:rFonts w:hint="eastAsia" w:ascii="仿宋" w:hAnsi="仿宋" w:eastAsia="仿宋"/>
          <w:b/>
          <w:bCs/>
          <w:color w:val="auto"/>
          <w:sz w:val="32"/>
          <w:szCs w:val="32"/>
          <w:highlight w:val="none"/>
        </w:rPr>
        <w:t>支出</w:t>
      </w:r>
      <w:r>
        <w:rPr>
          <w:rFonts w:hint="eastAsia" w:ascii="仿宋" w:hAnsi="仿宋" w:eastAsia="仿宋"/>
          <w:b/>
          <w:bCs/>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教育支出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科学技术</w:t>
      </w:r>
      <w:r>
        <w:rPr>
          <w:rFonts w:hint="eastAsia" w:ascii="仿宋" w:hAnsi="仿宋" w:eastAsia="仿宋"/>
          <w:b/>
          <w:bCs/>
          <w:color w:val="auto"/>
          <w:sz w:val="32"/>
          <w:szCs w:val="32"/>
          <w:highlight w:val="none"/>
        </w:rPr>
        <w:t>支出</w:t>
      </w:r>
      <w:r>
        <w:rPr>
          <w:rFonts w:hint="eastAsia" w:ascii="仿宋" w:hAnsi="仿宋" w:eastAsia="仿宋"/>
          <w:b/>
          <w:bCs/>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文化旅游体育与传媒支出</w:t>
      </w:r>
      <w:r>
        <w:rPr>
          <w:rFonts w:hint="eastAsia" w:ascii="仿宋" w:hAnsi="仿宋" w:eastAsia="仿宋"/>
          <w:b/>
          <w:bCs/>
          <w:color w:val="auto"/>
          <w:sz w:val="32"/>
          <w:szCs w:val="32"/>
          <w:highlight w:val="none"/>
          <w:lang w:val="en-US" w:eastAsia="zh-CN"/>
        </w:rPr>
        <w:t>0</w:t>
      </w:r>
      <w:r>
        <w:rPr>
          <w:rFonts w:hint="eastAsia" w:ascii="仿宋" w:hAnsi="仿宋" w:eastAsia="仿宋"/>
          <w:b/>
          <w:bCs/>
          <w:color w:val="auto"/>
          <w:sz w:val="32"/>
          <w:szCs w:val="32"/>
          <w:highlight w:val="none"/>
        </w:rPr>
        <w:t>万元，占</w:t>
      </w:r>
      <w:r>
        <w:rPr>
          <w:rFonts w:hint="eastAsia" w:ascii="仿宋" w:hAnsi="仿宋" w:eastAsia="仿宋"/>
          <w:b/>
          <w:bCs/>
          <w:color w:val="auto"/>
          <w:sz w:val="32"/>
          <w:szCs w:val="32"/>
          <w:highlight w:val="none"/>
          <w:lang w:val="en-US" w:eastAsia="zh-CN"/>
        </w:rPr>
        <w:t>0</w:t>
      </w:r>
      <w:r>
        <w:rPr>
          <w:rFonts w:ascii="仿宋" w:hAnsi="仿宋" w:eastAsia="仿宋"/>
          <w:b/>
          <w:bCs/>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b/>
          <w:bCs/>
          <w:color w:val="auto"/>
          <w:sz w:val="32"/>
          <w:szCs w:val="32"/>
          <w:highlight w:val="none"/>
          <w:lang w:val="en-US" w:eastAsia="zh-CN"/>
        </w:rPr>
        <w:t>21.63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7.62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b/>
          <w:bCs/>
          <w:color w:val="auto"/>
          <w:sz w:val="32"/>
          <w:szCs w:val="32"/>
          <w:highlight w:val="none"/>
          <w:lang w:val="en-US" w:eastAsia="zh-CN"/>
        </w:rPr>
        <w:t>5.4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lang w:val="en-US" w:eastAsia="zh-CN"/>
        </w:rPr>
        <w:t>农林水支出0</w:t>
      </w:r>
      <w:r>
        <w:rPr>
          <w:rFonts w:hint="eastAsia" w:ascii="仿宋" w:hAnsi="仿宋" w:eastAsia="仿宋"/>
          <w:color w:val="auto"/>
          <w:sz w:val="32"/>
          <w:szCs w:val="32"/>
          <w:highlight w:val="none"/>
          <w:lang w:val="en-US" w:eastAsia="zh-CN"/>
        </w:rPr>
        <w:t>万元，占0%；</w:t>
      </w:r>
      <w:r>
        <w:rPr>
          <w:rFonts w:hint="eastAsia" w:ascii="仿宋" w:hAnsi="仿宋" w:eastAsia="仿宋"/>
          <w:b/>
          <w:bCs/>
          <w:color w:val="auto"/>
          <w:sz w:val="32"/>
          <w:szCs w:val="32"/>
          <w:highlight w:val="none"/>
        </w:rPr>
        <w:t>住房保障支出</w:t>
      </w:r>
      <w:r>
        <w:rPr>
          <w:rFonts w:hint="eastAsia" w:ascii="仿宋" w:hAnsi="仿宋" w:eastAsia="仿宋"/>
          <w:b/>
          <w:bCs/>
          <w:color w:val="auto"/>
          <w:sz w:val="32"/>
          <w:szCs w:val="32"/>
          <w:highlight w:val="none"/>
          <w:lang w:val="en-US" w:eastAsia="zh-CN"/>
        </w:rPr>
        <w:t>9.04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3.18</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b/>
          <w:bCs/>
          <w:color w:val="auto"/>
          <w:sz w:val="32"/>
          <w:szCs w:val="32"/>
          <w:highlight w:val="none"/>
          <w:lang w:val="en-US" w:eastAsia="zh-CN"/>
        </w:rPr>
        <w:t>粮油物资储备支出248</w:t>
      </w:r>
      <w:r>
        <w:rPr>
          <w:rFonts w:hint="eastAsia" w:ascii="仿宋" w:hAnsi="仿宋" w:eastAsia="仿宋"/>
          <w:color w:val="auto"/>
          <w:sz w:val="32"/>
          <w:szCs w:val="32"/>
          <w:highlight w:val="none"/>
          <w:lang w:val="en-US" w:eastAsia="zh-CN"/>
        </w:rPr>
        <w:t>万元，占87.3%。</w:t>
      </w:r>
    </w:p>
    <w:p>
      <w:pPr>
        <w:spacing w:line="600" w:lineRule="exact"/>
        <w:ind w:firstLine="640"/>
        <w:rPr>
          <w:rFonts w:hint="eastAsia" w:ascii="仿宋" w:hAnsi="仿宋" w:eastAsia="仿宋"/>
          <w:b/>
          <w:color w:val="auto"/>
          <w:sz w:val="32"/>
          <w:szCs w:val="32"/>
          <w:highlight w:val="none"/>
        </w:rPr>
      </w:pPr>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lang w:eastAsia="zh-CN"/>
        </w:rPr>
        <w:t>注：数据来源于财决</w:t>
      </w:r>
      <w:r>
        <w:rPr>
          <w:rFonts w:hint="eastAsia" w:ascii="仿宋" w:hAnsi="仿宋" w:eastAsia="仿宋"/>
          <w:b/>
          <w:color w:val="auto"/>
          <w:sz w:val="32"/>
          <w:szCs w:val="32"/>
          <w:highlight w:val="none"/>
          <w:lang w:val="en-US" w:eastAsia="zh-CN"/>
        </w:rPr>
        <w:t>01-1表，仅</w:t>
      </w:r>
      <w:r>
        <w:rPr>
          <w:rFonts w:hint="eastAsia" w:ascii="仿宋" w:hAnsi="仿宋" w:eastAsia="仿宋"/>
          <w:b/>
          <w:color w:val="auto"/>
          <w:sz w:val="32"/>
          <w:szCs w:val="32"/>
          <w:highlight w:val="none"/>
        </w:rPr>
        <w:t>罗列</w:t>
      </w:r>
      <w:r>
        <w:rPr>
          <w:rFonts w:hint="eastAsia" w:ascii="仿宋" w:hAnsi="仿宋" w:eastAsia="仿宋"/>
          <w:b/>
          <w:color w:val="auto"/>
          <w:sz w:val="32"/>
          <w:szCs w:val="32"/>
          <w:highlight w:val="none"/>
          <w:lang w:eastAsia="zh-CN"/>
        </w:rPr>
        <w:t>本</w:t>
      </w:r>
      <w:r>
        <w:rPr>
          <w:rFonts w:hint="eastAsia" w:ascii="仿宋" w:hAnsi="仿宋" w:eastAsia="仿宋"/>
          <w:b/>
          <w:color w:val="auto"/>
          <w:sz w:val="32"/>
          <w:szCs w:val="32"/>
          <w:highlight w:val="none"/>
          <w:lang w:val="en-US" w:eastAsia="zh-CN"/>
        </w:rPr>
        <w:t>单位</w:t>
      </w:r>
      <w:r>
        <w:rPr>
          <w:rFonts w:hint="eastAsia" w:ascii="仿宋" w:hAnsi="仿宋" w:eastAsia="仿宋"/>
          <w:b/>
          <w:color w:val="auto"/>
          <w:sz w:val="32"/>
          <w:szCs w:val="32"/>
          <w:highlight w:val="none"/>
          <w:lang w:eastAsia="zh-CN"/>
        </w:rPr>
        <w:t>涉及的全部</w:t>
      </w:r>
      <w:r>
        <w:rPr>
          <w:rFonts w:hint="eastAsia" w:ascii="仿宋" w:hAnsi="仿宋" w:eastAsia="仿宋"/>
          <w:b/>
          <w:color w:val="auto"/>
          <w:sz w:val="32"/>
          <w:szCs w:val="32"/>
          <w:highlight w:val="none"/>
        </w:rPr>
        <w:t>功能分类科目，至类级。）</w:t>
      </w:r>
    </w:p>
    <w:p>
      <w:pPr>
        <w:pStyle w:val="3"/>
        <w:ind w:left="0" w:leftChars="0" w:firstLine="0" w:firstLineChars="0"/>
        <w:rPr>
          <w:rFonts w:hint="eastAsia"/>
        </w:rPr>
      </w:pPr>
    </w:p>
    <w:p>
      <w:pPr>
        <w:pStyle w:val="3"/>
      </w:pPr>
      <w:r>
        <w:drawing>
          <wp:inline distT="0" distB="0" distL="114300" distR="114300">
            <wp:extent cx="4826000" cy="2743200"/>
            <wp:effectExtent l="4445" t="4445" r="8255" b="14605"/>
            <wp:docPr id="9"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（图6：一般公共预算财政拨款支出决算结构）（饼状图）</w:t>
      </w:r>
    </w:p>
    <w:p>
      <w:pPr>
        <w:spacing w:line="600" w:lineRule="exact"/>
        <w:ind w:firstLine="643" w:firstLineChars="200"/>
        <w:outlineLvl w:val="2"/>
        <w:rPr>
          <w:rFonts w:hint="eastAsia" w:ascii="仿宋" w:hAnsi="仿宋" w:eastAsia="仿宋"/>
          <w:b/>
          <w:color w:val="auto"/>
          <w:sz w:val="32"/>
          <w:szCs w:val="32"/>
          <w:highlight w:val="none"/>
        </w:rPr>
      </w:pPr>
      <w:bookmarkStart w:id="16" w:name="_Toc15377212"/>
    </w:p>
    <w:p>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bookmarkEnd w:id="16"/>
    </w:p>
    <w:p>
      <w:pPr>
        <w:spacing w:line="600" w:lineRule="exact"/>
        <w:ind w:firstLine="643" w:firstLineChars="200"/>
        <w:outlineLvl w:val="2"/>
        <w:rPr>
          <w:rFonts w:ascii="仿宋" w:hAnsi="仿宋" w:eastAsia="仿宋"/>
          <w:color w:val="auto"/>
          <w:sz w:val="32"/>
          <w:szCs w:val="32"/>
          <w:highlight w:val="none"/>
        </w:rPr>
      </w:pPr>
      <w:bookmarkStart w:id="17" w:name="_Toc15377444"/>
      <w:bookmarkStart w:id="18" w:name="_Toc15378460"/>
      <w:bookmarkStart w:id="19" w:name="_Toc15377213"/>
      <w:r>
        <w:rPr>
          <w:rFonts w:hint="eastAsia" w:ascii="仿宋" w:hAnsi="仿宋" w:eastAsia="仿宋"/>
          <w:b/>
          <w:color w:val="auto"/>
          <w:sz w:val="32"/>
          <w:szCs w:val="32"/>
          <w:highlight w:val="none"/>
          <w:lang w:eastAsia="zh-CN"/>
        </w:rPr>
        <w:t>2023</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度一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284.07</w:t>
      </w:r>
      <w:r>
        <w:rPr>
          <w:rFonts w:hint="eastAsia" w:ascii="仿宋" w:hAnsi="仿宋" w:eastAsia="仿宋"/>
          <w:color w:val="auto"/>
          <w:sz w:val="32"/>
          <w:szCs w:val="32"/>
          <w:highlight w:val="none"/>
        </w:rPr>
        <w:t>，</w:t>
      </w:r>
      <w:r>
        <w:rPr>
          <w:rStyle w:val="17"/>
          <w:rFonts w:hint="eastAsia" w:ascii="仿宋" w:hAnsi="仿宋" w:eastAsia="仿宋"/>
          <w:bCs/>
          <w:color w:val="auto"/>
          <w:sz w:val="32"/>
          <w:szCs w:val="32"/>
          <w:highlight w:val="none"/>
        </w:rPr>
        <w:t>完成预算</w:t>
      </w:r>
      <w:r>
        <w:rPr>
          <w:rStyle w:val="17"/>
          <w:rFonts w:hint="eastAsia" w:ascii="仿宋" w:hAnsi="仿宋" w:eastAsia="仿宋"/>
          <w:bCs/>
          <w:color w:val="auto"/>
          <w:sz w:val="32"/>
          <w:szCs w:val="32"/>
          <w:highlight w:val="none"/>
          <w:lang w:val="en-US" w:eastAsia="zh-CN"/>
        </w:rPr>
        <w:t>100</w:t>
      </w:r>
      <w:r>
        <w:rPr>
          <w:rStyle w:val="17"/>
          <w:rFonts w:ascii="仿宋" w:hAnsi="仿宋" w:eastAsia="仿宋"/>
          <w:bCs/>
          <w:color w:val="auto"/>
          <w:sz w:val="32"/>
          <w:szCs w:val="32"/>
          <w:highlight w:val="none"/>
        </w:rPr>
        <w:t>%</w:t>
      </w:r>
      <w:r>
        <w:rPr>
          <w:rStyle w:val="17"/>
          <w:rFonts w:hint="eastAsia" w:ascii="仿宋" w:hAnsi="仿宋" w:eastAsia="仿宋"/>
          <w:bCs/>
          <w:color w:val="auto"/>
          <w:sz w:val="32"/>
          <w:szCs w:val="32"/>
          <w:highlight w:val="none"/>
        </w:rPr>
        <w:t>。其中：</w:t>
      </w:r>
      <w:bookmarkEnd w:id="17"/>
      <w:bookmarkEnd w:id="18"/>
      <w:bookmarkEnd w:id="19"/>
    </w:p>
    <w:p>
      <w:pPr>
        <w:spacing w:line="600" w:lineRule="exact"/>
        <w:ind w:firstLine="643" w:firstLineChars="200"/>
        <w:rPr>
          <w:rStyle w:val="17"/>
          <w:rFonts w:hint="eastAsia" w:ascii="仿宋" w:hAnsi="仿宋" w:eastAsia="仿宋"/>
          <w:b w:val="0"/>
          <w:bCs/>
          <w:color w:val="auto"/>
          <w:sz w:val="32"/>
          <w:szCs w:val="32"/>
          <w:highlight w:val="none"/>
        </w:rPr>
      </w:pPr>
      <w:r>
        <w:rPr>
          <w:rStyle w:val="17"/>
          <w:rFonts w:hint="eastAsia" w:ascii="仿宋" w:hAnsi="仿宋" w:eastAsia="仿宋"/>
          <w:bCs/>
          <w:color w:val="auto"/>
          <w:sz w:val="32"/>
          <w:szCs w:val="32"/>
          <w:highlight w:val="none"/>
          <w:lang w:val="en-US" w:eastAsia="zh-CN"/>
        </w:rPr>
        <w:t>1</w:t>
      </w:r>
      <w:r>
        <w:rPr>
          <w:rStyle w:val="17"/>
          <w:rFonts w:ascii="仿宋" w:hAnsi="仿宋" w:eastAsia="仿宋"/>
          <w:bCs/>
          <w:color w:val="auto"/>
          <w:sz w:val="32"/>
          <w:szCs w:val="32"/>
          <w:highlight w:val="none"/>
        </w:rPr>
        <w:t>.</w:t>
      </w:r>
      <w:r>
        <w:rPr>
          <w:rStyle w:val="17"/>
          <w:rFonts w:hint="eastAsia" w:ascii="仿宋" w:hAnsi="仿宋" w:eastAsia="仿宋"/>
          <w:bCs/>
          <w:color w:val="auto"/>
          <w:sz w:val="32"/>
          <w:szCs w:val="32"/>
          <w:highlight w:val="none"/>
        </w:rPr>
        <w:t>社会保障和就业（类）</w:t>
      </w:r>
      <w:r>
        <w:rPr>
          <w:rFonts w:hint="eastAsia" w:ascii="仿宋_GB2312" w:hAnsi="Times New Roman" w:eastAsia="仿宋_GB2312" w:cs="仿宋_GB2312"/>
          <w:b/>
          <w:bCs/>
          <w:color w:val="000000"/>
          <w:kern w:val="2"/>
          <w:sz w:val="32"/>
          <w:szCs w:val="32"/>
          <w:lang w:val="en-US" w:eastAsia="zh-CN" w:bidi="ar"/>
        </w:rPr>
        <w:t>行政事业单位养老支出（款）机关事业单位基本养老保险缴费（项）</w:t>
      </w:r>
      <w:r>
        <w:rPr>
          <w:rStyle w:val="17"/>
          <w:rFonts w:ascii="仿宋" w:hAnsi="仿宋" w:eastAsia="仿宋"/>
          <w:bCs/>
          <w:color w:val="auto"/>
          <w:sz w:val="32"/>
          <w:szCs w:val="32"/>
          <w:highlight w:val="none"/>
        </w:rPr>
        <w:t>:</w:t>
      </w:r>
      <w:r>
        <w:rPr>
          <w:rStyle w:val="17"/>
          <w:rFonts w:ascii="仿宋" w:hAnsi="仿宋" w:eastAsia="仿宋"/>
          <w:b w:val="0"/>
          <w:bCs/>
          <w:color w:val="auto"/>
          <w:sz w:val="32"/>
          <w:szCs w:val="32"/>
          <w:highlight w:val="none"/>
        </w:rPr>
        <w:t xml:space="preserve"> </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12.15</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w:t>
      </w:r>
      <w:r>
        <w:rPr>
          <w:rStyle w:val="17"/>
          <w:rFonts w:hint="eastAsia" w:ascii="仿宋" w:hAnsi="仿宋" w:eastAsia="仿宋" w:cs="仿宋"/>
          <w:b w:val="0"/>
          <w:bCs w:val="0"/>
          <w:color w:val="auto"/>
          <w:kern w:val="2"/>
          <w:sz w:val="32"/>
          <w:szCs w:val="32"/>
          <w:lang w:val="en-US" w:eastAsia="zh-CN" w:bidi="ar"/>
        </w:rPr>
        <w:t>决算数与预算数持平</w:t>
      </w:r>
      <w:r>
        <w:rPr>
          <w:rStyle w:val="17"/>
          <w:rFonts w:hint="eastAsia" w:ascii="仿宋" w:hAnsi="仿宋" w:eastAsia="仿宋"/>
          <w:b w:val="0"/>
          <w:bCs/>
          <w:color w:val="auto"/>
          <w:sz w:val="32"/>
          <w:szCs w:val="32"/>
          <w:highlight w:val="none"/>
        </w:rPr>
        <w:t>。</w:t>
      </w:r>
    </w:p>
    <w:p>
      <w:pPr>
        <w:keepNext w:val="0"/>
        <w:keepLines w:val="0"/>
        <w:widowControl w:val="0"/>
        <w:suppressLineNumbers w:val="0"/>
        <w:spacing w:before="0" w:beforeAutospacing="0" w:after="0" w:afterAutospacing="0" w:line="600" w:lineRule="exact"/>
        <w:ind w:left="0" w:right="0" w:firstLine="643" w:firstLineChars="200"/>
        <w:jc w:val="both"/>
        <w:rPr>
          <w:rStyle w:val="17"/>
          <w:rFonts w:hint="eastAsia" w:ascii="仿宋" w:hAnsi="仿宋" w:eastAsia="仿宋" w:cs="仿宋"/>
          <w:b w:val="0"/>
          <w:bCs w:val="0"/>
          <w:color w:val="auto"/>
          <w:kern w:val="2"/>
          <w:sz w:val="32"/>
          <w:szCs w:val="32"/>
          <w:lang w:val="en-US" w:eastAsia="zh-CN" w:bidi="ar"/>
        </w:rPr>
      </w:pPr>
      <w:r>
        <w:rPr>
          <w:rFonts w:hint="eastAsia" w:ascii="仿宋_GB2312" w:hAnsi="Times New Roman" w:eastAsia="仿宋_GB2312" w:cs="仿宋_GB2312"/>
          <w:b/>
          <w:bCs/>
          <w:color w:val="000000"/>
          <w:kern w:val="2"/>
          <w:sz w:val="32"/>
          <w:szCs w:val="32"/>
          <w:lang w:val="en-US" w:eastAsia="zh-CN" w:bidi="ar"/>
        </w:rPr>
        <w:t>2.社会保障和就业（类）行政事业单位养老支出（款）机关事业单位职业年金缴费（项）:</w:t>
      </w:r>
      <w:r>
        <w:rPr>
          <w:rFonts w:hint="default" w:ascii="仿宋_GB2312" w:hAnsi="Times New Roman" w:eastAsia="仿宋_GB2312" w:cs="仿宋_GB2312"/>
          <w:b/>
          <w:bCs/>
          <w:color w:val="000000"/>
          <w:kern w:val="2"/>
          <w:sz w:val="32"/>
          <w:szCs w:val="32"/>
          <w:lang w:val="en-US" w:eastAsia="zh-CN" w:bidi="ar"/>
        </w:rPr>
        <w:t> </w:t>
      </w:r>
      <w:r>
        <w:rPr>
          <w:rFonts w:hint="eastAsia" w:ascii="仿宋_GB2312" w:hAnsi="Times New Roman" w:eastAsia="仿宋_GB2312" w:cs="仿宋_GB2312"/>
          <w:color w:val="000000"/>
          <w:kern w:val="2"/>
          <w:sz w:val="32"/>
          <w:szCs w:val="32"/>
          <w:lang w:val="en-US" w:eastAsia="zh-CN" w:bidi="ar"/>
        </w:rPr>
        <w:t>支出决算为6.09万元，完成预算100%</w:t>
      </w:r>
      <w:r>
        <w:rPr>
          <w:rFonts w:hint="eastAsia" w:ascii="仿宋_GB2312" w:hAnsi="Times New Roman" w:eastAsia="仿宋_GB2312" w:cs="仿宋_GB2312"/>
          <w:b w:val="0"/>
          <w:bCs w:val="0"/>
          <w:color w:val="000000"/>
          <w:kern w:val="2"/>
          <w:sz w:val="32"/>
          <w:szCs w:val="32"/>
          <w:shd w:val="clear" w:color="auto" w:fill="FFFFFF"/>
          <w:lang w:val="en-US" w:eastAsia="zh-CN" w:bidi="ar"/>
        </w:rPr>
        <w:t>，</w:t>
      </w:r>
      <w:r>
        <w:rPr>
          <w:rStyle w:val="17"/>
          <w:rFonts w:hint="eastAsia" w:ascii="仿宋" w:hAnsi="仿宋" w:eastAsia="仿宋" w:cs="仿宋"/>
          <w:b w:val="0"/>
          <w:bCs w:val="0"/>
          <w:color w:val="auto"/>
          <w:kern w:val="2"/>
          <w:sz w:val="32"/>
          <w:szCs w:val="32"/>
          <w:lang w:val="en-US" w:eastAsia="zh-CN" w:bidi="ar"/>
        </w:rPr>
        <w:t>决算数与预算数持平。</w:t>
      </w:r>
    </w:p>
    <w:p>
      <w:pPr>
        <w:pStyle w:val="2"/>
        <w:rPr>
          <w:rFonts w:hint="eastAsia"/>
          <w:lang w:val="en-US"/>
        </w:rPr>
      </w:pPr>
    </w:p>
    <w:p>
      <w:pPr>
        <w:keepNext w:val="0"/>
        <w:keepLines w:val="0"/>
        <w:widowControl w:val="0"/>
        <w:suppressLineNumbers w:val="0"/>
        <w:spacing w:before="0" w:beforeAutospacing="0" w:after="0" w:afterAutospacing="0" w:line="600" w:lineRule="exact"/>
        <w:ind w:left="0" w:right="0" w:firstLine="643" w:firstLineChars="200"/>
        <w:jc w:val="both"/>
        <w:rPr>
          <w:rStyle w:val="17"/>
          <w:rFonts w:hint="eastAsia" w:ascii="仿宋" w:hAnsi="仿宋" w:eastAsia="仿宋" w:cs="仿宋"/>
          <w:b w:val="0"/>
          <w:bCs w:val="0"/>
          <w:color w:val="auto"/>
          <w:kern w:val="2"/>
          <w:sz w:val="32"/>
          <w:szCs w:val="32"/>
          <w:lang w:val="en-US" w:eastAsia="zh-CN" w:bidi="ar"/>
        </w:rPr>
      </w:pPr>
      <w:r>
        <w:rPr>
          <w:rFonts w:hint="eastAsia" w:ascii="仿宋_GB2312" w:hAnsi="Times New Roman" w:eastAsia="仿宋_GB2312" w:cs="仿宋_GB2312"/>
          <w:b/>
          <w:bCs/>
          <w:color w:val="000000"/>
          <w:kern w:val="2"/>
          <w:sz w:val="32"/>
          <w:szCs w:val="32"/>
          <w:lang w:val="en-US" w:eastAsia="zh-CN" w:bidi="ar"/>
        </w:rPr>
        <w:t>3.社会保障和就业（类）其他社会保障和就业（款）其他社会保障和就业支出（项）：</w:t>
      </w:r>
      <w:r>
        <w:rPr>
          <w:rFonts w:hint="eastAsia" w:ascii="仿宋_GB2312" w:hAnsi="Times New Roman" w:eastAsia="仿宋_GB2312" w:cs="仿宋_GB2312"/>
          <w:color w:val="000000"/>
          <w:kern w:val="2"/>
          <w:sz w:val="32"/>
          <w:szCs w:val="32"/>
          <w:lang w:val="en-US" w:eastAsia="zh-CN" w:bidi="ar"/>
        </w:rPr>
        <w:t>出决算为3.39万元，完成预算100%</w:t>
      </w:r>
      <w:r>
        <w:rPr>
          <w:rFonts w:hint="eastAsia" w:ascii="仿宋_GB2312" w:hAnsi="Times New Roman" w:eastAsia="仿宋_GB2312" w:cs="仿宋_GB2312"/>
          <w:color w:val="000000"/>
          <w:kern w:val="2"/>
          <w:sz w:val="32"/>
          <w:szCs w:val="32"/>
          <w:shd w:val="clear" w:color="auto" w:fill="FFFFFF"/>
          <w:lang w:val="en-US" w:eastAsia="zh-CN" w:bidi="ar"/>
        </w:rPr>
        <w:t>，</w:t>
      </w:r>
      <w:r>
        <w:rPr>
          <w:rStyle w:val="17"/>
          <w:rFonts w:hint="eastAsia" w:ascii="仿宋" w:hAnsi="仿宋" w:eastAsia="仿宋" w:cs="仿宋"/>
          <w:b w:val="0"/>
          <w:bCs w:val="0"/>
          <w:color w:val="auto"/>
          <w:kern w:val="2"/>
          <w:sz w:val="32"/>
          <w:szCs w:val="32"/>
          <w:lang w:val="en-US" w:eastAsia="zh-CN" w:bidi="ar"/>
        </w:rPr>
        <w:t>决算数与预算数持平。</w:t>
      </w:r>
    </w:p>
    <w:p>
      <w:pPr>
        <w:pStyle w:val="2"/>
        <w:ind w:firstLine="360" w:firstLineChars="200"/>
        <w:rPr>
          <w:rFonts w:hint="default"/>
          <w:lang w:val="en-US"/>
        </w:rPr>
      </w:pPr>
    </w:p>
    <w:p>
      <w:pPr>
        <w:pStyle w:val="2"/>
      </w:pPr>
    </w:p>
    <w:p>
      <w:pPr>
        <w:keepNext w:val="0"/>
        <w:keepLines w:val="0"/>
        <w:widowControl w:val="0"/>
        <w:numPr>
          <w:ilvl w:val="0"/>
          <w:numId w:val="0"/>
        </w:numPr>
        <w:suppressLineNumbers w:val="0"/>
        <w:spacing w:before="0" w:beforeAutospacing="0" w:after="0" w:afterAutospacing="0" w:line="600" w:lineRule="exact"/>
        <w:ind w:right="0" w:rightChars="0" w:firstLine="643" w:firstLineChars="200"/>
        <w:jc w:val="both"/>
        <w:rPr>
          <w:rStyle w:val="17"/>
          <w:rFonts w:hint="eastAsia" w:ascii="仿宋" w:hAnsi="仿宋" w:eastAsia="仿宋" w:cs="仿宋"/>
          <w:b w:val="0"/>
          <w:bCs w:val="0"/>
          <w:color w:val="auto"/>
          <w:kern w:val="2"/>
          <w:sz w:val="32"/>
          <w:szCs w:val="32"/>
          <w:lang w:val="en-US" w:eastAsia="zh-CN" w:bidi="ar"/>
        </w:rPr>
      </w:pPr>
      <w:r>
        <w:rPr>
          <w:rFonts w:hint="eastAsia" w:ascii="仿宋" w:hAnsi="仿宋" w:eastAsia="仿宋"/>
          <w:b/>
          <w:bCs/>
          <w:color w:val="auto"/>
          <w:sz w:val="32"/>
          <w:szCs w:val="32"/>
          <w:highlight w:val="none"/>
          <w:lang w:val="en-US" w:eastAsia="zh-CN"/>
        </w:rPr>
        <w:t>4.</w:t>
      </w:r>
      <w:r>
        <w:rPr>
          <w:rFonts w:hint="eastAsia" w:ascii="仿宋" w:hAnsi="仿宋" w:eastAsia="仿宋"/>
          <w:b/>
          <w:bCs/>
          <w:color w:val="auto"/>
          <w:sz w:val="32"/>
          <w:szCs w:val="32"/>
          <w:highlight w:val="none"/>
        </w:rPr>
        <w:t>卫生健康</w:t>
      </w:r>
      <w:r>
        <w:rPr>
          <w:rStyle w:val="17"/>
          <w:rFonts w:hint="eastAsia" w:ascii="仿宋" w:hAnsi="仿宋" w:eastAsia="仿宋"/>
          <w:bCs/>
          <w:color w:val="auto"/>
          <w:sz w:val="32"/>
          <w:szCs w:val="32"/>
          <w:highlight w:val="none"/>
        </w:rPr>
        <w:t>（类）</w:t>
      </w:r>
      <w:r>
        <w:rPr>
          <w:rFonts w:hint="eastAsia" w:ascii="仿宋_GB2312" w:hAnsi="Times New Roman" w:eastAsia="仿宋_GB2312" w:cs="仿宋_GB2312"/>
          <w:b/>
          <w:bCs/>
          <w:color w:val="000000"/>
          <w:kern w:val="2"/>
          <w:sz w:val="32"/>
          <w:szCs w:val="32"/>
          <w:shd w:val="clear" w:color="auto" w:fill="FFFFFF"/>
          <w:lang w:val="en-US" w:eastAsia="zh-CN" w:bidi="ar"/>
        </w:rPr>
        <w:t>行政事业单位医疗（款）行政单位医疗（项）:</w:t>
      </w:r>
      <w:r>
        <w:rPr>
          <w:rFonts w:hint="eastAsia" w:ascii="仿宋_GB2312" w:hAnsi="Times New Roman" w:eastAsia="仿宋_GB2312" w:cs="仿宋_GB2312"/>
          <w:color w:val="000000"/>
          <w:kern w:val="2"/>
          <w:sz w:val="32"/>
          <w:szCs w:val="32"/>
          <w:shd w:val="clear" w:color="auto" w:fill="FFFFFF"/>
          <w:lang w:val="en-US" w:eastAsia="zh-CN" w:bidi="ar"/>
        </w:rPr>
        <w:t>支出决算为4.02万元，完成预算100%，</w:t>
      </w:r>
      <w:r>
        <w:rPr>
          <w:rStyle w:val="17"/>
          <w:rFonts w:hint="eastAsia" w:ascii="仿宋" w:hAnsi="仿宋" w:eastAsia="仿宋" w:cs="仿宋"/>
          <w:b w:val="0"/>
          <w:bCs w:val="0"/>
          <w:color w:val="auto"/>
          <w:kern w:val="2"/>
          <w:sz w:val="32"/>
          <w:szCs w:val="32"/>
          <w:lang w:val="en-US" w:eastAsia="zh-CN" w:bidi="ar"/>
        </w:rPr>
        <w:t>决算数与预算数持平。</w:t>
      </w:r>
    </w:p>
    <w:p>
      <w:pPr>
        <w:keepNext w:val="0"/>
        <w:keepLines w:val="0"/>
        <w:widowControl w:val="0"/>
        <w:suppressLineNumbers w:val="0"/>
        <w:spacing w:before="0" w:beforeAutospacing="0" w:after="0" w:afterAutospacing="0" w:line="600" w:lineRule="exact"/>
        <w:ind w:left="0" w:right="0" w:firstLine="643" w:firstLineChars="200"/>
        <w:jc w:val="both"/>
        <w:rPr>
          <w:rStyle w:val="17"/>
          <w:rFonts w:hint="eastAsia" w:ascii="仿宋" w:hAnsi="仿宋" w:eastAsia="仿宋" w:cs="仿宋"/>
          <w:b w:val="0"/>
          <w:bCs w:val="0"/>
          <w:color w:val="auto"/>
          <w:kern w:val="2"/>
          <w:sz w:val="32"/>
          <w:szCs w:val="32"/>
          <w:lang w:val="en-US" w:eastAsia="zh-CN" w:bidi="ar"/>
        </w:rPr>
      </w:pPr>
      <w:r>
        <w:rPr>
          <w:rFonts w:hint="eastAsia" w:ascii="仿宋" w:hAnsi="仿宋" w:eastAsia="仿宋"/>
          <w:b/>
          <w:bCs/>
          <w:color w:val="auto"/>
          <w:sz w:val="32"/>
          <w:szCs w:val="32"/>
          <w:highlight w:val="none"/>
          <w:lang w:val="en-US" w:eastAsia="zh-CN"/>
        </w:rPr>
        <w:t>5.</w:t>
      </w:r>
      <w:r>
        <w:rPr>
          <w:rFonts w:hint="eastAsia" w:ascii="仿宋" w:hAnsi="仿宋" w:eastAsia="仿宋"/>
          <w:b/>
          <w:bCs/>
          <w:color w:val="auto"/>
          <w:sz w:val="32"/>
          <w:szCs w:val="32"/>
          <w:highlight w:val="none"/>
        </w:rPr>
        <w:t>卫生健康</w:t>
      </w:r>
      <w:r>
        <w:rPr>
          <w:rStyle w:val="17"/>
          <w:rFonts w:hint="eastAsia" w:ascii="仿宋" w:hAnsi="仿宋" w:eastAsia="仿宋"/>
          <w:bCs/>
          <w:color w:val="auto"/>
          <w:sz w:val="32"/>
          <w:szCs w:val="32"/>
          <w:highlight w:val="none"/>
        </w:rPr>
        <w:t>（类）</w:t>
      </w:r>
      <w:r>
        <w:rPr>
          <w:rFonts w:hint="eastAsia" w:ascii="仿宋_GB2312" w:hAnsi="Times New Roman" w:eastAsia="仿宋_GB2312" w:cs="仿宋_GB2312"/>
          <w:b/>
          <w:bCs/>
          <w:color w:val="000000"/>
          <w:kern w:val="2"/>
          <w:sz w:val="32"/>
          <w:szCs w:val="32"/>
          <w:shd w:val="clear" w:color="auto" w:fill="FFFFFF"/>
          <w:lang w:val="en-US" w:eastAsia="zh-CN" w:bidi="ar"/>
        </w:rPr>
        <w:t>行政事业单位医疗（款）公务员医疗补助（项）:</w:t>
      </w:r>
      <w:r>
        <w:rPr>
          <w:rFonts w:hint="eastAsia" w:ascii="仿宋_GB2312" w:hAnsi="Times New Roman" w:eastAsia="仿宋_GB2312" w:cs="仿宋_GB2312"/>
          <w:color w:val="000000"/>
          <w:kern w:val="2"/>
          <w:sz w:val="32"/>
          <w:szCs w:val="32"/>
          <w:shd w:val="clear" w:color="auto" w:fill="FFFFFF"/>
          <w:lang w:val="en-US" w:eastAsia="zh-CN" w:bidi="ar"/>
        </w:rPr>
        <w:t>支出决算为1.38万元，完成预算100%，</w:t>
      </w:r>
      <w:r>
        <w:rPr>
          <w:rStyle w:val="17"/>
          <w:rFonts w:hint="eastAsia" w:ascii="仿宋" w:hAnsi="仿宋" w:eastAsia="仿宋" w:cs="仿宋"/>
          <w:b w:val="0"/>
          <w:bCs w:val="0"/>
          <w:color w:val="auto"/>
          <w:kern w:val="2"/>
          <w:sz w:val="32"/>
          <w:szCs w:val="32"/>
          <w:lang w:val="en-US" w:eastAsia="zh-CN" w:bidi="ar"/>
        </w:rPr>
        <w:t>决算数与预算数持平。</w:t>
      </w:r>
    </w:p>
    <w:p>
      <w:pPr>
        <w:keepNext w:val="0"/>
        <w:keepLines w:val="0"/>
        <w:widowControl w:val="0"/>
        <w:suppressLineNumbers w:val="0"/>
        <w:spacing w:before="0" w:beforeAutospacing="0" w:after="0" w:afterAutospacing="0" w:line="600" w:lineRule="exact"/>
        <w:ind w:left="0" w:right="0" w:firstLine="643" w:firstLineChars="200"/>
        <w:jc w:val="both"/>
        <w:rPr>
          <w:rStyle w:val="17"/>
          <w:rFonts w:hint="eastAsia" w:ascii="仿宋" w:hAnsi="仿宋" w:eastAsia="仿宋" w:cs="仿宋"/>
          <w:b w:val="0"/>
          <w:bCs w:val="0"/>
          <w:color w:val="auto"/>
          <w:kern w:val="2"/>
          <w:sz w:val="32"/>
          <w:szCs w:val="32"/>
          <w:lang w:val="en-US" w:eastAsia="zh-CN" w:bidi="ar"/>
        </w:rPr>
      </w:pPr>
      <w:r>
        <w:rPr>
          <w:rFonts w:hint="eastAsia" w:ascii="Times New Roman" w:hAnsi="Times New Roman" w:eastAsia="宋体" w:cs="仿宋_GB2312"/>
          <w:b/>
          <w:bCs/>
          <w:color w:val="000000"/>
          <w:kern w:val="2"/>
          <w:sz w:val="32"/>
          <w:szCs w:val="32"/>
          <w:shd w:val="clear" w:color="auto" w:fill="FFFFFF"/>
          <w:lang w:val="en-US" w:eastAsia="zh-CN" w:bidi="ar"/>
        </w:rPr>
        <w:t>6</w:t>
      </w:r>
      <w:r>
        <w:rPr>
          <w:rFonts w:hint="default" w:ascii="Times New Roman" w:hAnsi="Times New Roman" w:eastAsia="宋体" w:cs="仿宋_GB2312"/>
          <w:b/>
          <w:bCs/>
          <w:color w:val="000000"/>
          <w:kern w:val="2"/>
          <w:sz w:val="32"/>
          <w:szCs w:val="32"/>
          <w:shd w:val="clear" w:color="auto" w:fill="FFFFFF"/>
          <w:lang w:val="en-US" w:eastAsia="zh-CN" w:bidi="ar"/>
        </w:rPr>
        <w:t>.</w:t>
      </w:r>
      <w:r>
        <w:rPr>
          <w:rFonts w:hint="eastAsia" w:ascii="仿宋_GB2312" w:hAnsi="Times New Roman" w:eastAsia="仿宋_GB2312" w:cs="仿宋_GB2312"/>
          <w:b/>
          <w:bCs/>
          <w:color w:val="000000"/>
          <w:kern w:val="2"/>
          <w:sz w:val="32"/>
          <w:szCs w:val="32"/>
          <w:shd w:val="clear" w:color="auto" w:fill="FFFFFF"/>
          <w:lang w:val="en-US" w:eastAsia="zh-CN" w:bidi="ar"/>
        </w:rPr>
        <w:t>住房保障支出（类）住房改革支出（款）住房公积金（项）:</w:t>
      </w:r>
      <w:r>
        <w:rPr>
          <w:rFonts w:hint="eastAsia" w:ascii="仿宋_GB2312" w:hAnsi="Times New Roman" w:eastAsia="仿宋_GB2312" w:cs="仿宋_GB2312"/>
          <w:color w:val="000000"/>
          <w:kern w:val="2"/>
          <w:sz w:val="32"/>
          <w:szCs w:val="32"/>
          <w:shd w:val="clear" w:color="auto" w:fill="FFFFFF"/>
          <w:lang w:val="en-US" w:eastAsia="zh-CN" w:bidi="ar"/>
        </w:rPr>
        <w:t>支出决算为9.04万元，完成预算100%</w:t>
      </w:r>
      <w:r>
        <w:rPr>
          <w:rFonts w:hint="eastAsia" w:ascii="仿宋_GB2312" w:hAnsi="Times New Roman" w:eastAsia="仿宋_GB2312" w:cs="仿宋_GB2312"/>
          <w:b w:val="0"/>
          <w:bCs w:val="0"/>
          <w:color w:val="000000"/>
          <w:kern w:val="2"/>
          <w:sz w:val="32"/>
          <w:szCs w:val="32"/>
          <w:shd w:val="clear" w:color="auto" w:fill="FFFFFF"/>
          <w:lang w:val="en-US" w:eastAsia="zh-CN" w:bidi="ar"/>
        </w:rPr>
        <w:t>，</w:t>
      </w:r>
      <w:r>
        <w:rPr>
          <w:rStyle w:val="17"/>
          <w:rFonts w:hint="eastAsia" w:ascii="仿宋" w:hAnsi="仿宋" w:eastAsia="仿宋" w:cs="仿宋"/>
          <w:b w:val="0"/>
          <w:bCs w:val="0"/>
          <w:color w:val="auto"/>
          <w:kern w:val="2"/>
          <w:sz w:val="32"/>
          <w:szCs w:val="32"/>
          <w:lang w:val="en-US" w:eastAsia="zh-CN" w:bidi="ar"/>
        </w:rPr>
        <w:t>决算数与预算数持平。</w:t>
      </w:r>
    </w:p>
    <w:p>
      <w:pPr>
        <w:keepNext w:val="0"/>
        <w:keepLines w:val="0"/>
        <w:widowControl w:val="0"/>
        <w:suppressLineNumbers w:val="0"/>
        <w:spacing w:before="0" w:beforeAutospacing="0" w:after="0" w:afterAutospacing="0" w:line="600" w:lineRule="exact"/>
        <w:ind w:left="0" w:right="0" w:firstLine="643" w:firstLineChars="200"/>
        <w:jc w:val="both"/>
        <w:rPr>
          <w:rStyle w:val="17"/>
          <w:rFonts w:hint="eastAsia" w:ascii="仿宋" w:hAnsi="仿宋" w:eastAsia="仿宋" w:cs="仿宋"/>
          <w:b w:val="0"/>
          <w:bCs w:val="0"/>
          <w:color w:val="auto"/>
          <w:kern w:val="2"/>
          <w:sz w:val="32"/>
          <w:szCs w:val="32"/>
          <w:lang w:val="en-US" w:eastAsia="zh-CN" w:bidi="ar"/>
        </w:rPr>
      </w:pPr>
      <w:r>
        <w:rPr>
          <w:rStyle w:val="17"/>
          <w:rFonts w:hint="eastAsia" w:ascii="仿宋" w:hAnsi="仿宋" w:eastAsia="仿宋" w:cs="仿宋"/>
          <w:b/>
          <w:bCs/>
          <w:color w:val="auto"/>
          <w:kern w:val="2"/>
          <w:sz w:val="32"/>
          <w:szCs w:val="32"/>
          <w:lang w:val="en-US" w:eastAsia="zh-CN" w:bidi="ar"/>
        </w:rPr>
        <w:t>7.粮油物资储备支出（类）粮油物资事务（款）行政运行（项）：</w:t>
      </w:r>
      <w:r>
        <w:rPr>
          <w:rFonts w:hint="eastAsia" w:ascii="仿宋_GB2312" w:hAnsi="Times New Roman" w:eastAsia="仿宋_GB2312" w:cs="仿宋_GB2312"/>
          <w:color w:val="000000"/>
          <w:kern w:val="2"/>
          <w:sz w:val="32"/>
          <w:szCs w:val="32"/>
          <w:shd w:val="clear" w:color="auto" w:fill="FFFFFF"/>
          <w:lang w:val="en-US" w:eastAsia="zh-CN" w:bidi="ar"/>
        </w:rPr>
        <w:t>支出决算为111.11万元，完成预算100%</w:t>
      </w:r>
      <w:r>
        <w:rPr>
          <w:rFonts w:hint="eastAsia" w:ascii="仿宋_GB2312" w:hAnsi="Times New Roman" w:eastAsia="仿宋_GB2312" w:cs="仿宋_GB2312"/>
          <w:b w:val="0"/>
          <w:bCs w:val="0"/>
          <w:color w:val="000000"/>
          <w:kern w:val="2"/>
          <w:sz w:val="32"/>
          <w:szCs w:val="32"/>
          <w:shd w:val="clear" w:color="auto" w:fill="FFFFFF"/>
          <w:lang w:val="en-US" w:eastAsia="zh-CN" w:bidi="ar"/>
        </w:rPr>
        <w:t>，</w:t>
      </w:r>
      <w:r>
        <w:rPr>
          <w:rStyle w:val="17"/>
          <w:rFonts w:hint="eastAsia" w:ascii="仿宋" w:hAnsi="仿宋" w:eastAsia="仿宋" w:cs="仿宋"/>
          <w:b w:val="0"/>
          <w:bCs w:val="0"/>
          <w:color w:val="auto"/>
          <w:kern w:val="2"/>
          <w:sz w:val="32"/>
          <w:szCs w:val="32"/>
          <w:lang w:val="en-US" w:eastAsia="zh-CN" w:bidi="ar"/>
        </w:rPr>
        <w:t>决算数与预算数持平。</w:t>
      </w:r>
    </w:p>
    <w:p>
      <w:pPr>
        <w:pStyle w:val="2"/>
        <w:ind w:firstLine="643" w:firstLineChars="200"/>
        <w:rPr>
          <w:rStyle w:val="17"/>
          <w:rFonts w:hint="eastAsia" w:ascii="仿宋" w:hAnsi="仿宋" w:eastAsia="仿宋" w:cs="仿宋"/>
          <w:b w:val="0"/>
          <w:bCs w:val="0"/>
          <w:color w:val="auto"/>
          <w:kern w:val="2"/>
          <w:sz w:val="32"/>
          <w:szCs w:val="32"/>
          <w:lang w:val="en-US" w:eastAsia="zh-CN" w:bidi="ar"/>
        </w:rPr>
      </w:pPr>
      <w:r>
        <w:rPr>
          <w:rStyle w:val="17"/>
          <w:rFonts w:hint="eastAsia" w:ascii="仿宋" w:hAnsi="仿宋" w:eastAsia="仿宋" w:cs="仿宋"/>
          <w:b/>
          <w:bCs/>
          <w:color w:val="auto"/>
          <w:kern w:val="2"/>
          <w:sz w:val="32"/>
          <w:szCs w:val="32"/>
          <w:lang w:val="en-US" w:eastAsia="zh-CN" w:bidi="ar"/>
        </w:rPr>
        <w:t>8.粮油物资储备支出（类）粮油物资事务（款）粮食风险基金（项）：</w:t>
      </w:r>
      <w:r>
        <w:rPr>
          <w:rFonts w:hint="eastAsia" w:ascii="仿宋_GB2312" w:hAnsi="Times New Roman" w:eastAsia="仿宋_GB2312" w:cs="仿宋_GB2312"/>
          <w:color w:val="000000"/>
          <w:kern w:val="2"/>
          <w:sz w:val="32"/>
          <w:szCs w:val="32"/>
          <w:shd w:val="clear" w:color="auto" w:fill="FFFFFF"/>
          <w:lang w:val="en-US" w:eastAsia="zh-CN" w:bidi="ar"/>
        </w:rPr>
        <w:t>支出决算为5万元，完成预算100%</w:t>
      </w:r>
      <w:r>
        <w:rPr>
          <w:rFonts w:hint="eastAsia" w:ascii="仿宋_GB2312" w:hAnsi="Times New Roman" w:eastAsia="仿宋_GB2312" w:cs="仿宋_GB2312"/>
          <w:b w:val="0"/>
          <w:bCs w:val="0"/>
          <w:color w:val="000000"/>
          <w:kern w:val="2"/>
          <w:sz w:val="32"/>
          <w:szCs w:val="32"/>
          <w:shd w:val="clear" w:color="auto" w:fill="FFFFFF"/>
          <w:lang w:val="en-US" w:eastAsia="zh-CN" w:bidi="ar"/>
        </w:rPr>
        <w:t>，</w:t>
      </w:r>
      <w:r>
        <w:rPr>
          <w:rStyle w:val="17"/>
          <w:rFonts w:hint="eastAsia" w:ascii="仿宋" w:hAnsi="仿宋" w:eastAsia="仿宋" w:cs="仿宋"/>
          <w:b w:val="0"/>
          <w:bCs w:val="0"/>
          <w:color w:val="auto"/>
          <w:kern w:val="2"/>
          <w:sz w:val="32"/>
          <w:szCs w:val="32"/>
          <w:lang w:val="en-US" w:eastAsia="zh-CN" w:bidi="ar"/>
        </w:rPr>
        <w:t>决算数与预算数持平。</w:t>
      </w:r>
    </w:p>
    <w:p>
      <w:pPr>
        <w:pStyle w:val="3"/>
        <w:ind w:left="0" w:leftChars="0" w:firstLine="643" w:firstLineChars="200"/>
        <w:rPr>
          <w:rFonts w:hint="default"/>
          <w:b/>
          <w:bCs/>
          <w:lang w:val="en-US" w:eastAsia="zh-CN"/>
        </w:rPr>
      </w:pPr>
      <w:r>
        <w:rPr>
          <w:rStyle w:val="17"/>
          <w:rFonts w:hint="eastAsia" w:ascii="仿宋" w:hAnsi="仿宋" w:eastAsia="仿宋" w:cs="仿宋"/>
          <w:b/>
          <w:bCs/>
          <w:color w:val="auto"/>
          <w:kern w:val="2"/>
          <w:sz w:val="32"/>
          <w:szCs w:val="32"/>
          <w:lang w:val="en-US" w:eastAsia="zh-CN" w:bidi="ar"/>
        </w:rPr>
        <w:t>9.粮油物资储备支出（类）粮油物资事务（款）其他粮油物资事务支出（项）：</w:t>
      </w:r>
      <w:r>
        <w:rPr>
          <w:rFonts w:hint="eastAsia" w:ascii="仿宋_GB2312" w:hAnsi="Times New Roman" w:eastAsia="仿宋_GB2312" w:cs="仿宋_GB2312"/>
          <w:color w:val="000000"/>
          <w:kern w:val="2"/>
          <w:sz w:val="32"/>
          <w:szCs w:val="32"/>
          <w:shd w:val="clear" w:color="auto" w:fill="FFFFFF"/>
          <w:lang w:val="en-US" w:eastAsia="zh-CN" w:bidi="ar"/>
        </w:rPr>
        <w:t>支出决算为131.89万元，完成预算100%</w:t>
      </w:r>
      <w:r>
        <w:rPr>
          <w:rFonts w:hint="eastAsia" w:ascii="仿宋_GB2312" w:hAnsi="Times New Roman" w:eastAsia="仿宋_GB2312" w:cs="仿宋_GB2312"/>
          <w:b w:val="0"/>
          <w:bCs w:val="0"/>
          <w:color w:val="000000"/>
          <w:kern w:val="2"/>
          <w:sz w:val="32"/>
          <w:szCs w:val="32"/>
          <w:shd w:val="clear" w:color="auto" w:fill="FFFFFF"/>
          <w:lang w:val="en-US" w:eastAsia="zh-CN" w:bidi="ar"/>
        </w:rPr>
        <w:t>，</w:t>
      </w:r>
      <w:r>
        <w:rPr>
          <w:rStyle w:val="17"/>
          <w:rFonts w:hint="eastAsia" w:ascii="仿宋" w:hAnsi="仿宋" w:eastAsia="仿宋" w:cs="仿宋"/>
          <w:b w:val="0"/>
          <w:bCs w:val="0"/>
          <w:color w:val="auto"/>
          <w:kern w:val="2"/>
          <w:sz w:val="32"/>
          <w:szCs w:val="32"/>
          <w:lang w:val="en-US" w:eastAsia="zh-CN" w:bidi="ar"/>
        </w:rPr>
        <w:t>决算数与预算数持平。</w:t>
      </w:r>
    </w:p>
    <w:p>
      <w:pPr>
        <w:pStyle w:val="2"/>
        <w:ind w:firstLine="361" w:firstLineChars="200"/>
        <w:rPr>
          <w:rFonts w:hint="default"/>
          <w:b/>
          <w:bCs/>
          <w:lang w:val="en-US"/>
        </w:rPr>
      </w:pPr>
    </w:p>
    <w:p>
      <w:pPr>
        <w:spacing w:line="600" w:lineRule="exact"/>
        <w:ind w:firstLine="643" w:firstLineChars="200"/>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w:t>
      </w:r>
      <w:r>
        <w:rPr>
          <w:rFonts w:hint="eastAsia" w:ascii="仿宋" w:hAnsi="仿宋" w:eastAsia="仿宋"/>
          <w:b/>
          <w:color w:val="auto"/>
          <w:sz w:val="32"/>
          <w:szCs w:val="32"/>
          <w:highlight w:val="none"/>
        </w:rPr>
        <w:t>1-1表</w:t>
      </w:r>
      <w:r>
        <w:rPr>
          <w:rFonts w:hint="eastAsia" w:ascii="仿宋" w:hAnsi="仿宋" w:eastAsia="仿宋"/>
          <w:b/>
          <w:color w:val="auto"/>
          <w:sz w:val="32"/>
          <w:szCs w:val="32"/>
          <w:highlight w:val="none"/>
          <w:lang w:eastAsia="zh-CN"/>
        </w:rPr>
        <w:t>和财决</w:t>
      </w:r>
      <w:r>
        <w:rPr>
          <w:rFonts w:hint="eastAsia" w:ascii="仿宋" w:hAnsi="仿宋" w:eastAsia="仿宋"/>
          <w:b/>
          <w:color w:val="auto"/>
          <w:sz w:val="32"/>
          <w:szCs w:val="32"/>
          <w:highlight w:val="none"/>
          <w:lang w:val="en-US" w:eastAsia="zh-CN"/>
        </w:rPr>
        <w:t>08表</w:t>
      </w:r>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lang w:eastAsia="zh-CN"/>
        </w:rPr>
        <w:t>仅</w:t>
      </w:r>
      <w:r>
        <w:rPr>
          <w:rFonts w:hint="eastAsia" w:ascii="仿宋" w:hAnsi="仿宋" w:eastAsia="仿宋"/>
          <w:b/>
          <w:color w:val="auto"/>
          <w:sz w:val="32"/>
          <w:szCs w:val="32"/>
          <w:highlight w:val="none"/>
        </w:rPr>
        <w:t>罗列</w:t>
      </w:r>
      <w:r>
        <w:rPr>
          <w:rFonts w:hint="eastAsia" w:ascii="仿宋" w:hAnsi="仿宋" w:eastAsia="仿宋"/>
          <w:b/>
          <w:color w:val="auto"/>
          <w:sz w:val="32"/>
          <w:szCs w:val="32"/>
          <w:highlight w:val="none"/>
          <w:lang w:eastAsia="zh-CN"/>
        </w:rPr>
        <w:t>本单位涉及的</w:t>
      </w:r>
      <w:r>
        <w:rPr>
          <w:rFonts w:hint="eastAsia" w:ascii="仿宋" w:hAnsi="仿宋" w:eastAsia="仿宋"/>
          <w:b/>
          <w:color w:val="auto"/>
          <w:sz w:val="32"/>
          <w:szCs w:val="32"/>
          <w:highlight w:val="none"/>
        </w:rPr>
        <w:t>全部功能分类科目</w:t>
      </w:r>
      <w:r>
        <w:rPr>
          <w:rFonts w:hint="eastAsia" w:ascii="仿宋" w:hAnsi="仿宋" w:eastAsia="仿宋"/>
          <w:b/>
          <w:color w:val="auto"/>
          <w:sz w:val="32"/>
          <w:szCs w:val="32"/>
          <w:highlight w:val="none"/>
          <w:lang w:eastAsia="zh-CN"/>
        </w:rPr>
        <w:t>，</w:t>
      </w:r>
      <w:r>
        <w:rPr>
          <w:rFonts w:hint="eastAsia" w:ascii="仿宋" w:hAnsi="仿宋" w:eastAsia="仿宋"/>
          <w:b/>
          <w:color w:val="auto"/>
          <w:sz w:val="32"/>
          <w:szCs w:val="32"/>
          <w:highlight w:val="none"/>
        </w:rPr>
        <w:t>至项级。上述“预算”口径为</w:t>
      </w:r>
      <w:r>
        <w:rPr>
          <w:rFonts w:hint="eastAsia" w:ascii="仿宋" w:hAnsi="仿宋" w:eastAsia="仿宋"/>
          <w:b/>
          <w:color w:val="auto"/>
          <w:sz w:val="32"/>
          <w:szCs w:val="32"/>
          <w:highlight w:val="none"/>
          <w:lang w:eastAsia="zh-CN"/>
        </w:rPr>
        <w:t>全年预算</w:t>
      </w:r>
      <w:r>
        <w:rPr>
          <w:rFonts w:hint="eastAsia" w:ascii="仿宋" w:hAnsi="仿宋" w:eastAsia="仿宋"/>
          <w:b/>
          <w:color w:val="auto"/>
          <w:sz w:val="32"/>
          <w:szCs w:val="32"/>
          <w:highlight w:val="none"/>
        </w:rPr>
        <w:t>数。增减变动原因为决算数</w:t>
      </w:r>
      <w:r>
        <w:rPr>
          <w:rFonts w:ascii="仿宋" w:hAnsi="仿宋" w:eastAsia="仿宋"/>
          <w:b/>
          <w:color w:val="auto"/>
          <w:sz w:val="32"/>
          <w:szCs w:val="32"/>
          <w:highlight w:val="none"/>
        </w:rPr>
        <w:t>&lt;</w:t>
      </w:r>
      <w:r>
        <w:rPr>
          <w:rFonts w:hint="eastAsia" w:ascii="仿宋" w:hAnsi="仿宋" w:eastAsia="仿宋"/>
          <w:b/>
          <w:color w:val="auto"/>
          <w:sz w:val="32"/>
          <w:szCs w:val="32"/>
          <w:highlight w:val="none"/>
        </w:rPr>
        <w:t>项级</w:t>
      </w:r>
      <w:r>
        <w:rPr>
          <w:rFonts w:ascii="仿宋" w:hAnsi="仿宋" w:eastAsia="仿宋"/>
          <w:b/>
          <w:color w:val="auto"/>
          <w:sz w:val="32"/>
          <w:szCs w:val="32"/>
          <w:highlight w:val="none"/>
        </w:rPr>
        <w:t>&gt;</w:t>
      </w:r>
      <w:r>
        <w:rPr>
          <w:rFonts w:hint="eastAsia" w:ascii="仿宋" w:hAnsi="仿宋" w:eastAsia="仿宋"/>
          <w:b/>
          <w:color w:val="auto"/>
          <w:sz w:val="32"/>
          <w:szCs w:val="32"/>
          <w:highlight w:val="none"/>
        </w:rPr>
        <w:t>和</w:t>
      </w:r>
      <w:r>
        <w:rPr>
          <w:rFonts w:hint="eastAsia" w:ascii="仿宋" w:hAnsi="仿宋" w:eastAsia="仿宋"/>
          <w:b/>
          <w:color w:val="auto"/>
          <w:sz w:val="32"/>
          <w:szCs w:val="32"/>
          <w:highlight w:val="none"/>
          <w:lang w:eastAsia="zh-CN"/>
        </w:rPr>
        <w:t>全年预算</w:t>
      </w:r>
      <w:r>
        <w:rPr>
          <w:rFonts w:hint="eastAsia" w:ascii="仿宋" w:hAnsi="仿宋" w:eastAsia="仿宋"/>
          <w:b/>
          <w:color w:val="auto"/>
          <w:sz w:val="32"/>
          <w:szCs w:val="32"/>
          <w:highlight w:val="none"/>
        </w:rPr>
        <w:t>数</w:t>
      </w:r>
      <w:r>
        <w:rPr>
          <w:rFonts w:ascii="仿宋" w:hAnsi="仿宋" w:eastAsia="仿宋"/>
          <w:b/>
          <w:color w:val="auto"/>
          <w:sz w:val="32"/>
          <w:szCs w:val="32"/>
          <w:highlight w:val="none"/>
        </w:rPr>
        <w:t>&lt;</w:t>
      </w:r>
      <w:r>
        <w:rPr>
          <w:rFonts w:hint="eastAsia" w:ascii="仿宋" w:hAnsi="仿宋" w:eastAsia="仿宋"/>
          <w:b/>
          <w:color w:val="auto"/>
          <w:sz w:val="32"/>
          <w:szCs w:val="32"/>
          <w:highlight w:val="none"/>
        </w:rPr>
        <w:t>项级</w:t>
      </w:r>
      <w:r>
        <w:rPr>
          <w:rFonts w:ascii="仿宋" w:hAnsi="仿宋" w:eastAsia="仿宋"/>
          <w:b/>
          <w:color w:val="auto"/>
          <w:sz w:val="32"/>
          <w:szCs w:val="32"/>
          <w:highlight w:val="none"/>
        </w:rPr>
        <w:t>&gt;</w:t>
      </w:r>
      <w:r>
        <w:rPr>
          <w:rFonts w:hint="eastAsia" w:ascii="仿宋" w:hAnsi="仿宋" w:eastAsia="仿宋"/>
          <w:b/>
          <w:color w:val="auto"/>
          <w:sz w:val="32"/>
          <w:szCs w:val="32"/>
          <w:highlight w:val="none"/>
        </w:rPr>
        <w:t>比较，与预算数持平可以不写原因。）</w:t>
      </w:r>
    </w:p>
    <w:p>
      <w:pPr>
        <w:tabs>
          <w:tab w:val="right" w:pos="8306"/>
        </w:tabs>
        <w:spacing w:line="600" w:lineRule="exact"/>
        <w:ind w:firstLine="640"/>
        <w:outlineLvl w:val="1"/>
        <w:rPr>
          <w:rFonts w:hint="eastAsia" w:ascii="黑体" w:eastAsia="黑体"/>
          <w:color w:val="auto"/>
          <w:sz w:val="32"/>
          <w:szCs w:val="32"/>
          <w:highlight w:val="none"/>
        </w:rPr>
      </w:pPr>
      <w:bookmarkStart w:id="20" w:name="_Toc15377214"/>
      <w:bookmarkStart w:id="21" w:name="_Toc15396608"/>
    </w:p>
    <w:p>
      <w:pPr>
        <w:tabs>
          <w:tab w:val="right" w:pos="8306"/>
        </w:tabs>
        <w:spacing w:line="600" w:lineRule="exact"/>
        <w:ind w:firstLine="640"/>
        <w:outlineLvl w:val="1"/>
        <w:rPr>
          <w:rStyle w:val="23"/>
          <w:color w:val="auto"/>
          <w:highlight w:val="none"/>
        </w:rPr>
      </w:pPr>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3"/>
          <w:rFonts w:hint="eastAsia" w:ascii="黑体" w:hAnsi="黑体" w:eastAsia="黑体"/>
          <w:b w:val="0"/>
          <w:color w:val="auto"/>
          <w:highlight w:val="none"/>
        </w:rPr>
        <w:t>般公共预算财政拨款基本支出决算情况说明</w:t>
      </w:r>
      <w:bookmarkEnd w:id="20"/>
      <w:bookmarkEnd w:id="21"/>
      <w:r>
        <w:rPr>
          <w:rStyle w:val="23"/>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一般公共预算财政拨款基本支出</w:t>
      </w:r>
      <w:r>
        <w:rPr>
          <w:rFonts w:hint="eastAsia" w:ascii="仿宋" w:hAnsi="仿宋" w:eastAsia="仿宋"/>
          <w:color w:val="auto"/>
          <w:sz w:val="32"/>
          <w:szCs w:val="32"/>
          <w:highlight w:val="none"/>
          <w:lang w:val="en-US" w:eastAsia="zh-CN"/>
        </w:rPr>
        <w:t>147.18</w:t>
      </w:r>
      <w:r>
        <w:rPr>
          <w:rFonts w:hint="eastAsia" w:ascii="仿宋" w:hAnsi="仿宋" w:eastAsia="仿宋"/>
          <w:color w:val="auto"/>
          <w:sz w:val="32"/>
          <w:szCs w:val="32"/>
          <w:highlight w:val="none"/>
        </w:rPr>
        <w:t>万元，其中：</w:t>
      </w:r>
    </w:p>
    <w:p>
      <w:pPr>
        <w:spacing w:line="600" w:lineRule="exact"/>
        <w:ind w:firstLine="645"/>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126.25</w:t>
      </w:r>
      <w:r>
        <w:rPr>
          <w:rFonts w:hint="eastAsia" w:ascii="仿宋" w:hAnsi="仿宋" w:eastAsia="仿宋"/>
          <w:color w:val="auto"/>
          <w:sz w:val="32"/>
          <w:szCs w:val="32"/>
          <w:highlight w:val="none"/>
        </w:rPr>
        <w:t>万元，主要包括：基本工资、津贴补贴、奖金、伙食补助费、机关事业单位基本养老保险缴费、职业年金缴费、 职工基本医疗保险缴费</w:t>
      </w:r>
      <w:r>
        <w:rPr>
          <w:rFonts w:hint="eastAsia" w:ascii="仿宋" w:hAnsi="仿宋" w:eastAsia="仿宋"/>
          <w:color w:val="auto"/>
          <w:sz w:val="32"/>
          <w:szCs w:val="32"/>
          <w:highlight w:val="none"/>
          <w:lang w:eastAsia="zh-CN"/>
        </w:rPr>
        <w:t>、公务员医疗补助缴费、</w:t>
      </w:r>
      <w:r>
        <w:rPr>
          <w:rFonts w:hint="eastAsia" w:ascii="仿宋" w:hAnsi="仿宋" w:eastAsia="仿宋"/>
          <w:color w:val="auto"/>
          <w:sz w:val="32"/>
          <w:szCs w:val="32"/>
          <w:highlight w:val="none"/>
        </w:rPr>
        <w:t>其他社会保障缴费、住房公积金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其他工资福利支出、生活补助、其他对个人和家庭的补助支出等。</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20.93</w:t>
      </w:r>
      <w:r>
        <w:rPr>
          <w:rFonts w:hint="eastAsia" w:ascii="仿宋" w:hAnsi="仿宋" w:eastAsia="仿宋"/>
          <w:color w:val="auto"/>
          <w:sz w:val="32"/>
          <w:szCs w:val="32"/>
          <w:highlight w:val="none"/>
        </w:rPr>
        <w:t>万元，主要包括：办公费、印刷费、水费、电费、邮电费、差旅费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公务接待费、工会经费、福利费、其他交通费等。</w:t>
      </w:r>
    </w:p>
    <w:p>
      <w:pPr>
        <w:spacing w:line="600" w:lineRule="exact"/>
        <w:ind w:firstLine="645"/>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w:t>
      </w:r>
      <w:r>
        <w:rPr>
          <w:rFonts w:hint="eastAsia" w:ascii="仿宋" w:hAnsi="仿宋" w:eastAsia="仿宋"/>
          <w:b/>
          <w:color w:val="auto"/>
          <w:sz w:val="32"/>
          <w:szCs w:val="32"/>
          <w:highlight w:val="none"/>
        </w:rPr>
        <w:t>7表</w:t>
      </w:r>
      <w:r>
        <w:rPr>
          <w:rFonts w:hint="eastAsia" w:ascii="仿宋" w:hAnsi="仿宋" w:eastAsia="仿宋"/>
          <w:b/>
          <w:color w:val="auto"/>
          <w:sz w:val="32"/>
          <w:szCs w:val="32"/>
          <w:highlight w:val="none"/>
          <w:lang w:eastAsia="zh-CN"/>
        </w:rPr>
        <w:t>和财决</w:t>
      </w:r>
      <w:r>
        <w:rPr>
          <w:rFonts w:hint="eastAsia" w:ascii="仿宋" w:hAnsi="仿宋" w:eastAsia="仿宋"/>
          <w:b/>
          <w:color w:val="auto"/>
          <w:sz w:val="32"/>
          <w:szCs w:val="32"/>
          <w:highlight w:val="none"/>
          <w:lang w:val="en-US" w:eastAsia="zh-CN"/>
        </w:rPr>
        <w:t>08-1表</w:t>
      </w:r>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lang w:eastAsia="zh-CN"/>
        </w:rPr>
        <w:t>仅罗列</w:t>
      </w:r>
      <w:r>
        <w:rPr>
          <w:rFonts w:hint="eastAsia" w:ascii="仿宋" w:hAnsi="仿宋" w:eastAsia="仿宋"/>
          <w:b/>
          <w:color w:val="auto"/>
          <w:sz w:val="32"/>
          <w:szCs w:val="32"/>
          <w:highlight w:val="none"/>
        </w:rPr>
        <w:t>本</w:t>
      </w:r>
      <w:r>
        <w:rPr>
          <w:rFonts w:hint="eastAsia" w:ascii="仿宋" w:hAnsi="仿宋" w:eastAsia="仿宋"/>
          <w:b/>
          <w:color w:val="auto"/>
          <w:sz w:val="32"/>
          <w:szCs w:val="32"/>
          <w:highlight w:val="none"/>
          <w:lang w:eastAsia="zh-CN"/>
        </w:rPr>
        <w:t>单位</w:t>
      </w:r>
      <w:r>
        <w:rPr>
          <w:rFonts w:hint="eastAsia" w:ascii="仿宋" w:hAnsi="仿宋" w:eastAsia="仿宋"/>
          <w:b/>
          <w:color w:val="auto"/>
          <w:sz w:val="32"/>
          <w:szCs w:val="32"/>
          <w:highlight w:val="none"/>
        </w:rPr>
        <w:t>实际支出</w:t>
      </w:r>
      <w:r>
        <w:rPr>
          <w:rFonts w:hint="eastAsia" w:ascii="仿宋" w:hAnsi="仿宋" w:eastAsia="仿宋"/>
          <w:b/>
          <w:color w:val="auto"/>
          <w:sz w:val="32"/>
          <w:szCs w:val="32"/>
          <w:highlight w:val="none"/>
          <w:lang w:eastAsia="zh-CN"/>
        </w:rPr>
        <w:t>涉及的</w:t>
      </w:r>
      <w:r>
        <w:rPr>
          <w:rFonts w:hint="eastAsia" w:ascii="仿宋" w:hAnsi="仿宋" w:eastAsia="仿宋"/>
          <w:b/>
          <w:color w:val="auto"/>
          <w:sz w:val="32"/>
          <w:szCs w:val="32"/>
          <w:highlight w:val="none"/>
        </w:rPr>
        <w:t>经济分类科目。）</w:t>
      </w:r>
    </w:p>
    <w:p>
      <w:pPr>
        <w:spacing w:line="600" w:lineRule="exact"/>
        <w:ind w:firstLine="640"/>
        <w:rPr>
          <w:rFonts w:ascii="仿宋" w:hAnsi="仿宋" w:eastAsia="仿宋"/>
          <w:b/>
          <w:color w:val="auto"/>
          <w:sz w:val="32"/>
          <w:szCs w:val="32"/>
          <w:highlight w:val="none"/>
        </w:rPr>
      </w:pPr>
    </w:p>
    <w:p>
      <w:pPr>
        <w:spacing w:line="600" w:lineRule="exact"/>
        <w:ind w:firstLine="640"/>
        <w:outlineLvl w:val="1"/>
        <w:rPr>
          <w:rStyle w:val="23"/>
          <w:rFonts w:ascii="黑体" w:hAnsi="黑体" w:eastAsia="黑体"/>
          <w:b w:val="0"/>
          <w:color w:val="auto"/>
          <w:highlight w:val="none"/>
        </w:rPr>
      </w:pPr>
      <w:bookmarkStart w:id="22" w:name="_Toc15377215"/>
      <w:bookmarkStart w:id="23" w:name="_Toc15396609"/>
      <w:r>
        <w:rPr>
          <w:rFonts w:hint="eastAsia" w:ascii="黑体" w:eastAsia="黑体"/>
          <w:color w:val="auto"/>
          <w:sz w:val="32"/>
          <w:szCs w:val="32"/>
          <w:highlight w:val="none"/>
        </w:rPr>
        <w:t>七、</w:t>
      </w:r>
      <w:r>
        <w:rPr>
          <w:rStyle w:val="23"/>
          <w:rFonts w:hint="eastAsia" w:ascii="黑体" w:hAnsi="黑体" w:eastAsia="黑体"/>
          <w:b w:val="0"/>
          <w:color w:val="auto"/>
          <w:highlight w:val="none"/>
        </w:rPr>
        <w:t>财政拨款</w:t>
      </w:r>
      <w:r>
        <w:rPr>
          <w:rStyle w:val="23"/>
          <w:rFonts w:hint="eastAsia" w:ascii="黑体" w:hAnsi="黑体" w:eastAsia="黑体"/>
          <w:color w:val="auto"/>
          <w:highlight w:val="none"/>
        </w:rPr>
        <w:t>“</w:t>
      </w:r>
      <w:r>
        <w:rPr>
          <w:rStyle w:val="23"/>
          <w:rFonts w:hint="eastAsia" w:ascii="黑体" w:hAnsi="黑体" w:eastAsia="黑体"/>
          <w:b w:val="0"/>
          <w:color w:val="auto"/>
          <w:highlight w:val="none"/>
        </w:rPr>
        <w:t>三公”经费支出决算情况说明</w:t>
      </w:r>
      <w:bookmarkEnd w:id="22"/>
      <w:bookmarkEnd w:id="23"/>
    </w:p>
    <w:p>
      <w:pPr>
        <w:spacing w:line="600" w:lineRule="exact"/>
        <w:ind w:firstLine="640"/>
        <w:outlineLvl w:val="2"/>
        <w:rPr>
          <w:rFonts w:ascii="仿宋" w:hAnsi="仿宋" w:eastAsia="仿宋"/>
          <w:b/>
          <w:color w:val="auto"/>
          <w:sz w:val="32"/>
          <w:szCs w:val="32"/>
          <w:highlight w:val="none"/>
        </w:rPr>
      </w:pPr>
      <w:bookmarkStart w:id="24" w:name="_Toc15377216"/>
      <w:r>
        <w:rPr>
          <w:rFonts w:hint="eastAsia" w:ascii="仿宋" w:hAnsi="仿宋" w:eastAsia="仿宋"/>
          <w:b/>
          <w:color w:val="auto"/>
          <w:sz w:val="32"/>
          <w:szCs w:val="32"/>
          <w:highlight w:val="none"/>
        </w:rPr>
        <w:t>（一）“三公”经费财政拨款支出决算总体情况说明</w:t>
      </w:r>
      <w:bookmarkEnd w:id="24"/>
    </w:p>
    <w:p>
      <w:pPr>
        <w:spacing w:line="600" w:lineRule="exact"/>
        <w:ind w:firstLine="640"/>
        <w:outlineLvl w:val="2"/>
        <w:rPr>
          <w:rFonts w:hint="eastAsia" w:ascii="仿宋" w:hAnsi="仿宋" w:eastAsia="仿宋" w:cs="仿宋"/>
          <w:color w:val="000000" w:themeColor="text1"/>
          <w:sz w:val="32"/>
          <w:szCs w:val="32"/>
          <w:lang w:val="en-US"/>
          <w14:textFill>
            <w14:solidFill>
              <w14:schemeClr w14:val="tx1"/>
            </w14:solidFill>
          </w14:textFill>
        </w:rPr>
      </w:pPr>
      <w:r>
        <w:rPr>
          <w:rFonts w:hint="eastAsia" w:ascii="仿宋" w:hAnsi="仿宋" w:eastAsia="仿宋"/>
          <w:color w:val="000000" w:themeColor="text1"/>
          <w:sz w:val="32"/>
          <w:szCs w:val="32"/>
          <w:highlight w:val="none"/>
          <w:lang w:eastAsia="zh-CN"/>
          <w14:textFill>
            <w14:solidFill>
              <w14:schemeClr w14:val="tx1"/>
            </w14:solidFill>
          </w14:textFill>
        </w:rPr>
        <w:t>2023</w:t>
      </w:r>
      <w:r>
        <w:rPr>
          <w:rFonts w:hint="eastAsia" w:ascii="仿宋" w:hAnsi="仿宋" w:eastAsia="仿宋"/>
          <w:color w:val="000000" w:themeColor="text1"/>
          <w:sz w:val="32"/>
          <w:szCs w:val="32"/>
          <w:highlight w:val="none"/>
          <w14:textFill>
            <w14:solidFill>
              <w14:schemeClr w14:val="tx1"/>
            </w14:solidFill>
          </w14:textFill>
        </w:rPr>
        <w:t>年</w:t>
      </w:r>
      <w:r>
        <w:rPr>
          <w:rFonts w:hint="eastAsia" w:ascii="仿宋" w:hAnsi="仿宋" w:eastAsia="仿宋"/>
          <w:color w:val="000000" w:themeColor="text1"/>
          <w:sz w:val="32"/>
          <w:szCs w:val="32"/>
          <w:highlight w:val="none"/>
          <w:lang w:eastAsia="zh-CN"/>
          <w14:textFill>
            <w14:solidFill>
              <w14:schemeClr w14:val="tx1"/>
            </w14:solidFill>
          </w14:textFill>
        </w:rPr>
        <w:t>度</w:t>
      </w:r>
      <w:r>
        <w:rPr>
          <w:rFonts w:hint="eastAsia" w:ascii="仿宋" w:hAnsi="仿宋" w:eastAsia="仿宋"/>
          <w:color w:val="000000" w:themeColor="text1"/>
          <w:sz w:val="32"/>
          <w:szCs w:val="32"/>
          <w:highlight w:val="none"/>
          <w14:textFill>
            <w14:solidFill>
              <w14:schemeClr w14:val="tx1"/>
            </w14:solidFill>
          </w14:textFill>
        </w:rPr>
        <w:t>“三公”经费财政拨款支出决算为</w:t>
      </w:r>
      <w:r>
        <w:rPr>
          <w:rFonts w:hint="eastAsia" w:ascii="仿宋" w:hAnsi="仿宋" w:eastAsia="仿宋"/>
          <w:color w:val="000000" w:themeColor="text1"/>
          <w:sz w:val="32"/>
          <w:szCs w:val="32"/>
          <w:highlight w:val="none"/>
          <w:lang w:val="en-US" w:eastAsia="zh-CN"/>
          <w14:textFill>
            <w14:solidFill>
              <w14:schemeClr w14:val="tx1"/>
            </w14:solidFill>
          </w14:textFill>
        </w:rPr>
        <w:t>0.32</w:t>
      </w:r>
      <w:r>
        <w:rPr>
          <w:rFonts w:hint="eastAsia" w:ascii="仿宋" w:hAnsi="仿宋" w:eastAsia="仿宋"/>
          <w:color w:val="000000" w:themeColor="text1"/>
          <w:sz w:val="32"/>
          <w:szCs w:val="32"/>
          <w:highlight w:val="none"/>
          <w14:textFill>
            <w14:solidFill>
              <w14:schemeClr w14:val="tx1"/>
            </w14:solidFill>
          </w14:textFill>
        </w:rPr>
        <w:t>万元，</w:t>
      </w:r>
      <w:r>
        <w:rPr>
          <w:rFonts w:hint="eastAsia" w:ascii="仿宋" w:hAnsi="仿宋" w:eastAsia="仿宋" w:cs="仿宋"/>
          <w:b w:val="0"/>
          <w:bCs w:val="0"/>
          <w:color w:val="000000" w:themeColor="text1"/>
          <w:sz w:val="32"/>
          <w:szCs w:val="32"/>
          <w:highlight w:val="none"/>
          <w14:textFill>
            <w14:solidFill>
              <w14:schemeClr w14:val="tx1"/>
            </w14:solidFill>
          </w14:textFill>
        </w:rPr>
        <w:t>完成预算</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100</w:t>
      </w:r>
      <w:r>
        <w:rPr>
          <w:rFonts w:hint="eastAsia" w:ascii="仿宋" w:hAnsi="仿宋" w:eastAsia="仿宋" w:cs="仿宋"/>
          <w:b w:val="0"/>
          <w:bCs w:val="0"/>
          <w:color w:val="000000" w:themeColor="text1"/>
          <w:sz w:val="32"/>
          <w:szCs w:val="32"/>
          <w:highlight w:val="none"/>
          <w14:textFill>
            <w14:solidFill>
              <w14:schemeClr w14:val="tx1"/>
            </w14:solidFill>
          </w14:textFill>
        </w:rPr>
        <w:t>%，</w:t>
      </w:r>
      <w:r>
        <w:rPr>
          <w:rFonts w:hint="eastAsia" w:ascii="仿宋" w:hAnsi="仿宋" w:eastAsia="仿宋" w:cs="仿宋"/>
          <w:b w:val="0"/>
          <w:bCs w:val="0"/>
          <w:color w:val="000000" w:themeColor="text1"/>
          <w:sz w:val="32"/>
          <w:szCs w:val="32"/>
          <w:highlight w:val="none"/>
          <w:lang w:eastAsia="zh-CN"/>
          <w14:textFill>
            <w14:solidFill>
              <w14:schemeClr w14:val="tx1"/>
            </w14:solidFill>
          </w14:textFill>
        </w:rPr>
        <w:t>较上年度</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减少0.3万元，减少48.39%。</w:t>
      </w:r>
      <w:r>
        <w:rPr>
          <w:rFonts w:hint="eastAsia" w:ascii="仿宋" w:hAnsi="仿宋" w:eastAsia="仿宋" w:cs="仿宋"/>
          <w:b w:val="0"/>
          <w:bCs w:val="0"/>
          <w:color w:val="000000" w:themeColor="text1"/>
          <w:sz w:val="32"/>
          <w:szCs w:val="32"/>
          <w:shd w:val="clear" w:color="auto" w:fill="FFFFFF"/>
          <w:lang w:eastAsia="zh-CN"/>
          <w14:textFill>
            <w14:solidFill>
              <w14:schemeClr w14:val="tx1"/>
            </w14:solidFill>
          </w14:textFill>
        </w:rPr>
        <w:t>决算数小于预算数的主要原因是</w:t>
      </w:r>
      <w:r>
        <w:rPr>
          <w:rFonts w:hint="eastAsia" w:ascii="仿宋" w:hAnsi="仿宋" w:eastAsia="仿宋" w:cs="仿宋"/>
          <w:b w:val="0"/>
          <w:bCs w:val="0"/>
          <w:color w:val="000000" w:themeColor="text1"/>
          <w:sz w:val="32"/>
          <w:szCs w:val="32"/>
          <w:shd w:val="clear" w:color="auto" w:fill="FFFFFF"/>
          <w:lang w:val="en-US" w:eastAsia="zh-CN"/>
          <w14:textFill>
            <w14:solidFill>
              <w14:schemeClr w14:val="tx1"/>
            </w14:solidFill>
          </w14:textFill>
        </w:rPr>
        <w:t>遵守中央八项规定</w:t>
      </w:r>
      <w:r>
        <w:rPr>
          <w:rFonts w:hint="eastAsia" w:ascii="仿宋" w:hAnsi="仿宋" w:eastAsia="仿宋" w:cs="仿宋"/>
          <w:b w:val="0"/>
          <w:bCs w:val="0"/>
          <w:color w:val="000000" w:themeColor="text1"/>
          <w:sz w:val="32"/>
          <w:szCs w:val="32"/>
          <w:shd w:val="clear" w:color="auto" w:fill="FFFFFF"/>
          <w:lang w:eastAsia="zh-CN"/>
          <w14:textFill>
            <w14:solidFill>
              <w14:schemeClr w14:val="tx1"/>
            </w14:solidFill>
          </w14:textFill>
        </w:rPr>
        <w:t>厉行</w:t>
      </w:r>
      <w:r>
        <w:rPr>
          <w:rFonts w:hint="eastAsia" w:ascii="仿宋" w:hAnsi="仿宋" w:eastAsia="仿宋" w:cs="仿宋"/>
          <w:b w:val="0"/>
          <w:bCs w:val="0"/>
          <w:color w:val="000000" w:themeColor="text1"/>
          <w:sz w:val="32"/>
          <w:szCs w:val="32"/>
          <w:shd w:val="clear" w:color="auto" w:fill="FFFFFF"/>
          <w:lang w:val="en-US" w:eastAsia="zh-CN"/>
          <w14:textFill>
            <w14:solidFill>
              <w14:schemeClr w14:val="tx1"/>
            </w14:solidFill>
          </w14:textFill>
        </w:rPr>
        <w:t>节俭</w:t>
      </w:r>
      <w:r>
        <w:rPr>
          <w:rFonts w:hint="eastAsia" w:ascii="仿宋" w:hAnsi="仿宋" w:eastAsia="仿宋" w:cs="仿宋"/>
          <w:b w:val="0"/>
          <w:bCs w:val="0"/>
          <w:color w:val="000000" w:themeColor="text1"/>
          <w:sz w:val="32"/>
          <w:szCs w:val="32"/>
          <w:shd w:val="clear" w:color="auto" w:fill="FFFFFF"/>
          <w:lang w:eastAsia="zh-CN"/>
          <w14:textFill>
            <w14:solidFill>
              <w14:schemeClr w14:val="tx1"/>
            </w14:solidFill>
          </w14:textFill>
        </w:rPr>
        <w:t>节约，压缩经费</w:t>
      </w:r>
      <w:r>
        <w:rPr>
          <w:rFonts w:hint="eastAsia" w:ascii="仿宋" w:hAnsi="仿宋" w:eastAsia="仿宋" w:cs="仿宋"/>
          <w:color w:val="000000" w:themeColor="text1"/>
          <w:sz w:val="32"/>
          <w:szCs w:val="32"/>
          <w:shd w:val="clear" w:color="auto" w:fill="FFFFFF"/>
          <w:lang w:eastAsia="zh-CN"/>
          <w14:textFill>
            <w14:solidFill>
              <w14:schemeClr w14:val="tx1"/>
            </w14:solidFill>
          </w14:textFill>
        </w:rPr>
        <w:t>。</w:t>
      </w:r>
    </w:p>
    <w:p>
      <w:pPr>
        <w:spacing w:line="600" w:lineRule="exact"/>
        <w:ind w:firstLine="640"/>
        <w:rPr>
          <w:rFonts w:ascii="仿宋" w:hAnsi="仿宋" w:eastAsia="仿宋"/>
          <w:b/>
          <w:color w:val="auto"/>
          <w:sz w:val="32"/>
          <w:szCs w:val="32"/>
          <w:highlight w:val="none"/>
        </w:rPr>
      </w:pPr>
      <w:r>
        <w:rPr>
          <w:rFonts w:hint="eastAsia" w:ascii="仿宋" w:hAnsi="仿宋" w:eastAsia="仿宋"/>
          <w:b/>
          <w:color w:val="auto"/>
          <w:sz w:val="32"/>
          <w:szCs w:val="32"/>
          <w:highlight w:val="none"/>
        </w:rPr>
        <w:t>（注：上述“预算”口径为</w:t>
      </w:r>
      <w:r>
        <w:rPr>
          <w:rFonts w:hint="eastAsia" w:ascii="仿宋" w:hAnsi="仿宋" w:eastAsia="仿宋"/>
          <w:b/>
          <w:color w:val="auto"/>
          <w:sz w:val="32"/>
          <w:szCs w:val="32"/>
          <w:highlight w:val="none"/>
          <w:lang w:eastAsia="zh-CN"/>
        </w:rPr>
        <w:t>全年预算</w:t>
      </w:r>
      <w:r>
        <w:rPr>
          <w:rFonts w:hint="eastAsia" w:ascii="仿宋" w:hAnsi="仿宋" w:eastAsia="仿宋"/>
          <w:b/>
          <w:color w:val="auto"/>
          <w:sz w:val="32"/>
          <w:szCs w:val="32"/>
          <w:highlight w:val="none"/>
        </w:rPr>
        <w:t>数，包括</w:t>
      </w:r>
      <w:r>
        <w:rPr>
          <w:rFonts w:hint="eastAsia" w:ascii="仿宋" w:hAnsi="仿宋" w:eastAsia="仿宋"/>
          <w:b/>
          <w:color w:val="auto"/>
          <w:sz w:val="32"/>
          <w:szCs w:val="32"/>
          <w:highlight w:val="none"/>
          <w:lang w:eastAsia="zh-CN"/>
        </w:rPr>
        <w:t>一般公共预算和</w:t>
      </w:r>
      <w:r>
        <w:rPr>
          <w:rFonts w:hint="eastAsia" w:ascii="仿宋" w:hAnsi="仿宋" w:eastAsia="仿宋"/>
          <w:b/>
          <w:color w:val="auto"/>
          <w:sz w:val="32"/>
          <w:szCs w:val="32"/>
          <w:highlight w:val="none"/>
        </w:rPr>
        <w:t>政府性基金</w:t>
      </w:r>
      <w:r>
        <w:rPr>
          <w:rFonts w:hint="eastAsia" w:ascii="仿宋" w:hAnsi="仿宋" w:eastAsia="仿宋"/>
          <w:b/>
          <w:color w:val="auto"/>
          <w:sz w:val="32"/>
          <w:szCs w:val="32"/>
          <w:highlight w:val="none"/>
          <w:lang w:eastAsia="zh-CN"/>
        </w:rPr>
        <w:t>预算财政拨款</w:t>
      </w:r>
      <w:r>
        <w:rPr>
          <w:rFonts w:hint="eastAsia" w:ascii="仿宋" w:hAnsi="仿宋" w:eastAsia="仿宋"/>
          <w:b/>
          <w:color w:val="auto"/>
          <w:sz w:val="32"/>
          <w:szCs w:val="32"/>
          <w:highlight w:val="none"/>
        </w:rPr>
        <w:t>支出决算情况。）</w:t>
      </w:r>
    </w:p>
    <w:p>
      <w:pPr>
        <w:spacing w:line="600" w:lineRule="exact"/>
        <w:ind w:firstLine="640"/>
        <w:outlineLvl w:val="2"/>
        <w:rPr>
          <w:rFonts w:ascii="仿宋" w:hAnsi="仿宋" w:eastAsia="仿宋"/>
          <w:b/>
          <w:color w:val="auto"/>
          <w:sz w:val="32"/>
          <w:szCs w:val="32"/>
          <w:highlight w:val="none"/>
        </w:rPr>
      </w:pPr>
      <w:bookmarkStart w:id="25" w:name="_Toc15377217"/>
      <w:r>
        <w:rPr>
          <w:rFonts w:hint="eastAsia" w:ascii="仿宋" w:hAnsi="仿宋" w:eastAsia="仿宋"/>
          <w:b/>
          <w:color w:val="auto"/>
          <w:sz w:val="32"/>
          <w:szCs w:val="32"/>
          <w:highlight w:val="none"/>
        </w:rPr>
        <w:t>（二）“三公”经费财政拨款支出决算具体情况说明</w:t>
      </w:r>
      <w:bookmarkEnd w:id="25"/>
    </w:p>
    <w:p>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0.32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2"/>
        <w:rPr>
          <w:rFonts w:hint="eastAsia" w:ascii="仿宋" w:hAnsi="仿宋" w:eastAsia="仿宋"/>
          <w:color w:val="auto"/>
          <w:sz w:val="32"/>
          <w:szCs w:val="32"/>
          <w:highlight w:val="none"/>
        </w:rPr>
      </w:pPr>
    </w:p>
    <w:p>
      <w:pPr>
        <w:pStyle w:val="3"/>
        <w:rPr>
          <w:rFonts w:hint="eastAsia"/>
        </w:rPr>
      </w:pPr>
      <w:r>
        <w:drawing>
          <wp:inline distT="0" distB="0" distL="114300" distR="114300">
            <wp:extent cx="4826000" cy="2743200"/>
            <wp:effectExtent l="4445" t="4445" r="8255" b="14605"/>
            <wp:docPr id="11"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Style w:val="3"/>
        <w:ind w:left="0" w:leftChars="0" w:firstLine="320" w:firstLineChars="100"/>
        <w:rPr>
          <w:rFonts w:ascii="仿宋" w:hAnsi="仿宋" w:eastAsia="仿宋"/>
          <w:color w:val="auto"/>
          <w:sz w:val="32"/>
          <w:szCs w:val="32"/>
          <w:highlight w:val="none"/>
        </w:rPr>
      </w:pPr>
      <w:r>
        <w:rPr>
          <w:rFonts w:hint="eastAsia" w:ascii="仿宋" w:hAnsi="仿宋" w:eastAsia="仿宋"/>
          <w:color w:val="auto"/>
          <w:sz w:val="32"/>
          <w:szCs w:val="32"/>
          <w:highlight w:val="none"/>
          <w:lang w:val="en-US" w:eastAsia="zh-CN"/>
        </w:rPr>
        <w:t xml:space="preserve">  </w:t>
      </w:r>
      <w:r>
        <w:rPr>
          <w:rFonts w:hint="eastAsia" w:ascii="仿宋" w:hAnsi="仿宋" w:eastAsia="仿宋"/>
          <w:color w:val="auto"/>
          <w:sz w:val="32"/>
          <w:szCs w:val="32"/>
          <w:highlight w:val="none"/>
        </w:rPr>
        <w:t>（图7：“三公”经费财政拨款支出结构）（饼状图）</w:t>
      </w:r>
    </w:p>
    <w:p>
      <w:pPr>
        <w:ind w:firstLine="641"/>
        <w:rPr>
          <w:rFonts w:ascii="仿宋_GB2312" w:eastAsia="仿宋_GB2312"/>
          <w:b/>
          <w:color w:val="000000"/>
          <w:sz w:val="32"/>
          <w:szCs w:val="32"/>
        </w:rPr>
      </w:pPr>
      <w:r>
        <w:rPr>
          <w:rFonts w:hint="eastAsia" w:ascii="仿宋_GB2312" w:eastAsia="仿宋_GB2312"/>
          <w:b/>
          <w:color w:val="000000"/>
          <w:sz w:val="32"/>
          <w:szCs w:val="32"/>
        </w:rPr>
        <w:t>因公出国（境）经费支出0</w:t>
      </w:r>
      <w:r>
        <w:rPr>
          <w:rFonts w:hint="eastAsia" w:ascii="仿宋_GB2312" w:eastAsia="仿宋_GB2312"/>
          <w:color w:val="000000"/>
          <w:sz w:val="32"/>
          <w:szCs w:val="32"/>
        </w:rPr>
        <w:t>万元，</w:t>
      </w:r>
      <w:r>
        <w:rPr>
          <w:rStyle w:val="17"/>
          <w:rFonts w:hint="eastAsia" w:ascii="仿宋" w:hAnsi="仿宋" w:eastAsia="仿宋"/>
          <w:b w:val="0"/>
          <w:bCs/>
          <w:color w:val="000000"/>
          <w:sz w:val="32"/>
          <w:szCs w:val="32"/>
        </w:rPr>
        <w:t>完成预算0</w:t>
      </w:r>
      <w:r>
        <w:rPr>
          <w:rStyle w:val="17"/>
          <w:rFonts w:ascii="仿宋" w:hAnsi="仿宋" w:eastAsia="仿宋"/>
          <w:b w:val="0"/>
          <w:bCs/>
          <w:color w:val="000000"/>
          <w:sz w:val="32"/>
          <w:szCs w:val="32"/>
        </w:rPr>
        <w:t>%</w:t>
      </w:r>
      <w:r>
        <w:rPr>
          <w:rStyle w:val="17"/>
          <w:rFonts w:hint="eastAsia" w:ascii="仿宋" w:hAnsi="仿宋" w:eastAsia="仿宋"/>
          <w:b w:val="0"/>
          <w:bCs/>
          <w:color w:val="000000"/>
          <w:sz w:val="32"/>
          <w:szCs w:val="32"/>
        </w:rPr>
        <w:t>。</w:t>
      </w:r>
      <w:r>
        <w:rPr>
          <w:rFonts w:hint="eastAsia" w:ascii="仿宋_GB2312" w:eastAsia="仿宋_GB2312"/>
          <w:color w:val="000000"/>
          <w:sz w:val="32"/>
          <w:szCs w:val="32"/>
        </w:rPr>
        <w:t>全年安排因公出国（境）团组0次，出国（境）0人。因公出国（境）支出决算比</w:t>
      </w:r>
      <w:r>
        <w:rPr>
          <w:rFonts w:hint="eastAsia" w:ascii="仿宋_GB2312" w:eastAsia="仿宋_GB2312"/>
          <w:color w:val="000000"/>
          <w:sz w:val="32"/>
          <w:szCs w:val="32"/>
          <w:lang w:val="en-US" w:eastAsia="zh-CN"/>
        </w:rPr>
        <w:t>2022</w:t>
      </w:r>
      <w:r>
        <w:rPr>
          <w:rFonts w:hint="eastAsia" w:ascii="仿宋_GB2312" w:eastAsia="仿宋_GB2312"/>
          <w:color w:val="000000"/>
          <w:sz w:val="32"/>
          <w:szCs w:val="32"/>
        </w:rPr>
        <w:t>年增加0万元，增长0%。</w:t>
      </w:r>
    </w:p>
    <w:p>
      <w:pPr>
        <w:ind w:firstLine="641"/>
        <w:rPr>
          <w:rFonts w:ascii="仿宋_GB2312" w:eastAsia="仿宋_GB2312"/>
          <w:b/>
          <w:color w:val="000000"/>
          <w:sz w:val="32"/>
          <w:szCs w:val="32"/>
        </w:rPr>
      </w:pPr>
      <w:r>
        <w:rPr>
          <w:rFonts w:hint="eastAsia" w:ascii="仿宋_GB2312" w:eastAsia="仿宋_GB2312"/>
          <w:b/>
          <w:color w:val="000000"/>
          <w:sz w:val="32"/>
          <w:szCs w:val="32"/>
        </w:rPr>
        <w:t>公务用车购置及运行维护费支出0</w:t>
      </w:r>
      <w:r>
        <w:rPr>
          <w:rFonts w:hint="eastAsia" w:ascii="仿宋_GB2312" w:eastAsia="仿宋_GB2312"/>
          <w:color w:val="000000"/>
          <w:sz w:val="32"/>
          <w:szCs w:val="32"/>
        </w:rPr>
        <w:t>万元,</w:t>
      </w:r>
      <w:r>
        <w:rPr>
          <w:rStyle w:val="17"/>
          <w:rFonts w:hint="eastAsia" w:ascii="仿宋" w:hAnsi="仿宋" w:eastAsia="仿宋"/>
          <w:b w:val="0"/>
          <w:bCs/>
          <w:color w:val="000000"/>
          <w:sz w:val="32"/>
          <w:szCs w:val="32"/>
        </w:rPr>
        <w:t>完成预算0</w:t>
      </w:r>
      <w:r>
        <w:rPr>
          <w:rStyle w:val="17"/>
          <w:rFonts w:ascii="仿宋" w:hAnsi="仿宋" w:eastAsia="仿宋"/>
          <w:b w:val="0"/>
          <w:bCs/>
          <w:color w:val="000000"/>
          <w:sz w:val="32"/>
          <w:szCs w:val="32"/>
        </w:rPr>
        <w:t>%</w:t>
      </w:r>
      <w:r>
        <w:rPr>
          <w:rStyle w:val="17"/>
          <w:rFonts w:hint="eastAsia" w:ascii="仿宋" w:hAnsi="仿宋" w:eastAsia="仿宋"/>
          <w:b w:val="0"/>
          <w:bCs/>
          <w:color w:val="000000"/>
          <w:sz w:val="32"/>
          <w:szCs w:val="32"/>
        </w:rPr>
        <w:t>。</w:t>
      </w:r>
      <w:r>
        <w:rPr>
          <w:rFonts w:hint="eastAsia" w:ascii="仿宋_GB2312" w:eastAsia="仿宋_GB2312"/>
          <w:color w:val="000000"/>
          <w:sz w:val="32"/>
          <w:szCs w:val="32"/>
        </w:rPr>
        <w:t>公务用车购置及运行维护费支出决算比</w:t>
      </w:r>
      <w:r>
        <w:rPr>
          <w:rFonts w:hint="eastAsia" w:ascii="仿宋_GB2312" w:eastAsia="仿宋_GB2312"/>
          <w:color w:val="000000"/>
          <w:sz w:val="32"/>
          <w:szCs w:val="32"/>
          <w:lang w:val="en-US" w:eastAsia="zh-CN"/>
        </w:rPr>
        <w:t>2022</w:t>
      </w:r>
      <w:r>
        <w:rPr>
          <w:rFonts w:hint="eastAsia" w:ascii="仿宋_GB2312" w:eastAsia="仿宋_GB2312"/>
          <w:color w:val="000000"/>
          <w:sz w:val="32"/>
          <w:szCs w:val="32"/>
        </w:rPr>
        <w:t>年增加0万元，增长0%。</w:t>
      </w:r>
    </w:p>
    <w:p>
      <w:pPr>
        <w:spacing w:line="600" w:lineRule="exact"/>
        <w:ind w:firstLine="640" w:firstLineChars="200"/>
        <w:rPr>
          <w:rFonts w:ascii="仿宋_GB2312" w:eastAsia="仿宋_GB2312"/>
          <w:b/>
          <w:color w:val="000000"/>
          <w:sz w:val="32"/>
          <w:szCs w:val="32"/>
        </w:rPr>
      </w:pPr>
      <w:r>
        <w:rPr>
          <w:rFonts w:hint="eastAsia" w:ascii="仿宋_GB2312" w:eastAsia="仿宋_GB2312"/>
          <w:color w:val="000000"/>
          <w:sz w:val="32"/>
          <w:szCs w:val="32"/>
        </w:rPr>
        <w:t>其中：</w:t>
      </w:r>
      <w:r>
        <w:rPr>
          <w:rFonts w:hint="eastAsia" w:ascii="仿宋_GB2312" w:eastAsia="仿宋_GB2312"/>
          <w:b/>
          <w:color w:val="000000"/>
          <w:sz w:val="32"/>
          <w:szCs w:val="32"/>
        </w:rPr>
        <w:t>公务用车购置支出0</w:t>
      </w:r>
      <w:r>
        <w:rPr>
          <w:rFonts w:hint="eastAsia" w:ascii="仿宋_GB2312" w:eastAsia="仿宋_GB2312"/>
          <w:color w:val="000000"/>
          <w:sz w:val="32"/>
          <w:szCs w:val="32"/>
        </w:rPr>
        <w:t>万元。全年按规定更新购置公务用车0辆，其中：轿车0辆、金额0万元，越野车0辆、金额0万元，载客汽车0辆、金额0万元。截至</w:t>
      </w:r>
      <w:r>
        <w:rPr>
          <w:rFonts w:hint="eastAsia" w:ascii="仿宋_GB2312" w:eastAsia="仿宋_GB2312"/>
          <w:color w:val="000000"/>
          <w:sz w:val="32"/>
          <w:szCs w:val="32"/>
          <w:lang w:eastAsia="zh-CN"/>
        </w:rPr>
        <w:t>20</w:t>
      </w:r>
      <w:r>
        <w:rPr>
          <w:rFonts w:hint="eastAsia" w:ascii="仿宋_GB2312" w:eastAsia="仿宋_GB2312"/>
          <w:color w:val="000000"/>
          <w:sz w:val="32"/>
          <w:szCs w:val="32"/>
          <w:lang w:val="en-US" w:eastAsia="zh-CN"/>
        </w:rPr>
        <w:t>23</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月底，单位共有公务用车0辆，其中：轿车0辆、越野车0辆、载客汽车0辆。</w:t>
      </w:r>
    </w:p>
    <w:p>
      <w:pPr>
        <w:spacing w:line="600" w:lineRule="exact"/>
        <w:ind w:firstLine="640"/>
        <w:rPr>
          <w:rFonts w:ascii="仿宋_GB2312" w:eastAsia="仿宋_GB2312"/>
          <w:color w:val="000000"/>
          <w:sz w:val="32"/>
          <w:szCs w:val="32"/>
        </w:rPr>
      </w:pPr>
      <w:r>
        <w:rPr>
          <w:rFonts w:hint="eastAsia" w:ascii="仿宋_GB2312" w:eastAsia="仿宋_GB2312"/>
          <w:b/>
          <w:color w:val="000000"/>
          <w:sz w:val="32"/>
          <w:szCs w:val="32"/>
        </w:rPr>
        <w:t>公务用车运行维护费支出0</w:t>
      </w:r>
      <w:r>
        <w:rPr>
          <w:rFonts w:hint="eastAsia" w:ascii="仿宋_GB2312" w:eastAsia="仿宋_GB2312"/>
          <w:color w:val="000000"/>
          <w:sz w:val="32"/>
          <w:szCs w:val="32"/>
        </w:rPr>
        <w:t>万元。</w:t>
      </w:r>
    </w:p>
    <w:p>
      <w:pPr>
        <w:numPr>
          <w:ilvl w:val="0"/>
          <w:numId w:val="0"/>
        </w:numPr>
        <w:spacing w:line="600" w:lineRule="exact"/>
        <w:ind w:leftChars="200"/>
        <w:rPr>
          <w:rFonts w:hint="eastAsia" w:ascii="仿宋_GB2312" w:eastAsia="仿宋_GB2312"/>
          <w:sz w:val="32"/>
          <w:szCs w:val="32"/>
          <w:lang w:eastAsia="zh-CN"/>
        </w:rPr>
      </w:pPr>
      <w:r>
        <w:rPr>
          <w:rFonts w:hint="eastAsia" w:ascii="仿宋_GB2312" w:eastAsia="仿宋_GB2312"/>
          <w:b/>
          <w:sz w:val="32"/>
          <w:szCs w:val="32"/>
        </w:rPr>
        <w:t>公务接待费支出</w:t>
      </w:r>
      <w:r>
        <w:rPr>
          <w:rFonts w:hint="eastAsia" w:ascii="仿宋_GB2312" w:eastAsia="仿宋_GB2312"/>
          <w:b/>
          <w:sz w:val="32"/>
          <w:szCs w:val="32"/>
          <w:lang w:val="en-US" w:eastAsia="zh-CN"/>
        </w:rPr>
        <w:t>0.32</w:t>
      </w:r>
      <w:r>
        <w:rPr>
          <w:rFonts w:hint="eastAsia" w:ascii="仿宋_GB2312" w:eastAsia="仿宋_GB2312"/>
          <w:sz w:val="32"/>
          <w:szCs w:val="32"/>
        </w:rPr>
        <w:t>万元，</w:t>
      </w:r>
      <w:r>
        <w:rPr>
          <w:rStyle w:val="17"/>
          <w:rFonts w:hint="eastAsia" w:ascii="仿宋" w:hAnsi="仿宋" w:eastAsia="仿宋"/>
          <w:b w:val="0"/>
          <w:bCs/>
          <w:sz w:val="32"/>
          <w:szCs w:val="32"/>
        </w:rPr>
        <w:t>完成预算100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公务接待费支出决算比</w:t>
      </w:r>
      <w:r>
        <w:rPr>
          <w:rFonts w:hint="eastAsia" w:ascii="仿宋_GB2312" w:eastAsia="仿宋_GB2312"/>
          <w:sz w:val="32"/>
          <w:szCs w:val="32"/>
          <w:lang w:val="en-US" w:eastAsia="zh-CN"/>
        </w:rPr>
        <w:t>2022</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lang w:val="en-US" w:eastAsia="zh-CN"/>
        </w:rPr>
        <w:t>0.3</w:t>
      </w:r>
      <w:r>
        <w:rPr>
          <w:rFonts w:hint="eastAsia" w:ascii="仿宋_GB2312" w:eastAsia="仿宋_GB2312"/>
          <w:sz w:val="32"/>
          <w:szCs w:val="32"/>
        </w:rPr>
        <w:t>万元，主要原</w:t>
      </w:r>
      <w:r>
        <w:rPr>
          <w:rFonts w:hint="eastAsia" w:ascii="仿宋_GB2312" w:eastAsia="仿宋_GB2312"/>
          <w:sz w:val="32"/>
          <w:szCs w:val="32"/>
          <w:lang w:eastAsia="zh-CN"/>
        </w:rPr>
        <w:t>执行中央八项规定</w:t>
      </w:r>
      <w:r>
        <w:rPr>
          <w:rFonts w:hint="eastAsia" w:ascii="仿宋_GB2312" w:eastAsia="仿宋_GB2312"/>
          <w:sz w:val="32"/>
          <w:szCs w:val="32"/>
        </w:rPr>
        <w:t>。</w:t>
      </w:r>
      <w:r>
        <w:rPr>
          <w:rFonts w:hint="eastAsia" w:ascii="仿宋_GB2312" w:eastAsia="仿宋_GB2312"/>
          <w:sz w:val="32"/>
          <w:szCs w:val="32"/>
          <w:lang w:eastAsia="zh-CN"/>
        </w:rPr>
        <w:t>厉行节俭。</w:t>
      </w:r>
    </w:p>
    <w:p>
      <w:pPr>
        <w:numPr>
          <w:ilvl w:val="0"/>
          <w:numId w:val="0"/>
        </w:numPr>
        <w:spacing w:line="600" w:lineRule="exact"/>
        <w:ind w:leftChars="200"/>
        <w:rPr>
          <w:rFonts w:hint="eastAsia" w:ascii="仿宋_GB2312" w:eastAsia="仿宋_GB2312"/>
          <w:color w:val="auto"/>
          <w:sz w:val="32"/>
          <w:szCs w:val="32"/>
          <w:lang w:eastAsia="zh-CN"/>
        </w:rPr>
      </w:pPr>
      <w:r>
        <w:rPr>
          <w:rFonts w:hint="eastAsia" w:ascii="仿宋_GB2312" w:eastAsia="仿宋_GB2312"/>
          <w:b/>
          <w:bCs/>
          <w:sz w:val="32"/>
          <w:szCs w:val="32"/>
          <w:lang w:eastAsia="zh-CN"/>
        </w:rPr>
        <w:t>国内公务接待支出</w:t>
      </w:r>
      <w:r>
        <w:rPr>
          <w:rFonts w:hint="eastAsia" w:ascii="仿宋_GB2312" w:eastAsia="仿宋_GB2312"/>
          <w:b/>
          <w:bCs/>
          <w:sz w:val="32"/>
          <w:szCs w:val="32"/>
          <w:lang w:val="en-US" w:eastAsia="zh-CN"/>
        </w:rPr>
        <w:t>0.32万元，</w:t>
      </w:r>
      <w:r>
        <w:rPr>
          <w:rFonts w:hint="eastAsia" w:ascii="仿宋_GB2312" w:eastAsia="仿宋_GB2312"/>
          <w:color w:val="auto"/>
          <w:sz w:val="32"/>
          <w:szCs w:val="32"/>
        </w:rPr>
        <w:t>主要用于国内公务接待</w:t>
      </w:r>
      <w:r>
        <w:rPr>
          <w:rFonts w:hint="eastAsia" w:ascii="仿宋_GB2312" w:eastAsia="仿宋_GB2312"/>
          <w:color w:val="auto"/>
          <w:sz w:val="32"/>
          <w:szCs w:val="32"/>
          <w:lang w:eastAsia="zh-CN"/>
        </w:rPr>
        <w:t>餐费</w:t>
      </w:r>
      <w:r>
        <w:rPr>
          <w:rFonts w:hint="eastAsia" w:ascii="仿宋_GB2312" w:eastAsia="仿宋_GB2312"/>
          <w:color w:val="auto"/>
          <w:sz w:val="32"/>
          <w:szCs w:val="32"/>
        </w:rPr>
        <w:t>，共计支出</w:t>
      </w:r>
      <w:r>
        <w:rPr>
          <w:rFonts w:hint="eastAsia" w:ascii="仿宋_GB2312" w:eastAsia="仿宋_GB2312"/>
          <w:color w:val="auto"/>
          <w:sz w:val="32"/>
          <w:szCs w:val="32"/>
          <w:lang w:val="en-US" w:eastAsia="zh-CN"/>
        </w:rPr>
        <w:t>0.32</w:t>
      </w:r>
      <w:r>
        <w:rPr>
          <w:rFonts w:hint="eastAsia" w:ascii="仿宋_GB2312" w:eastAsia="仿宋_GB2312"/>
          <w:color w:val="auto"/>
          <w:sz w:val="32"/>
          <w:szCs w:val="32"/>
        </w:rPr>
        <w:t>万元，具体内容包括上级到</w:t>
      </w:r>
      <w:r>
        <w:rPr>
          <w:rFonts w:hint="eastAsia" w:ascii="仿宋_GB2312" w:eastAsia="仿宋_GB2312"/>
          <w:color w:val="auto"/>
          <w:sz w:val="32"/>
          <w:szCs w:val="32"/>
          <w:lang w:eastAsia="zh-CN"/>
        </w:rPr>
        <w:t>我单位</w:t>
      </w:r>
      <w:r>
        <w:rPr>
          <w:rFonts w:hint="eastAsia" w:ascii="仿宋_GB2312" w:eastAsia="仿宋_GB2312"/>
          <w:color w:val="auto"/>
          <w:sz w:val="32"/>
          <w:szCs w:val="32"/>
        </w:rPr>
        <w:t>调研和各区县到我县交流学习</w:t>
      </w:r>
      <w:r>
        <w:rPr>
          <w:rFonts w:hint="eastAsia" w:ascii="仿宋_GB2312" w:eastAsia="仿宋_GB2312"/>
          <w:color w:val="auto"/>
          <w:sz w:val="32"/>
          <w:szCs w:val="32"/>
          <w:lang w:eastAsia="zh-CN"/>
        </w:rPr>
        <w:t>。</w:t>
      </w:r>
    </w:p>
    <w:p>
      <w:pPr>
        <w:spacing w:line="600" w:lineRule="exact"/>
        <w:ind w:firstLine="643" w:firstLineChars="200"/>
        <w:rPr>
          <w:rFonts w:hint="eastAsia" w:ascii="仿宋_GB2312" w:eastAsia="仿宋_GB2312"/>
          <w:sz w:val="32"/>
          <w:szCs w:val="32"/>
        </w:rPr>
      </w:pPr>
      <w:r>
        <w:rPr>
          <w:rFonts w:hint="eastAsia" w:ascii="仿宋" w:hAnsi="仿宋" w:eastAsia="仿宋"/>
          <w:b/>
          <w:sz w:val="32"/>
          <w:szCs w:val="32"/>
        </w:rPr>
        <w:t>外事接待支出</w:t>
      </w:r>
      <w:r>
        <w:rPr>
          <w:rFonts w:hint="eastAsia" w:ascii="仿宋" w:hAnsi="仿宋" w:eastAsia="仿宋"/>
          <w:sz w:val="32"/>
          <w:szCs w:val="32"/>
        </w:rPr>
        <w:t>0</w:t>
      </w:r>
      <w:r>
        <w:rPr>
          <w:rFonts w:hint="eastAsia" w:ascii="仿宋_GB2312" w:eastAsia="仿宋_GB2312"/>
          <w:sz w:val="32"/>
          <w:szCs w:val="32"/>
        </w:rPr>
        <w:t>万元，外事接待0批次，0人，共计支出0万元。</w:t>
      </w:r>
    </w:p>
    <w:p>
      <w:pPr>
        <w:spacing w:line="600" w:lineRule="exact"/>
        <w:ind w:firstLine="640"/>
        <w:outlineLvl w:val="1"/>
        <w:rPr>
          <w:rStyle w:val="23"/>
          <w:rFonts w:ascii="黑体" w:hAnsi="黑体" w:eastAsia="黑体"/>
          <w:color w:val="auto"/>
          <w:highlight w:val="none"/>
        </w:rPr>
      </w:pPr>
      <w:r>
        <w:rPr>
          <w:rFonts w:hint="eastAsia" w:ascii="黑体" w:eastAsia="黑体"/>
          <w:color w:val="auto"/>
          <w:sz w:val="32"/>
          <w:szCs w:val="32"/>
          <w:highlight w:val="none"/>
        </w:rPr>
        <w:t>八、</w:t>
      </w:r>
      <w:r>
        <w:rPr>
          <w:rStyle w:val="23"/>
          <w:rFonts w:hint="eastAsia" w:ascii="黑体" w:hAnsi="黑体" w:eastAsia="黑体"/>
          <w:b w:val="0"/>
          <w:color w:val="auto"/>
          <w:highlight w:val="none"/>
        </w:rPr>
        <w:t>政府性基金预算支出决算情况说明</w:t>
      </w:r>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政府性基金预算</w:t>
      </w:r>
      <w:r>
        <w:rPr>
          <w:rFonts w:hint="eastAsia" w:ascii="仿宋" w:hAnsi="仿宋" w:eastAsia="仿宋" w:cs="仿宋"/>
          <w:color w:val="auto"/>
          <w:sz w:val="32"/>
          <w:szCs w:val="32"/>
          <w:highlight w:val="none"/>
          <w:lang w:eastAsia="zh-CN"/>
        </w:rPr>
        <w:t>财政</w:t>
      </w:r>
      <w:r>
        <w:rPr>
          <w:rFonts w:hint="eastAsia" w:ascii="仿宋" w:hAnsi="仿宋" w:eastAsia="仿宋" w:cs="仿宋"/>
          <w:color w:val="auto"/>
          <w:sz w:val="32"/>
          <w:szCs w:val="32"/>
          <w:highlight w:val="none"/>
        </w:rPr>
        <w:t>拨款支出</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万元。</w:t>
      </w:r>
    </w:p>
    <w:p>
      <w:pPr>
        <w:pStyle w:val="2"/>
        <w:rPr>
          <w:rFonts w:hint="eastAsia"/>
        </w:rPr>
      </w:pPr>
    </w:p>
    <w:p>
      <w:pPr>
        <w:numPr>
          <w:ilvl w:val="0"/>
          <w:numId w:val="2"/>
        </w:numPr>
        <w:spacing w:line="600" w:lineRule="exact"/>
        <w:ind w:firstLine="640"/>
        <w:outlineLvl w:val="1"/>
        <w:rPr>
          <w:rStyle w:val="23"/>
          <w:rFonts w:ascii="黑体" w:hAnsi="黑体" w:eastAsia="黑体"/>
          <w:b w:val="0"/>
          <w:color w:val="auto"/>
          <w:highlight w:val="none"/>
        </w:rPr>
      </w:pPr>
      <w:bookmarkStart w:id="26" w:name="_Toc15377219"/>
      <w:bookmarkStart w:id="27" w:name="_Toc15396611"/>
      <w:r>
        <w:rPr>
          <w:rStyle w:val="23"/>
          <w:rFonts w:hint="eastAsia" w:ascii="黑体" w:hAnsi="黑体" w:eastAsia="黑体"/>
          <w:b w:val="0"/>
          <w:color w:val="auto"/>
          <w:highlight w:val="none"/>
        </w:rPr>
        <w:t>国有资本经营预算支出决算情况说明</w:t>
      </w:r>
      <w:bookmarkEnd w:id="26"/>
      <w:bookmarkEnd w:id="27"/>
    </w:p>
    <w:p>
      <w:pPr>
        <w:pStyle w:val="2"/>
        <w:rPr>
          <w:rFonts w:hint="eastAsia" w:eastAsia="黑体"/>
          <w:lang w:val="en-US" w:eastAsia="zh-CN"/>
        </w:rPr>
      </w:pPr>
      <w:r>
        <w:rPr>
          <w:rStyle w:val="23"/>
          <w:rFonts w:hint="eastAsia" w:ascii="黑体" w:hAnsi="黑体" w:eastAsia="黑体"/>
          <w:b w:val="0"/>
          <w:color w:val="auto"/>
          <w:highlight w:val="none"/>
          <w:lang w:val="en-US" w:eastAsia="zh-CN"/>
        </w:rPr>
        <w:t xml:space="preserve"> </w:t>
      </w:r>
    </w:p>
    <w:p>
      <w:pPr>
        <w:pStyle w:val="2"/>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国有资本经营预算</w:t>
      </w:r>
      <w:r>
        <w:rPr>
          <w:rFonts w:hint="eastAsia" w:ascii="仿宋" w:hAnsi="仿宋" w:eastAsia="仿宋" w:cs="仿宋"/>
          <w:color w:val="auto"/>
          <w:sz w:val="32"/>
          <w:szCs w:val="32"/>
          <w:highlight w:val="none"/>
          <w:lang w:eastAsia="zh-CN"/>
        </w:rPr>
        <w:t>财政</w:t>
      </w:r>
      <w:r>
        <w:rPr>
          <w:rFonts w:hint="eastAsia" w:ascii="仿宋" w:hAnsi="仿宋" w:eastAsia="仿宋" w:cs="仿宋"/>
          <w:color w:val="auto"/>
          <w:sz w:val="32"/>
          <w:szCs w:val="32"/>
          <w:highlight w:val="none"/>
        </w:rPr>
        <w:t>拨款支出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p>
    <w:p>
      <w:pPr>
        <w:pStyle w:val="3"/>
        <w:rPr>
          <w:rFonts w:hint="eastAsia" w:ascii="仿宋" w:hAnsi="仿宋" w:eastAsia="仿宋" w:cs="仿宋"/>
          <w:color w:val="auto"/>
          <w:sz w:val="32"/>
          <w:szCs w:val="32"/>
          <w:highlight w:val="none"/>
        </w:rPr>
      </w:pPr>
    </w:p>
    <w:p>
      <w:pPr>
        <w:numPr>
          <w:ilvl w:val="0"/>
          <w:numId w:val="2"/>
        </w:numPr>
        <w:spacing w:line="600" w:lineRule="exact"/>
        <w:ind w:firstLine="640"/>
        <w:outlineLvl w:val="1"/>
        <w:rPr>
          <w:rStyle w:val="23"/>
          <w:rFonts w:hint="eastAsia" w:ascii="黑体" w:hAnsi="黑体" w:eastAsia="黑体"/>
          <w:b w:val="0"/>
          <w:color w:val="auto"/>
          <w:highlight w:val="none"/>
        </w:rPr>
      </w:pPr>
      <w:bookmarkStart w:id="28" w:name="_Toc15377221"/>
      <w:bookmarkStart w:id="29" w:name="_Toc15396612"/>
      <w:r>
        <w:rPr>
          <w:rStyle w:val="23"/>
          <w:rFonts w:hint="eastAsia" w:ascii="黑体" w:hAnsi="黑体" w:eastAsia="黑体"/>
          <w:b w:val="0"/>
          <w:color w:val="auto"/>
          <w:highlight w:val="none"/>
        </w:rPr>
        <w:t>其他重要事项的情况说明</w:t>
      </w:r>
      <w:bookmarkEnd w:id="28"/>
      <w:bookmarkEnd w:id="29"/>
    </w:p>
    <w:p>
      <w:pPr>
        <w:spacing w:line="600" w:lineRule="exact"/>
        <w:ind w:firstLine="643" w:firstLineChars="200"/>
        <w:outlineLvl w:val="2"/>
        <w:rPr>
          <w:rFonts w:ascii="仿宋" w:hAnsi="仿宋" w:eastAsia="仿宋"/>
          <w:color w:val="auto"/>
          <w:sz w:val="32"/>
          <w:szCs w:val="32"/>
          <w:highlight w:val="none"/>
        </w:rPr>
      </w:pPr>
      <w:bookmarkStart w:id="30" w:name="_Toc15377222"/>
      <w:r>
        <w:rPr>
          <w:rFonts w:hint="eastAsia" w:ascii="仿宋" w:hAnsi="仿宋" w:eastAsia="仿宋"/>
          <w:b/>
          <w:color w:val="auto"/>
          <w:sz w:val="32"/>
          <w:szCs w:val="32"/>
          <w:highlight w:val="none"/>
        </w:rPr>
        <w:t>（一）机关运行经费支出情况</w:t>
      </w:r>
      <w:bookmarkEnd w:id="30"/>
    </w:p>
    <w:p>
      <w:pPr>
        <w:spacing w:line="600" w:lineRule="exact"/>
        <w:ind w:firstLine="640"/>
        <w:outlineLvl w:val="2"/>
        <w:rPr>
          <w:rFonts w:hint="eastAsia" w:ascii="仿宋" w:hAnsi="仿宋" w:eastAsia="仿宋" w:cs="仿宋"/>
          <w:color w:val="000000" w:themeColor="text1"/>
          <w:sz w:val="32"/>
          <w:szCs w:val="32"/>
          <w:lang w:val="en-US"/>
          <w14:textFill>
            <w14:solidFill>
              <w14:schemeClr w14:val="tx1"/>
            </w14:solidFill>
          </w14:textFill>
        </w:rPr>
      </w:pP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峨边彝族自治县粮食和物资储备中心机关运行经费支出20.93万元，比2022年减少2.65万元，减少11.24%。</w:t>
      </w:r>
      <w:r>
        <w:rPr>
          <w:rFonts w:hint="eastAsia" w:ascii="仿宋" w:hAnsi="仿宋" w:eastAsia="仿宋" w:cs="仿宋"/>
          <w:color w:val="auto"/>
          <w:sz w:val="32"/>
          <w:szCs w:val="32"/>
          <w:highlight w:val="none"/>
        </w:rPr>
        <w:t>主要原因是</w:t>
      </w:r>
      <w:r>
        <w:rPr>
          <w:rFonts w:hint="eastAsia" w:ascii="仿宋" w:hAnsi="仿宋" w:eastAsia="仿宋" w:cs="仿宋"/>
          <w:color w:val="auto"/>
          <w:sz w:val="32"/>
          <w:szCs w:val="32"/>
          <w:highlight w:val="none"/>
          <w:lang w:val="en-US" w:eastAsia="zh-CN"/>
        </w:rPr>
        <w:t>遵守</w:t>
      </w:r>
      <w:r>
        <w:rPr>
          <w:rFonts w:hint="eastAsia" w:ascii="仿宋" w:hAnsi="仿宋" w:eastAsia="仿宋" w:cs="仿宋"/>
          <w:b w:val="0"/>
          <w:bCs w:val="0"/>
          <w:color w:val="000000" w:themeColor="text1"/>
          <w:sz w:val="32"/>
          <w:szCs w:val="32"/>
          <w:shd w:val="clear" w:color="auto" w:fill="FFFFFF"/>
          <w:lang w:val="en-US" w:eastAsia="zh-CN"/>
          <w14:textFill>
            <w14:solidFill>
              <w14:schemeClr w14:val="tx1"/>
            </w14:solidFill>
          </w14:textFill>
        </w:rPr>
        <w:t>中央八项规定</w:t>
      </w:r>
      <w:r>
        <w:rPr>
          <w:rFonts w:hint="eastAsia" w:ascii="仿宋" w:hAnsi="仿宋" w:eastAsia="仿宋" w:cs="仿宋"/>
          <w:b w:val="0"/>
          <w:bCs w:val="0"/>
          <w:color w:val="000000" w:themeColor="text1"/>
          <w:sz w:val="32"/>
          <w:szCs w:val="32"/>
          <w:shd w:val="clear" w:color="auto" w:fill="FFFFFF"/>
          <w:lang w:eastAsia="zh-CN"/>
          <w14:textFill>
            <w14:solidFill>
              <w14:schemeClr w14:val="tx1"/>
            </w14:solidFill>
          </w14:textFill>
        </w:rPr>
        <w:t>厉行</w:t>
      </w:r>
      <w:r>
        <w:rPr>
          <w:rFonts w:hint="eastAsia" w:ascii="仿宋" w:hAnsi="仿宋" w:eastAsia="仿宋" w:cs="仿宋"/>
          <w:b w:val="0"/>
          <w:bCs w:val="0"/>
          <w:color w:val="000000" w:themeColor="text1"/>
          <w:sz w:val="32"/>
          <w:szCs w:val="32"/>
          <w:shd w:val="clear" w:color="auto" w:fill="FFFFFF"/>
          <w:lang w:val="en-US" w:eastAsia="zh-CN"/>
          <w14:textFill>
            <w14:solidFill>
              <w14:schemeClr w14:val="tx1"/>
            </w14:solidFill>
          </w14:textFill>
        </w:rPr>
        <w:t>节俭</w:t>
      </w:r>
      <w:r>
        <w:rPr>
          <w:rFonts w:hint="eastAsia" w:ascii="仿宋" w:hAnsi="仿宋" w:eastAsia="仿宋" w:cs="仿宋"/>
          <w:b w:val="0"/>
          <w:bCs w:val="0"/>
          <w:color w:val="000000" w:themeColor="text1"/>
          <w:sz w:val="32"/>
          <w:szCs w:val="32"/>
          <w:shd w:val="clear" w:color="auto" w:fill="FFFFFF"/>
          <w:lang w:eastAsia="zh-CN"/>
          <w14:textFill>
            <w14:solidFill>
              <w14:schemeClr w14:val="tx1"/>
            </w14:solidFill>
          </w14:textFill>
        </w:rPr>
        <w:t>节约，压缩经费</w:t>
      </w:r>
      <w:r>
        <w:rPr>
          <w:rFonts w:hint="eastAsia" w:ascii="仿宋" w:hAnsi="仿宋" w:eastAsia="仿宋" w:cs="仿宋"/>
          <w:color w:val="000000" w:themeColor="text1"/>
          <w:sz w:val="32"/>
          <w:szCs w:val="32"/>
          <w:shd w:val="clear" w:color="auto" w:fill="FFFFFF"/>
          <w:lang w:eastAsia="zh-CN"/>
          <w14:textFill>
            <w14:solidFill>
              <w14:schemeClr w14:val="tx1"/>
            </w14:solidFill>
          </w14:textFill>
        </w:rPr>
        <w:t>。</w:t>
      </w:r>
    </w:p>
    <w:p>
      <w:pPr>
        <w:pStyle w:val="3"/>
        <w:ind w:left="0" w:leftChars="0" w:firstLine="643" w:firstLineChars="200"/>
        <w:rPr>
          <w:rFonts w:hint="eastAsia" w:ascii="仿宋" w:hAnsi="仿宋" w:eastAsia="仿宋" w:cs="仿宋"/>
          <w:color w:val="auto"/>
          <w:sz w:val="32"/>
          <w:szCs w:val="32"/>
          <w:highlight w:val="none"/>
          <w:lang w:val="en-US" w:eastAsia="zh-CN"/>
        </w:rPr>
      </w:pPr>
      <w:r>
        <w:rPr>
          <w:rFonts w:hint="eastAsia" w:ascii="仿宋" w:hAnsi="仿宋" w:eastAsia="仿宋"/>
          <w:b/>
          <w:color w:val="auto"/>
          <w:sz w:val="32"/>
          <w:szCs w:val="32"/>
          <w:highlight w:val="none"/>
        </w:rPr>
        <w:t>（注：数据来源于财决附</w:t>
      </w:r>
      <w:r>
        <w:rPr>
          <w:rFonts w:ascii="仿宋" w:hAnsi="仿宋" w:eastAsia="仿宋"/>
          <w:b/>
          <w:color w:val="auto"/>
          <w:sz w:val="32"/>
          <w:szCs w:val="32"/>
          <w:highlight w:val="none"/>
        </w:rPr>
        <w:t>03</w:t>
      </w:r>
      <w:r>
        <w:rPr>
          <w:rFonts w:hint="eastAsia" w:ascii="仿宋" w:hAnsi="仿宋" w:eastAsia="仿宋"/>
          <w:b/>
          <w:color w:val="auto"/>
          <w:sz w:val="32"/>
          <w:szCs w:val="32"/>
          <w:highlight w:val="none"/>
        </w:rPr>
        <w:t>表</w:t>
      </w:r>
      <w:r>
        <w:rPr>
          <w:rFonts w:hint="eastAsia" w:ascii="仿宋" w:hAnsi="仿宋" w:eastAsia="仿宋"/>
          <w:b/>
          <w:color w:val="auto"/>
          <w:sz w:val="32"/>
          <w:szCs w:val="32"/>
          <w:highlight w:val="none"/>
          <w:lang w:eastAsia="zh-CN"/>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31" w:name="_Toc15377223"/>
      <w:r>
        <w:rPr>
          <w:rFonts w:hint="eastAsia" w:ascii="仿宋" w:hAnsi="仿宋" w:eastAsia="仿宋"/>
          <w:b/>
          <w:color w:val="auto"/>
          <w:sz w:val="32"/>
          <w:szCs w:val="32"/>
          <w:highlight w:val="none"/>
        </w:rPr>
        <w:t>（二）政府采购支出情况</w:t>
      </w:r>
      <w:bookmarkEnd w:id="31"/>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度</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峨边彝族自治县粮食和物资储备中心</w:t>
      </w:r>
      <w:r>
        <w:rPr>
          <w:rFonts w:hint="eastAsia" w:ascii="仿宋" w:hAnsi="仿宋" w:eastAsia="仿宋" w:cs="仿宋"/>
          <w:color w:val="auto"/>
          <w:sz w:val="32"/>
          <w:szCs w:val="32"/>
          <w:highlight w:val="none"/>
        </w:rPr>
        <w:t>政府采购支出总额</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万元，其中：政府采购货物支出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万元、政府采购工程支出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万元、政府采购服务支出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万元。主要用于</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无</w:t>
      </w:r>
      <w:r>
        <w:rPr>
          <w:rFonts w:hint="eastAsia" w:ascii="仿宋" w:hAnsi="仿宋" w:eastAsia="仿宋" w:cs="仿宋"/>
          <w:color w:val="auto"/>
          <w:sz w:val="32"/>
          <w:szCs w:val="32"/>
          <w:highlight w:val="none"/>
        </w:rPr>
        <w:t>。授予中小企业合同金额</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万元，占政府采购支出总额的</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%，其中：授予小微企业合同金额</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万元，占政府采购支出总额的</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（注：数据来源于财决附</w:t>
      </w:r>
      <w:r>
        <w:rPr>
          <w:rFonts w:ascii="仿宋" w:hAnsi="仿宋" w:eastAsia="仿宋"/>
          <w:b/>
          <w:color w:val="auto"/>
          <w:sz w:val="32"/>
          <w:szCs w:val="32"/>
          <w:highlight w:val="none"/>
        </w:rPr>
        <w:t>03</w:t>
      </w:r>
      <w:r>
        <w:rPr>
          <w:rFonts w:hint="eastAsia" w:ascii="仿宋" w:hAnsi="仿宋" w:eastAsia="仿宋"/>
          <w:b/>
          <w:color w:val="auto"/>
          <w:sz w:val="32"/>
          <w:szCs w:val="32"/>
          <w:highlight w:val="none"/>
        </w:rPr>
        <w:t>表）</w:t>
      </w:r>
    </w:p>
    <w:p>
      <w:pPr>
        <w:keepNext w:val="0"/>
        <w:keepLines w:val="0"/>
        <w:pageBreakBefore w:val="0"/>
        <w:kinsoku/>
        <w:wordWrap/>
        <w:overflowPunct/>
        <w:topLinePunct w:val="0"/>
        <w:autoSpaceDE w:val="0"/>
        <w:autoSpaceDN w:val="0"/>
        <w:bidi w:val="0"/>
        <w:adjustRightInd w:val="0"/>
        <w:snapToGrid/>
        <w:spacing w:line="600" w:lineRule="exact"/>
        <w:ind w:firstLine="643" w:firstLineChars="200"/>
        <w:jc w:val="left"/>
        <w:textAlignment w:val="auto"/>
        <w:outlineLvl w:val="2"/>
        <w:rPr>
          <w:rFonts w:ascii="仿宋" w:hAnsi="仿宋" w:eastAsia="仿宋"/>
          <w:b/>
          <w:color w:val="auto"/>
          <w:sz w:val="32"/>
          <w:szCs w:val="32"/>
          <w:highlight w:val="none"/>
        </w:rPr>
      </w:pPr>
      <w:bookmarkStart w:id="32" w:name="_Toc15377224"/>
      <w:r>
        <w:rPr>
          <w:rFonts w:hint="eastAsia" w:ascii="仿宋" w:hAnsi="仿宋" w:eastAsia="仿宋"/>
          <w:b/>
          <w:color w:val="auto"/>
          <w:sz w:val="32"/>
          <w:szCs w:val="32"/>
          <w:highlight w:val="none"/>
        </w:rPr>
        <w:t>（三）国有资产占有使用情况</w:t>
      </w:r>
      <w:bookmarkEnd w:id="32"/>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截至</w:t>
      </w:r>
      <w:r>
        <w:rPr>
          <w:rFonts w:hint="eastAsia" w:ascii="仿宋" w:hAnsi="仿宋" w:eastAsia="仿宋" w:cs="仿宋"/>
          <w:color w:val="auto"/>
          <w:sz w:val="32"/>
          <w:szCs w:val="32"/>
          <w:highlight w:val="none"/>
          <w:lang w:eastAsia="zh-CN"/>
        </w:rPr>
        <w:t>2023</w:t>
      </w:r>
      <w:r>
        <w:rPr>
          <w:rFonts w:hint="eastAsia" w:ascii="仿宋" w:hAnsi="仿宋" w:eastAsia="仿宋" w:cs="仿宋"/>
          <w:color w:val="auto"/>
          <w:sz w:val="32"/>
          <w:szCs w:val="32"/>
          <w:highlight w:val="none"/>
        </w:rPr>
        <w:t>年12月31日，</w:t>
      </w:r>
      <w:r>
        <w:rPr>
          <w:rFonts w:hint="eastAsia" w:ascii="仿宋" w:hAnsi="仿宋" w:eastAsia="仿宋" w:cs="仿宋"/>
          <w:color w:val="auto"/>
          <w:sz w:val="32"/>
          <w:szCs w:val="32"/>
          <w:highlight w:val="none"/>
          <w:lang w:val="en-US" w:eastAsia="zh-CN"/>
        </w:rPr>
        <w:t>峨边彝族自治县粮食和物资储备中心</w:t>
      </w:r>
      <w:r>
        <w:rPr>
          <w:rFonts w:hint="eastAsia" w:ascii="仿宋" w:hAnsi="仿宋" w:eastAsia="仿宋" w:cs="仿宋"/>
          <w:color w:val="auto"/>
          <w:sz w:val="32"/>
          <w:szCs w:val="32"/>
          <w:highlight w:val="none"/>
        </w:rPr>
        <w:t>共有车辆</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辆，其中：主要领导干部用车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辆、机要通信用车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辆、应急保障用车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辆、其他用车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其他用车主要是用于</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无</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单价100万元以上设备</w:t>
      </w:r>
      <w:r>
        <w:rPr>
          <w:rFonts w:hint="eastAsia" w:ascii="仿宋" w:hAnsi="仿宋" w:eastAsia="仿宋" w:cs="仿宋"/>
          <w:color w:val="auto"/>
          <w:sz w:val="32"/>
          <w:szCs w:val="32"/>
          <w:highlight w:val="none"/>
          <w:lang w:eastAsia="zh-CN"/>
        </w:rPr>
        <w:t>（不含车辆）</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w:t>
      </w:r>
    </w:p>
    <w:p>
      <w:pPr>
        <w:keepNext w:val="0"/>
        <w:keepLines w:val="0"/>
        <w:pageBreakBefore w:val="0"/>
        <w:kinsoku/>
        <w:wordWrap/>
        <w:overflowPunct/>
        <w:topLinePunct w:val="0"/>
        <w:autoSpaceDE w:val="0"/>
        <w:autoSpaceDN w:val="0"/>
        <w:bidi w:val="0"/>
        <w:adjustRightInd w:val="0"/>
        <w:snapToGrid/>
        <w:spacing w:line="600" w:lineRule="exact"/>
        <w:ind w:firstLine="643" w:firstLineChars="200"/>
        <w:jc w:val="left"/>
        <w:textAlignment w:val="auto"/>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w:t>
      </w:r>
      <w:r>
        <w:rPr>
          <w:rFonts w:hint="eastAsia" w:ascii="仿宋" w:hAnsi="仿宋" w:eastAsia="仿宋"/>
          <w:b/>
          <w:color w:val="auto"/>
          <w:sz w:val="32"/>
          <w:szCs w:val="32"/>
          <w:highlight w:val="none"/>
          <w:lang w:eastAsia="zh-CN"/>
        </w:rPr>
        <w:t>于</w:t>
      </w:r>
      <w:r>
        <w:rPr>
          <w:rFonts w:hint="eastAsia" w:ascii="仿宋" w:hAnsi="仿宋" w:eastAsia="仿宋"/>
          <w:b/>
          <w:color w:val="auto"/>
          <w:sz w:val="32"/>
          <w:szCs w:val="32"/>
          <w:highlight w:val="none"/>
        </w:rPr>
        <w:t>财决附</w:t>
      </w:r>
      <w:r>
        <w:rPr>
          <w:rFonts w:ascii="仿宋" w:hAnsi="仿宋" w:eastAsia="仿宋"/>
          <w:b/>
          <w:color w:val="auto"/>
          <w:sz w:val="32"/>
          <w:szCs w:val="32"/>
          <w:highlight w:val="none"/>
        </w:rPr>
        <w:t>03</w:t>
      </w:r>
      <w:r>
        <w:rPr>
          <w:rFonts w:hint="eastAsia" w:ascii="仿宋" w:hAnsi="仿宋" w:eastAsia="仿宋"/>
          <w:b/>
          <w:color w:val="auto"/>
          <w:sz w:val="32"/>
          <w:szCs w:val="32"/>
          <w:highlight w:val="none"/>
        </w:rPr>
        <w:t>表，按</w:t>
      </w:r>
      <w:r>
        <w:rPr>
          <w:rFonts w:hint="eastAsia" w:ascii="仿宋" w:hAnsi="仿宋" w:eastAsia="仿宋"/>
          <w:b/>
          <w:color w:val="auto"/>
          <w:sz w:val="32"/>
          <w:szCs w:val="32"/>
          <w:highlight w:val="none"/>
          <w:lang w:eastAsia="zh-CN"/>
        </w:rPr>
        <w:t>单位</w:t>
      </w:r>
      <w:r>
        <w:rPr>
          <w:rFonts w:hint="eastAsia" w:ascii="仿宋" w:hAnsi="仿宋" w:eastAsia="仿宋"/>
          <w:b/>
          <w:color w:val="auto"/>
          <w:sz w:val="32"/>
          <w:szCs w:val="32"/>
          <w:highlight w:val="none"/>
        </w:rPr>
        <w:t>决算报表填报数据罗列车辆情况。）</w:t>
      </w:r>
    </w:p>
    <w:p>
      <w:pPr>
        <w:keepNext w:val="0"/>
        <w:keepLines w:val="0"/>
        <w:widowControl/>
        <w:suppressLineNumbers w:val="0"/>
        <w:spacing w:line="600" w:lineRule="exact"/>
        <w:ind w:firstLine="640" w:firstLineChars="200"/>
        <w:jc w:val="left"/>
        <w:rPr>
          <w:rFonts w:hint="eastAsia" w:ascii="仿宋_GB2312" w:hAnsi="仿宋" w:eastAsia="仿宋_GB2312"/>
          <w:sz w:val="32"/>
          <w:szCs w:val="32"/>
        </w:rPr>
      </w:pPr>
    </w:p>
    <w:p>
      <w:pPr>
        <w:keepNext w:val="0"/>
        <w:keepLines w:val="0"/>
        <w:pageBreakBefore w:val="0"/>
        <w:numPr>
          <w:ilvl w:val="0"/>
          <w:numId w:val="3"/>
        </w:numPr>
        <w:kinsoku/>
        <w:wordWrap/>
        <w:overflowPunct/>
        <w:topLinePunct w:val="0"/>
        <w:autoSpaceDE w:val="0"/>
        <w:autoSpaceDN w:val="0"/>
        <w:bidi w:val="0"/>
        <w:adjustRightInd w:val="0"/>
        <w:snapToGrid/>
        <w:spacing w:line="600" w:lineRule="exact"/>
        <w:ind w:firstLine="643" w:firstLineChars="200"/>
        <w:jc w:val="left"/>
        <w:textAlignment w:val="auto"/>
        <w:outlineLvl w:val="2"/>
        <w:rPr>
          <w:rFonts w:hint="eastAsia" w:ascii="仿宋" w:hAnsi="仿宋" w:eastAsia="仿宋"/>
          <w:b/>
          <w:color w:val="auto"/>
          <w:sz w:val="32"/>
          <w:szCs w:val="32"/>
          <w:highlight w:val="none"/>
        </w:rPr>
      </w:pPr>
      <w:r>
        <w:rPr>
          <w:rFonts w:hint="eastAsia" w:ascii="仿宋" w:hAnsi="仿宋" w:eastAsia="仿宋"/>
          <w:b/>
          <w:color w:val="auto"/>
          <w:sz w:val="32"/>
          <w:szCs w:val="32"/>
          <w:highlight w:val="none"/>
        </w:rPr>
        <w:t>预算绩效管理情况</w:t>
      </w:r>
    </w:p>
    <w:p>
      <w:pPr>
        <w:spacing w:line="58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在</w:t>
      </w:r>
      <w:r>
        <w:rPr>
          <w:rFonts w:hint="eastAsia" w:ascii="仿宋_GB2312" w:hAnsi="仿宋_GB2312" w:eastAsia="仿宋_GB2312" w:cs="仿宋_GB2312"/>
          <w:color w:val="auto"/>
          <w:sz w:val="32"/>
          <w:szCs w:val="32"/>
          <w:highlight w:val="none"/>
          <w:lang w:val="en-US" w:eastAsia="zh-CN"/>
        </w:rPr>
        <w:t>2023年度</w:t>
      </w:r>
      <w:r>
        <w:rPr>
          <w:rFonts w:hint="eastAsia" w:ascii="仿宋_GB2312" w:hAnsi="仿宋_GB2312" w:eastAsia="仿宋_GB2312" w:cs="仿宋_GB2312"/>
          <w:color w:val="auto"/>
          <w:sz w:val="32"/>
          <w:szCs w:val="32"/>
          <w:highlight w:val="none"/>
        </w:rPr>
        <w:t>预算编制阶段，组织对</w:t>
      </w:r>
      <w:r>
        <w:rPr>
          <w:rFonts w:hint="eastAsia" w:ascii="仿宋_GB2312" w:hAnsi="仿宋_GB2312" w:eastAsia="仿宋_GB2312" w:cs="仿宋_GB2312"/>
          <w:color w:val="auto"/>
          <w:sz w:val="32"/>
          <w:szCs w:val="32"/>
          <w:highlight w:val="none"/>
          <w:lang w:val="en-US" w:eastAsia="zh-CN"/>
        </w:rPr>
        <w:t>1个项目</w:t>
      </w:r>
      <w:r>
        <w:rPr>
          <w:rFonts w:hint="eastAsia" w:ascii="仿宋_GB2312" w:hAnsi="仿宋_GB2312" w:eastAsia="仿宋_GB2312" w:cs="仿宋_GB2312"/>
          <w:color w:val="auto"/>
          <w:sz w:val="32"/>
          <w:szCs w:val="32"/>
          <w:highlight w:val="none"/>
        </w:rPr>
        <w:t>开展了预算编制了绩效目标，预算执行过程中，选</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个项目开展绩效监控，年终执行完毕后，对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个项目开展了绩效自评</w:t>
      </w:r>
      <w:r>
        <w:rPr>
          <w:rFonts w:hint="eastAsia" w:ascii="仿宋_GB2312" w:hAnsi="仿宋_GB2312" w:eastAsia="仿宋_GB2312" w:cs="仿宋_GB2312"/>
          <w:color w:val="auto"/>
          <w:sz w:val="32"/>
          <w:szCs w:val="32"/>
          <w:highlight w:val="none"/>
          <w:lang w:eastAsia="zh-CN"/>
        </w:rPr>
        <w:t>。同时，</w:t>
      </w:r>
      <w:r>
        <w:rPr>
          <w:rFonts w:hint="eastAsia" w:ascii="仿宋_GB2312" w:hAnsi="仿宋_GB2312" w:eastAsia="仿宋_GB2312" w:cs="仿宋_GB2312"/>
          <w:color w:val="auto"/>
          <w:sz w:val="32"/>
          <w:szCs w:val="32"/>
          <w:highlight w:val="none"/>
        </w:rPr>
        <w:t>本</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对20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整体开展绩效自评，</w:t>
      </w:r>
    </w:p>
    <w:p>
      <w:pPr>
        <w:pStyle w:val="7"/>
        <w:ind w:firstLine="640" w:firstLineChars="200"/>
        <w:rPr>
          <w:rFonts w:hint="eastAsia" w:hAnsi="仿宋_GB2312" w:cs="仿宋_GB2312"/>
          <w:color w:val="auto"/>
          <w:sz w:val="32"/>
          <w:szCs w:val="32"/>
          <w:highlight w:val="none"/>
          <w:lang w:val="en-US" w:eastAsia="zh-CN"/>
        </w:rPr>
      </w:pPr>
      <w:r>
        <w:rPr>
          <w:rFonts w:hint="eastAsia" w:hAnsi="仿宋_GB2312" w:cs="仿宋_GB2312"/>
          <w:color w:val="auto"/>
          <w:sz w:val="32"/>
          <w:szCs w:val="32"/>
          <w:highlight w:val="none"/>
          <w:lang w:val="en-US" w:eastAsia="zh-CN"/>
        </w:rPr>
        <w:t>从评价情况来看决算编制合理，支出高效规范，财政支出即保证了机关正常运行，又保障了重点项目开支，财政支出绩效良好。</w:t>
      </w:r>
    </w:p>
    <w:p>
      <w:pPr>
        <w:pStyle w:val="7"/>
        <w:ind w:firstLine="1600" w:firstLineChars="500"/>
        <w:rPr>
          <w:rFonts w:hint="default" w:hAnsi="仿宋_GB2312" w:cs="仿宋_GB2312"/>
          <w:color w:val="auto"/>
          <w:sz w:val="32"/>
          <w:szCs w:val="32"/>
          <w:highlight w:val="none"/>
          <w:lang w:val="en-US" w:eastAsia="zh-CN"/>
        </w:rPr>
      </w:pPr>
      <w:r>
        <w:rPr>
          <w:rFonts w:hint="eastAsia" w:hAnsi="仿宋_GB2312" w:cs="仿宋_GB2312"/>
          <w:color w:val="auto"/>
          <w:sz w:val="32"/>
          <w:szCs w:val="32"/>
          <w:highlight w:val="none"/>
          <w:lang w:val="en-US" w:eastAsia="zh-CN"/>
        </w:rPr>
        <w:t>项目绩效目标完成情况表</w:t>
      </w:r>
    </w:p>
    <w:p>
      <w:pPr>
        <w:pStyle w:val="7"/>
        <w:ind w:firstLine="640" w:firstLineChars="200"/>
        <w:rPr>
          <w:rFonts w:hint="default" w:hAnsi="仿宋_GB2312" w:cs="仿宋_GB2312"/>
          <w:color w:val="auto"/>
          <w:sz w:val="32"/>
          <w:szCs w:val="32"/>
          <w:highlight w:val="none"/>
          <w:lang w:val="en-US" w:eastAsia="zh-CN"/>
        </w:rPr>
      </w:pPr>
    </w:p>
    <w:p>
      <w:pPr>
        <w:pStyle w:val="2"/>
        <w:numPr>
          <w:ilvl w:val="0"/>
          <w:numId w:val="0"/>
        </w:numPr>
      </w:pPr>
    </w:p>
    <w:tbl>
      <w:tblPr>
        <w:tblStyle w:val="15"/>
        <w:tblW w:w="84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6"/>
        <w:gridCol w:w="1350"/>
        <w:gridCol w:w="2161"/>
        <w:gridCol w:w="1026"/>
        <w:gridCol w:w="1586"/>
        <w:gridCol w:w="12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10" w:hRule="atLeast"/>
        </w:trPr>
        <w:tc>
          <w:tcPr>
            <w:tcW w:w="8429" w:type="dxa"/>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35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县级储备粮油轮换专项经费补贴</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w:t>
            </w:r>
          </w:p>
        </w:tc>
        <w:tc>
          <w:tcPr>
            <w:tcW w:w="2866" w:type="dxa"/>
            <w:gridSpan w:val="2"/>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65"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35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峨边彝族自治县粮食和物资储备中心</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实施单位：</w:t>
            </w:r>
          </w:p>
        </w:tc>
        <w:tc>
          <w:tcPr>
            <w:tcW w:w="28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峨边彝族自治县粮食和物资储备中心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8429" w:type="dxa"/>
            <w:gridSpan w:val="6"/>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95" w:hRule="atLeast"/>
        </w:trPr>
        <w:tc>
          <w:tcPr>
            <w:tcW w:w="2376" w:type="dxa"/>
            <w:gridSpan w:val="2"/>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全年预算数</w:t>
            </w:r>
          </w:p>
        </w:tc>
        <w:tc>
          <w:tcPr>
            <w:tcW w:w="26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全年执行数</w:t>
            </w:r>
          </w:p>
        </w:tc>
        <w:tc>
          <w:tcPr>
            <w:tcW w:w="1280"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5" w:hRule="atLeast"/>
        </w:trPr>
        <w:tc>
          <w:tcPr>
            <w:tcW w:w="23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年度资金总额</w:t>
            </w:r>
          </w:p>
        </w:tc>
        <w:tc>
          <w:tcPr>
            <w:tcW w:w="2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26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1280"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95" w:hRule="atLeast"/>
        </w:trPr>
        <w:tc>
          <w:tcPr>
            <w:tcW w:w="23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其中：中省补助资金</w:t>
            </w:r>
          </w:p>
        </w:tc>
        <w:tc>
          <w:tcPr>
            <w:tcW w:w="2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6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0" w:type="dxa"/>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0" w:hRule="atLeast"/>
        </w:trPr>
        <w:tc>
          <w:tcPr>
            <w:tcW w:w="23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县级预算资金</w:t>
            </w:r>
          </w:p>
        </w:tc>
        <w:tc>
          <w:tcPr>
            <w:tcW w:w="2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26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1280"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80" w:hRule="atLeast"/>
        </w:trPr>
        <w:tc>
          <w:tcPr>
            <w:tcW w:w="23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其他资金</w:t>
            </w:r>
          </w:p>
        </w:tc>
        <w:tc>
          <w:tcPr>
            <w:tcW w:w="2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6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0" w:type="dxa"/>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年度总体目标</w:t>
            </w:r>
          </w:p>
        </w:tc>
        <w:tc>
          <w:tcPr>
            <w:tcW w:w="453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预期目标</w:t>
            </w:r>
          </w:p>
        </w:tc>
        <w:tc>
          <w:tcPr>
            <w:tcW w:w="28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35"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c>
          <w:tcPr>
            <w:tcW w:w="4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对县级储备菜籽油、成品粮（大米）进行轮换差价及粮库储备保管等正常运转费用补贴</w:t>
            </w:r>
          </w:p>
        </w:tc>
        <w:tc>
          <w:tcPr>
            <w:tcW w:w="28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菜籽油轮换1个批次，成品粮轮换1个批次，保障粮库正常运转。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一级指标</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2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目标指标</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目标值</w:t>
            </w:r>
          </w:p>
        </w:tc>
        <w:tc>
          <w:tcPr>
            <w:tcW w:w="1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业绩指标</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完成率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0" w:hRule="atLeast"/>
        </w:trPr>
        <w:tc>
          <w:tcPr>
            <w:tcW w:w="102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投入与管理</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投入管理</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预算编制合理性</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合理</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预算执行率</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预算资金到位率</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财务管理</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财务管理制度健全性</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健全</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财务监控有效性</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有效</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资金使用规范性</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规范</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实施管理</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供应商资质符合程度</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符合</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合同管理完备性</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完备</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监理规范性</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规范</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系统运维规范性</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规范</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项目管理制度健全性</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健全</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项目验收规范性</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规范</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政府采购规范性</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规范</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资产管理</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0" w:hRule="atLeast"/>
        </w:trPr>
        <w:tc>
          <w:tcPr>
            <w:tcW w:w="102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产出指标</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数量指标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菜籽油</w:t>
            </w:r>
          </w:p>
        </w:tc>
        <w:tc>
          <w:tcPr>
            <w:tcW w:w="10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20吨</w:t>
            </w:r>
          </w:p>
        </w:tc>
        <w:tc>
          <w:tcPr>
            <w:tcW w:w="15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20吨</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20吨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数量指标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成品粮（大米）</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200吨</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200吨</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200吨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质量指标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菜籽油、成品粮轮换质量</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95%</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95%</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时效指标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成本指标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费用补贴</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108万</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108万</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108万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效益指标</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经济效益指标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社会效益指标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保障县级储备粮油后勤保障</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生态效益指标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0"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2"/>
                <w:szCs w:val="22"/>
                <w:u w:val="none"/>
              </w:rPr>
            </w:pPr>
            <w:r>
              <w:rPr>
                <w:rFonts w:hint="eastAsia" w:ascii="宋体" w:hAnsi="宋体" w:eastAsia="宋体" w:cs="宋体"/>
                <w:i w:val="0"/>
                <w:iCs w:val="0"/>
                <w:color w:val="333333"/>
                <w:kern w:val="0"/>
                <w:sz w:val="22"/>
                <w:szCs w:val="22"/>
                <w:u w:val="none"/>
                <w:lang w:val="en-US" w:eastAsia="zh-CN" w:bidi="ar"/>
              </w:rPr>
              <w:t>可持续影响指标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2"/>
                <w:szCs w:val="22"/>
                <w:u w:val="none"/>
              </w:rPr>
            </w:pPr>
          </w:p>
        </w:tc>
      </w:tr>
    </w:tbl>
    <w:p>
      <w:pPr>
        <w:pStyle w:val="3"/>
        <w:ind w:left="0" w:leftChars="0" w:firstLine="0" w:firstLineChars="0"/>
        <w:rPr>
          <w:rFonts w:hint="eastAsia" w:ascii="楷体_GB2312" w:hAnsi="仿宋" w:eastAsia="楷体_GB2312"/>
          <w:b/>
          <w:sz w:val="32"/>
          <w:szCs w:val="32"/>
        </w:rPr>
      </w:pPr>
    </w:p>
    <w:p>
      <w:pPr>
        <w:numPr>
          <w:ilvl w:val="0"/>
          <w:numId w:val="4"/>
        </w:numPr>
        <w:spacing w:line="600" w:lineRule="exact"/>
        <w:ind w:firstLine="660" w:firstLineChars="150"/>
        <w:jc w:val="center"/>
        <w:outlineLvl w:val="0"/>
        <w:rPr>
          <w:rStyle w:val="22"/>
          <w:rFonts w:ascii="黑体" w:hAnsi="黑体" w:eastAsia="黑体"/>
          <w:b w:val="0"/>
          <w:color w:val="auto"/>
          <w:highlight w:val="none"/>
        </w:rPr>
      </w:pPr>
      <w:r>
        <w:rPr>
          <w:rFonts w:hint="eastAsia" w:ascii="黑体" w:hAnsi="黑体" w:eastAsia="黑体"/>
          <w:color w:val="auto"/>
          <w:sz w:val="44"/>
          <w:szCs w:val="44"/>
          <w:highlight w:val="none"/>
        </w:rPr>
        <w:t>名</w:t>
      </w:r>
      <w:r>
        <w:rPr>
          <w:rStyle w:val="22"/>
          <w:rFonts w:hint="eastAsia" w:ascii="黑体" w:hAnsi="黑体" w:eastAsia="黑体"/>
          <w:b w:val="0"/>
          <w:color w:val="auto"/>
          <w:highlight w:val="none"/>
        </w:rPr>
        <w:t>词解释</w:t>
      </w:r>
    </w:p>
    <w:p>
      <w:pPr>
        <w:pStyle w:val="2"/>
      </w:pPr>
    </w:p>
    <w:p>
      <w:pPr>
        <w:pStyle w:val="12"/>
        <w:keepNext w:val="0"/>
        <w:keepLines w:val="0"/>
        <w:widowControl w:val="0"/>
        <w:numPr>
          <w:ilvl w:val="0"/>
          <w:numId w:val="5"/>
        </w:numPr>
        <w:suppressLineNumbers w:val="0"/>
        <w:autoSpaceDE w:val="0"/>
        <w:autoSpaceDN w:val="0"/>
        <w:adjustRightInd w:val="0"/>
        <w:spacing w:before="0" w:beforeAutospacing="0" w:after="0" w:afterAutospacing="0" w:line="560" w:lineRule="exact"/>
        <w:ind w:left="0" w:right="0" w:firstLine="640" w:firstLineChars="200"/>
        <w:jc w:val="left"/>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财政拨款收入：指单位从同级财政部门取得的财政预算资金。</w:t>
      </w:r>
    </w:p>
    <w:p>
      <w:pPr>
        <w:pStyle w:val="12"/>
        <w:keepNext w:val="0"/>
        <w:keepLines w:val="0"/>
        <w:widowControl w:val="0"/>
        <w:numPr>
          <w:ilvl w:val="0"/>
          <w:numId w:val="5"/>
        </w:numPr>
        <w:suppressLineNumbers w:val="0"/>
        <w:autoSpaceDE w:val="0"/>
        <w:autoSpaceDN w:val="0"/>
        <w:adjustRightInd w:val="0"/>
        <w:spacing w:before="0" w:beforeAutospacing="0" w:after="0" w:afterAutospacing="0" w:line="560" w:lineRule="exact"/>
        <w:ind w:left="0" w:leftChars="0" w:right="0" w:rightChars="0" w:firstLine="640" w:firstLineChars="200"/>
        <w:jc w:val="left"/>
        <w:rPr>
          <w:rFonts w:hint="eastAsia" w:ascii="仿宋_GB2312" w:hAnsi="Calibri" w:eastAsia="仿宋_GB2312" w:cs="仿宋_GB2312"/>
          <w:color w:val="auto"/>
          <w:kern w:val="0"/>
          <w:sz w:val="32"/>
          <w:szCs w:val="32"/>
          <w:lang w:val="en-US" w:eastAsia="zh-CN" w:bidi="ar"/>
        </w:rPr>
      </w:pPr>
      <w:r>
        <w:rPr>
          <w:rFonts w:hint="eastAsia" w:ascii="仿宋_GB2312" w:hAnsi="Calibri" w:eastAsia="仿宋_GB2312" w:cs="仿宋_GB2312"/>
          <w:color w:val="auto"/>
          <w:kern w:val="0"/>
          <w:sz w:val="32"/>
          <w:szCs w:val="32"/>
          <w:lang w:val="en-US" w:eastAsia="zh-CN" w:bidi="ar"/>
        </w:rPr>
        <w:t>其他收入：指单位取得的除上述收入以外的各项收入。主要是银行利息收入等。</w:t>
      </w:r>
    </w:p>
    <w:p>
      <w:pPr>
        <w:pStyle w:val="12"/>
        <w:keepNext w:val="0"/>
        <w:keepLines w:val="0"/>
        <w:widowControl w:val="0"/>
        <w:suppressLineNumbers w:val="0"/>
        <w:autoSpaceDE w:val="0"/>
        <w:autoSpaceDN w:val="0"/>
        <w:adjustRightInd w:val="0"/>
        <w:spacing w:before="0" w:beforeAutospacing="0" w:after="0" w:afterAutospacing="0" w:line="560" w:lineRule="exact"/>
        <w:ind w:left="0" w:right="0" w:firstLine="640" w:firstLineChars="200"/>
        <w:jc w:val="left"/>
        <w:rPr>
          <w:rFonts w:hint="eastAsia" w:ascii="仿宋_GB2312" w:eastAsia="仿宋_GB2312" w:cs="仿宋_GB2312"/>
          <w:b w:val="0"/>
          <w:bCs w:val="0"/>
          <w:color w:val="auto"/>
          <w:sz w:val="32"/>
          <w:szCs w:val="32"/>
          <w:lang w:val="en-US"/>
        </w:rPr>
      </w:pPr>
      <w:r>
        <w:rPr>
          <w:rFonts w:hint="eastAsia" w:ascii="仿宋_GB2312" w:hAnsi="Calibri" w:eastAsia="仿宋_GB2312" w:cs="仿宋_GB2312"/>
          <w:color w:val="auto"/>
          <w:kern w:val="0"/>
          <w:sz w:val="32"/>
          <w:szCs w:val="32"/>
          <w:lang w:val="en-US" w:eastAsia="zh-CN" w:bidi="ar"/>
        </w:rPr>
        <w:t>3.年初结转和结余：指以前年度尚未完成、结转到本年按</w:t>
      </w:r>
      <w:r>
        <w:rPr>
          <w:rFonts w:hint="eastAsia" w:ascii="仿宋_GB2312" w:hAnsi="Calibri" w:eastAsia="仿宋_GB2312" w:cs="仿宋_GB2312"/>
          <w:b w:val="0"/>
          <w:bCs w:val="0"/>
          <w:color w:val="auto"/>
          <w:kern w:val="0"/>
          <w:sz w:val="32"/>
          <w:szCs w:val="32"/>
          <w:lang w:val="en-US" w:eastAsia="zh-CN" w:bidi="ar"/>
        </w:rPr>
        <w:t xml:space="preserve">有关规定继续使用的资金。 </w:t>
      </w:r>
    </w:p>
    <w:p>
      <w:pPr>
        <w:pStyle w:val="12"/>
        <w:keepNext w:val="0"/>
        <w:keepLines w:val="0"/>
        <w:widowControl w:val="0"/>
        <w:suppressLineNumbers w:val="0"/>
        <w:autoSpaceDE w:val="0"/>
        <w:autoSpaceDN w:val="0"/>
        <w:adjustRightInd w:val="0"/>
        <w:spacing w:before="0" w:beforeAutospacing="0" w:after="0" w:afterAutospacing="0" w:line="560" w:lineRule="exact"/>
        <w:ind w:left="0" w:right="0" w:firstLine="640" w:firstLineChars="200"/>
        <w:jc w:val="left"/>
        <w:rPr>
          <w:rFonts w:hint="eastAsia" w:ascii="仿宋_GB2312" w:hAnsi="仿宋_GB2312" w:eastAsia="仿宋_GB2312" w:cs="仿宋_GB2312"/>
          <w:b w:val="0"/>
          <w:bCs w:val="0"/>
          <w:color w:val="000000" w:themeColor="text1"/>
          <w:sz w:val="32"/>
          <w:szCs w:val="32"/>
          <w:lang w:val="en-US"/>
          <w14:textFill>
            <w14:solidFill>
              <w14:schemeClr w14:val="tx1"/>
            </w14:solidFill>
          </w14:textFill>
        </w:rPr>
      </w:pPr>
      <w:r>
        <w:rPr>
          <w:rFonts w:hint="eastAsia" w:ascii="仿宋_GB2312" w:hAnsi="Calibri" w:eastAsia="仿宋_GB2312" w:cs="仿宋_GB2312"/>
          <w:b w:val="0"/>
          <w:bCs w:val="0"/>
          <w:color w:val="auto"/>
          <w:kern w:val="0"/>
          <w:sz w:val="32"/>
          <w:szCs w:val="32"/>
          <w:lang w:val="en-US" w:eastAsia="zh-CN" w:bidi="ar"/>
        </w:rPr>
        <w:t>4.年末结转和结余：指单位按有关规定结转到下年或以后年度</w:t>
      </w:r>
      <w:r>
        <w:rPr>
          <w:rFonts w:hint="eastAsia" w:ascii="仿宋_GB2312" w:hAnsi="仿宋_GB2312" w:eastAsia="仿宋_GB2312" w:cs="仿宋_GB2312"/>
          <w:b w:val="0"/>
          <w:bCs w:val="0"/>
          <w:color w:val="000000" w:themeColor="text1"/>
          <w:kern w:val="0"/>
          <w:sz w:val="32"/>
          <w:szCs w:val="32"/>
          <w:lang w:val="en-US" w:eastAsia="zh-CN" w:bidi="ar"/>
          <w14:textFill>
            <w14:solidFill>
              <w14:schemeClr w14:val="tx1"/>
            </w14:solidFill>
          </w14:textFill>
        </w:rPr>
        <w:t>继续使用的资金。</w:t>
      </w:r>
    </w:p>
    <w:p>
      <w:pPr>
        <w:pStyle w:val="12"/>
        <w:keepNext w:val="0"/>
        <w:keepLines w:val="0"/>
        <w:widowControl w:val="0"/>
        <w:suppressLineNumbers w:val="0"/>
        <w:autoSpaceDE w:val="0"/>
        <w:autoSpaceDN w:val="0"/>
        <w:adjustRightInd w:val="0"/>
        <w:spacing w:before="0" w:beforeAutospacing="0" w:after="0" w:afterAutospacing="0" w:line="560" w:lineRule="exact"/>
        <w:ind w:right="0" w:firstLine="640" w:firstLineChars="200"/>
        <w:jc w:val="left"/>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lang w:val="en-US" w:eastAsia="zh-CN" w:bidi="ar"/>
          <w14:textFill>
            <w14:solidFill>
              <w14:schemeClr w14:val="tx1"/>
            </w14:solidFill>
          </w14:textFill>
        </w:rPr>
        <w:t>5.</w:t>
      </w:r>
      <w:r>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t>社会保障和就业支出（类）行政事业单位养老支出（款）机关事业单位基本养老保险缴费支出（项）：反映机关事业单位实施养老保险制度由单位缴纳的基本养老保险费支出。</w:t>
      </w:r>
    </w:p>
    <w:p>
      <w:pPr>
        <w:pStyle w:val="12"/>
        <w:keepNext w:val="0"/>
        <w:keepLines w:val="0"/>
        <w:widowControl w:val="0"/>
        <w:suppressLineNumbers w:val="0"/>
        <w:autoSpaceDE w:val="0"/>
        <w:autoSpaceDN w:val="0"/>
        <w:adjustRightInd w:val="0"/>
        <w:spacing w:before="0" w:beforeAutospacing="0" w:after="0" w:afterAutospacing="0" w:line="560" w:lineRule="exact"/>
        <w:ind w:right="0" w:firstLine="640" w:firstLineChars="200"/>
        <w:jc w:val="left"/>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t>社会保障和就业支出（类）行政事业单位养老支出（款）机关事业单位职业年金缴费支出（项）：反映机关事业单位实施养老保险制度由单位实际缴纳的职业年金支出。</w:t>
      </w:r>
    </w:p>
    <w:p>
      <w:pPr>
        <w:pStyle w:val="12"/>
        <w:keepNext w:val="0"/>
        <w:keepLines w:val="0"/>
        <w:widowControl w:val="0"/>
        <w:suppressLineNumbers w:val="0"/>
        <w:autoSpaceDE w:val="0"/>
        <w:autoSpaceDN w:val="0"/>
        <w:adjustRightInd w:val="0"/>
        <w:spacing w:before="0" w:beforeAutospacing="0" w:after="0" w:afterAutospacing="0" w:line="560" w:lineRule="exact"/>
        <w:ind w:right="0" w:firstLine="640" w:firstLineChars="200"/>
        <w:jc w:val="left"/>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t>社会保障和就业支出（类）行政事业单位养老支出（款）其他行政事业单位养老支出（项）：反映上述项目以外其他用于行政事业单位养老方面的支出。</w:t>
      </w:r>
    </w:p>
    <w:p>
      <w:pPr>
        <w:pStyle w:val="12"/>
        <w:keepNext w:val="0"/>
        <w:keepLines w:val="0"/>
        <w:widowControl w:val="0"/>
        <w:suppressLineNumbers w:val="0"/>
        <w:autoSpaceDE w:val="0"/>
        <w:autoSpaceDN w:val="0"/>
        <w:adjustRightInd w:val="0"/>
        <w:spacing w:before="0" w:beforeAutospacing="0" w:after="0" w:afterAutospacing="0" w:line="560" w:lineRule="exact"/>
        <w:ind w:right="0" w:firstLine="640" w:firstLineChars="200"/>
        <w:jc w:val="left"/>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t>社会保障和就业支出（类）其他社会保障和就业支出（款）其他社会保障和就业支出（项）：反映除上述项目以外其他用于社会保障和就业方面的支出。</w:t>
      </w:r>
    </w:p>
    <w:p>
      <w:pPr>
        <w:pStyle w:val="12"/>
        <w:keepNext w:val="0"/>
        <w:keepLines w:val="0"/>
        <w:widowControl w:val="0"/>
        <w:numPr>
          <w:numId w:val="0"/>
        </w:numPr>
        <w:suppressLineNumbers w:val="0"/>
        <w:autoSpaceDE w:val="0"/>
        <w:autoSpaceDN w:val="0"/>
        <w:adjustRightInd w:val="0"/>
        <w:spacing w:before="0" w:beforeAutospacing="0" w:after="0" w:afterAutospacing="0" w:line="560" w:lineRule="exact"/>
        <w:ind w:right="0" w:rightChars="0" w:firstLine="640" w:firstLineChars="200"/>
        <w:jc w:val="left"/>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t>6.</w:t>
      </w:r>
      <w:r>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t>卫生健康支出（类）行政事业单位医疗（款）行政单位医疗（项）：反映财政部门集中安排的行政单位基本医疗保险缴费经费，未参加医疗保险的行政单位的公费医疗经费，按国家规定享受离退休人员、红军老战士待遇人员的医疗经费。</w:t>
      </w:r>
    </w:p>
    <w:p>
      <w:pPr>
        <w:pStyle w:val="12"/>
        <w:keepNext w:val="0"/>
        <w:keepLines w:val="0"/>
        <w:widowControl w:val="0"/>
        <w:numPr>
          <w:ilvl w:val="0"/>
          <w:numId w:val="0"/>
        </w:numPr>
        <w:suppressLineNumbers w:val="0"/>
        <w:autoSpaceDE w:val="0"/>
        <w:autoSpaceDN w:val="0"/>
        <w:adjustRightInd w:val="0"/>
        <w:spacing w:before="0" w:beforeAutospacing="0" w:after="0" w:afterAutospacing="0" w:line="560" w:lineRule="exact"/>
        <w:ind w:right="0" w:rightChars="0" w:firstLine="640" w:firstLineChars="200"/>
        <w:jc w:val="left"/>
        <w:rPr>
          <w:rFonts w:hint="eastAsia" w:ascii="仿宋_GB2312" w:hAnsi="仿宋_GB2312" w:eastAsia="仿宋_GB2312" w:cs="仿宋_GB2312"/>
          <w:b w:val="0"/>
          <w:bCs w:val="0"/>
          <w:color w:val="000000" w:themeColor="text1"/>
          <w:sz w:val="32"/>
          <w:szCs w:val="32"/>
          <w:lang w:val="en-US"/>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t>卫生健康支出（类）行政事业单位医疗（款）</w:t>
      </w:r>
      <w:r>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t>公务员</w:t>
      </w:r>
      <w:r>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t>医疗（项）：反映财政部门安排的</w:t>
      </w:r>
      <w:r>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t>公务员</w:t>
      </w:r>
      <w:r>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t>基本医疗保险缴费经费，未参加医疗保险的</w:t>
      </w:r>
      <w:r>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t>公务员</w:t>
      </w:r>
      <w:r>
        <w:rPr>
          <w:rFonts w:hint="eastAsia" w:ascii="仿宋_GB2312" w:hAnsi="仿宋_GB2312" w:eastAsia="仿宋_GB2312" w:cs="仿宋_GB2312"/>
          <w:b w:val="0"/>
          <w:bCs w:val="0"/>
          <w:color w:val="000000" w:themeColor="text1"/>
          <w:sz w:val="32"/>
          <w:szCs w:val="32"/>
          <w:shd w:val="clear" w:color="auto" w:fill="FFFFFF"/>
          <w:lang w:eastAsia="zh-CN"/>
          <w14:textFill>
            <w14:solidFill>
              <w14:schemeClr w14:val="tx1"/>
            </w14:solidFill>
          </w14:textFill>
        </w:rPr>
        <w:t>的公费医疗经费，按国家规定享受离休人员待遇的医疗经费。</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b w:val="0"/>
          <w:bCs w:val="0"/>
          <w:color w:val="000000" w:themeColor="text1"/>
          <w:kern w:val="0"/>
          <w:sz w:val="32"/>
          <w:szCs w:val="32"/>
          <w:lang w:val="en-US"/>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lang w:val="en-US" w:eastAsia="zh-CN" w:bidi="ar"/>
          <w14:textFill>
            <w14:solidFill>
              <w14:schemeClr w14:val="tx1"/>
            </w14:solidFill>
          </w14:textFill>
        </w:rPr>
        <w:t>7.住房保障（类）住房改革支出（款）住房公积金（项）：指行政事业单位按人力资源和社会保障部、财政部规定的基本工资和津贴补贴以及规定比例为职工缴纳的住房公积金。</w:t>
      </w:r>
    </w:p>
    <w:p>
      <w:pPr>
        <w:pStyle w:val="3"/>
        <w:ind w:left="0" w:leftChars="0" w:firstLine="640" w:firstLineChars="200"/>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8.粮油物资储备支出（类）粮油物资事务（款）行政运行（项）：反映行政单位的基本支出。</w:t>
      </w:r>
    </w:p>
    <w:p>
      <w:pPr>
        <w:pStyle w:val="3"/>
        <w:ind w:left="0" w:leftChars="0" w:firstLine="640" w:firstLineChars="200"/>
        <w:rPr>
          <w:rFonts w:hint="eastAsia" w:ascii="仿宋_GB2312" w:hAnsi="仿宋_GB2312" w:eastAsia="仿宋_GB2312" w:cs="仿宋_GB2312"/>
          <w:b w:val="0"/>
          <w:bCs w:val="0"/>
          <w:color w:val="auto"/>
          <w:sz w:val="32"/>
          <w:szCs w:val="32"/>
          <w:highlight w:val="yellow"/>
          <w:lang w:val="en-US" w:eastAsia="zh-CN"/>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粮油物资储备支出（类）粮油物资事务（款）粮食风险基金（项）：</w:t>
      </w:r>
      <w:r>
        <w:rPr>
          <w:rFonts w:hint="eastAsia" w:ascii="仿宋_GB2312" w:hAnsi="仿宋_GB2312" w:eastAsia="仿宋_GB2312" w:cs="仿宋_GB2312"/>
          <w:b w:val="0"/>
          <w:bCs w:val="0"/>
          <w:color w:val="auto"/>
          <w:sz w:val="32"/>
          <w:szCs w:val="32"/>
          <w:highlight w:val="none"/>
          <w:lang w:val="en-US" w:eastAsia="zh-CN"/>
        </w:rPr>
        <w:t>反映用粮食风险基金安排的支出。</w:t>
      </w:r>
    </w:p>
    <w:p>
      <w:pPr>
        <w:pStyle w:val="3"/>
        <w:ind w:left="0" w:leftChars="0" w:firstLine="640" w:firstLineChars="200"/>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粮油物资储备支出（类）粮油物资事务（款）其他粮油物资事务支出（项）：指除以上项目以外其他用于粮油事务方面的支出。</w:t>
      </w:r>
    </w:p>
    <w:p>
      <w:pPr>
        <w:keepNext w:val="0"/>
        <w:keepLines w:val="0"/>
        <w:widowControl w:val="0"/>
        <w:suppressLineNumbers w:val="0"/>
        <w:spacing w:before="0" w:beforeAutospacing="0" w:after="0" w:afterAutospacing="0"/>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color w:val="auto"/>
          <w:kern w:val="2"/>
          <w:sz w:val="32"/>
          <w:szCs w:val="32"/>
          <w:lang w:val="en-US" w:eastAsia="zh-CN" w:bidi="ar"/>
        </w:rPr>
        <w:t>9.基本支出：指为保障机构正常运转、完成日常工作任务而发生的人员支出和公用支出。</w:t>
      </w:r>
    </w:p>
    <w:p>
      <w:pPr>
        <w:keepNext w:val="0"/>
        <w:keepLines w:val="0"/>
        <w:widowControl w:val="0"/>
        <w:suppressLineNumbers w:val="0"/>
        <w:spacing w:before="0" w:beforeAutospacing="0" w:after="0" w:afterAutospacing="0"/>
        <w:ind w:left="0" w:right="0" w:firstLine="640" w:firstLineChars="200"/>
        <w:jc w:val="both"/>
        <w:rPr>
          <w:rFonts w:hint="eastAsia" w:ascii="仿宋_GB2312" w:eastAsia="仿宋_GB2312" w:cs="仿宋_GB2312"/>
          <w:sz w:val="32"/>
          <w:szCs w:val="32"/>
          <w:lang w:val="en-US"/>
        </w:rPr>
      </w:pPr>
      <w:r>
        <w:rPr>
          <w:rFonts w:hint="eastAsia" w:ascii="仿宋_GB2312" w:hAnsi="Times New Roman" w:eastAsia="仿宋_GB2312" w:cs="仿宋_GB2312"/>
          <w:color w:val="auto"/>
          <w:kern w:val="2"/>
          <w:sz w:val="32"/>
          <w:szCs w:val="32"/>
          <w:lang w:val="en-US" w:eastAsia="zh-CN" w:bidi="ar"/>
        </w:rPr>
        <w:t xml:space="preserve">10.项目支出：指在基本支出之外为完成特定行政任务和事业发展目标所发生的支出。 </w:t>
      </w:r>
    </w:p>
    <w:p>
      <w:pPr>
        <w:pStyle w:val="12"/>
        <w:keepNext w:val="0"/>
        <w:keepLines w:val="0"/>
        <w:widowControl w:val="0"/>
        <w:suppressLineNumbers w:val="0"/>
        <w:autoSpaceDE w:val="0"/>
        <w:autoSpaceDN w:val="0"/>
        <w:adjustRightInd w:val="0"/>
        <w:spacing w:before="0" w:beforeAutospacing="0" w:after="0" w:afterAutospacing="0" w:line="560" w:lineRule="exact"/>
        <w:ind w:left="0" w:right="0" w:firstLine="640" w:firstLineChars="200"/>
        <w:jc w:val="left"/>
        <w:rPr>
          <w:rFonts w:hint="eastAsia" w:ascii="仿宋_GB2312" w:eastAsia="仿宋_GB2312" w:cs="仿宋_GB2312"/>
          <w:color w:val="auto"/>
          <w:sz w:val="32"/>
          <w:szCs w:val="32"/>
          <w:lang w:val="en-US"/>
        </w:rPr>
      </w:pPr>
      <w:r>
        <w:rPr>
          <w:rFonts w:hint="eastAsia" w:ascii="仿宋_GB2312" w:hAnsi="Calibri" w:eastAsia="仿宋_GB2312" w:cs="仿宋_GB2312"/>
          <w:color w:val="auto"/>
          <w:kern w:val="0"/>
          <w:sz w:val="32"/>
          <w:szCs w:val="32"/>
          <w:lang w:val="en-US" w:eastAsia="zh-CN" w:bidi="ar"/>
        </w:rPr>
        <w:t>11.“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2"/>
        <w:keepNext w:val="0"/>
        <w:keepLines w:val="0"/>
        <w:widowControl w:val="0"/>
        <w:suppressLineNumbers w:val="0"/>
        <w:autoSpaceDE w:val="0"/>
        <w:autoSpaceDN w:val="0"/>
        <w:adjustRightInd w:val="0"/>
        <w:spacing w:before="0" w:beforeAutospacing="0" w:after="0" w:afterAutospacing="0" w:line="560" w:lineRule="exact"/>
        <w:ind w:left="0" w:right="0" w:firstLine="640" w:firstLineChars="200"/>
        <w:jc w:val="left"/>
        <w:rPr>
          <w:rFonts w:hint="eastAsia" w:ascii="黑体" w:hAnsi="黑体" w:eastAsia="黑体"/>
          <w:color w:val="auto"/>
          <w:sz w:val="44"/>
          <w:szCs w:val="44"/>
          <w:highlight w:val="none"/>
        </w:rPr>
      </w:pPr>
      <w:r>
        <w:rPr>
          <w:rFonts w:hint="eastAsia" w:ascii="仿宋_GB2312" w:hAnsi="Calibri" w:eastAsia="仿宋_GB2312" w:cs="仿宋_GB2312"/>
          <w:color w:val="auto"/>
          <w:kern w:val="0"/>
          <w:sz w:val="32"/>
          <w:szCs w:val="32"/>
          <w:lang w:val="en-US" w:eastAsia="zh-CN" w:bidi="ar"/>
        </w:rPr>
        <w:t>12.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3"/>
        <w:ind w:left="0" w:leftChars="0" w:firstLine="640" w:firstLineChars="200"/>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3"/>
        <w:ind w:left="0" w:leftChars="0" w:firstLine="640" w:firstLineChars="200"/>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3"/>
        <w:ind w:left="0" w:leftChars="0" w:firstLine="640" w:firstLineChars="200"/>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3"/>
        <w:ind w:left="0" w:leftChars="0" w:firstLine="640" w:firstLineChars="200"/>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3"/>
        <w:ind w:left="0" w:leftChars="0" w:firstLine="640" w:firstLineChars="200"/>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3"/>
        <w:ind w:left="0" w:leftChars="0" w:firstLine="640" w:firstLineChars="200"/>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3"/>
        <w:ind w:left="0" w:leftChars="0" w:firstLine="640" w:firstLineChars="200"/>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3"/>
        <w:ind w:left="0" w:leftChars="0" w:firstLine="640" w:firstLineChars="200"/>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3"/>
        <w:ind w:left="0" w:leftChars="0" w:firstLine="640" w:firstLineChars="200"/>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pStyle w:val="3"/>
        <w:ind w:left="0" w:leftChars="0" w:firstLine="640" w:firstLineChars="200"/>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p>
    <w:p>
      <w:pPr>
        <w:spacing w:line="600" w:lineRule="exact"/>
        <w:ind w:firstLine="2640" w:firstLineChars="600"/>
        <w:jc w:val="both"/>
        <w:outlineLvl w:val="0"/>
        <w:rPr>
          <w:rStyle w:val="22"/>
          <w:rFonts w:hint="eastAsia" w:ascii="黑体" w:hAnsi="黑体" w:eastAsia="黑体"/>
          <w:b w:val="0"/>
          <w:color w:val="auto"/>
          <w:highlight w:val="none"/>
          <w:lang w:eastAsia="zh-CN"/>
        </w:rPr>
      </w:pPr>
      <w:r>
        <w:rPr>
          <w:rFonts w:hint="eastAsia" w:ascii="黑体" w:hAnsi="黑体" w:eastAsia="黑体"/>
          <w:color w:val="auto"/>
          <w:sz w:val="44"/>
          <w:szCs w:val="44"/>
          <w:highlight w:val="none"/>
        </w:rPr>
        <w:t>第</w:t>
      </w:r>
      <w:r>
        <w:rPr>
          <w:rStyle w:val="22"/>
          <w:rFonts w:hint="eastAsia" w:ascii="黑体" w:hAnsi="黑体" w:eastAsia="黑体"/>
          <w:b w:val="0"/>
          <w:color w:val="auto"/>
          <w:highlight w:val="none"/>
        </w:rPr>
        <w:t>四部分 附件</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 w:val="32"/>
          <w:szCs w:val="32"/>
          <w:shd w:val="clear" w:color="auto" w:fill="FFFFFF"/>
          <w:lang w:val="zh-CN"/>
        </w:rPr>
      </w:pPr>
    </w:p>
    <w:p>
      <w:pPr>
        <w:spacing w:line="600" w:lineRule="exact"/>
        <w:ind w:firstLine="640" w:firstLineChars="200"/>
        <w:jc w:val="both"/>
        <w:outlineLvl w:val="0"/>
        <w:rPr>
          <w:rFonts w:hint="default" w:eastAsia="黑体" w:cs="Times New Roman"/>
          <w:color w:val="auto"/>
          <w:kern w:val="0"/>
          <w:sz w:val="32"/>
          <w:szCs w:val="32"/>
          <w:highlight w:val="none"/>
          <w:shd w:val="clear" w:color="auto" w:fill="FFFFFF"/>
          <w:lang w:val="en-US" w:eastAsia="zh-CN"/>
        </w:rPr>
      </w:pPr>
      <w:r>
        <w:rPr>
          <w:rFonts w:hint="eastAsia" w:hAnsi="Times New Roman" w:cs="Times New Roman"/>
          <w:sz w:val="32"/>
          <w:szCs w:val="32"/>
          <w:highlight w:val="none"/>
          <w:lang w:val="en-US" w:eastAsia="zh-CN"/>
        </w:rPr>
        <w:t>部门预算项目支出绩效自评表（202</w:t>
      </w:r>
      <w:r>
        <w:rPr>
          <w:rFonts w:hint="eastAsia" w:cs="Times New Roman"/>
          <w:sz w:val="32"/>
          <w:szCs w:val="32"/>
          <w:highlight w:val="none"/>
          <w:lang w:val="en-US" w:eastAsia="zh-CN"/>
        </w:rPr>
        <w:t>3</w:t>
      </w:r>
      <w:r>
        <w:rPr>
          <w:rFonts w:hint="eastAsia" w:hAnsi="Times New Roman" w:cs="Times New Roman"/>
          <w:sz w:val="32"/>
          <w:szCs w:val="32"/>
          <w:highlight w:val="none"/>
          <w:lang w:val="en-US" w:eastAsia="zh-CN"/>
        </w:rPr>
        <w:t>年度）</w:t>
      </w:r>
    </w:p>
    <w:tbl>
      <w:tblPr>
        <w:tblStyle w:val="15"/>
        <w:tblW w:w="84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13"/>
        <w:gridCol w:w="1379"/>
        <w:gridCol w:w="1878"/>
        <w:gridCol w:w="1047"/>
        <w:gridCol w:w="1569"/>
        <w:gridCol w:w="13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80" w:hRule="atLeast"/>
        </w:trPr>
        <w:tc>
          <w:tcPr>
            <w:tcW w:w="8429" w:type="dxa"/>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7" w:hRule="atLeast"/>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25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2023年粮食安全执法经费</w:t>
            </w:r>
          </w:p>
        </w:tc>
        <w:tc>
          <w:tcPr>
            <w:tcW w:w="1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2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25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峨边彝族自治县粮食和物资储备中心</w:t>
            </w:r>
          </w:p>
        </w:tc>
        <w:tc>
          <w:tcPr>
            <w:tcW w:w="1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峨边彝族自治县粮食和物资储备中心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8429"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2592" w:type="dxa"/>
            <w:gridSpan w:val="2"/>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6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4" w:hRule="atLeast"/>
        </w:trPr>
        <w:tc>
          <w:tcPr>
            <w:tcW w:w="25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6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4" w:hRule="atLeast"/>
        </w:trPr>
        <w:tc>
          <w:tcPr>
            <w:tcW w:w="25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其中：中省补助资金</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6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9" w:hRule="atLeast"/>
        </w:trPr>
        <w:tc>
          <w:tcPr>
            <w:tcW w:w="25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县级预算资金</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6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25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6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121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30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2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4304"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做好全县粮食安全监管工作、粮食安全检测、人员培训、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宣传等相关工作，确保全县粮食质量保障。</w:t>
            </w:r>
          </w:p>
        </w:tc>
        <w:tc>
          <w:tcPr>
            <w:tcW w:w="29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做好全县粮食安全监管工作、粮食安全检测、人员培训、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宣传等相关工作，确保全县粮食质量保障。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目标指标</w:t>
            </w:r>
          </w:p>
        </w:tc>
        <w:tc>
          <w:tcPr>
            <w:tcW w:w="1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目标值</w:t>
            </w:r>
          </w:p>
        </w:tc>
        <w:tc>
          <w:tcPr>
            <w:tcW w:w="1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业绩指标</w:t>
            </w:r>
          </w:p>
        </w:tc>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投入与管理</w:t>
            </w:r>
          </w:p>
        </w:tc>
        <w:tc>
          <w:tcPr>
            <w:tcW w:w="1379"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投入管理</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预算编制合理性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合理</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预算执行率</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预算资金到位率</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财务管理</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财务管理制度健全性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健全</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财务监控有效性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有效</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资金使用规范性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实施管理</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供应商资质符合程度</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符合</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合同管理完备性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完备</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监理规范性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系统运维规范性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项目管理制度健全性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健全</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项目验收规范性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政府采购规范性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资产管理</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121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产出指标</w:t>
            </w: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数量指标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安全检测及宣传培训</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5次</w:t>
            </w:r>
          </w:p>
        </w:tc>
        <w:tc>
          <w:tcPr>
            <w:tcW w:w="1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5次</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5次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质量指标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确保县级储备粮食质量</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时效指标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完成任务时限</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12个月</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12个月</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12个月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成本指标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安全监管费用</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5万</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5万</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5万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效益指标</w:t>
            </w: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经济效益指标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社会效益指标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保障县级储备粮油安全</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生态效益指标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可持续影响指标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12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满意度指标</w:t>
            </w: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满意度指标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服务满意度</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5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60" w:hRule="atLeast"/>
        </w:trPr>
        <w:tc>
          <w:tcPr>
            <w:tcW w:w="8429" w:type="dxa"/>
            <w:gridSpan w:val="6"/>
            <w:tcBorders>
              <w:top w:val="nil"/>
              <w:left w:val="nil"/>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说明：1.项目支出绩效评价表请参考预算管理一体化系统项目入库时填报的绩效目标表。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2.其他资金是指投入到同一项目的自有资金、捐赠或帮扶社会资金等。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3.全年预算数根据上级文件和预算下达为准。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w:t>
            </w:r>
          </w:p>
        </w:tc>
      </w:tr>
    </w:tbl>
    <w:p>
      <w:pPr>
        <w:rPr>
          <w:rFonts w:hint="default" w:eastAsia="黑体" w:cs="Times New Roman"/>
          <w:color w:val="auto"/>
          <w:kern w:val="0"/>
          <w:sz w:val="32"/>
          <w:szCs w:val="32"/>
          <w:highlight w:val="none"/>
          <w:shd w:val="clear" w:color="auto" w:fill="FFFFFF"/>
          <w:lang w:val="en-US" w:eastAsia="zh-CN"/>
        </w:rPr>
      </w:pPr>
    </w:p>
    <w:p>
      <w:pPr>
        <w:pStyle w:val="2"/>
        <w:rPr>
          <w:rFonts w:hint="default" w:eastAsia="黑体" w:cs="Times New Roman"/>
          <w:color w:val="auto"/>
          <w:kern w:val="0"/>
          <w:sz w:val="32"/>
          <w:szCs w:val="32"/>
          <w:highlight w:val="none"/>
          <w:shd w:val="clear" w:color="auto" w:fill="FFFFFF"/>
          <w:lang w:val="en-US" w:eastAsia="zh-CN"/>
        </w:rPr>
      </w:pPr>
    </w:p>
    <w:p>
      <w:pPr>
        <w:pStyle w:val="3"/>
        <w:rPr>
          <w:rFonts w:hint="default" w:eastAsia="黑体" w:cs="Times New Roman"/>
          <w:color w:val="auto"/>
          <w:kern w:val="0"/>
          <w:sz w:val="32"/>
          <w:szCs w:val="32"/>
          <w:highlight w:val="none"/>
          <w:shd w:val="clear" w:color="auto" w:fill="FFFFFF"/>
          <w:lang w:val="en-US" w:eastAsia="zh-CN"/>
        </w:rPr>
      </w:pPr>
    </w:p>
    <w:p>
      <w:pPr>
        <w:rPr>
          <w:rFonts w:hint="default" w:eastAsia="黑体" w:cs="Times New Roman"/>
          <w:color w:val="auto"/>
          <w:kern w:val="0"/>
          <w:sz w:val="32"/>
          <w:szCs w:val="32"/>
          <w:highlight w:val="none"/>
          <w:shd w:val="clear" w:color="auto" w:fill="FFFFFF"/>
          <w:lang w:val="en-US" w:eastAsia="zh-CN"/>
        </w:rPr>
      </w:pPr>
    </w:p>
    <w:p>
      <w:pPr>
        <w:pStyle w:val="2"/>
        <w:rPr>
          <w:rFonts w:hint="default" w:eastAsia="黑体" w:cs="Times New Roman"/>
          <w:color w:val="auto"/>
          <w:kern w:val="0"/>
          <w:sz w:val="32"/>
          <w:szCs w:val="32"/>
          <w:highlight w:val="none"/>
          <w:shd w:val="clear" w:color="auto" w:fill="FFFFFF"/>
          <w:lang w:val="en-US" w:eastAsia="zh-CN"/>
        </w:rPr>
      </w:pPr>
    </w:p>
    <w:p>
      <w:pPr>
        <w:pStyle w:val="3"/>
        <w:rPr>
          <w:rFonts w:hint="default" w:eastAsia="黑体" w:cs="Times New Roman"/>
          <w:color w:val="auto"/>
          <w:kern w:val="0"/>
          <w:sz w:val="32"/>
          <w:szCs w:val="32"/>
          <w:highlight w:val="none"/>
          <w:shd w:val="clear" w:color="auto" w:fill="FFFFFF"/>
          <w:lang w:val="en-US" w:eastAsia="zh-CN"/>
        </w:rPr>
      </w:pPr>
    </w:p>
    <w:p>
      <w:pPr>
        <w:rPr>
          <w:rFonts w:hint="default" w:eastAsia="黑体" w:cs="Times New Roman"/>
          <w:color w:val="auto"/>
          <w:kern w:val="0"/>
          <w:sz w:val="32"/>
          <w:szCs w:val="32"/>
          <w:highlight w:val="none"/>
          <w:shd w:val="clear" w:color="auto" w:fill="FFFFFF"/>
          <w:lang w:val="en-US" w:eastAsia="zh-CN"/>
        </w:rPr>
      </w:pPr>
    </w:p>
    <w:p>
      <w:pPr>
        <w:pStyle w:val="2"/>
        <w:rPr>
          <w:rFonts w:hint="default" w:eastAsia="黑体" w:cs="Times New Roman"/>
          <w:color w:val="auto"/>
          <w:kern w:val="0"/>
          <w:sz w:val="32"/>
          <w:szCs w:val="32"/>
          <w:highlight w:val="none"/>
          <w:shd w:val="clear" w:color="auto" w:fill="FFFFFF"/>
          <w:lang w:val="en-US" w:eastAsia="zh-CN"/>
        </w:rPr>
      </w:pPr>
    </w:p>
    <w:p>
      <w:pPr>
        <w:pStyle w:val="3"/>
        <w:rPr>
          <w:rFonts w:hint="default" w:eastAsia="黑体" w:cs="Times New Roman"/>
          <w:color w:val="auto"/>
          <w:kern w:val="0"/>
          <w:sz w:val="32"/>
          <w:szCs w:val="32"/>
          <w:highlight w:val="none"/>
          <w:shd w:val="clear" w:color="auto" w:fill="FFFFFF"/>
          <w:lang w:val="en-US" w:eastAsia="zh-CN"/>
        </w:rPr>
      </w:pPr>
    </w:p>
    <w:p>
      <w:pPr>
        <w:rPr>
          <w:rFonts w:hint="default" w:eastAsia="黑体" w:cs="Times New Roman"/>
          <w:color w:val="auto"/>
          <w:kern w:val="0"/>
          <w:sz w:val="32"/>
          <w:szCs w:val="32"/>
          <w:highlight w:val="none"/>
          <w:shd w:val="clear" w:color="auto" w:fill="FFFFFF"/>
          <w:lang w:val="en-US" w:eastAsia="zh-CN"/>
        </w:rPr>
      </w:pPr>
    </w:p>
    <w:tbl>
      <w:tblPr>
        <w:tblStyle w:val="15"/>
        <w:tblW w:w="84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68"/>
        <w:gridCol w:w="1328"/>
        <w:gridCol w:w="2122"/>
        <w:gridCol w:w="1010"/>
        <w:gridCol w:w="1548"/>
        <w:gridCol w:w="12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8429" w:type="dxa"/>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1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45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县级储备粮油轮换专项经费补贴</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2801" w:type="dxa"/>
            <w:gridSpan w:val="2"/>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1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45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峨边彝族自治县粮食和物资储备中心</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80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峨边彝族自治县粮食和物资储备中心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8429" w:type="dxa"/>
            <w:gridSpan w:val="6"/>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2496" w:type="dxa"/>
            <w:gridSpan w:val="2"/>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253"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1253"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其中：中省补助资金</w:t>
            </w:r>
          </w:p>
        </w:tc>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53" w:type="dxa"/>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县级预算资金</w:t>
            </w:r>
          </w:p>
        </w:tc>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1253"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53" w:type="dxa"/>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16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4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280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6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446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对县级储备菜籽油、成品粮（大米）进行轮换差价及粮库储备保管等正常运转费用补贴</w:t>
            </w:r>
          </w:p>
        </w:tc>
        <w:tc>
          <w:tcPr>
            <w:tcW w:w="28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菜籽油轮换1个批次，成品粮轮换1个批次，保障粮库正常运转。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目标指标</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目标值</w:t>
            </w: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业绩指标</w:t>
            </w:r>
          </w:p>
        </w:tc>
        <w:tc>
          <w:tcPr>
            <w:tcW w:w="1253"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投入与管理</w:t>
            </w:r>
          </w:p>
        </w:tc>
        <w:tc>
          <w:tcPr>
            <w:tcW w:w="1328"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投入管理</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预算编制合理性</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合理</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预算执行率</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预算资金到位率</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财务管理</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财务管理制度健全性</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健全</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财务监控有效性</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有效</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资金使用规范性</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实施管理</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供应商资质符合程度</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符合</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合同管理完备性</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完备</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监理规范性</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系统运维规范性</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项目管理制度健全性</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健全</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项目验收规范性</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政府采购规范性</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资产管理</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产出指标</w:t>
            </w: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数量指标</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菜籽油</w:t>
            </w:r>
          </w:p>
        </w:tc>
        <w:tc>
          <w:tcPr>
            <w:tcW w:w="10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20吨</w:t>
            </w:r>
          </w:p>
        </w:tc>
        <w:tc>
          <w:tcPr>
            <w:tcW w:w="154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20吨</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20吨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数量指标</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成品粮（大米）</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200吨</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200吨</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200吨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质量指标</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菜籽油、成品粮轮换质量</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时效指标</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成本指标</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费用补贴</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108万</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108万</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108万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效益指标</w:t>
            </w: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经济效益指标</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社会效益指标</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保障县级储备粮油后勤保障</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生态效益指标</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可持续影响指标</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1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满意度指标</w:t>
            </w:r>
          </w:p>
        </w:tc>
        <w:tc>
          <w:tcPr>
            <w:tcW w:w="1328"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满意度指标</w:t>
            </w:r>
          </w:p>
        </w:tc>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服务满意度</w:t>
            </w:r>
          </w:p>
        </w:tc>
        <w:tc>
          <w:tcPr>
            <w:tcW w:w="10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5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253"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8429" w:type="dxa"/>
            <w:gridSpan w:val="6"/>
            <w:tcBorders>
              <w:top w:val="nil"/>
              <w:left w:val="nil"/>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说明：1.项目支出绩效评价表请参考预算管理一体化系统项目入库时填报的绩效目标表。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2.其他资金是指投入到同一项目的自有资金、捐赠或帮扶社会资金等。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3.全年预算数根据上级文件和预算下达为准。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w:t>
            </w:r>
          </w:p>
        </w:tc>
      </w:tr>
    </w:tbl>
    <w:p>
      <w:pPr>
        <w:pStyle w:val="2"/>
        <w:rPr>
          <w:rFonts w:hint="default" w:eastAsia="黑体" w:cs="Times New Roman"/>
          <w:color w:val="auto"/>
          <w:kern w:val="0"/>
          <w:sz w:val="32"/>
          <w:szCs w:val="32"/>
          <w:highlight w:val="none"/>
          <w:shd w:val="clear" w:color="auto" w:fill="FFFFFF"/>
          <w:lang w:val="en-US" w:eastAsia="zh-CN"/>
        </w:rPr>
      </w:pPr>
    </w:p>
    <w:p>
      <w:pPr>
        <w:pStyle w:val="3"/>
        <w:rPr>
          <w:rFonts w:hint="default" w:eastAsia="黑体" w:cs="Times New Roman"/>
          <w:color w:val="auto"/>
          <w:kern w:val="0"/>
          <w:sz w:val="32"/>
          <w:szCs w:val="32"/>
          <w:highlight w:val="none"/>
          <w:shd w:val="clear" w:color="auto" w:fill="FFFFFF"/>
          <w:lang w:val="en-US" w:eastAsia="zh-CN"/>
        </w:rPr>
      </w:pPr>
    </w:p>
    <w:p>
      <w:pPr>
        <w:rPr>
          <w:rFonts w:hint="default" w:eastAsia="黑体" w:cs="Times New Roman"/>
          <w:color w:val="auto"/>
          <w:kern w:val="0"/>
          <w:sz w:val="32"/>
          <w:szCs w:val="32"/>
          <w:highlight w:val="none"/>
          <w:shd w:val="clear" w:color="auto" w:fill="FFFFFF"/>
          <w:lang w:val="en-US" w:eastAsia="zh-CN"/>
        </w:rPr>
      </w:pPr>
    </w:p>
    <w:p>
      <w:pPr>
        <w:pStyle w:val="2"/>
        <w:rPr>
          <w:rFonts w:hint="default" w:eastAsia="黑体" w:cs="Times New Roman"/>
          <w:color w:val="auto"/>
          <w:kern w:val="0"/>
          <w:sz w:val="32"/>
          <w:szCs w:val="32"/>
          <w:highlight w:val="none"/>
          <w:shd w:val="clear" w:color="auto" w:fill="FFFFFF"/>
          <w:lang w:val="en-US" w:eastAsia="zh-CN"/>
        </w:rPr>
      </w:pPr>
    </w:p>
    <w:p>
      <w:pPr>
        <w:pStyle w:val="3"/>
        <w:rPr>
          <w:rFonts w:hint="default" w:eastAsia="黑体" w:cs="Times New Roman"/>
          <w:color w:val="auto"/>
          <w:kern w:val="0"/>
          <w:sz w:val="32"/>
          <w:szCs w:val="32"/>
          <w:highlight w:val="none"/>
          <w:shd w:val="clear" w:color="auto" w:fill="FFFFFF"/>
          <w:lang w:val="en-US" w:eastAsia="zh-CN"/>
        </w:rPr>
      </w:pPr>
    </w:p>
    <w:p>
      <w:pPr>
        <w:rPr>
          <w:rFonts w:hint="default" w:eastAsia="黑体" w:cs="Times New Roman"/>
          <w:color w:val="auto"/>
          <w:kern w:val="0"/>
          <w:sz w:val="32"/>
          <w:szCs w:val="32"/>
          <w:highlight w:val="none"/>
          <w:shd w:val="clear" w:color="auto" w:fill="FFFFFF"/>
          <w:lang w:val="en-US" w:eastAsia="zh-CN"/>
        </w:rPr>
      </w:pPr>
    </w:p>
    <w:p>
      <w:pPr>
        <w:pStyle w:val="2"/>
        <w:rPr>
          <w:rFonts w:hint="default" w:eastAsia="黑体" w:cs="Times New Roman"/>
          <w:color w:val="auto"/>
          <w:kern w:val="0"/>
          <w:sz w:val="32"/>
          <w:szCs w:val="32"/>
          <w:highlight w:val="none"/>
          <w:shd w:val="clear" w:color="auto" w:fill="FFFFFF"/>
          <w:lang w:val="en-US" w:eastAsia="zh-CN"/>
        </w:rPr>
      </w:pPr>
    </w:p>
    <w:tbl>
      <w:tblPr>
        <w:tblStyle w:val="15"/>
        <w:tblW w:w="84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13"/>
        <w:gridCol w:w="1379"/>
        <w:gridCol w:w="1878"/>
        <w:gridCol w:w="1047"/>
        <w:gridCol w:w="1492"/>
        <w:gridCol w:w="14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8429" w:type="dxa"/>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25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2023年粮食安全执法经费</w:t>
            </w:r>
          </w:p>
        </w:tc>
        <w:tc>
          <w:tcPr>
            <w:tcW w:w="1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2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25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峨边彝族自治县粮食和物资储备中心</w:t>
            </w:r>
          </w:p>
        </w:tc>
        <w:tc>
          <w:tcPr>
            <w:tcW w:w="1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峨边彝族自治县粮食和物资储备中心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8429"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2592" w:type="dxa"/>
            <w:gridSpan w:val="2"/>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53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25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253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23.89</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25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其中：中省补助资金</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53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25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县级预算资金</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253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23.89</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25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53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121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30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2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4304"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聘请劳务派遣人员5人用于粮库日常管理及维护，物资保管管理等相关工作开展</w:t>
            </w:r>
          </w:p>
        </w:tc>
        <w:tc>
          <w:tcPr>
            <w:tcW w:w="29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保管人员5人确保粮库日常管理及维护，物资保管管理等相关工作开展，保障粮库后勤工作。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目标指标</w:t>
            </w:r>
          </w:p>
        </w:tc>
        <w:tc>
          <w:tcPr>
            <w:tcW w:w="1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目标值</w:t>
            </w:r>
          </w:p>
        </w:tc>
        <w:tc>
          <w:tcPr>
            <w:tcW w:w="1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业绩指标</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投入与管理</w:t>
            </w:r>
          </w:p>
        </w:tc>
        <w:tc>
          <w:tcPr>
            <w:tcW w:w="1379"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投入管理</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预算编制合理性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合理</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预算执行率</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预算资金到位率</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财务管理</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财务管理制度健全性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健全</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财务监控有效性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有效</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资金使用规范性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实施管理</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供应商资质符合程度</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符合</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合同管理完备性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完备</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监理规范性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系统运维规范性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项目管理制度健全性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健全</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项目验收规范性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政府采购规范性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资产管理</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产出指标</w:t>
            </w: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数量指标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劳务派遣人员</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5人</w:t>
            </w:r>
          </w:p>
        </w:tc>
        <w:tc>
          <w:tcPr>
            <w:tcW w:w="14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5人</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质量指标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保管粮油质量</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时效指标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完成任务时限</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12个月</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12个月</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12个月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成本指标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劳务派遣人员待遇</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23.89万</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23.89万</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23.89万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效益指标</w:t>
            </w: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经济效益指标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社会效益指标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保障县级储备粮油安全</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生态效益指标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可持续影响指标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满意度指标</w:t>
            </w: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满意度指标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服务满意度</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8429" w:type="dxa"/>
            <w:gridSpan w:val="6"/>
            <w:tcBorders>
              <w:top w:val="nil"/>
              <w:left w:val="nil"/>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说明：1.项目支出绩效评价表请参考预算管理一体化系统项目入库时填报的绩效目标表。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2.其他资金是指投入到同一项目的自有资金、捐赠或帮扶社会资金等。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3.全年预算数根据上级文件和预算下达为准。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8429" w:type="dxa"/>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25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政府性基金项目维护费</w:t>
            </w:r>
          </w:p>
        </w:tc>
        <w:tc>
          <w:tcPr>
            <w:tcW w:w="1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2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25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峨边彝族自治县粮食和物资储备中心</w:t>
            </w:r>
          </w:p>
        </w:tc>
        <w:tc>
          <w:tcPr>
            <w:tcW w:w="1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峨边彝族自治县粮食和物资储备中心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8429"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2592" w:type="dxa"/>
            <w:gridSpan w:val="2"/>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53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25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53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25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其中：中省补助资金</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53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25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县级预算资金</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53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25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53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30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2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68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4304"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完善智能化项目提档升级，设备连接中心实施动态管控，实时监控粮库动态，完善智能化设备，确保中心实时管控粮库动态。及时做好全县粮食后勤保障。</w:t>
            </w:r>
          </w:p>
        </w:tc>
        <w:tc>
          <w:tcPr>
            <w:tcW w:w="29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完善智能化项目提档升级，设备连接中心实施动态管控，实时监控粮库动态，完善智能化设备，确保中心实时管控粮库动态。及时做好全县粮食后勤保障。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目标指标</w:t>
            </w:r>
          </w:p>
        </w:tc>
        <w:tc>
          <w:tcPr>
            <w:tcW w:w="1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目标值</w:t>
            </w:r>
          </w:p>
        </w:tc>
        <w:tc>
          <w:tcPr>
            <w:tcW w:w="1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业绩指标</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投入与管理</w:t>
            </w:r>
          </w:p>
        </w:tc>
        <w:tc>
          <w:tcPr>
            <w:tcW w:w="1379"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投入管理</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预算编制合理性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合理</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预算执行率</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预算资金到位率</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财务管理</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财务管理制度健全性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健全</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财务监控有效性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有效</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资金使用规范性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restart"/>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实施管理</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供应商资质符合程度</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符合</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合同管理完备性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完备</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监理规范性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系统运维规范性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项目管理制度健全性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健全</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项目验收规范性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vMerge w:val="continue"/>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政府采购规范性</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规范</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资产管理</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产出指标</w:t>
            </w: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数量指标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监控设备</w:t>
            </w:r>
          </w:p>
        </w:tc>
        <w:tc>
          <w:tcPr>
            <w:tcW w:w="10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33个</w:t>
            </w:r>
          </w:p>
        </w:tc>
        <w:tc>
          <w:tcPr>
            <w:tcW w:w="14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33个</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质量指标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实时监控质量</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95%</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时效指标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设备维护</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12个月</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12个月</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成本指标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维护经费</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2万</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2万</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效益指标</w:t>
            </w: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经济效益指标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社会效益指标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保障县级储备粮油安全</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生态效益指标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可持续影响指标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2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满意度指标</w:t>
            </w:r>
          </w:p>
        </w:tc>
        <w:tc>
          <w:tcPr>
            <w:tcW w:w="1379"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满意度指标</w:t>
            </w:r>
          </w:p>
        </w:tc>
        <w:tc>
          <w:tcPr>
            <w:tcW w:w="18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服务满意度</w:t>
            </w:r>
          </w:p>
        </w:tc>
        <w:tc>
          <w:tcPr>
            <w:tcW w:w="10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4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r>
    </w:tbl>
    <w:p>
      <w:pPr>
        <w:pStyle w:val="3"/>
        <w:numPr>
          <w:ilvl w:val="0"/>
          <w:numId w:val="0"/>
        </w:numPr>
        <w:rPr>
          <w:rFonts w:hint="default" w:eastAsia="黑体" w:cs="Times New Roman"/>
          <w:color w:val="auto"/>
          <w:kern w:val="0"/>
          <w:sz w:val="32"/>
          <w:szCs w:val="32"/>
          <w:highlight w:val="none"/>
          <w:shd w:val="clear" w:color="auto" w:fill="FFFFFF"/>
          <w:lang w:val="en-US" w:eastAsia="zh-CN"/>
        </w:rPr>
      </w:pPr>
    </w:p>
    <w:p>
      <w:pPr>
        <w:numPr>
          <w:ilvl w:val="0"/>
          <w:numId w:val="6"/>
        </w:numPr>
        <w:spacing w:line="600" w:lineRule="exact"/>
        <w:jc w:val="center"/>
        <w:outlineLvl w:val="0"/>
        <w:rPr>
          <w:rStyle w:val="22"/>
          <w:rFonts w:hint="eastAsia" w:ascii="黑体" w:hAnsi="黑体" w:eastAsia="黑体"/>
          <w:b w:val="0"/>
          <w:color w:val="auto"/>
          <w:sz w:val="40"/>
          <w:szCs w:val="40"/>
          <w:highlight w:val="none"/>
        </w:rPr>
      </w:pPr>
      <w:r>
        <w:rPr>
          <w:rStyle w:val="22"/>
          <w:rFonts w:hint="eastAsia" w:ascii="黑体" w:hAnsi="黑体" w:eastAsia="黑体"/>
          <w:b w:val="0"/>
          <w:color w:val="auto"/>
          <w:sz w:val="40"/>
          <w:szCs w:val="40"/>
          <w:highlight w:val="none"/>
        </w:rPr>
        <w:t>附表</w:t>
      </w:r>
    </w:p>
    <w:p>
      <w:pPr>
        <w:pStyle w:val="2"/>
        <w:numPr>
          <w:ilvl w:val="0"/>
          <w:numId w:val="0"/>
        </w:numPr>
        <w:rPr>
          <w:rFonts w:hint="eastAsia"/>
          <w:highlight w:val="none"/>
        </w:rPr>
      </w:pPr>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ascii="仿宋" w:hAnsi="仿宋" w:eastAsia="仿宋"/>
          <w:color w:val="auto"/>
          <w:highlight w:val="none"/>
        </w:rPr>
      </w:pPr>
      <w:r>
        <w:rPr>
          <w:rFonts w:hint="eastAsia" w:ascii="仿宋" w:hAnsi="仿宋" w:eastAsia="仿宋"/>
          <w:b w:val="0"/>
          <w:color w:val="auto"/>
          <w:highlight w:val="none"/>
        </w:rPr>
        <w:t>一、收</w:t>
      </w:r>
      <w:r>
        <w:rPr>
          <w:rStyle w:val="23"/>
          <w:rFonts w:hint="eastAsia" w:ascii="仿宋" w:hAnsi="仿宋" w:eastAsia="仿宋"/>
          <w:b w:val="0"/>
          <w:bCs w:val="0"/>
          <w:color w:val="auto"/>
          <w:highlight w:val="none"/>
        </w:rPr>
        <w:t>入支出决算总表</w:t>
      </w:r>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ascii="仿宋" w:hAnsi="仿宋" w:eastAsia="仿宋"/>
          <w:color w:val="auto"/>
          <w:highlight w:val="none"/>
        </w:rPr>
      </w:pPr>
      <w:bookmarkStart w:id="33" w:name="_Toc15396620"/>
      <w:r>
        <w:rPr>
          <w:rFonts w:hint="eastAsia" w:ascii="仿宋" w:hAnsi="仿宋" w:eastAsia="仿宋"/>
          <w:b w:val="0"/>
          <w:color w:val="auto"/>
          <w:highlight w:val="none"/>
        </w:rPr>
        <w:t>二、收</w:t>
      </w:r>
      <w:r>
        <w:rPr>
          <w:rStyle w:val="23"/>
          <w:rFonts w:hint="eastAsia" w:ascii="仿宋" w:hAnsi="仿宋" w:eastAsia="仿宋"/>
          <w:b w:val="0"/>
          <w:bCs w:val="0"/>
          <w:color w:val="auto"/>
          <w:highlight w:val="none"/>
        </w:rPr>
        <w:t>入决算表</w:t>
      </w:r>
      <w:bookmarkEnd w:id="33"/>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ascii="仿宋" w:hAnsi="仿宋" w:eastAsia="仿宋"/>
          <w:color w:val="auto"/>
          <w:highlight w:val="none"/>
        </w:rPr>
      </w:pPr>
      <w:bookmarkStart w:id="34" w:name="_Toc15396621"/>
      <w:r>
        <w:rPr>
          <w:rStyle w:val="23"/>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3"/>
          <w:rFonts w:hint="eastAsia" w:ascii="仿宋" w:hAnsi="仿宋" w:eastAsia="仿宋"/>
          <w:b w:val="0"/>
          <w:bCs w:val="0"/>
          <w:color w:val="auto"/>
          <w:highlight w:val="none"/>
        </w:rPr>
        <w:t>出决算表</w:t>
      </w:r>
      <w:bookmarkEnd w:id="34"/>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ascii="仿宋" w:hAnsi="仿宋" w:eastAsia="仿宋"/>
          <w:b w:val="0"/>
          <w:color w:val="auto"/>
          <w:highlight w:val="none"/>
        </w:rPr>
      </w:pPr>
      <w:bookmarkStart w:id="35" w:name="_Toc15396622"/>
      <w:r>
        <w:rPr>
          <w:rStyle w:val="23"/>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3"/>
          <w:rFonts w:hint="eastAsia" w:ascii="仿宋" w:hAnsi="仿宋" w:eastAsia="仿宋"/>
          <w:b w:val="0"/>
          <w:bCs w:val="0"/>
          <w:color w:val="auto"/>
          <w:highlight w:val="none"/>
        </w:rPr>
        <w:t>政拨款收入支出决算总表</w:t>
      </w:r>
      <w:bookmarkEnd w:id="35"/>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Style w:val="23"/>
          <w:rFonts w:ascii="仿宋" w:hAnsi="仿宋" w:eastAsia="仿宋"/>
          <w:b w:val="0"/>
          <w:bCs w:val="0"/>
          <w:color w:val="auto"/>
          <w:highlight w:val="none"/>
        </w:rPr>
      </w:pPr>
      <w:bookmarkStart w:id="36" w:name="_Toc15396623"/>
      <w:r>
        <w:rPr>
          <w:rStyle w:val="23"/>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3"/>
          <w:rFonts w:hint="eastAsia" w:ascii="仿宋" w:hAnsi="仿宋" w:eastAsia="仿宋"/>
          <w:b w:val="0"/>
          <w:bCs w:val="0"/>
          <w:color w:val="auto"/>
          <w:highlight w:val="none"/>
        </w:rPr>
        <w:t>政拨款支出决算明细表</w:t>
      </w:r>
      <w:bookmarkEnd w:id="36"/>
      <w:bookmarkStart w:id="37" w:name="_Toc15396624"/>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ascii="仿宋" w:hAnsi="仿宋" w:eastAsia="仿宋"/>
          <w:color w:val="auto"/>
          <w:highlight w:val="none"/>
        </w:rPr>
      </w:pPr>
      <w:r>
        <w:rPr>
          <w:rStyle w:val="23"/>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3"/>
          <w:rFonts w:hint="eastAsia" w:ascii="仿宋" w:hAnsi="仿宋" w:eastAsia="仿宋"/>
          <w:b w:val="0"/>
          <w:bCs w:val="0"/>
          <w:color w:val="auto"/>
          <w:highlight w:val="none"/>
        </w:rPr>
        <w:t>般公共预算财政拨款支出决算表</w:t>
      </w:r>
      <w:bookmarkEnd w:id="37"/>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ascii="仿宋" w:hAnsi="仿宋" w:eastAsia="仿宋"/>
          <w:color w:val="auto"/>
          <w:highlight w:val="none"/>
        </w:rPr>
      </w:pPr>
      <w:bookmarkStart w:id="38" w:name="_Toc15396625"/>
      <w:r>
        <w:rPr>
          <w:rStyle w:val="23"/>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3"/>
          <w:rFonts w:hint="eastAsia" w:ascii="仿宋" w:hAnsi="仿宋" w:eastAsia="仿宋"/>
          <w:b w:val="0"/>
          <w:bCs w:val="0"/>
          <w:color w:val="auto"/>
          <w:highlight w:val="none"/>
        </w:rPr>
        <w:t>般公共预算财政拨款支出决算明细表</w:t>
      </w:r>
      <w:bookmarkEnd w:id="38"/>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ascii="仿宋" w:hAnsi="仿宋" w:eastAsia="仿宋"/>
          <w:color w:val="auto"/>
          <w:highlight w:val="none"/>
        </w:rPr>
      </w:pPr>
      <w:bookmarkStart w:id="39" w:name="_Toc15396626"/>
      <w:r>
        <w:rPr>
          <w:rStyle w:val="23"/>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3"/>
          <w:rFonts w:hint="eastAsia" w:ascii="仿宋" w:hAnsi="仿宋" w:eastAsia="仿宋"/>
          <w:b w:val="0"/>
          <w:bCs w:val="0"/>
          <w:color w:val="auto"/>
          <w:highlight w:val="none"/>
        </w:rPr>
        <w:t>般公共预算财政拨款基本支出决算表</w:t>
      </w:r>
      <w:bookmarkEnd w:id="39"/>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ascii="仿宋" w:hAnsi="仿宋" w:eastAsia="仿宋"/>
          <w:color w:val="auto"/>
          <w:highlight w:val="none"/>
        </w:rPr>
      </w:pPr>
      <w:bookmarkStart w:id="40" w:name="_Toc15396627"/>
      <w:r>
        <w:rPr>
          <w:rStyle w:val="23"/>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3"/>
          <w:rFonts w:hint="eastAsia" w:ascii="仿宋" w:hAnsi="仿宋" w:eastAsia="仿宋"/>
          <w:b w:val="0"/>
          <w:bCs w:val="0"/>
          <w:color w:val="auto"/>
          <w:highlight w:val="none"/>
        </w:rPr>
        <w:t>般公共预算财政拨款项目支出决算表</w:t>
      </w:r>
      <w:bookmarkEnd w:id="40"/>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ascii="仿宋" w:hAnsi="仿宋" w:eastAsia="仿宋"/>
          <w:color w:val="auto"/>
          <w:highlight w:val="none"/>
        </w:rPr>
      </w:pPr>
      <w:bookmarkStart w:id="41" w:name="_Toc15396628"/>
      <w:r>
        <w:rPr>
          <w:rStyle w:val="23"/>
          <w:rFonts w:hint="eastAsia" w:ascii="仿宋" w:hAnsi="仿宋" w:eastAsia="仿宋"/>
          <w:b w:val="0"/>
          <w:bCs w:val="0"/>
          <w:color w:val="auto"/>
          <w:highlight w:val="none"/>
        </w:rPr>
        <w:t>十、</w:t>
      </w:r>
      <w:bookmarkEnd w:id="41"/>
      <w:r>
        <w:rPr>
          <w:rFonts w:hint="eastAsia" w:ascii="仿宋" w:hAnsi="仿宋" w:eastAsia="仿宋"/>
          <w:b w:val="0"/>
          <w:color w:val="auto"/>
          <w:highlight w:val="none"/>
        </w:rPr>
        <w:t>政</w:t>
      </w:r>
      <w:r>
        <w:rPr>
          <w:rStyle w:val="23"/>
          <w:rFonts w:hint="eastAsia" w:ascii="仿宋" w:hAnsi="仿宋" w:eastAsia="仿宋"/>
          <w:b w:val="0"/>
          <w:bCs w:val="0"/>
          <w:color w:val="auto"/>
          <w:highlight w:val="none"/>
        </w:rPr>
        <w:t>府性基金预算财政拨款收入支出决算表</w:t>
      </w:r>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ascii="仿宋" w:hAnsi="仿宋" w:eastAsia="仿宋"/>
          <w:color w:val="auto"/>
          <w:highlight w:val="none"/>
        </w:rPr>
      </w:pPr>
      <w:bookmarkStart w:id="42" w:name="_Toc15396629"/>
      <w:r>
        <w:rPr>
          <w:rStyle w:val="23"/>
          <w:rFonts w:hint="eastAsia" w:ascii="仿宋" w:hAnsi="仿宋" w:eastAsia="仿宋"/>
          <w:b w:val="0"/>
          <w:bCs w:val="0"/>
          <w:color w:val="auto"/>
          <w:highlight w:val="none"/>
        </w:rPr>
        <w:t>十一、</w:t>
      </w:r>
      <w:bookmarkEnd w:id="42"/>
      <w:r>
        <w:rPr>
          <w:rFonts w:hint="eastAsia" w:ascii="仿宋" w:hAnsi="仿宋" w:eastAsia="仿宋"/>
          <w:b w:val="0"/>
          <w:color w:val="auto"/>
          <w:highlight w:val="none"/>
        </w:rPr>
        <w:t>国</w:t>
      </w:r>
      <w:r>
        <w:rPr>
          <w:rStyle w:val="23"/>
          <w:rFonts w:hint="eastAsia" w:ascii="仿宋" w:hAnsi="仿宋" w:eastAsia="仿宋"/>
          <w:b w:val="0"/>
          <w:bCs w:val="0"/>
          <w:color w:val="auto"/>
          <w:highlight w:val="none"/>
        </w:rPr>
        <w:t>有资本经营预算</w:t>
      </w:r>
      <w:r>
        <w:rPr>
          <w:rStyle w:val="23"/>
          <w:rFonts w:hint="eastAsia" w:ascii="仿宋" w:hAnsi="仿宋" w:eastAsia="仿宋"/>
          <w:b w:val="0"/>
          <w:bCs w:val="0"/>
          <w:color w:val="auto"/>
          <w:highlight w:val="none"/>
          <w:lang w:eastAsia="zh-CN"/>
        </w:rPr>
        <w:t>财政拨款收入</w:t>
      </w:r>
      <w:r>
        <w:rPr>
          <w:rStyle w:val="23"/>
          <w:rFonts w:hint="eastAsia" w:ascii="仿宋" w:hAnsi="仿宋" w:eastAsia="仿宋"/>
          <w:b w:val="0"/>
          <w:bCs w:val="0"/>
          <w:color w:val="auto"/>
          <w:highlight w:val="none"/>
        </w:rPr>
        <w:t>支出决算表</w:t>
      </w:r>
    </w:p>
    <w:p>
      <w:pPr>
        <w:pStyle w:val="6"/>
        <w:keepNext/>
        <w:keepLines/>
        <w:pageBreakBefore w:val="0"/>
        <w:widowControl w:val="0"/>
        <w:kinsoku/>
        <w:wordWrap/>
        <w:overflowPunct/>
        <w:topLinePunct w:val="0"/>
        <w:autoSpaceDE/>
        <w:autoSpaceDN/>
        <w:bidi w:val="0"/>
        <w:adjustRightInd/>
        <w:snapToGrid/>
        <w:spacing w:before="0" w:after="0" w:line="240" w:lineRule="auto"/>
        <w:textAlignment w:val="auto"/>
        <w:rPr>
          <w:rFonts w:hint="default" w:eastAsia="黑体" w:cs="Times New Roman"/>
          <w:color w:val="auto"/>
          <w:kern w:val="0"/>
          <w:sz w:val="32"/>
          <w:szCs w:val="32"/>
          <w:highlight w:val="none"/>
          <w:shd w:val="clear" w:color="auto" w:fill="FFFFFF"/>
          <w:lang w:val="en-US" w:eastAsia="zh-CN"/>
        </w:rPr>
      </w:pPr>
      <w:bookmarkStart w:id="43" w:name="_Toc15396630"/>
      <w:r>
        <w:rPr>
          <w:rStyle w:val="23"/>
          <w:rFonts w:hint="eastAsia" w:ascii="仿宋" w:hAnsi="仿宋" w:eastAsia="仿宋"/>
          <w:b w:val="0"/>
          <w:bCs w:val="0"/>
          <w:color w:val="auto"/>
          <w:highlight w:val="none"/>
        </w:rPr>
        <w:t>十二、</w:t>
      </w:r>
      <w:bookmarkEnd w:id="43"/>
      <w:r>
        <w:rPr>
          <w:rStyle w:val="23"/>
          <w:rFonts w:hint="eastAsia" w:ascii="仿宋" w:hAnsi="仿宋" w:eastAsia="仿宋"/>
          <w:b w:val="0"/>
          <w:bCs w:val="0"/>
          <w:color w:val="auto"/>
          <w:highlight w:val="none"/>
          <w:lang w:eastAsia="zh-CN"/>
        </w:rPr>
        <w:t>国有资本经营预算财政拨款</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9E7F3BA-C483-4B4C-9D3D-580527966B5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3B4882CB-CD56-4B87-9C61-501DF472C869}"/>
  </w:font>
  <w:font w:name="Cambria">
    <w:panose1 w:val="02040503050406030204"/>
    <w:charset w:val="00"/>
    <w:family w:val="roman"/>
    <w:pitch w:val="default"/>
    <w:sig w:usb0="E00002FF" w:usb1="400004FF" w:usb2="00000000" w:usb3="00000000" w:csb0="2000019F" w:csb1="00000000"/>
    <w:embedRegular r:id="rId3" w:fontKey="{9F7FAC56-EF8E-496A-8BEB-D6CD125A2B25}"/>
  </w:font>
  <w:font w:name="仿宋_GB2312">
    <w:altName w:val="仿宋"/>
    <w:panose1 w:val="02010609030101010101"/>
    <w:charset w:val="86"/>
    <w:family w:val="modern"/>
    <w:pitch w:val="default"/>
    <w:sig w:usb0="00000000" w:usb1="00000000" w:usb2="00000000" w:usb3="00000000" w:csb0="00040000" w:csb1="00000000"/>
    <w:embedRegular r:id="rId4" w:fontKey="{21DF1DB9-4094-43D8-99D9-F656960DE0A3}"/>
  </w:font>
  <w:font w:name="仿宋">
    <w:panose1 w:val="02010609060101010101"/>
    <w:charset w:val="86"/>
    <w:family w:val="auto"/>
    <w:pitch w:val="default"/>
    <w:sig w:usb0="800002BF" w:usb1="38CF7CFA" w:usb2="00000016" w:usb3="00000000" w:csb0="00040001" w:csb1="00000000"/>
    <w:embedRegular r:id="rId5" w:fontKey="{E36DC554-ADE5-4DB3-A60D-17A3E7424509}"/>
  </w:font>
  <w:font w:name="方正小标宋简体">
    <w:altName w:val="黑体"/>
    <w:panose1 w:val="03000509000000000000"/>
    <w:charset w:val="86"/>
    <w:family w:val="auto"/>
    <w:pitch w:val="default"/>
    <w:sig w:usb0="00000000" w:usb1="00000000" w:usb2="00000000" w:usb3="00000000" w:csb0="00040000" w:csb1="00000000"/>
    <w:embedRegular r:id="rId6" w:fontKey="{5815B3D4-46CE-47E2-B9D9-CEC6B2F7E750}"/>
  </w:font>
  <w:font w:name="??">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embedRegular r:id="rId7" w:fontKey="{BFDAC03E-454E-4BFA-95D6-572AA0B062D8}"/>
  </w:font>
  <w:font w:name="楷体_GB2312">
    <w:altName w:val="楷体"/>
    <w:panose1 w:val="02010609030101010101"/>
    <w:charset w:val="86"/>
    <w:family w:val="modern"/>
    <w:pitch w:val="default"/>
    <w:sig w:usb0="00000000" w:usb1="00000000" w:usb2="00000010" w:usb3="00000000" w:csb0="00040000" w:csb1="00000000"/>
    <w:embedRegular r:id="rId8" w:fontKey="{16D8115C-6133-48BE-B399-BC77DD0085F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610CE2"/>
    <w:multiLevelType w:val="singleLevel"/>
    <w:tmpl w:val="AD610CE2"/>
    <w:lvl w:ilvl="0" w:tentative="0">
      <w:start w:val="5"/>
      <w:numFmt w:val="chineseCounting"/>
      <w:suff w:val="space"/>
      <w:lvlText w:val="第%1部分"/>
      <w:lvlJc w:val="left"/>
      <w:rPr>
        <w:rFonts w:hint="eastAsia"/>
      </w:rPr>
    </w:lvl>
  </w:abstractNum>
  <w:abstractNum w:abstractNumId="1">
    <w:nsid w:val="BDCD6F06"/>
    <w:multiLevelType w:val="singleLevel"/>
    <w:tmpl w:val="BDCD6F06"/>
    <w:lvl w:ilvl="0" w:tentative="0">
      <w:start w:val="1"/>
      <w:numFmt w:val="decimal"/>
      <w:lvlText w:val="%1."/>
      <w:lvlJc w:val="left"/>
      <w:pPr>
        <w:tabs>
          <w:tab w:val="left" w:pos="312"/>
        </w:tabs>
      </w:pPr>
    </w:lvl>
  </w:abstractNum>
  <w:abstractNum w:abstractNumId="2">
    <w:nsid w:val="C63A9075"/>
    <w:multiLevelType w:val="singleLevel"/>
    <w:tmpl w:val="C63A9075"/>
    <w:lvl w:ilvl="0" w:tentative="0">
      <w:start w:val="4"/>
      <w:numFmt w:val="chineseCounting"/>
      <w:suff w:val="nothing"/>
      <w:lvlText w:val="（%1）"/>
      <w:lvlJc w:val="left"/>
      <w:rPr>
        <w:rFonts w:hint="eastAsia"/>
      </w:rPr>
    </w:lvl>
  </w:abstractNum>
  <w:abstractNum w:abstractNumId="3">
    <w:nsid w:val="CF652CEC"/>
    <w:multiLevelType w:val="singleLevel"/>
    <w:tmpl w:val="CF652CEC"/>
    <w:lvl w:ilvl="0" w:tentative="0">
      <w:start w:val="9"/>
      <w:numFmt w:val="chineseCounting"/>
      <w:suff w:val="nothing"/>
      <w:lvlText w:val="%1、"/>
      <w:lvlJc w:val="left"/>
      <w:rPr>
        <w:rFonts w:hint="eastAsia"/>
      </w:rPr>
    </w:lvl>
  </w:abstractNum>
  <w:abstractNum w:abstractNumId="4">
    <w:nsid w:val="E2FA047D"/>
    <w:multiLevelType w:val="singleLevel"/>
    <w:tmpl w:val="E2FA047D"/>
    <w:lvl w:ilvl="0" w:tentative="0">
      <w:start w:val="3"/>
      <w:numFmt w:val="chineseCounting"/>
      <w:suff w:val="space"/>
      <w:lvlText w:val="第%1部分"/>
      <w:lvlJc w:val="left"/>
      <w:rPr>
        <w:rFonts w:hint="eastAsia"/>
      </w:rPr>
    </w:lvl>
  </w:abstractNum>
  <w:abstractNum w:abstractNumId="5">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lNmI4MWJmOTQwNGM5NDdiNzYwMGNkOTg0MjgwYTAifQ=="/>
  </w:docVars>
  <w:rsids>
    <w:rsidRoot w:val="7653565C"/>
    <w:rsid w:val="006D2A98"/>
    <w:rsid w:val="01013831"/>
    <w:rsid w:val="01B33B87"/>
    <w:rsid w:val="024C0214"/>
    <w:rsid w:val="056D77F4"/>
    <w:rsid w:val="06F07F7E"/>
    <w:rsid w:val="070107A9"/>
    <w:rsid w:val="07342501"/>
    <w:rsid w:val="08607386"/>
    <w:rsid w:val="0AA3355A"/>
    <w:rsid w:val="0D5479EE"/>
    <w:rsid w:val="0DD32907"/>
    <w:rsid w:val="0E0B38F0"/>
    <w:rsid w:val="0E3E5B30"/>
    <w:rsid w:val="12012527"/>
    <w:rsid w:val="127510E8"/>
    <w:rsid w:val="12B26A30"/>
    <w:rsid w:val="143B638A"/>
    <w:rsid w:val="14747258"/>
    <w:rsid w:val="17187D46"/>
    <w:rsid w:val="1917583F"/>
    <w:rsid w:val="1B940FFB"/>
    <w:rsid w:val="1CA02E39"/>
    <w:rsid w:val="1CD276DB"/>
    <w:rsid w:val="1F647304"/>
    <w:rsid w:val="20271C28"/>
    <w:rsid w:val="20346F61"/>
    <w:rsid w:val="22261312"/>
    <w:rsid w:val="231F38A4"/>
    <w:rsid w:val="237F6C74"/>
    <w:rsid w:val="23892433"/>
    <w:rsid w:val="25464E30"/>
    <w:rsid w:val="259560F6"/>
    <w:rsid w:val="26673911"/>
    <w:rsid w:val="26B52081"/>
    <w:rsid w:val="27736336"/>
    <w:rsid w:val="281D4090"/>
    <w:rsid w:val="28CE0F6D"/>
    <w:rsid w:val="2A6F29C2"/>
    <w:rsid w:val="2AA8279A"/>
    <w:rsid w:val="2ABB3F43"/>
    <w:rsid w:val="2AD35FD8"/>
    <w:rsid w:val="2AF43C32"/>
    <w:rsid w:val="2C2A71DF"/>
    <w:rsid w:val="2C3333F0"/>
    <w:rsid w:val="2DAC55B7"/>
    <w:rsid w:val="2E4C168F"/>
    <w:rsid w:val="2E7A61FC"/>
    <w:rsid w:val="2F0603F0"/>
    <w:rsid w:val="2F3B28B9"/>
    <w:rsid w:val="305D5DD5"/>
    <w:rsid w:val="30A35E5A"/>
    <w:rsid w:val="31A56EAE"/>
    <w:rsid w:val="31B30155"/>
    <w:rsid w:val="33D60378"/>
    <w:rsid w:val="362B5110"/>
    <w:rsid w:val="39955753"/>
    <w:rsid w:val="3BC16E40"/>
    <w:rsid w:val="3C7D5886"/>
    <w:rsid w:val="3DB86D41"/>
    <w:rsid w:val="3F8769CB"/>
    <w:rsid w:val="41236B71"/>
    <w:rsid w:val="41250249"/>
    <w:rsid w:val="41626E05"/>
    <w:rsid w:val="42091DE0"/>
    <w:rsid w:val="43C0209D"/>
    <w:rsid w:val="43CC43A5"/>
    <w:rsid w:val="4504461A"/>
    <w:rsid w:val="471F398D"/>
    <w:rsid w:val="482B4729"/>
    <w:rsid w:val="48824A94"/>
    <w:rsid w:val="49E60A76"/>
    <w:rsid w:val="4A2319E6"/>
    <w:rsid w:val="4B992B22"/>
    <w:rsid w:val="4C365A00"/>
    <w:rsid w:val="4C4579F1"/>
    <w:rsid w:val="4FC21DCD"/>
    <w:rsid w:val="51976F41"/>
    <w:rsid w:val="52055061"/>
    <w:rsid w:val="52EB1306"/>
    <w:rsid w:val="54686973"/>
    <w:rsid w:val="55477FB4"/>
    <w:rsid w:val="578F354E"/>
    <w:rsid w:val="58DB3DC4"/>
    <w:rsid w:val="5BD94A0D"/>
    <w:rsid w:val="5C910216"/>
    <w:rsid w:val="5CE104FA"/>
    <w:rsid w:val="5DE84681"/>
    <w:rsid w:val="5FDA52DE"/>
    <w:rsid w:val="60E05B3D"/>
    <w:rsid w:val="610E611B"/>
    <w:rsid w:val="613F0022"/>
    <w:rsid w:val="62661A55"/>
    <w:rsid w:val="631A2E2B"/>
    <w:rsid w:val="63974B7F"/>
    <w:rsid w:val="64D91702"/>
    <w:rsid w:val="661F5178"/>
    <w:rsid w:val="66700935"/>
    <w:rsid w:val="681A7B2C"/>
    <w:rsid w:val="68444E83"/>
    <w:rsid w:val="69290EEB"/>
    <w:rsid w:val="69AB1384"/>
    <w:rsid w:val="71E511AB"/>
    <w:rsid w:val="735626DC"/>
    <w:rsid w:val="74557770"/>
    <w:rsid w:val="7653565C"/>
    <w:rsid w:val="77B00DDF"/>
    <w:rsid w:val="78D70340"/>
    <w:rsid w:val="79313DE0"/>
    <w:rsid w:val="7A513882"/>
    <w:rsid w:val="7AB94F83"/>
    <w:rsid w:val="7AC35E02"/>
    <w:rsid w:val="7AEA4ED3"/>
    <w:rsid w:val="7BCF7372"/>
    <w:rsid w:val="7DAE4B47"/>
    <w:rsid w:val="7DC409A9"/>
    <w:rsid w:val="7E503E50"/>
    <w:rsid w:val="7F472EBF"/>
    <w:rsid w:val="7FFB2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3"/>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16">
    <w:name w:val="Default Paragraph Font"/>
    <w:semiHidden/>
    <w:qFormat/>
    <w:uiPriority w:val="0"/>
  </w:style>
  <w:style w:type="table" w:default="1" w:styleId="15">
    <w:name w:val="Normal Table"/>
    <w:semiHidden/>
    <w:qFormat/>
    <w:uiPriority w:val="0"/>
    <w:tblPr>
      <w:tblLayout w:type="fixed"/>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qFormat/>
    <w:uiPriority w:val="0"/>
    <w:pPr>
      <w:spacing w:after="120"/>
      <w:ind w:left="420" w:firstLine="420"/>
    </w:pPr>
  </w:style>
  <w:style w:type="paragraph" w:styleId="4">
    <w:name w:val="Body Text Indent"/>
    <w:basedOn w:val="1"/>
    <w:next w:val="3"/>
    <w:qFormat/>
    <w:uiPriority w:val="0"/>
    <w:pPr>
      <w:ind w:firstLine="600" w:firstLineChars="200"/>
    </w:pPr>
    <w:rPr>
      <w:sz w:val="30"/>
      <w:szCs w:val="30"/>
    </w:rPr>
  </w:style>
  <w:style w:type="paragraph" w:styleId="7">
    <w:name w:val="Body Text"/>
    <w:basedOn w:val="1"/>
    <w:qFormat/>
    <w:uiPriority w:val="99"/>
    <w:pPr>
      <w:spacing w:beforeLines="30"/>
    </w:pPr>
    <w:rPr>
      <w:rFonts w:ascii="仿宋_GB2312" w:eastAsia="仿宋_GB2312"/>
      <w:kern w:val="0"/>
      <w:sz w:val="30"/>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3">
    <w:name w:val="Title"/>
    <w:basedOn w:val="1"/>
    <w:next w:val="1"/>
    <w:qFormat/>
    <w:uiPriority w:val="0"/>
    <w:pPr>
      <w:spacing w:line="700" w:lineRule="exact"/>
      <w:jc w:val="center"/>
    </w:pPr>
    <w:rPr>
      <w:rFonts w:eastAsia="方正小标宋简体"/>
      <w:color w:val="000000"/>
      <w:kern w:val="0"/>
      <w:sz w:val="44"/>
      <w:szCs w:val="44"/>
    </w:rPr>
  </w:style>
  <w:style w:type="paragraph" w:styleId="14">
    <w:name w:val="Body Text First Indent"/>
    <w:basedOn w:val="7"/>
    <w:qFormat/>
    <w:uiPriority w:val="99"/>
    <w:pPr>
      <w:ind w:firstLine="420" w:firstLineChars="100"/>
    </w:pPr>
    <w:rPr>
      <w:rFonts w:ascii="Times New Roman" w:hAnsi="Times New Roman"/>
    </w:rPr>
  </w:style>
  <w:style w:type="character" w:styleId="17">
    <w:name w:val="Strong"/>
    <w:basedOn w:val="16"/>
    <w:qFormat/>
    <w:uiPriority w:val="99"/>
    <w:rPr>
      <w:b/>
    </w:rPr>
  </w:style>
  <w:style w:type="character" w:styleId="18">
    <w:name w:val="Emphasis"/>
    <w:basedOn w:val="16"/>
    <w:qFormat/>
    <w:uiPriority w:val="0"/>
    <w:rPr>
      <w:i/>
    </w:rPr>
  </w:style>
  <w:style w:type="paragraph" w:styleId="19">
    <w:name w:val="List Paragraph"/>
    <w:basedOn w:val="1"/>
    <w:qFormat/>
    <w:uiPriority w:val="34"/>
    <w:pPr>
      <w:ind w:firstLine="420" w:firstLineChars="200"/>
    </w:pPr>
  </w:style>
  <w:style w:type="paragraph" w:customStyle="1" w:styleId="20">
    <w:name w:val="Index"/>
    <w:basedOn w:val="1"/>
    <w:qFormat/>
    <w:uiPriority w:val="0"/>
    <w:pPr>
      <w:widowControl w:val="0"/>
      <w:suppressLineNumbers/>
      <w:suppressAutoHyphens/>
    </w:pPr>
  </w:style>
  <w:style w:type="paragraph" w:customStyle="1" w:styleId="21">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character" w:customStyle="1" w:styleId="22">
    <w:name w:val="标题 1 Char"/>
    <w:basedOn w:val="16"/>
    <w:link w:val="5"/>
    <w:qFormat/>
    <w:uiPriority w:val="9"/>
    <w:rPr>
      <w:b/>
      <w:bCs/>
      <w:kern w:val="44"/>
      <w:sz w:val="44"/>
      <w:szCs w:val="44"/>
    </w:rPr>
  </w:style>
  <w:style w:type="character" w:customStyle="1" w:styleId="23">
    <w:name w:val="标题 2 Char"/>
    <w:basedOn w:val="16"/>
    <w:link w:val="6"/>
    <w:qFormat/>
    <w:uiPriority w:val="9"/>
    <w:rPr>
      <w:rFonts w:ascii="Cambria" w:hAnsi="Cambria" w:eastAsia="宋体" w:cs="Times New Roman"/>
      <w:b/>
      <w:bCs/>
      <w:sz w:val="32"/>
      <w:szCs w:val="32"/>
    </w:rPr>
  </w:style>
  <w:style w:type="paragraph" w:customStyle="1" w:styleId="24">
    <w:name w:val="p"/>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5">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24037;&#20316;&#31807;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24037;&#20316;&#31807;1"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24037;&#20316;&#31807;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24037;&#20316;&#31807;1"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收、支预算变动图 </a:t>
            </a:r>
          </a:p>
        </c:rich>
      </c:tx>
      <c:layout>
        <c:manualLayout>
          <c:xMode val="edge"/>
          <c:yMode val="edge"/>
          <c:x val="0.446625"/>
          <c:y val="0.0325"/>
        </c:manualLayout>
      </c:layout>
      <c:overlay val="0"/>
      <c:spPr>
        <a:noFill/>
        <a:ln>
          <a:noFill/>
        </a:ln>
        <a:effectLst/>
      </c:spPr>
    </c:title>
    <c:autoTitleDeleted val="0"/>
    <c:plotArea>
      <c:layout/>
      <c:barChart>
        <c:barDir val="col"/>
        <c:grouping val="clustered"/>
        <c:varyColors val="0"/>
        <c:ser>
          <c:idx val="2"/>
          <c:order val="0"/>
          <c:tx>
            <c:strRef>
              <c:f>Sheet1!$B$1</c:f>
              <c:strCache>
                <c:ptCount val="1"/>
                <c:pt idx="0">
                  <c:v>系列 3</c:v>
                </c:pt>
              </c:strCache>
            </c:strRef>
          </c:tx>
          <c:spPr>
            <a:solidFill>
              <a:schemeClr val="accent3"/>
            </a:solidFill>
            <a:ln>
              <a:noFill/>
            </a:ln>
            <a:effectLst/>
          </c:spPr>
          <c:invertIfNegative val="0"/>
          <c:dLbls>
            <c:dLbl>
              <c:idx val="0"/>
              <c:layout/>
              <c:dLblPos val="outEnd"/>
              <c:showLegendKey val="0"/>
              <c:showVal val="1"/>
              <c:showCatName val="0"/>
              <c:showSerName val="0"/>
              <c:showPercent val="0"/>
              <c:showBubbleSize val="0"/>
              <c:extLst>
                <c:ext xmlns:c15="http://schemas.microsoft.com/office/drawing/2012/chart" uri="{CE6537A1-D6FC-4f65-9D91-7224C49458BB}"/>
              </c:extLst>
            </c:dLbl>
            <c:dLbl>
              <c:idx val="1"/>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2023年收、支总计</c:v>
                </c:pt>
                <c:pt idx="1">
                  <c:v>2022年收、支总计</c:v>
                </c:pt>
              </c:strCache>
            </c:strRef>
          </c:cat>
          <c:val>
            <c:numRef>
              <c:f>Sheet1!$B$2:$B$3</c:f>
              <c:numCache>
                <c:formatCode>General</c:formatCode>
                <c:ptCount val="2"/>
                <c:pt idx="0">
                  <c:v>286.07</c:v>
                </c:pt>
                <c:pt idx="1">
                  <c:v>399.43</c:v>
                </c:pt>
              </c:numCache>
            </c:numRef>
          </c:val>
        </c:ser>
        <c:dLbls>
          <c:showLegendKey val="0"/>
          <c:showVal val="0"/>
          <c:showCatName val="0"/>
          <c:showSerName val="0"/>
          <c:showPercent val="0"/>
          <c:showBubbleSize val="0"/>
        </c:dLbls>
        <c:gapWidth val="246"/>
        <c:overlap val="-28"/>
        <c:axId val="148715743"/>
        <c:axId val="350415119"/>
      </c:barChart>
      <c:catAx>
        <c:axId val="14871574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50415119"/>
        <c:crosses val="autoZero"/>
        <c:auto val="1"/>
        <c:lblAlgn val="ctr"/>
        <c:lblOffset val="100"/>
        <c:noMultiLvlLbl val="0"/>
      </c:catAx>
      <c:valAx>
        <c:axId val="350415119"/>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48715743"/>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[工作簿1]Sheet1!$A$1:$A$2</c:f>
              <c:strCache>
                <c:ptCount val="2"/>
                <c:pt idx="0">
                  <c:v>一般公共预算财政拨款收入</c:v>
                </c:pt>
                <c:pt idx="1">
                  <c:v>政府性基金预算财政拨款收入</c:v>
                </c:pt>
              </c:strCache>
            </c:strRef>
          </c:cat>
          <c:val>
            <c:numRef>
              <c:f>[工作簿1]Sheet1!$B$1:$B$2</c:f>
              <c:numCache>
                <c:formatCode>0.00%</c:formatCode>
                <c:ptCount val="2"/>
                <c:pt idx="0">
                  <c:v>0.993</c:v>
                </c:pt>
                <c:pt idx="1">
                  <c:v>0.007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[工作簿1]Sheet1!$A$1:$A$2</c:f>
              <c:strCache>
                <c:ptCount val="2"/>
                <c:pt idx="0">
                  <c:v>基本支出</c:v>
                </c:pt>
                <c:pt idx="1">
                  <c:v>项目支出</c:v>
                </c:pt>
              </c:strCache>
            </c:strRef>
          </c:cat>
          <c:val>
            <c:numRef>
              <c:f>[工作簿1]Sheet1!$B$1:$B$2</c:f>
              <c:numCache>
                <c:formatCode>0.00%</c:formatCode>
                <c:ptCount val="2"/>
                <c:pt idx="0">
                  <c:v>0.5145</c:v>
                </c:pt>
                <c:pt idx="1">
                  <c:v>0.4855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baseline="0">
                <a:solidFill>
                  <a:schemeClr val="tx1">
                    <a:lumMod val="75000"/>
                    <a:lumOff val="25000"/>
                  </a:schemeClr>
                </a:solidFill>
                <a:latin typeface="宋体" panose="02010600030101010101" charset="-122"/>
                <a:ea typeface="宋体" panose="02010600030101010101" charset="-122"/>
                <a:cs typeface="宋体" panose="02010600030101010101" charset="-122"/>
                <a:sym typeface="宋体" panose="02010600030101010101" charset="-122"/>
              </a:defRPr>
            </a:pPr>
            <a:r>
              <a:rPr sz="1000" b="0">
                <a:latin typeface="宋体" panose="02010600030101010101" charset="-122"/>
                <a:ea typeface="宋体" panose="02010600030101010101" charset="-122"/>
                <a:cs typeface="宋体" panose="02010600030101010101" charset="-122"/>
                <a:sym typeface="宋体" panose="02010600030101010101" charset="-122"/>
              </a:rPr>
              <a:t>财政拨款收、支总计变化图（万元）</a:t>
            </a:r>
            <a:endParaRPr sz="1000" b="0">
              <a:latin typeface="宋体" panose="02010600030101010101" charset="-122"/>
              <a:ea typeface="宋体" panose="02010600030101010101" charset="-122"/>
              <a:cs typeface="宋体" panose="02010600030101010101" charset="-122"/>
              <a:sym typeface="宋体" panose="02010600030101010101" charset="-122"/>
            </a:endParaRP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[工作簿1]Sheet1!$A$1:$A$2</c:f>
              <c:strCache>
                <c:ptCount val="2"/>
                <c:pt idx="0">
                  <c:v>2022年财政拨款收支总计</c:v>
                </c:pt>
                <c:pt idx="1">
                  <c:v>2023年财政拨款收支总计</c:v>
                </c:pt>
              </c:strCache>
            </c:strRef>
          </c:cat>
          <c:val>
            <c:numRef>
              <c:f>[工作簿1]Sheet1!$B$1:$B$2</c:f>
              <c:numCache>
                <c:formatCode>General</c:formatCode>
                <c:ptCount val="2"/>
                <c:pt idx="0">
                  <c:v>399.43</c:v>
                </c:pt>
                <c:pt idx="1">
                  <c:v>286.07</c:v>
                </c:pt>
              </c:numCache>
            </c:numRef>
          </c:val>
        </c:ser>
        <c:dLbls>
          <c:showLegendKey val="0"/>
          <c:showVal val="1"/>
          <c:showCatName val="0"/>
          <c:showSerName val="0"/>
          <c:showPercent val="0"/>
          <c:showBubbleSize val="0"/>
        </c:dLbls>
        <c:gapWidth val="246"/>
        <c:overlap val="-28"/>
        <c:axId val="538171730"/>
        <c:axId val="82415337"/>
      </c:barChart>
      <c:catAx>
        <c:axId val="53817173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2415337"/>
        <c:crosses val="autoZero"/>
        <c:auto val="1"/>
        <c:lblAlgn val="ctr"/>
        <c:lblOffset val="100"/>
        <c:noMultiLvlLbl val="0"/>
      </c:catAx>
      <c:valAx>
        <c:axId val="82415337"/>
        <c:scaling>
          <c:orientation val="minMax"/>
        </c:scaling>
        <c:delete val="0"/>
        <c:axPos val="l"/>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3817173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900" b="0"/>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baseline="0">
                <a:solidFill>
                  <a:schemeClr val="tx1">
                    <a:lumMod val="75000"/>
                    <a:lumOff val="25000"/>
                  </a:schemeClr>
                </a:solidFill>
                <a:latin typeface="宋体" panose="02010600030101010101" charset="-122"/>
                <a:ea typeface="宋体" panose="02010600030101010101" charset="-122"/>
                <a:cs typeface="宋体" panose="02010600030101010101" charset="-122"/>
                <a:sym typeface="宋体" panose="02010600030101010101" charset="-122"/>
              </a:defRPr>
            </a:pPr>
            <a:r>
              <a:rPr sz="1000" b="0">
                <a:latin typeface="宋体" panose="02010600030101010101" charset="-122"/>
                <a:ea typeface="宋体" panose="02010600030101010101" charset="-122"/>
                <a:cs typeface="宋体" panose="02010600030101010101" charset="-122"/>
                <a:sym typeface="宋体" panose="02010600030101010101" charset="-122"/>
              </a:rPr>
              <a:t>一般公共预算财政拨款支出变化图（万元）</a:t>
            </a:r>
            <a:endParaRPr sz="1000" b="0">
              <a:latin typeface="宋体" panose="02010600030101010101" charset="-122"/>
              <a:ea typeface="宋体" panose="02010600030101010101" charset="-122"/>
              <a:cs typeface="宋体" panose="02010600030101010101" charset="-122"/>
              <a:sym typeface="宋体" panose="02010600030101010101" charset="-122"/>
            </a:endParaRP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[工作簿1]Sheet1!$A$1:$A$2</c:f>
              <c:strCache>
                <c:ptCount val="2"/>
                <c:pt idx="0">
                  <c:v>2022年一般公共预算财政拨款支出</c:v>
                </c:pt>
                <c:pt idx="1">
                  <c:v>2023年一般公共预算财政拨款支出</c:v>
                </c:pt>
              </c:strCache>
            </c:strRef>
          </c:cat>
          <c:val>
            <c:numRef>
              <c:f>[工作簿1]Sheet1!$B$1:$B$2</c:f>
              <c:numCache>
                <c:formatCode>General</c:formatCode>
                <c:ptCount val="2"/>
                <c:pt idx="0">
                  <c:v>304.51</c:v>
                </c:pt>
                <c:pt idx="1">
                  <c:v>284.07</c:v>
                </c:pt>
              </c:numCache>
            </c:numRef>
          </c:val>
        </c:ser>
        <c:dLbls>
          <c:showLegendKey val="0"/>
          <c:showVal val="1"/>
          <c:showCatName val="0"/>
          <c:showSerName val="0"/>
          <c:showPercent val="0"/>
          <c:showBubbleSize val="0"/>
        </c:dLbls>
        <c:gapWidth val="246"/>
        <c:overlap val="-28"/>
        <c:axId val="538171730"/>
        <c:axId val="82415337"/>
      </c:barChart>
      <c:catAx>
        <c:axId val="53817173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2415337"/>
        <c:crosses val="autoZero"/>
        <c:auto val="1"/>
        <c:lblAlgn val="ctr"/>
        <c:lblOffset val="100"/>
        <c:noMultiLvlLbl val="0"/>
      </c:catAx>
      <c:valAx>
        <c:axId val="82415337"/>
        <c:scaling>
          <c:orientation val="minMax"/>
        </c:scaling>
        <c:delete val="0"/>
        <c:axPos val="l"/>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3817173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900" b="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一般公共预算财政拨款支出决算结构图</a:t>
            </a:r>
          </a:p>
        </c:rich>
      </c:tx>
      <c:layout>
        <c:manualLayout>
          <c:xMode val="edge"/>
          <c:yMode val="edge"/>
          <c:x val="0.197368421052632"/>
          <c:y val="0.0416666666666667"/>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[工作簿1]Sheet1!$A$1:$A$4</c:f>
              <c:strCache>
                <c:ptCount val="4"/>
                <c:pt idx="0">
                  <c:v>社会保障和就业支出</c:v>
                </c:pt>
                <c:pt idx="1">
                  <c:v>卫生健康支出</c:v>
                </c:pt>
                <c:pt idx="2">
                  <c:v>住房保障支出</c:v>
                </c:pt>
                <c:pt idx="3">
                  <c:v>粮油物资储备支出</c:v>
                </c:pt>
              </c:strCache>
            </c:strRef>
          </c:cat>
          <c:val>
            <c:numRef>
              <c:f>[工作簿1]Sheet1!$B$1:$B$4</c:f>
              <c:numCache>
                <c:formatCode>0.00%</c:formatCode>
                <c:ptCount val="4"/>
                <c:pt idx="0">
                  <c:v>0.0762</c:v>
                </c:pt>
                <c:pt idx="1">
                  <c:v>0.019</c:v>
                </c:pt>
                <c:pt idx="2">
                  <c:v>0.0318</c:v>
                </c:pt>
                <c:pt idx="3">
                  <c:v>0.873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“三公”经费支出结构图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[工作簿1]Sheet1!$A$1:$A$3</c:f>
              <c:strCache>
                <c:ptCount val="3"/>
                <c:pt idx="0">
                  <c:v>因公出国（境）费支出</c:v>
                </c:pt>
                <c:pt idx="1">
                  <c:v>公务用车购置及运行维护费支出</c:v>
                </c:pt>
                <c:pt idx="2">
                  <c:v>公务接待费支出</c:v>
                </c:pt>
              </c:strCache>
            </c:strRef>
          </c:cat>
          <c:val>
            <c:numRef>
              <c:f>[工作簿1]Sheet1!$B$1:$B$3</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10624</Words>
  <Characters>11878</Characters>
  <Lines>0</Lines>
  <Paragraphs>0</Paragraphs>
  <TotalTime>29</TotalTime>
  <ScaleCrop>false</ScaleCrop>
  <LinksUpToDate>false</LinksUpToDate>
  <CharactersWithSpaces>12030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2021-01-26T02:21:00Z</dcterms:created>
  <dc:creator>王欢</dc:creator>
  <cp:lastModifiedBy>Administrator</cp:lastModifiedBy>
  <cp:lastPrinted>2022-01-27T01:56:00Z</cp:lastPrinted>
  <dcterms:modified xsi:type="dcterms:W3CDTF">2024-10-17T01:56:08Z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C56C0B5FF55846E38CE120BA21E399B3_13</vt:lpwstr>
  </property>
</Properties>
</file>