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B3EB">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8E0BECC">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峨边彝族自治县财政局</w:t>
      </w:r>
    </w:p>
    <w:p w14:paraId="3965CBE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E2202A7">
      <w:pPr>
        <w:jc w:val="center"/>
        <w:rPr>
          <w:rFonts w:hint="eastAsia" w:ascii="方正小标宋简体" w:hAnsi="方正小标宋简体" w:eastAsia="方正小标宋简体" w:cs="方正小标宋简体"/>
          <w:b w:val="0"/>
          <w:bCs/>
          <w:sz w:val="52"/>
          <w:szCs w:val="52"/>
          <w:lang w:val="en-US" w:eastAsia="zh-CN"/>
        </w:rPr>
      </w:pPr>
    </w:p>
    <w:p w14:paraId="2982D101">
      <w:pPr>
        <w:jc w:val="both"/>
        <w:rPr>
          <w:rFonts w:hint="default"/>
          <w:b/>
          <w:bCs/>
          <w:sz w:val="52"/>
          <w:szCs w:val="52"/>
          <w:lang w:val="en-US" w:eastAsia="zh-CN"/>
        </w:rPr>
      </w:pPr>
    </w:p>
    <w:p w14:paraId="2181A39F">
      <w:pPr>
        <w:jc w:val="both"/>
        <w:rPr>
          <w:rFonts w:hint="default"/>
          <w:b/>
          <w:bCs/>
          <w:sz w:val="52"/>
          <w:szCs w:val="52"/>
          <w:lang w:val="en-US" w:eastAsia="zh-CN"/>
        </w:rPr>
      </w:pPr>
    </w:p>
    <w:p w14:paraId="78AE2180">
      <w:pPr>
        <w:jc w:val="both"/>
        <w:rPr>
          <w:rFonts w:hint="default"/>
          <w:b/>
          <w:bCs/>
          <w:sz w:val="52"/>
          <w:szCs w:val="52"/>
          <w:lang w:val="en-US" w:eastAsia="zh-CN"/>
        </w:rPr>
      </w:pPr>
    </w:p>
    <w:p w14:paraId="2F9FF75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峨边彝族自治县财政局</w:t>
      </w:r>
    </w:p>
    <w:p w14:paraId="40EC5B4A">
      <w:pPr>
        <w:ind w:left="0" w:leftChars="0" w:firstLine="0" w:firstLineChars="0"/>
        <w:jc w:val="both"/>
        <w:rPr>
          <w:rFonts w:hint="default"/>
          <w:b/>
          <w:bCs/>
          <w:sz w:val="32"/>
          <w:szCs w:val="32"/>
          <w:lang w:val="en-US" w:eastAsia="zh-CN"/>
        </w:rPr>
      </w:pPr>
    </w:p>
    <w:p w14:paraId="1322701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3月23日</w:t>
      </w:r>
    </w:p>
    <w:p w14:paraId="2E4516E7">
      <w:pPr>
        <w:jc w:val="both"/>
        <w:rPr>
          <w:rFonts w:hint="eastAsia"/>
          <w:b/>
          <w:bCs/>
          <w:sz w:val="32"/>
          <w:szCs w:val="32"/>
          <w:lang w:val="en-US" w:eastAsia="zh-CN"/>
        </w:rPr>
      </w:pPr>
    </w:p>
    <w:p w14:paraId="27C0E41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C376C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峨边彝族自治县财政局</w:t>
      </w:r>
      <w:r>
        <w:rPr>
          <w:rFonts w:hint="eastAsia" w:ascii="黑体" w:hAnsi="黑体" w:eastAsia="黑体" w:cs="黑体"/>
          <w:b w:val="0"/>
          <w:bCs w:val="0"/>
          <w:sz w:val="32"/>
          <w:szCs w:val="32"/>
          <w:lang w:val="en-US" w:eastAsia="zh-CN"/>
        </w:rPr>
        <w:t>概况</w:t>
      </w:r>
    </w:p>
    <w:p w14:paraId="561DA03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23D5B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2818F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第二部分峨边彝族自治县财政局2026年部门预算表</w:t>
      </w:r>
    </w:p>
    <w:p w14:paraId="760D1B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EFBFD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3FD6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0A383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C6A64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C752D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EB15A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5CD64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C1027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B5B32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4FC06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71FA8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462F9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1DEA1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178A8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4FA3D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峨边彝族自治县财政局</w:t>
      </w:r>
      <w:r>
        <w:rPr>
          <w:rFonts w:hint="eastAsia" w:ascii="黑体" w:hAnsi="黑体" w:eastAsia="黑体" w:cs="黑体"/>
          <w:b w:val="0"/>
          <w:bCs w:val="0"/>
          <w:sz w:val="32"/>
          <w:szCs w:val="32"/>
          <w:lang w:val="en-US" w:eastAsia="zh-CN"/>
        </w:rPr>
        <w:t>2026年部门预算情况说明</w:t>
      </w:r>
    </w:p>
    <w:p w14:paraId="72B240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3D80207">
      <w:pPr>
        <w:pStyle w:val="2"/>
        <w:numPr>
          <w:ilvl w:val="0"/>
          <w:numId w:val="0"/>
        </w:numPr>
        <w:bidi w:val="0"/>
        <w:jc w:val="both"/>
        <w:rPr>
          <w:rFonts w:hint="default"/>
          <w:lang w:val="en-US" w:eastAsia="zh-CN"/>
        </w:rPr>
      </w:pPr>
    </w:p>
    <w:p w14:paraId="5E9412D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第一部分  峨边彝族自治县财政局概况</w:t>
      </w:r>
    </w:p>
    <w:p w14:paraId="7C3AB2D7">
      <w:pPr>
        <w:widowControl w:val="0"/>
        <w:numPr>
          <w:ilvl w:val="0"/>
          <w:numId w:val="0"/>
        </w:numPr>
        <w:jc w:val="both"/>
        <w:rPr>
          <w:rFonts w:hint="default"/>
          <w:b/>
          <w:bCs/>
          <w:sz w:val="52"/>
          <w:szCs w:val="52"/>
          <w:lang w:val="en-US" w:eastAsia="zh-CN"/>
        </w:rPr>
      </w:pPr>
    </w:p>
    <w:p w14:paraId="4767F3FA">
      <w:pPr>
        <w:widowControl w:val="0"/>
        <w:numPr>
          <w:ilvl w:val="0"/>
          <w:numId w:val="0"/>
        </w:numPr>
        <w:jc w:val="both"/>
        <w:rPr>
          <w:rFonts w:hint="default"/>
          <w:b/>
          <w:bCs/>
          <w:sz w:val="52"/>
          <w:szCs w:val="52"/>
          <w:lang w:val="en-US" w:eastAsia="zh-CN"/>
        </w:rPr>
      </w:pPr>
    </w:p>
    <w:p w14:paraId="1EEBCCAF">
      <w:pPr>
        <w:widowControl w:val="0"/>
        <w:numPr>
          <w:ilvl w:val="0"/>
          <w:numId w:val="0"/>
        </w:numPr>
        <w:jc w:val="both"/>
        <w:rPr>
          <w:rFonts w:hint="default"/>
          <w:b/>
          <w:bCs/>
          <w:sz w:val="52"/>
          <w:szCs w:val="52"/>
          <w:lang w:val="en-US" w:eastAsia="zh-CN"/>
        </w:rPr>
      </w:pPr>
    </w:p>
    <w:p w14:paraId="7AEBC6D3">
      <w:pPr>
        <w:widowControl w:val="0"/>
        <w:numPr>
          <w:ilvl w:val="0"/>
          <w:numId w:val="0"/>
        </w:numPr>
        <w:jc w:val="both"/>
        <w:rPr>
          <w:rFonts w:hint="default"/>
          <w:b/>
          <w:bCs/>
          <w:sz w:val="52"/>
          <w:szCs w:val="52"/>
          <w:lang w:val="en-US" w:eastAsia="zh-CN"/>
        </w:rPr>
      </w:pPr>
    </w:p>
    <w:p w14:paraId="1F5A4434">
      <w:pPr>
        <w:widowControl w:val="0"/>
        <w:numPr>
          <w:ilvl w:val="0"/>
          <w:numId w:val="0"/>
        </w:numPr>
        <w:jc w:val="both"/>
        <w:rPr>
          <w:rFonts w:hint="default"/>
          <w:b/>
          <w:bCs/>
          <w:sz w:val="52"/>
          <w:szCs w:val="52"/>
          <w:lang w:val="en-US" w:eastAsia="zh-CN"/>
        </w:rPr>
      </w:pPr>
    </w:p>
    <w:p w14:paraId="67210746">
      <w:pPr>
        <w:widowControl w:val="0"/>
        <w:numPr>
          <w:ilvl w:val="0"/>
          <w:numId w:val="0"/>
        </w:numPr>
        <w:jc w:val="both"/>
        <w:rPr>
          <w:rFonts w:hint="default"/>
          <w:b/>
          <w:bCs/>
          <w:sz w:val="52"/>
          <w:szCs w:val="52"/>
          <w:lang w:val="en-US" w:eastAsia="zh-CN"/>
        </w:rPr>
      </w:pPr>
    </w:p>
    <w:p w14:paraId="65C603D7">
      <w:pPr>
        <w:bidi w:val="0"/>
        <w:rPr>
          <w:rFonts w:hint="eastAsia" w:ascii="黑体" w:hAnsi="黑体" w:eastAsia="黑体" w:cs="黑体"/>
          <w:lang w:val="en-US" w:eastAsia="zh-CN"/>
        </w:rPr>
      </w:pPr>
    </w:p>
    <w:p w14:paraId="5A7B29CF">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3131BB6E">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（一）职能简介：</w:t>
      </w:r>
    </w:p>
    <w:p w14:paraId="30682F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 </w:t>
      </w:r>
      <w:bookmarkStart w:id="0" w:name="_Toc15378445"/>
      <w:bookmarkStart w:id="1" w:name="_Toc15377198"/>
      <w:r>
        <w:rPr>
          <w:rFonts w:hint="eastAsia" w:ascii="仿宋" w:hAnsi="仿宋" w:eastAsia="仿宋"/>
          <w:color w:val="000000" w:themeColor="text1"/>
          <w:sz w:val="32"/>
          <w:szCs w:val="32"/>
          <w14:textFill>
            <w14:solidFill>
              <w14:schemeClr w14:val="tx1"/>
            </w14:solidFill>
          </w14:textFill>
        </w:rPr>
        <w:t>根据《峨边彝族自治县人民政府办公室关于印发峨边彝族自治县财政局主要职责内设机构和人员编制规定的通知》（峨边府办发〔2011〕13号），设立峨边彝族自治县财政局，为县政府工作部门。</w:t>
      </w:r>
    </w:p>
    <w:p w14:paraId="2B64C5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峨边彝族自治县财政局主要职责是负责贯彻落实党中央、省委、市委关于财政金融工作的方针政策和县委决策部署，在履行职责过程中坚持和加强党对财政工作的集中统一领导。负责全县财政收支、财税政策、财政监督、国有资产管理、会计管理，编制全县年度预决算草案并组织执行，拟订和执行国有资产管理政策、改革方案、管理制度，拟订全县地方金融业发展的中长期规划并组织实施；贯彻执行政府债务管理制度和政策，管理指导全县会计、资产评估和社会审计等工作，开展全县财政监督管理，监督财税方针政策、法律法规执行情况等。</w:t>
      </w:r>
      <w:bookmarkEnd w:id="0"/>
      <w:bookmarkEnd w:id="1"/>
    </w:p>
    <w:p w14:paraId="0571174B">
      <w:pPr>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526308E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强化收入征管，夯实财力根基</w:t>
      </w:r>
    </w:p>
    <w:p w14:paraId="3179B95C">
      <w:pPr>
        <w:pStyle w:val="12"/>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常态化与税务部门和重点非税部门开展沟通交流，实现信息共享、管理互助，及时解决收入征管信息不对称问题，形成层层落实共抓收入的强大合力，进一步强化组织收入工作；重点加强新兴产业、存量资金盘活等领域税收征管，提升税收征管精准度。2026年县级一般公共预算收入完成8.5亿元，其中：税收收入3.23亿元，非税收入5.27亿元。</w:t>
      </w:r>
    </w:p>
    <w:p w14:paraId="1A5D76B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优化支出结构，聚力保障重点</w:t>
      </w:r>
    </w:p>
    <w:p w14:paraId="391D3358">
      <w:pPr>
        <w:pStyle w:val="12"/>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rPr>
      </w:pPr>
      <w:r>
        <w:rPr>
          <w:rFonts w:hint="eastAsia" w:ascii="仿宋_GB2312" w:hAnsi="仿宋_GB2312" w:eastAsia="仿宋_GB2312" w:cs="仿宋_GB2312"/>
          <w:bCs w:val="0"/>
          <w:sz w:val="32"/>
        </w:rPr>
        <w:t>健全“集中财力办大事”支出保障机制，牢固树立过紧日子要求，通过优化财政支出结构、强化资金统筹整合，全力保障县委、县政府重大决策部署落地见效。严控一般性支出，强化预算评审约束，对差旅费、培训费和“三公”经费等一般性支出从紧从严安排支出。全面保障“三保”任务，2026年预算82944万元，其中：保基本民生17587万元，保工资61895万元，保运转3462万元。年初统筹安排各类切块资金1.12亿元，重点保障项目前期、招商引资、信访维稳、产业发展等关键领域，优先满足重点项目和重大项目资金需求。</w:t>
      </w:r>
      <w:r>
        <w:rPr>
          <w:rFonts w:hint="eastAsia" w:ascii="仿宋_GB2312" w:hAnsi="仿宋_GB2312" w:eastAsia="仿宋_GB2312" w:cs="仿宋_GB2312"/>
          <w:sz w:val="32"/>
        </w:rPr>
        <w:t>优先保障基本民生项目、30件民生实事的资金预算及拨付，切实做好部门会商工作，共同推进民生项目落地落实。</w:t>
      </w:r>
      <w:r>
        <w:rPr>
          <w:rFonts w:hint="eastAsia" w:ascii="仿宋_GB2312" w:eastAsia="仿宋_GB2312"/>
          <w:sz w:val="32"/>
        </w:rPr>
        <w:t>动态更新惠民惠农财政补贴“一卡通”项目清单，</w:t>
      </w:r>
      <w:r>
        <w:rPr>
          <w:rFonts w:hint="eastAsia" w:ascii="仿宋_GB2312" w:hAnsi="黑体" w:eastAsia="仿宋_GB2312" w:cs="黑体"/>
          <w:sz w:val="32"/>
        </w:rPr>
        <w:t>指导督促相关部门做好“一卡通”项目发放工作。</w:t>
      </w:r>
    </w:p>
    <w:p w14:paraId="4832F4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val="en-US" w:eastAsia="zh-CN"/>
        </w:rPr>
        <w:t>3.</w:t>
      </w:r>
      <w:r>
        <w:rPr>
          <w:rFonts w:hint="eastAsia" w:ascii="楷体_GB2312" w:hAnsi="楷体_GB2312" w:eastAsia="楷体_GB2312" w:cs="楷体_GB2312"/>
          <w:sz w:val="32"/>
          <w:szCs w:val="32"/>
        </w:rPr>
        <w:t>强化政策对接，</w:t>
      </w:r>
      <w:r>
        <w:rPr>
          <w:rFonts w:hint="eastAsia" w:ascii="楷体_GB2312" w:hAnsi="楷体_GB2312" w:eastAsia="楷体_GB2312" w:cs="楷体_GB2312"/>
          <w:sz w:val="32"/>
          <w:szCs w:val="32"/>
          <w:lang w:eastAsia="zh-CN"/>
        </w:rPr>
        <w:t>全力向上争资</w:t>
      </w:r>
    </w:p>
    <w:p w14:paraId="1AD1651B">
      <w:pPr>
        <w:pStyle w:val="12"/>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rPr>
      </w:pPr>
      <w:r>
        <w:rPr>
          <w:rFonts w:hint="eastAsia" w:ascii="仿宋_GB2312" w:hAnsi="仿宋_GB2312" w:eastAsia="仿宋_GB2312" w:cs="仿宋_GB2312"/>
          <w:bCs w:val="0"/>
          <w:sz w:val="32"/>
        </w:rPr>
        <w:t>紧盯中央、省、市财政政策动向，围绕乡村振兴、基础设施建设、科技创新等重点领域，积极做大项目储备量，完善项目前期手续。加强与上级资金主管部门的常态化沟通，精准对接上级转移支付、政府债券资金等政策，力争上级转移支付到位16亿元，实现同比增长6.19%，新增债券额度较2025年有进一步提升。</w:t>
      </w:r>
    </w:p>
    <w:p w14:paraId="1D2EBC5B">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加强风险防控，守牢安全底线</w:t>
      </w:r>
    </w:p>
    <w:p w14:paraId="3E23CF2A">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债务管控。2026年预计到期政府债务本金54200万元（财力偿还5420万元、再融资偿还48780万元），政府债务利息19000万元（全部为财力偿还），计划化解隐性债务15572万元（财力化解4672万元、债券化解10900万元），根据实际到期时间按月如期偿还。做好债券资金使用管理及隐性债务化债资金使用管理，组织相关部门做好迎检准备。二是防范化解金融风险。结合重大时间节点，全年持续开展常态化</w:t>
      </w:r>
      <w:r>
        <w:rPr>
          <w:rFonts w:hint="eastAsia" w:ascii="仿宋_GB2312" w:hAnsi="仿宋_GB2312" w:eastAsia="仿宋_GB2312" w:cs="仿宋_GB2312"/>
          <w:sz w:val="32"/>
          <w:szCs w:val="32"/>
          <w:lang w:eastAsia="zh-CN"/>
        </w:rPr>
        <w:t>防范金融风险</w:t>
      </w:r>
      <w:r>
        <w:rPr>
          <w:rFonts w:hint="eastAsia" w:ascii="仿宋_GB2312" w:hAnsi="仿宋_GB2312" w:eastAsia="仿宋_GB2312" w:cs="仿宋_GB2312"/>
          <w:sz w:val="32"/>
          <w:szCs w:val="32"/>
        </w:rPr>
        <w:t>监测及宣传活动。根据市级部署，牵头开展防范非法集资宣传月活动，</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做好非法集资案件台账登记及人员稳控工作。</w:t>
      </w:r>
    </w:p>
    <w:p w14:paraId="4A8FB5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锚定乡村振兴，精准发力赋能</w:t>
      </w:r>
    </w:p>
    <w:p w14:paraId="459DC6E5">
      <w:pPr>
        <w:pStyle w:val="5"/>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rPr>
      </w:pPr>
      <w:r>
        <w:rPr>
          <w:rFonts w:hint="eastAsia" w:ascii="仿宋_GB2312" w:hAnsi="仿宋_GB2312" w:eastAsia="仿宋_GB2312" w:cs="仿宋_GB2312"/>
          <w:sz w:val="32"/>
          <w:szCs w:val="32"/>
        </w:rPr>
        <w:t>一是配合县农业农村局督促各行业主管部门做好衔接资金、东西协作资金和市中区援彝资金项目实施方案的编制，对接发改局征求各乡镇按照三张清单收集农村综合改革转移支付资金项目实施方案的编制，确保资金拨付达到序时进度；二是梳理年初部门预算32个科目完成情况，测算一般公共预算安排乡村振兴投入占比；每月测算并上报213农林水安排乡村振兴投入可支付数，确保今年乡村振兴支出高于上年；2026年土地出让收入用于农业农村投入数，每年投入占比递增。</w:t>
      </w:r>
    </w:p>
    <w:p w14:paraId="5D98D0F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攻坚融资增效，拓宽资金渠道</w:t>
      </w:r>
    </w:p>
    <w:p w14:paraId="26191467">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围绕重大产业项目、城乡融合建设等领域，全力推进国有资产、资源、资本和资金盘活利用，引导金融机构加大对县属国企信贷投放，重点支持绿色产业项目，助力县域经济高质量发展。深化政策性银行合作，加速产城融合园区（二期）、新能源基础设施等项目贷款落地，探索产业基金、REITs等创新融资工具，拓宽资金渠道。</w:t>
      </w:r>
    </w:p>
    <w:p w14:paraId="246B307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优化资金配置，提升使用效能</w:t>
      </w:r>
    </w:p>
    <w:p w14:paraId="0CFDD5C7">
      <w:pPr>
        <w:pStyle w:val="5"/>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是强化项目实施监管，督促项目业主单位，倒排工期，强力推动项目实施，加快资金支付；对接部门，及时更新重大项目实施进度情况和资金支付情况。</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是重大项目前期经费拨付，积极对接相关部门了解项目推进情况，督促单位及时完善报账资料，抓紧资金拨付，确保重大项目前期经费拨付不低于序时进度</w:t>
      </w:r>
      <w:r>
        <w:rPr>
          <w:rFonts w:hint="eastAsia" w:eastAsia="仿宋_GB2312"/>
          <w:sz w:val="32"/>
          <w:szCs w:val="32"/>
        </w:rPr>
        <w:t>。</w:t>
      </w:r>
      <w:r>
        <w:rPr>
          <w:rFonts w:hint="eastAsia" w:eastAsia="仿宋_GB2312"/>
          <w:sz w:val="32"/>
          <w:szCs w:val="32"/>
          <w:lang w:eastAsia="zh-CN"/>
        </w:rPr>
        <w:t>三</w:t>
      </w:r>
      <w:r>
        <w:rPr>
          <w:rFonts w:hint="eastAsia" w:ascii="仿宋_GB2312" w:hAnsi="仿宋_GB2312" w:eastAsia="仿宋_GB2312" w:cs="仿宋_GB2312"/>
          <w:sz w:val="32"/>
          <w:szCs w:val="32"/>
        </w:rPr>
        <w:t>是积极清偿化解拖欠企业账款，通过盘活财政存量资金、调整优化支出结构等多种方</w:t>
      </w:r>
      <w:bookmarkStart w:id="2" w:name="OLE_LINK2"/>
      <w:bookmarkStart w:id="3" w:name="OLE_LINK1"/>
      <w:r>
        <w:rPr>
          <w:rFonts w:hint="eastAsia" w:ascii="仿宋_GB2312" w:hAnsi="仿宋_GB2312" w:eastAsia="仿宋_GB2312" w:cs="仿宋_GB2312"/>
          <w:sz w:val="32"/>
          <w:szCs w:val="32"/>
        </w:rPr>
        <w:t>式统筹协调资金，实现2026年“</w:t>
      </w:r>
      <w:r>
        <w:rPr>
          <w:rFonts w:hint="eastAsia" w:ascii="仿宋_GB2312" w:hAnsi="仿宋_GB2312" w:eastAsia="仿宋_GB2312" w:cs="仿宋_GB2312"/>
          <w:sz w:val="32"/>
          <w:szCs w:val="32"/>
          <w:lang w:eastAsia="zh-CN"/>
        </w:rPr>
        <w:t>6·30</w:t>
      </w:r>
      <w:bookmarkEnd w:id="2"/>
      <w:bookmarkEnd w:id="3"/>
      <w:r>
        <w:rPr>
          <w:rFonts w:hint="eastAsia" w:ascii="仿宋_GB2312" w:hAnsi="仿宋_GB2312" w:eastAsia="仿宋_GB2312" w:cs="仿宋_GB2312"/>
          <w:sz w:val="32"/>
          <w:szCs w:val="32"/>
        </w:rPr>
        <w:t>”台账全部清偿完毕。</w:t>
      </w:r>
    </w:p>
    <w:p w14:paraId="06A54B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深化预算评审，强化过程监控</w:t>
      </w:r>
    </w:p>
    <w:p w14:paraId="37E4E76A">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2026年将更加精准、科学、规范开展常态化的预算评审工作，把好财政资金的第一道关。针对过度保守设计、不合理设计等及时沟通对接，保证</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不浪费。在保证2026年预算送审项目顺利进行评审的同时，及时完成之前未完成的“2024高标准农田项目”“县殡仪馆建设项目”等EPC项目预算评审工作。对财政投资重大项目、民生工程等实施跟踪评审，重点对设计变更、现场签证、材料价格等关键环节进行监督，及时发现和纠正资金使用中的问题，防止资金损失浪费。严格执行基本建设财务管理和竣工财务决算评审相关规定，加快项目决（结）算评审进度，确保评审结果真实、准确、完整，为项目及时办理资产移交和财务决算提供依据。</w:t>
      </w:r>
    </w:p>
    <w:p w14:paraId="2ADB5325">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CC7A7D5">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峨边彝族自治县财政局</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w:t>
      </w:r>
    </w:p>
    <w:p w14:paraId="366CA716">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峨边彝族自治县财政局</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58</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37</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48</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471B47F3">
      <w:pPr>
        <w:spacing w:line="600" w:lineRule="exact"/>
        <w:ind w:firstLine="640" w:firstLineChars="200"/>
        <w:rPr>
          <w:rFonts w:hint="eastAsia" w:ascii="仿宋" w:hAnsi="仿宋" w:eastAsia="仿宋"/>
          <w:sz w:val="32"/>
          <w:szCs w:val="32"/>
        </w:rPr>
      </w:pPr>
    </w:p>
    <w:p w14:paraId="5F6C52F4">
      <w:pPr>
        <w:spacing w:line="600" w:lineRule="exact"/>
        <w:ind w:firstLine="640" w:firstLineChars="200"/>
        <w:rPr>
          <w:rFonts w:hint="eastAsia" w:ascii="仿宋" w:hAnsi="仿宋" w:eastAsia="仿宋"/>
          <w:sz w:val="32"/>
          <w:szCs w:val="32"/>
        </w:rPr>
      </w:pPr>
    </w:p>
    <w:p w14:paraId="7AD76EC7">
      <w:pPr>
        <w:spacing w:line="600" w:lineRule="exact"/>
        <w:ind w:firstLine="640" w:firstLineChars="200"/>
        <w:rPr>
          <w:rFonts w:hint="eastAsia" w:ascii="仿宋" w:hAnsi="仿宋" w:eastAsia="仿宋"/>
          <w:sz w:val="32"/>
          <w:szCs w:val="32"/>
        </w:rPr>
      </w:pPr>
    </w:p>
    <w:p w14:paraId="5094C826">
      <w:pPr>
        <w:spacing w:line="600" w:lineRule="exact"/>
        <w:ind w:firstLine="640" w:firstLineChars="200"/>
        <w:rPr>
          <w:rFonts w:hint="eastAsia" w:ascii="仿宋" w:hAnsi="仿宋" w:eastAsia="仿宋"/>
          <w:sz w:val="32"/>
          <w:szCs w:val="32"/>
        </w:rPr>
      </w:pPr>
    </w:p>
    <w:p w14:paraId="59FFFE89">
      <w:pPr>
        <w:spacing w:line="600" w:lineRule="exact"/>
        <w:ind w:firstLine="640" w:firstLineChars="200"/>
        <w:rPr>
          <w:rFonts w:hint="eastAsia" w:ascii="仿宋" w:hAnsi="仿宋" w:eastAsia="仿宋"/>
          <w:sz w:val="32"/>
          <w:szCs w:val="32"/>
        </w:rPr>
      </w:pPr>
    </w:p>
    <w:p w14:paraId="5965132D">
      <w:pPr>
        <w:spacing w:line="600" w:lineRule="exact"/>
        <w:ind w:firstLine="640" w:firstLineChars="200"/>
        <w:rPr>
          <w:rFonts w:hint="eastAsia" w:ascii="仿宋" w:hAnsi="仿宋" w:eastAsia="仿宋"/>
          <w:sz w:val="32"/>
          <w:szCs w:val="32"/>
        </w:rPr>
      </w:pPr>
    </w:p>
    <w:p w14:paraId="279A5049">
      <w:pPr>
        <w:spacing w:line="600" w:lineRule="exact"/>
        <w:ind w:firstLine="640" w:firstLineChars="200"/>
        <w:rPr>
          <w:rFonts w:hint="eastAsia" w:ascii="仿宋" w:hAnsi="仿宋" w:eastAsia="仿宋"/>
          <w:sz w:val="32"/>
          <w:szCs w:val="32"/>
        </w:rPr>
      </w:pPr>
    </w:p>
    <w:p w14:paraId="5117CFE2">
      <w:pPr>
        <w:spacing w:line="600" w:lineRule="exact"/>
        <w:ind w:firstLine="640" w:firstLineChars="200"/>
        <w:rPr>
          <w:rFonts w:hint="eastAsia" w:ascii="仿宋" w:hAnsi="仿宋" w:eastAsia="仿宋"/>
          <w:sz w:val="32"/>
          <w:szCs w:val="32"/>
        </w:rPr>
      </w:pPr>
    </w:p>
    <w:p w14:paraId="0C9F18BE">
      <w:pPr>
        <w:spacing w:line="600" w:lineRule="exact"/>
        <w:ind w:firstLine="640" w:firstLineChars="200"/>
        <w:rPr>
          <w:rFonts w:hint="eastAsia" w:ascii="仿宋" w:hAnsi="仿宋" w:eastAsia="仿宋"/>
          <w:sz w:val="32"/>
          <w:szCs w:val="32"/>
        </w:rPr>
      </w:pPr>
    </w:p>
    <w:p w14:paraId="16EB43CA">
      <w:pPr>
        <w:spacing w:line="600" w:lineRule="exact"/>
        <w:ind w:firstLine="640" w:firstLineChars="200"/>
        <w:rPr>
          <w:rFonts w:hint="eastAsia" w:ascii="仿宋" w:hAnsi="仿宋" w:eastAsia="仿宋"/>
          <w:sz w:val="32"/>
          <w:szCs w:val="32"/>
        </w:rPr>
      </w:pPr>
    </w:p>
    <w:p w14:paraId="6FA63D21">
      <w:pPr>
        <w:pStyle w:val="2"/>
        <w:numPr>
          <w:ilvl w:val="0"/>
          <w:numId w:val="0"/>
        </w:numPr>
        <w:bidi w:val="0"/>
        <w:jc w:val="both"/>
        <w:rPr>
          <w:rFonts w:hint="eastAsia"/>
          <w:lang w:val="en-US" w:eastAsia="zh-CN"/>
        </w:rPr>
      </w:pPr>
    </w:p>
    <w:p w14:paraId="75B71DC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峨边彝族自治县财政局</w:t>
      </w:r>
    </w:p>
    <w:p w14:paraId="579F825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57564366">
      <w:pPr>
        <w:spacing w:line="600" w:lineRule="exact"/>
        <w:rPr>
          <w:rFonts w:hint="default" w:ascii="仿宋" w:hAnsi="仿宋" w:eastAsia="仿宋" w:cs="Times New Roman"/>
          <w:sz w:val="32"/>
          <w:szCs w:val="32"/>
          <w:lang w:val="en-US" w:eastAsia="zh-CN"/>
        </w:rPr>
      </w:pPr>
    </w:p>
    <w:p w14:paraId="092F9C06">
      <w:pPr>
        <w:spacing w:line="600" w:lineRule="exact"/>
        <w:rPr>
          <w:rFonts w:hint="default" w:ascii="仿宋" w:hAnsi="仿宋" w:eastAsia="仿宋" w:cs="Times New Roman"/>
          <w:sz w:val="32"/>
          <w:szCs w:val="32"/>
          <w:lang w:val="en-US" w:eastAsia="zh-CN"/>
        </w:rPr>
      </w:pPr>
    </w:p>
    <w:p w14:paraId="322EE392">
      <w:pPr>
        <w:spacing w:line="600" w:lineRule="exact"/>
        <w:rPr>
          <w:rFonts w:hint="default" w:ascii="仿宋" w:hAnsi="仿宋" w:eastAsia="仿宋" w:cs="Times New Roman"/>
          <w:sz w:val="32"/>
          <w:szCs w:val="32"/>
          <w:lang w:val="en-US" w:eastAsia="zh-CN"/>
        </w:rPr>
      </w:pPr>
    </w:p>
    <w:p w14:paraId="6179EB87">
      <w:pPr>
        <w:spacing w:line="600" w:lineRule="exact"/>
        <w:rPr>
          <w:rFonts w:hint="default" w:ascii="仿宋" w:hAnsi="仿宋" w:eastAsia="仿宋" w:cs="Times New Roman"/>
          <w:sz w:val="32"/>
          <w:szCs w:val="32"/>
          <w:lang w:val="en-US" w:eastAsia="zh-CN"/>
        </w:rPr>
      </w:pPr>
    </w:p>
    <w:p w14:paraId="4C6C2E9E">
      <w:pPr>
        <w:spacing w:line="600" w:lineRule="exact"/>
        <w:rPr>
          <w:rFonts w:hint="default" w:ascii="仿宋" w:hAnsi="仿宋" w:eastAsia="仿宋" w:cs="Times New Roman"/>
          <w:sz w:val="32"/>
          <w:szCs w:val="32"/>
          <w:lang w:val="en-US" w:eastAsia="zh-CN"/>
        </w:rPr>
      </w:pPr>
    </w:p>
    <w:p w14:paraId="47008934">
      <w:pPr>
        <w:spacing w:line="600" w:lineRule="exact"/>
        <w:rPr>
          <w:rFonts w:hint="default" w:ascii="仿宋" w:hAnsi="仿宋" w:eastAsia="仿宋" w:cs="Times New Roman"/>
          <w:sz w:val="32"/>
          <w:szCs w:val="32"/>
          <w:lang w:val="en-US" w:eastAsia="zh-CN"/>
        </w:rPr>
      </w:pPr>
    </w:p>
    <w:p w14:paraId="2FD8F423">
      <w:pPr>
        <w:spacing w:line="600" w:lineRule="exact"/>
        <w:rPr>
          <w:rFonts w:hint="default" w:ascii="仿宋" w:hAnsi="仿宋" w:eastAsia="仿宋" w:cs="Times New Roman"/>
          <w:sz w:val="32"/>
          <w:szCs w:val="32"/>
          <w:lang w:val="en-US" w:eastAsia="zh-CN"/>
        </w:rPr>
      </w:pPr>
    </w:p>
    <w:p w14:paraId="493882F6">
      <w:pPr>
        <w:spacing w:line="600" w:lineRule="exact"/>
        <w:rPr>
          <w:rFonts w:hint="default" w:ascii="仿宋" w:hAnsi="仿宋" w:eastAsia="仿宋" w:cs="Times New Roman"/>
          <w:sz w:val="32"/>
          <w:szCs w:val="32"/>
          <w:lang w:val="en-US" w:eastAsia="zh-CN"/>
        </w:rPr>
      </w:pPr>
    </w:p>
    <w:p w14:paraId="48ADA865">
      <w:pPr>
        <w:spacing w:line="600" w:lineRule="exact"/>
        <w:ind w:left="0" w:leftChars="0" w:firstLine="0" w:firstLineChars="0"/>
        <w:rPr>
          <w:rFonts w:hint="eastAsia" w:ascii="仿宋_GB2312" w:hAnsi="仿宋_GB2312" w:eastAsia="仿宋_GB2312" w:cs="仿宋_GB2312"/>
          <w:sz w:val="32"/>
          <w:szCs w:val="32"/>
          <w:lang w:val="en-US" w:eastAsia="zh-CN"/>
        </w:rPr>
      </w:pPr>
    </w:p>
    <w:p w14:paraId="4115C39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峨边彝族自治县财政局</w:t>
      </w:r>
      <w:r>
        <w:rPr>
          <w:rFonts w:hint="eastAsia" w:ascii="仿宋_GB2312" w:hAnsi="仿宋_GB2312" w:eastAsia="仿宋_GB2312" w:cs="仿宋_GB2312"/>
          <w:sz w:val="32"/>
          <w:szCs w:val="32"/>
          <w:lang w:val="en-US" w:eastAsia="zh-CN"/>
        </w:rPr>
        <w:t xml:space="preserve">预算公开报表  </w:t>
      </w:r>
    </w:p>
    <w:p w14:paraId="3399696C">
      <w:pPr>
        <w:spacing w:line="600" w:lineRule="exact"/>
        <w:ind w:left="0" w:leftChars="0" w:firstLine="0" w:firstLineChars="0"/>
        <w:rPr>
          <w:rFonts w:hint="eastAsia" w:ascii="仿宋_GB2312" w:hAnsi="仿宋_GB2312" w:eastAsia="仿宋_GB2312" w:cs="仿宋_GB2312"/>
          <w:sz w:val="32"/>
          <w:szCs w:val="32"/>
          <w:lang w:val="en-US" w:eastAsia="zh-CN"/>
        </w:rPr>
      </w:pPr>
    </w:p>
    <w:p w14:paraId="6D6D5A46">
      <w:pPr>
        <w:numPr>
          <w:ilvl w:val="0"/>
          <w:numId w:val="0"/>
        </w:numPr>
        <w:spacing w:line="600" w:lineRule="exact"/>
        <w:rPr>
          <w:rFonts w:hint="eastAsia" w:ascii="仿宋" w:hAnsi="仿宋" w:eastAsia="仿宋" w:cs="Times New Roman"/>
          <w:sz w:val="32"/>
          <w:szCs w:val="32"/>
          <w:lang w:val="en-US" w:eastAsia="zh-CN"/>
        </w:rPr>
      </w:pPr>
    </w:p>
    <w:p w14:paraId="70C2548F">
      <w:pPr>
        <w:numPr>
          <w:ilvl w:val="0"/>
          <w:numId w:val="0"/>
        </w:numPr>
        <w:ind w:leftChars="0"/>
        <w:jc w:val="both"/>
        <w:rPr>
          <w:rFonts w:hint="eastAsia"/>
          <w:b/>
          <w:bCs/>
          <w:sz w:val="52"/>
          <w:szCs w:val="52"/>
          <w:lang w:val="en-US" w:eastAsia="zh-CN"/>
        </w:rPr>
      </w:pPr>
    </w:p>
    <w:p w14:paraId="513A23C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峨边彝族自治县财政局</w:t>
      </w:r>
    </w:p>
    <w:p w14:paraId="16D1F7E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592CDAC2">
      <w:pPr>
        <w:numPr>
          <w:ilvl w:val="0"/>
          <w:numId w:val="0"/>
        </w:numPr>
        <w:jc w:val="center"/>
        <w:rPr>
          <w:rFonts w:hint="default"/>
          <w:b/>
          <w:bCs/>
          <w:sz w:val="52"/>
          <w:szCs w:val="52"/>
          <w:lang w:val="en-US" w:eastAsia="zh-CN"/>
        </w:rPr>
      </w:pPr>
    </w:p>
    <w:p w14:paraId="250E360F">
      <w:pPr>
        <w:numPr>
          <w:ilvl w:val="0"/>
          <w:numId w:val="0"/>
        </w:numPr>
        <w:spacing w:line="600" w:lineRule="exact"/>
        <w:rPr>
          <w:rFonts w:hint="eastAsia" w:ascii="仿宋" w:hAnsi="仿宋" w:eastAsia="仿宋" w:cs="Times New Roman"/>
          <w:sz w:val="32"/>
          <w:szCs w:val="32"/>
          <w:lang w:val="en-US" w:eastAsia="zh-CN"/>
        </w:rPr>
      </w:pPr>
    </w:p>
    <w:p w14:paraId="1C9B61D9">
      <w:pPr>
        <w:numPr>
          <w:ilvl w:val="0"/>
          <w:numId w:val="0"/>
        </w:numPr>
        <w:spacing w:line="600" w:lineRule="exact"/>
        <w:rPr>
          <w:rFonts w:hint="eastAsia" w:ascii="仿宋" w:hAnsi="仿宋" w:eastAsia="仿宋" w:cs="Times New Roman"/>
          <w:sz w:val="32"/>
          <w:szCs w:val="32"/>
          <w:lang w:val="en-US" w:eastAsia="zh-CN"/>
        </w:rPr>
      </w:pPr>
    </w:p>
    <w:p w14:paraId="49CC236C">
      <w:pPr>
        <w:numPr>
          <w:ilvl w:val="0"/>
          <w:numId w:val="0"/>
        </w:numPr>
        <w:spacing w:line="600" w:lineRule="exact"/>
        <w:rPr>
          <w:rFonts w:hint="eastAsia" w:ascii="仿宋" w:hAnsi="仿宋" w:eastAsia="仿宋" w:cs="Times New Roman"/>
          <w:sz w:val="32"/>
          <w:szCs w:val="32"/>
          <w:lang w:val="en-US" w:eastAsia="zh-CN"/>
        </w:rPr>
      </w:pPr>
    </w:p>
    <w:p w14:paraId="7D174E9D">
      <w:pPr>
        <w:numPr>
          <w:ilvl w:val="0"/>
          <w:numId w:val="0"/>
        </w:numPr>
        <w:spacing w:line="600" w:lineRule="exact"/>
        <w:rPr>
          <w:rFonts w:hint="eastAsia" w:ascii="仿宋" w:hAnsi="仿宋" w:eastAsia="仿宋" w:cs="Times New Roman"/>
          <w:sz w:val="32"/>
          <w:szCs w:val="32"/>
          <w:lang w:val="en-US" w:eastAsia="zh-CN"/>
        </w:rPr>
      </w:pPr>
    </w:p>
    <w:p w14:paraId="27F92789">
      <w:pPr>
        <w:numPr>
          <w:ilvl w:val="0"/>
          <w:numId w:val="0"/>
        </w:numPr>
        <w:jc w:val="center"/>
        <w:rPr>
          <w:rFonts w:hint="default"/>
          <w:b/>
          <w:bCs/>
          <w:sz w:val="52"/>
          <w:szCs w:val="52"/>
          <w:lang w:val="en-US" w:eastAsia="zh-CN"/>
        </w:rPr>
      </w:pPr>
    </w:p>
    <w:p w14:paraId="4491103F">
      <w:pPr>
        <w:numPr>
          <w:ilvl w:val="0"/>
          <w:numId w:val="0"/>
        </w:numPr>
        <w:jc w:val="center"/>
        <w:rPr>
          <w:rFonts w:hint="default"/>
          <w:b/>
          <w:bCs/>
          <w:sz w:val="52"/>
          <w:szCs w:val="52"/>
          <w:lang w:val="en-US" w:eastAsia="zh-CN"/>
        </w:rPr>
      </w:pPr>
    </w:p>
    <w:p w14:paraId="6A2DF46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45CD21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w:t>
      </w:r>
      <w:r>
        <w:rPr>
          <w:rFonts w:hint="eastAsia" w:ascii="Times New Roman" w:hAnsi="Times New Roman" w:eastAsia="仿宋_GB2312" w:cs="仿宋_GB2312"/>
          <w:color w:val="auto"/>
          <w:sz w:val="32"/>
          <w:szCs w:val="32"/>
          <w:lang w:val="en-US" w:eastAsia="zh-CN"/>
        </w:rPr>
        <w:t>房保障支出。</w:t>
      </w:r>
    </w:p>
    <w:p w14:paraId="6F46EC8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13.77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人员变动</w:t>
      </w:r>
      <w:r>
        <w:rPr>
          <w:rFonts w:hint="eastAsia" w:ascii="Times New Roman" w:hAnsi="Times New Roman" w:eastAsia="仿宋_GB2312" w:cs="仿宋_GB2312"/>
          <w:color w:val="auto"/>
          <w:kern w:val="0"/>
          <w:sz w:val="32"/>
          <w:szCs w:val="32"/>
        </w:rPr>
        <w:t>。</w:t>
      </w:r>
    </w:p>
    <w:p w14:paraId="57B48C9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BD67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CA2B04D">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62D8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935.84</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91.23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90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highlight w:val="none"/>
          <w:shd w:val="clear" w:color="auto" w:fill="auto"/>
        </w:rPr>
        <w:t>，占</w:t>
      </w:r>
      <w:r>
        <w:rPr>
          <w:rFonts w:hint="eastAsia" w:ascii="Times New Roman" w:hAnsi="Times New Roman" w:eastAsia="仿宋_GB2312" w:cs="仿宋_GB2312"/>
          <w:color w:val="auto"/>
          <w:kern w:val="0"/>
          <w:sz w:val="32"/>
          <w:szCs w:val="32"/>
          <w:highlight w:val="none"/>
          <w:shd w:val="clear" w:color="auto" w:fill="auto"/>
          <w:lang w:val="en-US" w:eastAsia="zh-CN"/>
        </w:rPr>
        <w:t>8.77</w:t>
      </w:r>
      <w:r>
        <w:rPr>
          <w:rFonts w:hint="eastAsia" w:ascii="Times New Roman" w:hAnsi="Times New Roman" w:eastAsia="仿宋_GB2312" w:cs="仿宋_GB2312"/>
          <w:color w:val="auto"/>
          <w:kern w:val="0"/>
          <w:sz w:val="32"/>
          <w:szCs w:val="32"/>
          <w:highlight w:val="none"/>
          <w:shd w:val="clear" w:color="auto" w:fill="auto"/>
        </w:rPr>
        <w:t>%</w:t>
      </w:r>
      <w:r>
        <w:rPr>
          <w:rFonts w:hint="eastAsia" w:ascii="Times New Roman" w:hAnsi="Times New Roman" w:eastAsia="仿宋_GB2312" w:cs="仿宋_GB2312"/>
          <w:color w:val="auto"/>
          <w:kern w:val="0"/>
          <w:sz w:val="32"/>
          <w:szCs w:val="32"/>
        </w:rPr>
        <w:t>。</w:t>
      </w:r>
    </w:p>
    <w:p w14:paraId="7B240A3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74E2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1039.61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13.77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人员变动。</w:t>
      </w:r>
    </w:p>
    <w:p w14:paraId="781FF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796.73</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132.46</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25.58</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71.06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908863C">
      <w:pPr>
        <w:numPr>
          <w:ilvl w:val="0"/>
          <w:numId w:val="0"/>
        </w:numPr>
        <w:spacing w:line="600" w:lineRule="exact"/>
        <w:ind w:firstLine="640" w:firstLineChars="200"/>
        <w:rPr>
          <w:rStyle w:val="25"/>
          <w:rFonts w:hint="eastAsia" w:ascii="黑体" w:hAnsi="黑体" w:eastAsia="黑体" w:cs="黑体"/>
          <w:b w:val="0"/>
          <w:bCs/>
          <w:color w:val="FF0000"/>
          <w:sz w:val="28"/>
          <w:szCs w:val="22"/>
          <w:lang w:eastAsia="zh-CN"/>
        </w:rPr>
      </w:pPr>
      <w:r>
        <w:rPr>
          <w:rStyle w:val="25"/>
          <w:rFonts w:hint="eastAsia" w:ascii="黑体" w:hAnsi="黑体" w:eastAsia="黑体" w:cs="黑体"/>
          <w:b w:val="0"/>
          <w:bCs/>
        </w:rPr>
        <w:t>三、一般公共预算当年拨款情况说明</w:t>
      </w:r>
    </w:p>
    <w:p w14:paraId="468B670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6EF9DF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减少13.77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人员变动</w:t>
      </w:r>
      <w:r>
        <w:rPr>
          <w:rFonts w:hint="eastAsia" w:ascii="Times New Roman" w:hAnsi="Times New Roman" w:eastAsia="仿宋_GB2312" w:cs="仿宋_GB2312"/>
          <w:color w:val="auto"/>
          <w:kern w:val="0"/>
          <w:sz w:val="32"/>
          <w:szCs w:val="32"/>
        </w:rPr>
        <w:t>。</w:t>
      </w:r>
    </w:p>
    <w:p w14:paraId="7BA1E8BA">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（阐述到类）。</w:t>
      </w:r>
    </w:p>
    <w:p w14:paraId="540B59D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796.73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77.67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132.46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12.91</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25.58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themeColor="text1"/>
          <w:kern w:val="0"/>
          <w:sz w:val="32"/>
          <w:szCs w:val="32"/>
          <w:highlight w:val="none"/>
          <w:shd w:val="clear" w:color="auto" w:fill="auto"/>
          <w14:textFill>
            <w14:solidFill>
              <w14:schemeClr w14:val="tx1"/>
            </w14:solidFill>
          </w14:textFill>
        </w:rPr>
        <w:t>占</w:t>
      </w:r>
      <w:r>
        <w:rPr>
          <w:rFonts w:hint="eastAsia" w:ascii="Times New Roman" w:hAnsi="Times New Roman" w:eastAsia="仿宋_GB2312" w:cs="仿宋_GB2312"/>
          <w:color w:val="000000" w:themeColor="text1"/>
          <w:kern w:val="0"/>
          <w:sz w:val="32"/>
          <w:szCs w:val="32"/>
          <w:highlight w:val="none"/>
          <w:shd w:val="clear" w:color="auto" w:fill="auto"/>
          <w:lang w:val="en-US" w:eastAsia="zh-CN"/>
          <w14:textFill>
            <w14:solidFill>
              <w14:schemeClr w14:val="tx1"/>
            </w14:solidFill>
          </w14:textFill>
        </w:rPr>
        <w:t>2.49</w:t>
      </w:r>
      <w:r>
        <w:rPr>
          <w:rFonts w:hint="eastAsia" w:ascii="Times New Roman" w:hAnsi="Times New Roman" w:eastAsia="仿宋_GB2312" w:cs="仿宋_GB2312"/>
          <w:color w:val="000000" w:themeColor="text1"/>
          <w:kern w:val="0"/>
          <w:sz w:val="32"/>
          <w:szCs w:val="32"/>
          <w:highlight w:val="none"/>
          <w:shd w:val="clear" w:color="auto" w:fill="auto"/>
          <w14:textFill>
            <w14:solidFill>
              <w14:schemeClr w14:val="tx1"/>
            </w14:solidFill>
          </w14:textFill>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71.06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6.93</w:t>
      </w:r>
      <w:r>
        <w:rPr>
          <w:rFonts w:hint="eastAsia" w:ascii="Times New Roman" w:hAnsi="Times New Roman" w:eastAsia="仿宋_GB2312" w:cs="仿宋_GB2312"/>
          <w:color w:val="auto"/>
          <w:kern w:val="0"/>
          <w:sz w:val="32"/>
          <w:szCs w:val="32"/>
        </w:rPr>
        <w:t>%。</w:t>
      </w:r>
    </w:p>
    <w:p w14:paraId="6BD9E33F">
      <w:pPr>
        <w:numPr>
          <w:ilvl w:val="0"/>
          <w:numId w:val="0"/>
        </w:numPr>
        <w:spacing w:line="600" w:lineRule="exact"/>
        <w:ind w:firstLine="640" w:firstLineChars="200"/>
        <w:rPr>
          <w:rFonts w:hint="eastAsia" w:ascii="仿宋" w:hAnsi="仿宋" w:eastAsia="仿宋" w:cs="宋体"/>
          <w:color w:val="FFFFFF" w:themeColor="background1"/>
          <w:kern w:val="0"/>
          <w:sz w:val="32"/>
          <w:szCs w:val="32"/>
          <w:lang w:eastAsia="zh-CN"/>
          <w14:textFill>
            <w14:solidFill>
              <w14:schemeClr w14:val="bg1"/>
            </w14:solidFill>
          </w14:textFill>
        </w:rPr>
      </w:pPr>
      <w:r>
        <w:rPr>
          <w:rFonts w:hint="eastAsia" w:ascii="Times New Roman" w:hAnsi="Times New Roman" w:eastAsia="楷体_GB2312" w:cs="Times New Roman"/>
          <w:b w:val="0"/>
          <w:bCs/>
          <w:color w:val="auto"/>
          <w:sz w:val="32"/>
          <w:szCs w:val="32"/>
        </w:rPr>
        <w:t>（三）一般公共预算当年拨款具体使用情况</w:t>
      </w:r>
    </w:p>
    <w:p w14:paraId="219F3F1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val="en-US" w:eastAsia="zh-CN"/>
        </w:rPr>
        <w:t>财政事务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509.87</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74D57F3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Times New Roman" w:hAnsi="Times New Roman" w:eastAsia="仿宋_GB2312" w:cs="仿宋_GB2312"/>
          <w:color w:val="auto"/>
          <w:kern w:val="0"/>
          <w:sz w:val="32"/>
          <w:szCs w:val="32"/>
          <w:lang w:val="en-US" w:eastAsia="zh-CN"/>
        </w:rPr>
        <w:t>财政事务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一般行政管理事务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90</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28CB9AE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3.一般公共服务（类）</w:t>
      </w:r>
      <w:r>
        <w:rPr>
          <w:rFonts w:hint="eastAsia" w:ascii="Times New Roman" w:hAnsi="Times New Roman" w:eastAsia="仿宋_GB2312" w:cs="仿宋_GB2312"/>
          <w:color w:val="auto"/>
          <w:kern w:val="0"/>
          <w:sz w:val="32"/>
          <w:szCs w:val="32"/>
          <w:lang w:val="en-US" w:eastAsia="zh-CN"/>
        </w:rPr>
        <w:t>财政事务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196.86</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事业单位正常运转的基本支出，包括基本工资、津贴补贴等人员经费以及办公费、印刷费、</w:t>
      </w:r>
      <w:r>
        <w:rPr>
          <w:rFonts w:hint="eastAsia" w:ascii="仿宋_GB2312" w:hAnsi="仿宋" w:eastAsia="仿宋_GB2312" w:cs="宋体"/>
          <w:color w:val="000000" w:themeColor="text1"/>
          <w:kern w:val="0"/>
          <w:sz w:val="32"/>
          <w:szCs w:val="32"/>
          <w14:textFill>
            <w14:solidFill>
              <w14:schemeClr w14:val="tx1"/>
            </w14:solidFill>
          </w14:textFill>
        </w:rPr>
        <w:t>水电费等日</w:t>
      </w:r>
      <w:r>
        <w:rPr>
          <w:rFonts w:hint="eastAsia" w:ascii="仿宋_GB2312" w:hAnsi="仿宋" w:eastAsia="仿宋_GB2312" w:cs="宋体"/>
          <w:color w:val="auto"/>
          <w:kern w:val="0"/>
          <w:sz w:val="32"/>
          <w:szCs w:val="32"/>
        </w:rPr>
        <w:t>常公用经费。</w:t>
      </w:r>
    </w:p>
    <w:p w14:paraId="2944919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4.社会保障和就业（类）</w:t>
      </w:r>
      <w:r>
        <w:rPr>
          <w:rFonts w:hint="eastAsia" w:ascii="仿宋_GB2312" w:hAnsi="仿宋" w:eastAsia="仿宋_GB2312" w:cs="宋体"/>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（款）机关事业单位基本养老保险缴费</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84.79</w:t>
      </w:r>
      <w:r>
        <w:rPr>
          <w:rFonts w:hint="eastAsia" w:ascii="Times New Roman" w:hAnsi="Times New Roman" w:eastAsia="仿宋_GB2312" w:cs="仿宋_GB2312"/>
          <w:color w:val="auto"/>
          <w:kern w:val="0"/>
          <w:sz w:val="32"/>
          <w:szCs w:val="32"/>
        </w:rPr>
        <w:t>万元，主要用于：保障离退休人员经费支出。</w:t>
      </w:r>
    </w:p>
    <w:p w14:paraId="115EDE3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w:t>
      </w:r>
      <w:r>
        <w:rPr>
          <w:rFonts w:hint="eastAsia" w:ascii="仿宋_GB2312" w:hAnsi="仿宋" w:eastAsia="仿宋_GB2312" w:cs="宋体"/>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42.39</w:t>
      </w:r>
      <w:r>
        <w:rPr>
          <w:rFonts w:hint="eastAsia" w:ascii="Times New Roman" w:hAnsi="Times New Roman" w:eastAsia="仿宋_GB2312" w:cs="仿宋_GB2312"/>
          <w:color w:val="auto"/>
          <w:kern w:val="0"/>
          <w:sz w:val="32"/>
          <w:szCs w:val="32"/>
        </w:rPr>
        <w:t>万元，主要用于：实施养老保险制度后，部门按规定由单位缴纳的</w:t>
      </w:r>
      <w:r>
        <w:rPr>
          <w:rFonts w:hint="eastAsia" w:ascii="仿宋_GB2312" w:hAnsi="仿宋" w:eastAsia="仿宋_GB2312" w:cs="宋体"/>
          <w:color w:val="auto"/>
          <w:kern w:val="0"/>
          <w:sz w:val="32"/>
          <w:szCs w:val="32"/>
        </w:rPr>
        <w:t>职业年金支出</w:t>
      </w:r>
      <w:r>
        <w:rPr>
          <w:rFonts w:hint="eastAsia" w:ascii="Times New Roman" w:hAnsi="Times New Roman" w:eastAsia="仿宋_GB2312" w:cs="仿宋_GB2312"/>
          <w:color w:val="auto"/>
          <w:kern w:val="0"/>
          <w:sz w:val="32"/>
          <w:szCs w:val="32"/>
        </w:rPr>
        <w:t>。</w:t>
      </w:r>
    </w:p>
    <w:p w14:paraId="7116864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6.社会保障和就业（类）</w:t>
      </w:r>
      <w:r>
        <w:rPr>
          <w:rFonts w:hint="eastAsia" w:ascii="仿宋_GB2312" w:hAnsi="仿宋" w:eastAsia="仿宋_GB2312" w:cs="宋体"/>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5.28</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其他用于社会保障和就业方面的支出</w:t>
      </w:r>
      <w:r>
        <w:rPr>
          <w:rFonts w:hint="eastAsia" w:ascii="仿宋" w:hAnsi="仿宋" w:cs="宋体"/>
          <w:color w:val="auto"/>
          <w:kern w:val="0"/>
          <w:lang w:eastAsia="zh-CN"/>
        </w:rPr>
        <w:t>。</w:t>
      </w:r>
    </w:p>
    <w:p w14:paraId="4EA219A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25.58</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9C6C7F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71.06</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0350F0A">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四</w:t>
      </w:r>
      <w:r>
        <w:rPr>
          <w:rStyle w:val="25"/>
          <w:rFonts w:hint="eastAsia" w:ascii="黑体" w:hAnsi="黑体" w:eastAsia="黑体" w:cs="黑体"/>
          <w:b w:val="0"/>
          <w:bCs/>
          <w:color w:val="auto"/>
        </w:rPr>
        <w:t>、一般公共预算基本支出情况说明</w:t>
      </w:r>
    </w:p>
    <w:p w14:paraId="177107A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1025.84</w:t>
      </w:r>
      <w:r>
        <w:rPr>
          <w:rFonts w:hint="eastAsia" w:ascii="Times New Roman" w:hAnsi="Times New Roman" w:eastAsia="仿宋_GB2312" w:cs="仿宋_GB2312"/>
          <w:color w:val="auto"/>
          <w:kern w:val="0"/>
          <w:sz w:val="32"/>
          <w:szCs w:val="32"/>
        </w:rPr>
        <w:t>万元，其中：</w:t>
      </w:r>
    </w:p>
    <w:p w14:paraId="202F85F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793.90</w:t>
      </w:r>
      <w:r>
        <w:rPr>
          <w:rFonts w:hint="eastAsia" w:ascii="Times New Roman" w:hAnsi="Times New Roman" w:eastAsia="仿宋_GB2312" w:cs="仿宋_GB2312"/>
          <w:color w:val="auto"/>
          <w:kern w:val="0"/>
          <w:sz w:val="32"/>
          <w:szCs w:val="32"/>
        </w:rPr>
        <w:t>万元，主要包括</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基本工资、津贴补贴、</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规范津贴补贴、艰苦边远地区津贴、乡镇工作补贴、</w:t>
      </w:r>
      <w:r>
        <w:rPr>
          <w:rFonts w:hint="eastAsia" w:ascii="Times New Roman" w:hAnsi="Times New Roman" w:eastAsia="仿宋_GB2312" w:cs="仿宋_GB2312"/>
          <w:color w:val="000000" w:themeColor="text1"/>
          <w:kern w:val="0"/>
          <w:sz w:val="32"/>
          <w:szCs w:val="32"/>
          <w14:textFill>
            <w14:solidFill>
              <w14:schemeClr w14:val="tx1"/>
            </w14:solidFill>
          </w14:textFill>
        </w:rPr>
        <w:t>奖金、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伙食补助</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职工基本医疗缴费、其他社会保障缴费、工伤保险、失业保险、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p>
    <w:p w14:paraId="0B111B9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w:t>
      </w:r>
      <w:r>
        <w:rPr>
          <w:rFonts w:hint="eastAsia" w:ascii="Times New Roman" w:hAnsi="Times New Roman" w:eastAsia="仿宋_GB2312" w:cs="仿宋_GB2312"/>
          <w:color w:val="auto"/>
          <w:kern w:val="0"/>
          <w:sz w:val="32"/>
          <w:szCs w:val="32"/>
          <w:highlight w:val="none"/>
          <w:shd w:val="clear" w:color="auto" w:fill="auto"/>
        </w:rPr>
        <w:t>费</w:t>
      </w:r>
      <w:r>
        <w:rPr>
          <w:rFonts w:hint="eastAsia" w:ascii="Times New Roman" w:hAnsi="Times New Roman" w:eastAsia="仿宋_GB2312" w:cs="仿宋_GB2312"/>
          <w:color w:val="auto"/>
          <w:kern w:val="0"/>
          <w:sz w:val="32"/>
          <w:szCs w:val="32"/>
          <w:highlight w:val="none"/>
          <w:shd w:val="clear" w:color="auto" w:fill="auto"/>
          <w:lang w:val="en-US" w:eastAsia="zh-CN"/>
        </w:rPr>
        <w:t>141.94</w:t>
      </w:r>
      <w:r>
        <w:rPr>
          <w:rFonts w:hint="eastAsia" w:ascii="Times New Roman" w:hAnsi="Times New Roman" w:eastAsia="仿宋_GB2312" w:cs="仿宋_GB2312"/>
          <w:color w:val="auto"/>
          <w:kern w:val="0"/>
          <w:sz w:val="32"/>
          <w:szCs w:val="32"/>
          <w:highlight w:val="none"/>
          <w:shd w:val="clear" w:color="auto" w:fill="auto"/>
        </w:rPr>
        <w:t>万</w:t>
      </w:r>
      <w:r>
        <w:rPr>
          <w:rFonts w:hint="eastAsia" w:ascii="Times New Roman" w:hAnsi="Times New Roman" w:eastAsia="仿宋_GB2312" w:cs="仿宋_GB2312"/>
          <w:color w:val="auto"/>
          <w:kern w:val="0"/>
          <w:sz w:val="32"/>
          <w:szCs w:val="32"/>
        </w:rPr>
        <w:t>元，主要包括：办公费、水费、电费、邮电费、差旅费、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劳务费、工会经费、福利费、其他交通费、</w:t>
      </w:r>
      <w:r>
        <w:rPr>
          <w:rFonts w:hint="eastAsia" w:ascii="Times New Roman" w:hAnsi="Times New Roman" w:eastAsia="仿宋_GB2312" w:cs="仿宋_GB2312"/>
          <w:color w:val="auto"/>
          <w:kern w:val="0"/>
          <w:sz w:val="32"/>
          <w:szCs w:val="32"/>
          <w:lang w:val="en-US" w:eastAsia="zh-CN"/>
        </w:rPr>
        <w:t>公务交通补贴、租车费用、</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eastAsia="zh-CN"/>
        </w:rPr>
        <w:t>。</w:t>
      </w:r>
    </w:p>
    <w:p w14:paraId="02887A5D">
      <w:pPr>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五</w:t>
      </w:r>
      <w:r>
        <w:rPr>
          <w:rStyle w:val="25"/>
          <w:rFonts w:hint="eastAsia" w:ascii="黑体" w:hAnsi="黑体" w:eastAsia="黑体" w:cs="黑体"/>
          <w:b w:val="0"/>
          <w:bCs/>
          <w:color w:val="auto"/>
        </w:rPr>
        <w:t>、政府性基金预算支出规模及变化情况说明</w:t>
      </w:r>
    </w:p>
    <w:p w14:paraId="311D0BA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3F13E763">
      <w:pPr>
        <w:rPr>
          <w:rStyle w:val="25"/>
          <w:rFonts w:hint="eastAsia" w:ascii="黑体" w:hAnsi="黑体" w:eastAsia="黑体" w:cs="黑体"/>
          <w:b w:val="0"/>
          <w:bCs/>
          <w:color w:val="auto"/>
        </w:rPr>
      </w:pPr>
      <w:r>
        <w:rPr>
          <w:rStyle w:val="25"/>
          <w:rFonts w:hint="eastAsia" w:ascii="黑体" w:hAnsi="黑体" w:eastAsia="黑体" w:cs="黑体"/>
          <w:b w:val="0"/>
          <w:bCs/>
          <w:color w:val="auto"/>
          <w:lang w:eastAsia="zh-CN"/>
        </w:rPr>
        <w:t>六</w:t>
      </w:r>
      <w:r>
        <w:rPr>
          <w:rStyle w:val="25"/>
          <w:rFonts w:hint="eastAsia" w:ascii="黑体" w:hAnsi="黑体" w:eastAsia="黑体" w:cs="黑体"/>
          <w:b w:val="0"/>
          <w:bCs/>
          <w:color w:val="auto"/>
        </w:rPr>
        <w:t>、国有资本经营预算支出规模及变化情况说明</w:t>
      </w:r>
    </w:p>
    <w:p w14:paraId="2C02587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71D7A919">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七</w:t>
      </w:r>
      <w:r>
        <w:rPr>
          <w:rStyle w:val="25"/>
          <w:rFonts w:hint="eastAsia" w:ascii="黑体" w:hAnsi="黑体" w:eastAsia="黑体" w:cs="黑体"/>
          <w:b w:val="0"/>
          <w:bCs/>
          <w:color w:val="auto"/>
        </w:rPr>
        <w:t>、“三公”经费预算安排情况说明</w:t>
      </w:r>
    </w:p>
    <w:p w14:paraId="161396D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9883C0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6BD6361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13C1209">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中央、省、市</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1CCB8BA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主要原因是</w:t>
      </w:r>
      <w:r>
        <w:rPr>
          <w:rFonts w:hint="eastAsia" w:ascii="仿宋" w:hAnsi="仿宋" w:eastAsia="仿宋" w:cs="宋体"/>
          <w:color w:val="auto"/>
          <w:kern w:val="0"/>
          <w:sz w:val="32"/>
          <w:szCs w:val="32"/>
          <w:lang w:eastAsia="zh-CN"/>
        </w:rPr>
        <w:t>因单位管理职能发生变化，</w:t>
      </w:r>
      <w:r>
        <w:rPr>
          <w:rFonts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年和202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年均无公务用车购置及运行维护费</w:t>
      </w:r>
      <w:r>
        <w:rPr>
          <w:rFonts w:hint="eastAsia" w:ascii="仿宋" w:hAnsi="仿宋" w:eastAsia="仿宋" w:cs="宋体"/>
          <w:color w:val="auto"/>
          <w:kern w:val="0"/>
          <w:sz w:val="32"/>
          <w:szCs w:val="32"/>
          <w:lang w:eastAsia="zh-CN"/>
        </w:rPr>
        <w:t>。</w:t>
      </w:r>
    </w:p>
    <w:p w14:paraId="64ACB7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7A6D67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6AA2598F">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八</w:t>
      </w:r>
      <w:r>
        <w:rPr>
          <w:rStyle w:val="25"/>
          <w:rFonts w:hint="eastAsia" w:ascii="黑体" w:hAnsi="黑体" w:eastAsia="黑体" w:cs="黑体"/>
          <w:b w:val="0"/>
          <w:bCs/>
          <w:color w:val="auto"/>
        </w:rPr>
        <w:t>、其他重要事项的情况说明</w:t>
      </w:r>
    </w:p>
    <w:p w14:paraId="741ADC9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1CC74B0">
      <w:pPr>
        <w:bidi w:val="0"/>
        <w:rPr>
          <w:rFonts w:hint="default" w:ascii="Times New Roman" w:hAnsi="Times New Roman" w:eastAsia="仿宋_GB2312" w:cs="仿宋_GB2312"/>
          <w:color w:val="auto"/>
          <w:sz w:val="32"/>
          <w:szCs w:val="32"/>
          <w:shd w:val="clear" w:color="auto" w:fill="FFFFFF"/>
          <w:lang w:val="en-US"/>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highlight w:val="none"/>
          <w:shd w:val="clear" w:color="auto" w:fill="auto"/>
          <w:lang w:val="en-US" w:eastAsia="zh-CN"/>
        </w:rPr>
        <w:t>141.94</w:t>
      </w:r>
      <w:r>
        <w:rPr>
          <w:rFonts w:hint="eastAsia" w:ascii="Times New Roman" w:hAnsi="Times New Roman" w:eastAsia="仿宋_GB2312" w:cs="仿宋_GB2312"/>
          <w:color w:val="auto"/>
          <w:sz w:val="32"/>
          <w:szCs w:val="32"/>
          <w:highlight w:val="none"/>
          <w:shd w:val="clear" w:color="auto" w:fill="auto"/>
        </w:rPr>
        <w:t>万元</w:t>
      </w:r>
      <w:r>
        <w:rPr>
          <w:rFonts w:hint="eastAsia" w:ascii="Times New Roman" w:hAnsi="Times New Roman" w:eastAsia="仿宋_GB2312" w:cs="仿宋_GB2312"/>
          <w:color w:val="auto"/>
          <w:sz w:val="32"/>
          <w:szCs w:val="32"/>
          <w:highlight w:val="none"/>
          <w:shd w:val="clear" w:color="auto" w:fill="auto"/>
          <w:lang w:eastAsia="zh-CN"/>
        </w:rPr>
        <w:t>，比2025年</w:t>
      </w:r>
      <w:r>
        <w:rPr>
          <w:rFonts w:hint="eastAsia" w:ascii="Times New Roman" w:hAnsi="Times New Roman" w:eastAsia="仿宋_GB2312" w:cs="仿宋_GB2312"/>
          <w:color w:val="auto"/>
          <w:kern w:val="0"/>
          <w:sz w:val="32"/>
          <w:szCs w:val="32"/>
          <w:highlight w:val="none"/>
          <w:shd w:val="clear" w:color="auto" w:fill="auto"/>
          <w:lang w:eastAsia="zh-CN"/>
        </w:rPr>
        <w:t>减</w:t>
      </w:r>
      <w:r>
        <w:rPr>
          <w:rFonts w:hint="eastAsia" w:ascii="Times New Roman" w:hAnsi="Times New Roman" w:eastAsia="仿宋_GB2312" w:cs="仿宋_GB2312"/>
          <w:color w:val="000000" w:themeColor="text1"/>
          <w:kern w:val="0"/>
          <w:sz w:val="32"/>
          <w:szCs w:val="32"/>
          <w:highlight w:val="none"/>
          <w:shd w:val="clear" w:color="auto" w:fill="auto"/>
          <w:lang w:eastAsia="zh-CN"/>
          <w14:textFill>
            <w14:solidFill>
              <w14:schemeClr w14:val="tx1"/>
            </w14:solidFill>
          </w14:textFill>
        </w:rPr>
        <w:t>少</w:t>
      </w:r>
      <w:r>
        <w:rPr>
          <w:rFonts w:hint="eastAsia" w:ascii="Times New Roman" w:hAnsi="Times New Roman" w:eastAsia="仿宋_GB2312" w:cs="仿宋_GB2312"/>
          <w:color w:val="000000" w:themeColor="text1"/>
          <w:kern w:val="0"/>
          <w:sz w:val="32"/>
          <w:szCs w:val="32"/>
          <w:highlight w:val="none"/>
          <w:shd w:val="clear" w:color="auto" w:fill="auto"/>
          <w:lang w:val="en-US" w:eastAsia="zh-CN"/>
          <w14:textFill>
            <w14:solidFill>
              <w14:schemeClr w14:val="tx1"/>
            </w14:solidFill>
          </w14:textFill>
        </w:rPr>
        <w:t>3</w:t>
      </w:r>
      <w:bookmarkStart w:id="4" w:name="_GoBack"/>
      <w:bookmarkEnd w:id="4"/>
      <w:r>
        <w:rPr>
          <w:rFonts w:hint="eastAsia" w:ascii="Times New Roman" w:hAnsi="Times New Roman" w:eastAsia="仿宋_GB2312" w:cs="仿宋_GB2312"/>
          <w:color w:val="auto"/>
          <w:kern w:val="0"/>
          <w:sz w:val="32"/>
          <w:szCs w:val="32"/>
          <w:highlight w:val="none"/>
          <w:shd w:val="clear" w:color="auto" w:fill="auto"/>
          <w:lang w:eastAsia="zh-CN"/>
        </w:rPr>
        <w:t>万元</w:t>
      </w:r>
      <w:r>
        <w:rPr>
          <w:rFonts w:hint="eastAsia" w:ascii="Times New Roman" w:hAnsi="Times New Roman" w:eastAsia="仿宋_GB2312" w:cs="仿宋_GB2312"/>
          <w:color w:val="auto"/>
          <w:kern w:val="0"/>
          <w:sz w:val="32"/>
          <w:szCs w:val="32"/>
          <w:lang w:eastAsia="zh-CN"/>
        </w:rPr>
        <w:t>，主要原因是</w:t>
      </w:r>
      <w:r>
        <w:rPr>
          <w:rFonts w:hint="eastAsia" w:ascii="Times New Roman" w:hAnsi="Times New Roman" w:eastAsia="仿宋_GB2312" w:cs="仿宋_GB2312"/>
          <w:color w:val="auto"/>
          <w:kern w:val="0"/>
          <w:sz w:val="32"/>
          <w:szCs w:val="32"/>
          <w:lang w:val="en-US" w:eastAsia="zh-CN"/>
        </w:rPr>
        <w:t>人员变动。</w:t>
      </w:r>
    </w:p>
    <w:p w14:paraId="0C29FB8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293946C5">
      <w:pPr>
        <w:suppressAutoHyphens/>
        <w:spacing w:line="580" w:lineRule="exact"/>
        <w:ind w:left="0" w:leftChars="0"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000000"/>
          <w:kern w:val="0"/>
          <w:sz w:val="32"/>
          <w:szCs w:val="32"/>
          <w:lang w:eastAsia="zh-CN"/>
        </w:rPr>
        <w:t>2026年无政府采购项目，未安排政府采购预算。</w:t>
      </w:r>
    </w:p>
    <w:p w14:paraId="311F95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D565F7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sz w:val="32"/>
          <w:szCs w:val="32"/>
          <w:lang w:val="en-US" w:eastAsia="zh-CN"/>
        </w:rPr>
        <w:t>峨边彝族自治县财政局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p>
    <w:p w14:paraId="7B0ADB7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8A77B3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9487568">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9652479">
      <w:pPr>
        <w:pStyle w:val="2"/>
        <w:numPr>
          <w:ilvl w:val="0"/>
          <w:numId w:val="0"/>
        </w:numPr>
        <w:bidi w:val="0"/>
        <w:jc w:val="both"/>
        <w:rPr>
          <w:rFonts w:hint="eastAsia"/>
          <w:lang w:val="en-US" w:eastAsia="zh-CN"/>
        </w:rPr>
      </w:pPr>
    </w:p>
    <w:p w14:paraId="10614D84">
      <w:pPr>
        <w:rPr>
          <w:rFonts w:hint="eastAsia"/>
          <w:lang w:val="en-US" w:eastAsia="zh-CN"/>
        </w:rPr>
      </w:pPr>
    </w:p>
    <w:p w14:paraId="3248AB21">
      <w:pPr>
        <w:rPr>
          <w:rFonts w:hint="eastAsia"/>
          <w:lang w:val="en-US" w:eastAsia="zh-CN"/>
        </w:rPr>
      </w:pPr>
    </w:p>
    <w:p w14:paraId="0C1F0A8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44D88C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462881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C8E3CAD">
      <w:pPr>
        <w:widowControl/>
        <w:numPr>
          <w:ilvl w:val="0"/>
          <w:numId w:val="0"/>
        </w:numPr>
        <w:shd w:val="clear" w:color="auto" w:fill="FFFFFF"/>
        <w:jc w:val="left"/>
        <w:rPr>
          <w:rFonts w:hint="eastAsia" w:ascii="仿宋" w:hAnsi="宋体" w:eastAsia="仿宋" w:cs="宋体"/>
          <w:color w:val="000000"/>
          <w:kern w:val="0"/>
          <w:sz w:val="32"/>
          <w:szCs w:val="32"/>
        </w:rPr>
      </w:pPr>
    </w:p>
    <w:p w14:paraId="018D6DE0">
      <w:pPr>
        <w:widowControl/>
        <w:numPr>
          <w:ilvl w:val="0"/>
          <w:numId w:val="0"/>
        </w:numPr>
        <w:shd w:val="clear" w:color="auto" w:fill="FFFFFF"/>
        <w:jc w:val="left"/>
        <w:rPr>
          <w:rFonts w:hint="eastAsia" w:ascii="仿宋" w:hAnsi="宋体" w:eastAsia="仿宋" w:cs="宋体"/>
          <w:color w:val="000000"/>
          <w:kern w:val="0"/>
          <w:sz w:val="32"/>
          <w:szCs w:val="32"/>
        </w:rPr>
      </w:pPr>
    </w:p>
    <w:p w14:paraId="0D148F17">
      <w:pPr>
        <w:widowControl/>
        <w:numPr>
          <w:ilvl w:val="0"/>
          <w:numId w:val="0"/>
        </w:numPr>
        <w:shd w:val="clear" w:color="auto" w:fill="FFFFFF"/>
        <w:jc w:val="left"/>
        <w:rPr>
          <w:rFonts w:hint="eastAsia" w:ascii="仿宋" w:hAnsi="宋体" w:eastAsia="仿宋" w:cs="宋体"/>
          <w:color w:val="000000"/>
          <w:kern w:val="0"/>
          <w:sz w:val="32"/>
          <w:szCs w:val="32"/>
        </w:rPr>
      </w:pPr>
    </w:p>
    <w:p w14:paraId="7A094918">
      <w:pPr>
        <w:widowControl/>
        <w:numPr>
          <w:ilvl w:val="0"/>
          <w:numId w:val="0"/>
        </w:numPr>
        <w:shd w:val="clear" w:color="auto" w:fill="FFFFFF"/>
        <w:jc w:val="left"/>
        <w:rPr>
          <w:rFonts w:hint="eastAsia" w:ascii="仿宋" w:hAnsi="宋体" w:eastAsia="仿宋" w:cs="宋体"/>
          <w:color w:val="000000"/>
          <w:kern w:val="0"/>
          <w:sz w:val="32"/>
          <w:szCs w:val="32"/>
        </w:rPr>
      </w:pPr>
    </w:p>
    <w:p w14:paraId="6C227FB4">
      <w:pPr>
        <w:widowControl/>
        <w:numPr>
          <w:ilvl w:val="0"/>
          <w:numId w:val="0"/>
        </w:numPr>
        <w:shd w:val="clear" w:color="auto" w:fill="FFFFFF"/>
        <w:jc w:val="left"/>
        <w:rPr>
          <w:rFonts w:hint="eastAsia" w:ascii="仿宋" w:hAnsi="宋体" w:eastAsia="仿宋" w:cs="宋体"/>
          <w:color w:val="000000"/>
          <w:kern w:val="0"/>
          <w:sz w:val="32"/>
          <w:szCs w:val="32"/>
        </w:rPr>
      </w:pPr>
    </w:p>
    <w:p w14:paraId="4E0A7563">
      <w:pPr>
        <w:widowControl/>
        <w:numPr>
          <w:ilvl w:val="0"/>
          <w:numId w:val="0"/>
        </w:numPr>
        <w:shd w:val="clear" w:color="auto" w:fill="FFFFFF"/>
        <w:jc w:val="left"/>
        <w:rPr>
          <w:rFonts w:hint="eastAsia" w:ascii="仿宋" w:hAnsi="宋体" w:eastAsia="仿宋" w:cs="宋体"/>
          <w:color w:val="000000"/>
          <w:kern w:val="0"/>
          <w:sz w:val="32"/>
          <w:szCs w:val="32"/>
        </w:rPr>
      </w:pPr>
    </w:p>
    <w:p w14:paraId="4152217F">
      <w:pPr>
        <w:widowControl/>
        <w:numPr>
          <w:ilvl w:val="0"/>
          <w:numId w:val="0"/>
        </w:numPr>
        <w:shd w:val="clear" w:color="auto" w:fill="FFFFFF"/>
        <w:jc w:val="left"/>
        <w:rPr>
          <w:rFonts w:hint="eastAsia" w:ascii="仿宋" w:hAnsi="宋体" w:eastAsia="仿宋" w:cs="宋体"/>
          <w:color w:val="000000"/>
          <w:kern w:val="0"/>
          <w:sz w:val="32"/>
          <w:szCs w:val="32"/>
        </w:rPr>
      </w:pPr>
    </w:p>
    <w:p w14:paraId="732C45F1">
      <w:pPr>
        <w:widowControl/>
        <w:numPr>
          <w:ilvl w:val="0"/>
          <w:numId w:val="0"/>
        </w:numPr>
        <w:shd w:val="clear" w:color="auto" w:fill="FFFFFF"/>
        <w:jc w:val="left"/>
        <w:rPr>
          <w:rFonts w:hint="eastAsia" w:ascii="仿宋" w:hAnsi="宋体" w:eastAsia="仿宋" w:cs="宋体"/>
          <w:color w:val="000000"/>
          <w:kern w:val="0"/>
          <w:sz w:val="32"/>
          <w:szCs w:val="32"/>
        </w:rPr>
      </w:pPr>
    </w:p>
    <w:p w14:paraId="1D8CCBD2">
      <w:pPr>
        <w:widowControl/>
        <w:numPr>
          <w:ilvl w:val="0"/>
          <w:numId w:val="0"/>
        </w:numPr>
        <w:shd w:val="clear" w:color="auto" w:fill="FFFFFF"/>
        <w:jc w:val="left"/>
        <w:rPr>
          <w:rFonts w:hint="eastAsia" w:ascii="仿宋" w:hAnsi="宋体" w:eastAsia="仿宋" w:cs="宋体"/>
          <w:color w:val="000000"/>
          <w:kern w:val="0"/>
          <w:sz w:val="32"/>
          <w:szCs w:val="32"/>
        </w:rPr>
      </w:pPr>
    </w:p>
    <w:p w14:paraId="357C9635">
      <w:pPr>
        <w:widowControl/>
        <w:numPr>
          <w:ilvl w:val="0"/>
          <w:numId w:val="0"/>
        </w:numPr>
        <w:shd w:val="clear" w:color="auto" w:fill="FFFFFF"/>
        <w:jc w:val="left"/>
        <w:rPr>
          <w:rFonts w:hint="eastAsia" w:ascii="仿宋" w:hAnsi="宋体" w:eastAsia="仿宋" w:cs="宋体"/>
          <w:color w:val="000000"/>
          <w:kern w:val="0"/>
          <w:sz w:val="32"/>
          <w:szCs w:val="32"/>
        </w:rPr>
      </w:pPr>
    </w:p>
    <w:p w14:paraId="0CA0A85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8AFD2A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F9DF93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A4E19D4">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069F53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061C24A">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3D8792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6849AB9">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FE9EEB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9318F78">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472B8C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FBAFD3E">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EAA3E6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422CA63">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594260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2A2427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86B276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D4E6AA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D7C770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7D9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B093E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B093E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86BDF"/>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DCC1B5C"/>
    <w:rsid w:val="0E1B6735"/>
    <w:rsid w:val="0E5A24B2"/>
    <w:rsid w:val="0E5B7463"/>
    <w:rsid w:val="0E7C2A49"/>
    <w:rsid w:val="0E863207"/>
    <w:rsid w:val="0E8C67E6"/>
    <w:rsid w:val="0E995F08"/>
    <w:rsid w:val="0EB37312"/>
    <w:rsid w:val="0EFF2D5A"/>
    <w:rsid w:val="0F332E84"/>
    <w:rsid w:val="0F4F3EF9"/>
    <w:rsid w:val="0F5126AD"/>
    <w:rsid w:val="0F5C24C4"/>
    <w:rsid w:val="0F773787"/>
    <w:rsid w:val="0F8C416D"/>
    <w:rsid w:val="0F903831"/>
    <w:rsid w:val="0FC21DA3"/>
    <w:rsid w:val="0FCB515E"/>
    <w:rsid w:val="0FE02C01"/>
    <w:rsid w:val="103815AD"/>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AC670D"/>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DE563D"/>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4F2D16"/>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8E6994"/>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025AF3"/>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B2D7A"/>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30CE8"/>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195190"/>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7A6117"/>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083FDB"/>
    <w:rsid w:val="4D28470C"/>
    <w:rsid w:val="4D341ABA"/>
    <w:rsid w:val="4DA559B9"/>
    <w:rsid w:val="4DB80DDD"/>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291131"/>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7A61FE"/>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BB5FF2"/>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8B3FF5"/>
    <w:rsid w:val="67DE101C"/>
    <w:rsid w:val="67FC099D"/>
    <w:rsid w:val="683A42B9"/>
    <w:rsid w:val="68413617"/>
    <w:rsid w:val="68FA5E7F"/>
    <w:rsid w:val="69206FE6"/>
    <w:rsid w:val="69275944"/>
    <w:rsid w:val="69A56796"/>
    <w:rsid w:val="69A67CDD"/>
    <w:rsid w:val="69AA25B9"/>
    <w:rsid w:val="6A5C2965"/>
    <w:rsid w:val="6ABE3F1A"/>
    <w:rsid w:val="6AEF5784"/>
    <w:rsid w:val="6AEF6426"/>
    <w:rsid w:val="6B1752AB"/>
    <w:rsid w:val="6B256BBD"/>
    <w:rsid w:val="6C17358A"/>
    <w:rsid w:val="6C192DF4"/>
    <w:rsid w:val="6C2E3BAB"/>
    <w:rsid w:val="6CFD38B4"/>
    <w:rsid w:val="6D24124D"/>
    <w:rsid w:val="6D7831C7"/>
    <w:rsid w:val="6DA43D14"/>
    <w:rsid w:val="6DD00D80"/>
    <w:rsid w:val="6DE93268"/>
    <w:rsid w:val="6DFC0A08"/>
    <w:rsid w:val="6E03556E"/>
    <w:rsid w:val="6E4C1DDD"/>
    <w:rsid w:val="6E4F4E79"/>
    <w:rsid w:val="6EBA7CE7"/>
    <w:rsid w:val="6EEF4CB9"/>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A132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rPr>
      <w:sz w:val="24"/>
    </w:rPr>
  </w:style>
  <w:style w:type="paragraph" w:styleId="12">
    <w:name w:val="Title"/>
    <w:basedOn w:val="1"/>
    <w:next w:val="1"/>
    <w:qFormat/>
    <w:uiPriority w:val="0"/>
    <w:pPr>
      <w:adjustRightInd w:val="0"/>
      <w:snapToGrid w:val="0"/>
      <w:spacing w:line="660" w:lineRule="exact"/>
      <w:jc w:val="center"/>
    </w:pPr>
    <w:rPr>
      <w:rFonts w:ascii="方正小标宋简体" w:hAnsi="Cambria" w:eastAsia="方正小标宋简体" w:cs="Times New Roman"/>
      <w:bCs/>
      <w:sz w:val="44"/>
      <w:szCs w:val="32"/>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914136db-ee6f-42d8-ad56-bc5a1186e26f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645CD216</paraID>
      <start>42</start>
      <end>50</end>
      <status>ignored</status>
      <modifiedWord/>
      <trackRevisions>false</trackRevisions>
    </reviewItem>
    <reviewItem>
      <errorID>0c74a529-4e48-47c7-8482-10e8ef47adc1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BD67079</paraID>
      <start>44</start>
      <end>52</end>
      <status>ignored</status>
      <modifiedWord/>
      <trackRevisions>false</trackRevisions>
    </reviewItem>
    <reviewItem>
      <errorID>df5c58f7-4c1e-4f77-94f0-62dbe73fc8bd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781FF8DA</paraID>
      <start>7</start>
      <end>15</end>
      <status>ignored</status>
      <modifiedWord/>
      <trackRevisions>false</trackRevisions>
    </reviewItem>
    <reviewItem>
      <errorID>1425a696-44c5-41fb-acc4-74bf706cd167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468B6706</paraID>
      <start>3</start>
      <end>13</end>
      <status>ignored</status>
      <modifiedWord/>
      <trackRevisions>false</trackRevisions>
    </reviewItem>
    <reviewItem>
      <errorID>972d4cbf-3e30-4eeb-a5da-2306d6e973dd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2069F53D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6d643-b27a-4bb9-9ce0-9a65b4d1be2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Words>
  <Characters>78</Characters>
  <Lines>1</Lines>
  <Paragraphs>1</Paragraphs>
  <TotalTime>96</TotalTime>
  <ScaleCrop>false</ScaleCrop>
  <LinksUpToDate>false</LinksUpToDate>
  <CharactersWithSpaces>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2026-03-24T07:12:39Z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C441A5D5DED74C42B840C7A776B94707_12</vt:lpwstr>
  </property>
</Properties>
</file>