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C0B" w:rsidRPr="00846F12" w:rsidRDefault="007F517E" w:rsidP="00846F12">
      <w:pPr>
        <w:spacing w:line="700" w:lineRule="exact"/>
        <w:jc w:val="center"/>
        <w:rPr>
          <w:rFonts w:ascii="方正小标宋简体" w:eastAsia="方正小标宋简体" w:hAnsi="宋体" w:cs="宋体"/>
          <w:sz w:val="44"/>
          <w:shd w:val="clear" w:color="auto" w:fill="FFFFFF"/>
        </w:rPr>
      </w:pPr>
      <w:bookmarkStart w:id="0" w:name="_GoBack"/>
      <w:bookmarkEnd w:id="0"/>
      <w:r w:rsidRPr="00846F12">
        <w:rPr>
          <w:rFonts w:ascii="方正小标宋简体" w:eastAsia="方正小标宋简体" w:hAnsi="宋体" w:cs="宋体" w:hint="eastAsia"/>
          <w:sz w:val="44"/>
          <w:shd w:val="clear" w:color="auto" w:fill="FFFFFF"/>
        </w:rPr>
        <w:t>峨边彝族自治县财政局</w:t>
      </w:r>
    </w:p>
    <w:p w:rsidR="009D1C0B" w:rsidRPr="00846F12" w:rsidRDefault="007F517E" w:rsidP="00846F12">
      <w:pPr>
        <w:spacing w:line="700" w:lineRule="exact"/>
        <w:jc w:val="center"/>
        <w:rPr>
          <w:rFonts w:ascii="方正小标宋简体" w:eastAsia="方正小标宋简体" w:hAnsi="宋体" w:cs="宋体"/>
          <w:color w:val="000000"/>
          <w:sz w:val="44"/>
          <w:shd w:val="clear" w:color="auto" w:fill="FFFFFF"/>
        </w:rPr>
      </w:pPr>
      <w:r w:rsidRPr="00846F12">
        <w:rPr>
          <w:rFonts w:ascii="方正小标宋简体" w:eastAsia="方正小标宋简体" w:hAnsi="宋体" w:cs="宋体" w:hint="eastAsia"/>
          <w:sz w:val="44"/>
          <w:shd w:val="clear" w:color="auto" w:fill="FFFFFF"/>
        </w:rPr>
        <w:t>2024年部门整体绩效自评报告</w:t>
      </w:r>
    </w:p>
    <w:p w:rsidR="009D1C0B" w:rsidRDefault="009D1C0B" w:rsidP="00846F12">
      <w:pPr>
        <w:widowControl/>
        <w:adjustRightInd w:val="0"/>
        <w:snapToGrid w:val="0"/>
        <w:spacing w:line="580" w:lineRule="exact"/>
        <w:ind w:firstLineChars="200" w:firstLine="660"/>
        <w:contextualSpacing/>
        <w:jc w:val="center"/>
        <w:rPr>
          <w:rFonts w:ascii="方正仿宋_GBK" w:eastAsia="方正仿宋_GBK" w:hAnsi="宋体" w:cs="宋体"/>
          <w:color w:val="000000"/>
          <w:kern w:val="0"/>
          <w:sz w:val="33"/>
          <w:szCs w:val="33"/>
          <w:shd w:val="clear" w:color="auto" w:fill="FFFFFF"/>
        </w:rPr>
      </w:pPr>
    </w:p>
    <w:p w:rsidR="007F77AA" w:rsidRDefault="007F517E" w:rsidP="007F77AA">
      <w:pPr>
        <w:widowControl/>
        <w:adjustRightInd w:val="0"/>
        <w:snapToGrid w:val="0"/>
        <w:spacing w:line="580" w:lineRule="exact"/>
        <w:ind w:firstLineChars="200" w:firstLine="640"/>
        <w:contextualSpacing/>
        <w:jc w:val="left"/>
        <w:rPr>
          <w:rFonts w:ascii="黑体" w:eastAsia="黑体" w:hAnsi="黑体" w:cs="宋体"/>
          <w:color w:val="000000"/>
          <w:kern w:val="0"/>
          <w:szCs w:val="32"/>
          <w:shd w:val="clear" w:color="auto" w:fill="FFFFFF"/>
          <w:lang w:val="zh-CN"/>
        </w:rPr>
      </w:pPr>
      <w:r>
        <w:rPr>
          <w:rFonts w:ascii="黑体" w:eastAsia="黑体" w:hAnsi="黑体" w:cs="宋体" w:hint="eastAsia"/>
          <w:color w:val="000000"/>
          <w:kern w:val="0"/>
          <w:szCs w:val="32"/>
          <w:shd w:val="clear" w:color="auto" w:fill="FFFFFF"/>
        </w:rPr>
        <w:t>一、</w:t>
      </w:r>
      <w:r>
        <w:rPr>
          <w:rFonts w:ascii="黑体" w:eastAsia="黑体" w:hAnsi="黑体" w:cs="宋体" w:hint="eastAsia"/>
          <w:color w:val="000000"/>
          <w:kern w:val="0"/>
          <w:szCs w:val="32"/>
          <w:shd w:val="clear" w:color="auto" w:fill="FFFFFF"/>
          <w:lang w:val="zh-CN"/>
        </w:rPr>
        <w:t>部门基本情况</w:t>
      </w:r>
    </w:p>
    <w:p w:rsidR="00083F68" w:rsidRDefault="00083F68" w:rsidP="00083F68">
      <w:pPr>
        <w:widowControl/>
        <w:adjustRightInd w:val="0"/>
        <w:snapToGrid w:val="0"/>
        <w:spacing w:line="580" w:lineRule="exact"/>
        <w:ind w:firstLineChars="200" w:firstLine="640"/>
        <w:contextualSpacing/>
        <w:jc w:val="left"/>
        <w:rPr>
          <w:rFonts w:ascii="楷体_GB2312" w:eastAsia="楷体_GB2312" w:hAnsi="宋体" w:cs="宋体"/>
          <w:color w:val="000000"/>
          <w:kern w:val="0"/>
          <w:szCs w:val="32"/>
          <w:shd w:val="clear" w:color="auto" w:fill="FFFFFF"/>
          <w:lang w:val="zh-CN"/>
        </w:rPr>
      </w:pPr>
      <w:r>
        <w:rPr>
          <w:rFonts w:ascii="楷体_GB2312" w:eastAsia="楷体_GB2312" w:hAnsi="宋体" w:cs="宋体" w:hint="eastAsia"/>
          <w:color w:val="000000"/>
          <w:kern w:val="0"/>
          <w:szCs w:val="32"/>
          <w:shd w:val="clear" w:color="auto" w:fill="FFFFFF"/>
          <w:lang w:val="zh-CN"/>
        </w:rPr>
        <w:t>（一）机构组成。</w:t>
      </w:r>
    </w:p>
    <w:p w:rsidR="009D1C0B" w:rsidRPr="007F77AA" w:rsidRDefault="007F517E" w:rsidP="007F77AA">
      <w:pPr>
        <w:widowControl/>
        <w:adjustRightInd w:val="0"/>
        <w:snapToGrid w:val="0"/>
        <w:spacing w:line="580" w:lineRule="exact"/>
        <w:ind w:firstLineChars="200" w:firstLine="640"/>
        <w:contextualSpacing/>
        <w:jc w:val="left"/>
        <w:rPr>
          <w:rFonts w:ascii="黑体" w:eastAsia="黑体" w:hAnsi="黑体" w:cs="宋体"/>
          <w:color w:val="000000"/>
          <w:kern w:val="0"/>
          <w:szCs w:val="32"/>
          <w:shd w:val="clear" w:color="auto" w:fill="FFFFFF"/>
          <w:lang w:val="zh-CN"/>
        </w:rPr>
      </w:pPr>
      <w:r>
        <w:rPr>
          <w:rFonts w:ascii="仿宋_GB2312" w:eastAsia="仿宋_GB2312" w:hAnsi="仿宋_GB2312" w:cs="仿宋_GB2312" w:hint="eastAsia"/>
          <w:szCs w:val="32"/>
        </w:rPr>
        <w:t>财政局及下属有预算单位4个，其中：行政单位1个，参公单位1个，事业单位2个。</w:t>
      </w:r>
    </w:p>
    <w:p w:rsidR="009D1C0B" w:rsidRDefault="007F517E" w:rsidP="00846F12">
      <w:pPr>
        <w:widowControl/>
        <w:numPr>
          <w:ilvl w:val="0"/>
          <w:numId w:val="1"/>
        </w:numPr>
        <w:adjustRightInd w:val="0"/>
        <w:snapToGrid w:val="0"/>
        <w:spacing w:line="580" w:lineRule="exact"/>
        <w:ind w:firstLineChars="200" w:firstLine="640"/>
        <w:contextualSpacing/>
        <w:jc w:val="left"/>
        <w:rPr>
          <w:rFonts w:ascii="楷体_GB2312" w:eastAsia="楷体_GB2312" w:hAnsi="宋体" w:cs="宋体"/>
          <w:color w:val="000000"/>
          <w:kern w:val="0"/>
          <w:szCs w:val="32"/>
          <w:shd w:val="clear" w:color="auto" w:fill="FFFFFF"/>
          <w:lang w:val="zh-CN"/>
        </w:rPr>
      </w:pPr>
      <w:r>
        <w:rPr>
          <w:rFonts w:ascii="楷体_GB2312" w:eastAsia="楷体_GB2312" w:hAnsi="宋体" w:cs="宋体" w:hint="eastAsia"/>
          <w:color w:val="000000"/>
          <w:kern w:val="0"/>
          <w:szCs w:val="32"/>
          <w:shd w:val="clear" w:color="auto" w:fill="FFFFFF"/>
          <w:lang w:val="zh-CN"/>
        </w:rPr>
        <w:t>机构职能和人员概况。</w:t>
      </w:r>
    </w:p>
    <w:p w:rsidR="009D1C0B" w:rsidRDefault="007F517E" w:rsidP="00846F12">
      <w:pPr>
        <w:spacing w:line="58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峨边彝族自治县财政局主要职责是负责全县财政收支、财税政策、财政监督、会计管理，编制年度县级预算草案并组织执行，拟订执行国有资产管理办法、政府债务管理制度和政策，开展财政资金绩效评价等。</w:t>
      </w:r>
      <w:r>
        <w:rPr>
          <w:rFonts w:ascii="仿宋_GB2312" w:eastAsia="仿宋_GB2312" w:hAnsi="仿宋_GB2312" w:cs="仿宋_GB2312" w:hint="eastAsia"/>
          <w:snapToGrid w:val="0"/>
          <w:szCs w:val="32"/>
        </w:rPr>
        <w:t>财政局总编制58名，其中：行政编制37名，工勤编制2名，事业编制19名。在职人员总数48名，其中：行政30名，工勤2名，事业16名</w:t>
      </w:r>
      <w:r>
        <w:rPr>
          <w:rFonts w:ascii="仿宋_GB2312" w:eastAsia="仿宋_GB2312" w:hAnsi="仿宋_GB2312" w:cs="仿宋_GB2312" w:hint="eastAsia"/>
          <w:szCs w:val="32"/>
        </w:rPr>
        <w:t>。</w:t>
      </w:r>
    </w:p>
    <w:p w:rsidR="009D1C0B" w:rsidRDefault="007F517E" w:rsidP="00846F12">
      <w:pPr>
        <w:widowControl/>
        <w:adjustRightInd w:val="0"/>
        <w:snapToGrid w:val="0"/>
        <w:spacing w:line="580" w:lineRule="exact"/>
        <w:ind w:firstLineChars="200" w:firstLine="640"/>
        <w:contextualSpacing/>
        <w:jc w:val="left"/>
        <w:rPr>
          <w:rFonts w:ascii="黑体" w:eastAsia="黑体" w:hAnsi="黑体" w:cs="宋体"/>
          <w:color w:val="000000"/>
          <w:kern w:val="0"/>
          <w:szCs w:val="32"/>
          <w:shd w:val="clear" w:color="auto" w:fill="FFFFFF"/>
        </w:rPr>
      </w:pPr>
      <w:r>
        <w:rPr>
          <w:rFonts w:ascii="黑体" w:eastAsia="黑体" w:hAnsi="黑体" w:cs="宋体" w:hint="eastAsia"/>
          <w:color w:val="000000"/>
          <w:kern w:val="0"/>
          <w:szCs w:val="32"/>
          <w:shd w:val="clear" w:color="auto" w:fill="FFFFFF"/>
        </w:rPr>
        <w:t>二、部门财政资金收支情况</w:t>
      </w:r>
    </w:p>
    <w:p w:rsidR="00846F12" w:rsidRDefault="007F517E" w:rsidP="00846F12">
      <w:pPr>
        <w:spacing w:line="580" w:lineRule="exact"/>
        <w:ind w:firstLineChars="200" w:firstLine="640"/>
        <w:rPr>
          <w:rFonts w:ascii="楷体_GB2312" w:eastAsia="楷体_GB2312" w:hAnsi="宋体" w:cs="宋体"/>
          <w:color w:val="000000"/>
          <w:kern w:val="0"/>
          <w:szCs w:val="32"/>
          <w:shd w:val="clear" w:color="auto" w:fill="FFFFFF"/>
          <w:lang w:val="zh-CN"/>
        </w:rPr>
      </w:pPr>
      <w:r>
        <w:rPr>
          <w:rFonts w:ascii="楷体_GB2312" w:eastAsia="楷体_GB2312" w:hAnsi="宋体" w:cs="宋体" w:hint="eastAsia"/>
          <w:color w:val="000000"/>
          <w:kern w:val="0"/>
          <w:szCs w:val="32"/>
          <w:shd w:val="clear" w:color="auto" w:fill="FFFFFF"/>
          <w:lang w:val="zh-CN"/>
        </w:rPr>
        <w:t>（一）部门财政资金收入情况。</w:t>
      </w:r>
    </w:p>
    <w:p w:rsidR="00846F12" w:rsidRDefault="007F517E" w:rsidP="00846F12">
      <w:pPr>
        <w:spacing w:line="58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2024年财政拨款预算收入920.94万元。</w:t>
      </w:r>
      <w:r>
        <w:rPr>
          <w:rFonts w:ascii="仿宋_GB2312" w:eastAsia="仿宋_GB2312" w:hAnsi="仿宋_GB2312" w:cs="仿宋_GB2312" w:hint="eastAsia"/>
          <w:szCs w:val="32"/>
        </w:rPr>
        <w:t>2024年财政拨款收入1662.12万元，其中：一般公共预算财政拨款收入1291.07万元，政府性基金预算财政拨款收入371.05万元。</w:t>
      </w:r>
    </w:p>
    <w:p w:rsidR="00846F12" w:rsidRDefault="00846F12" w:rsidP="00846F12">
      <w:pPr>
        <w:spacing w:line="580" w:lineRule="exact"/>
        <w:ind w:firstLineChars="200" w:firstLine="640"/>
        <w:rPr>
          <w:rFonts w:ascii="仿宋_GB2312" w:eastAsia="仿宋_GB2312" w:hAnsi="仿宋_GB2312" w:cs="仿宋_GB2312"/>
          <w:snapToGrid w:val="0"/>
          <w:kern w:val="0"/>
          <w:szCs w:val="32"/>
        </w:rPr>
      </w:pPr>
      <w:r>
        <w:rPr>
          <w:rFonts w:ascii="楷体_GB2312" w:eastAsia="楷体_GB2312" w:hAnsi="宋体" w:cs="宋体" w:hint="eastAsia"/>
          <w:color w:val="000000"/>
          <w:kern w:val="0"/>
          <w:szCs w:val="32"/>
          <w:shd w:val="clear" w:color="auto" w:fill="FFFFFF"/>
          <w:lang w:val="zh-CN"/>
        </w:rPr>
        <w:t>（二）</w:t>
      </w:r>
      <w:r w:rsidR="007F517E">
        <w:rPr>
          <w:rFonts w:ascii="楷体_GB2312" w:eastAsia="楷体_GB2312" w:hAnsi="宋体" w:cs="宋体" w:hint="eastAsia"/>
          <w:color w:val="000000"/>
          <w:kern w:val="0"/>
          <w:szCs w:val="32"/>
          <w:shd w:val="clear" w:color="auto" w:fill="FFFFFF"/>
          <w:lang w:val="zh-CN"/>
        </w:rPr>
        <w:t>部门财政资金支出情况。</w:t>
      </w:r>
    </w:p>
    <w:p w:rsidR="00846F12" w:rsidRDefault="007F517E" w:rsidP="00846F12">
      <w:pPr>
        <w:spacing w:line="580" w:lineRule="exact"/>
        <w:ind w:firstLineChars="200" w:firstLine="640"/>
        <w:rPr>
          <w:rFonts w:ascii="仿宋_GB2312" w:eastAsia="仿宋_GB2312" w:hAnsi="仿宋_GB2312" w:cs="仿宋_GB2312"/>
          <w:snapToGrid w:val="0"/>
          <w:kern w:val="0"/>
          <w:szCs w:val="32"/>
        </w:rPr>
      </w:pPr>
      <w:r>
        <w:rPr>
          <w:rFonts w:ascii="仿宋_GB2312" w:eastAsia="仿宋_GB2312" w:hAnsi="仿宋_GB2312" w:cs="仿宋_GB2312" w:hint="eastAsia"/>
          <w:snapToGrid w:val="0"/>
          <w:kern w:val="0"/>
          <w:szCs w:val="32"/>
        </w:rPr>
        <w:t>2024年财政资金支出</w:t>
      </w:r>
      <w:r>
        <w:rPr>
          <w:rFonts w:ascii="仿宋_GB2312" w:eastAsia="仿宋_GB2312" w:hAnsi="仿宋_GB2312" w:cs="仿宋_GB2312" w:hint="eastAsia"/>
          <w:szCs w:val="32"/>
        </w:rPr>
        <w:t>1662.12</w:t>
      </w:r>
      <w:r>
        <w:rPr>
          <w:rFonts w:ascii="仿宋_GB2312" w:eastAsia="仿宋_GB2312" w:hAnsi="仿宋_GB2312" w:cs="仿宋_GB2312" w:hint="eastAsia"/>
          <w:snapToGrid w:val="0"/>
          <w:kern w:val="0"/>
          <w:szCs w:val="32"/>
        </w:rPr>
        <w:t>万元，。其中：基本支出</w:t>
      </w:r>
      <w:r>
        <w:rPr>
          <w:rFonts w:ascii="仿宋_GB2312" w:eastAsia="仿宋_GB2312" w:hAnsi="仿宋_GB2312" w:cs="仿宋_GB2312" w:hint="eastAsia"/>
          <w:szCs w:val="32"/>
        </w:rPr>
        <w:t>1016.71</w:t>
      </w:r>
      <w:r>
        <w:rPr>
          <w:rFonts w:ascii="仿宋_GB2312" w:eastAsia="仿宋_GB2312" w:hAnsi="仿宋_GB2312" w:cs="仿宋_GB2312" w:hint="eastAsia"/>
          <w:snapToGrid w:val="0"/>
          <w:kern w:val="0"/>
          <w:szCs w:val="32"/>
        </w:rPr>
        <w:t>万元、项目支出</w:t>
      </w:r>
      <w:r>
        <w:rPr>
          <w:rFonts w:ascii="仿宋_GB2312" w:eastAsia="仿宋_GB2312" w:hAnsi="仿宋_GB2312" w:cs="仿宋_GB2312" w:hint="eastAsia"/>
          <w:szCs w:val="32"/>
        </w:rPr>
        <w:t>645.41</w:t>
      </w:r>
      <w:r>
        <w:rPr>
          <w:rFonts w:ascii="仿宋_GB2312" w:eastAsia="仿宋_GB2312" w:hAnsi="仿宋_GB2312" w:cs="仿宋_GB2312" w:hint="eastAsia"/>
          <w:snapToGrid w:val="0"/>
          <w:kern w:val="0"/>
          <w:szCs w:val="32"/>
        </w:rPr>
        <w:t>万元。</w:t>
      </w:r>
    </w:p>
    <w:p w:rsidR="009D1C0B" w:rsidRPr="00846F12" w:rsidRDefault="007F517E" w:rsidP="00846F12">
      <w:pPr>
        <w:spacing w:line="580" w:lineRule="exact"/>
        <w:ind w:firstLineChars="200" w:firstLine="640"/>
        <w:rPr>
          <w:rFonts w:ascii="仿宋_GB2312" w:eastAsia="仿宋_GB2312" w:hAnsi="仿宋_GB2312" w:cs="仿宋_GB2312"/>
          <w:snapToGrid w:val="0"/>
          <w:kern w:val="0"/>
          <w:szCs w:val="32"/>
        </w:rPr>
      </w:pPr>
      <w:r>
        <w:rPr>
          <w:rFonts w:ascii="楷体_GB2312" w:eastAsia="楷体_GB2312" w:hAnsi="宋体" w:cs="宋体" w:hint="eastAsia"/>
          <w:color w:val="000000"/>
          <w:kern w:val="0"/>
          <w:szCs w:val="32"/>
          <w:shd w:val="clear" w:color="auto" w:fill="FFFFFF"/>
          <w:lang w:val="zh-CN"/>
        </w:rPr>
        <w:t>（三）部门财政资金结转结余情况。</w:t>
      </w:r>
    </w:p>
    <w:p w:rsidR="009D1C0B" w:rsidRPr="00846F12" w:rsidRDefault="007F517E" w:rsidP="00846F12">
      <w:pPr>
        <w:widowControl/>
        <w:adjustRightInd w:val="0"/>
        <w:snapToGrid w:val="0"/>
        <w:spacing w:line="580" w:lineRule="exact"/>
        <w:ind w:firstLineChars="200" w:firstLine="640"/>
        <w:contextualSpacing/>
        <w:jc w:val="left"/>
        <w:rPr>
          <w:rFonts w:ascii="仿宋_GB2312" w:eastAsia="仿宋_GB2312" w:hAnsi="仿宋_GB2312" w:cs="仿宋_GB2312"/>
          <w:snapToGrid w:val="0"/>
          <w:kern w:val="0"/>
          <w:szCs w:val="32"/>
        </w:rPr>
      </w:pPr>
      <w:r w:rsidRPr="00846F12">
        <w:rPr>
          <w:rFonts w:ascii="仿宋_GB2312" w:eastAsia="仿宋_GB2312" w:hAnsi="仿宋_GB2312" w:cs="仿宋_GB2312" w:hint="eastAsia"/>
          <w:snapToGrid w:val="0"/>
          <w:kern w:val="0"/>
          <w:szCs w:val="32"/>
        </w:rPr>
        <w:t>无</w:t>
      </w:r>
    </w:p>
    <w:p w:rsidR="009D1C0B" w:rsidRDefault="007F517E" w:rsidP="00846F12">
      <w:pPr>
        <w:widowControl/>
        <w:adjustRightInd w:val="0"/>
        <w:snapToGrid w:val="0"/>
        <w:spacing w:line="580" w:lineRule="exact"/>
        <w:ind w:firstLineChars="200" w:firstLine="640"/>
        <w:contextualSpacing/>
        <w:jc w:val="left"/>
        <w:rPr>
          <w:rFonts w:ascii="黑体" w:eastAsia="黑体" w:hAnsi="黑体" w:cs="宋体"/>
          <w:color w:val="000000"/>
          <w:kern w:val="0"/>
          <w:szCs w:val="32"/>
          <w:shd w:val="clear" w:color="auto" w:fill="FFFFFF"/>
        </w:rPr>
      </w:pPr>
      <w:r>
        <w:rPr>
          <w:rFonts w:ascii="黑体" w:eastAsia="黑体" w:hAnsi="黑体" w:cs="宋体" w:hint="eastAsia"/>
          <w:color w:val="000000"/>
          <w:kern w:val="0"/>
          <w:szCs w:val="32"/>
          <w:shd w:val="clear" w:color="auto" w:fill="FFFFFF"/>
        </w:rPr>
        <w:t>三、部门整体绩效管理情况。</w:t>
      </w:r>
    </w:p>
    <w:p w:rsidR="00846F12" w:rsidRDefault="007F517E" w:rsidP="00846F12">
      <w:pPr>
        <w:widowControl/>
        <w:adjustRightInd w:val="0"/>
        <w:snapToGrid w:val="0"/>
        <w:spacing w:line="580" w:lineRule="exact"/>
        <w:ind w:firstLineChars="200" w:firstLine="640"/>
        <w:contextualSpacing/>
        <w:jc w:val="left"/>
        <w:rPr>
          <w:rFonts w:ascii="楷体_GB2312" w:eastAsia="楷体_GB2312" w:hAnsi="宋体" w:cs="宋体"/>
          <w:color w:val="000000"/>
          <w:kern w:val="0"/>
          <w:szCs w:val="32"/>
          <w:shd w:val="clear" w:color="auto" w:fill="FFFFFF"/>
          <w:lang w:val="zh-CN"/>
        </w:rPr>
      </w:pPr>
      <w:r>
        <w:rPr>
          <w:rFonts w:ascii="楷体_GB2312" w:eastAsia="楷体_GB2312" w:hAnsi="宋体" w:cs="宋体" w:hint="eastAsia"/>
          <w:color w:val="000000"/>
          <w:kern w:val="0"/>
          <w:szCs w:val="32"/>
          <w:shd w:val="clear" w:color="auto" w:fill="FFFFFF"/>
          <w:lang w:val="zh-CN"/>
        </w:rPr>
        <w:lastRenderedPageBreak/>
        <w:t>（一）部门整体履职绩效分析。</w:t>
      </w:r>
    </w:p>
    <w:p w:rsidR="009D1C0B" w:rsidRPr="00846F12" w:rsidRDefault="007F517E" w:rsidP="00846F12">
      <w:pPr>
        <w:widowControl/>
        <w:adjustRightInd w:val="0"/>
        <w:snapToGrid w:val="0"/>
        <w:spacing w:line="580" w:lineRule="exact"/>
        <w:ind w:firstLineChars="200" w:firstLine="640"/>
        <w:contextualSpacing/>
        <w:jc w:val="left"/>
        <w:rPr>
          <w:rFonts w:ascii="楷体_GB2312" w:eastAsia="楷体_GB2312" w:hAnsi="宋体" w:cs="宋体"/>
          <w:color w:val="000000"/>
          <w:kern w:val="0"/>
          <w:szCs w:val="32"/>
          <w:shd w:val="clear" w:color="auto" w:fill="FFFFFF"/>
          <w:lang w:val="zh-CN"/>
        </w:rPr>
      </w:pPr>
      <w:r>
        <w:rPr>
          <w:rFonts w:ascii="仿宋_GB2312" w:eastAsia="仿宋_GB2312" w:hAnsi="仿宋_GB2312" w:cs="仿宋_GB2312" w:hint="eastAsia"/>
          <w:kern w:val="0"/>
          <w:szCs w:val="32"/>
        </w:rPr>
        <w:t>2024年，县财政局按要求实行绩效目标管理，</w:t>
      </w:r>
      <w:r>
        <w:rPr>
          <w:rFonts w:ascii="仿宋_GB2312" w:eastAsia="仿宋_GB2312" w:hAnsi="仿宋_GB2312" w:cs="仿宋_GB2312" w:hint="eastAsia"/>
          <w:szCs w:val="32"/>
        </w:rPr>
        <w:t>落实预算法要求，坚持零基预算和“二上二下”编制程序，科学编制2024年财政预算。牢固树立过“紧日子”思想，进一步优化支出结构，按照“两保一转”序列安排支出，</w:t>
      </w:r>
      <w:r>
        <w:rPr>
          <w:rFonts w:ascii="仿宋_GB2312" w:eastAsia="仿宋_GB2312" w:hAnsi="仿宋_GB2312" w:cs="仿宋_GB2312" w:hint="eastAsia"/>
          <w:kern w:val="0"/>
          <w:szCs w:val="32"/>
        </w:rPr>
        <w:t>保障机关正常运转，完成县级一般公共预算收入任务，</w:t>
      </w:r>
      <w:r>
        <w:rPr>
          <w:rFonts w:ascii="仿宋_GB2312" w:eastAsia="仿宋_GB2312" w:hAnsi="仿宋_GB2312" w:cs="仿宋_GB2312" w:hint="eastAsia"/>
          <w:szCs w:val="32"/>
        </w:rPr>
        <w:t>严控一般性行政经费，</w:t>
      </w:r>
      <w:r>
        <w:rPr>
          <w:rFonts w:ascii="仿宋_GB2312" w:eastAsia="仿宋_GB2312" w:hAnsi="仿宋_GB2312" w:cs="仿宋_GB2312" w:hint="eastAsia"/>
          <w:kern w:val="0"/>
          <w:szCs w:val="32"/>
        </w:rPr>
        <w:t>保障重点项目，重大民生项目资金需求，组织开展各类专项检查，严肃财经纪律。</w:t>
      </w:r>
      <w:r>
        <w:rPr>
          <w:rFonts w:ascii="仿宋_GB2312" w:eastAsia="仿宋_GB2312" w:hAnsi="仿宋_GB2312" w:cs="仿宋_GB2312" w:hint="eastAsia"/>
          <w:szCs w:val="32"/>
        </w:rPr>
        <w:t>“三公经费”只减不增，强化会议费、培训费、差旅费和公务通讯费等行政经费管理，最大限度节约资金。</w:t>
      </w:r>
    </w:p>
    <w:p w:rsidR="009D1C0B" w:rsidRDefault="007F517E" w:rsidP="00846F12">
      <w:pPr>
        <w:widowControl/>
        <w:adjustRightInd w:val="0"/>
        <w:snapToGrid w:val="0"/>
        <w:spacing w:line="580" w:lineRule="exact"/>
        <w:ind w:firstLineChars="200" w:firstLine="640"/>
        <w:contextualSpacing/>
        <w:jc w:val="left"/>
        <w:rPr>
          <w:rFonts w:ascii="楷体_GB2312" w:eastAsia="楷体_GB2312" w:hAnsi="宋体" w:cs="宋体"/>
          <w:color w:val="000000"/>
          <w:kern w:val="0"/>
          <w:szCs w:val="32"/>
          <w:shd w:val="clear" w:color="auto" w:fill="FFFFFF"/>
          <w:lang w:val="zh-CN"/>
        </w:rPr>
      </w:pPr>
      <w:r>
        <w:rPr>
          <w:rFonts w:ascii="楷体_GB2312" w:eastAsia="楷体_GB2312" w:hAnsi="宋体" w:cs="宋体" w:hint="eastAsia"/>
          <w:color w:val="000000"/>
          <w:kern w:val="0"/>
          <w:szCs w:val="32"/>
          <w:shd w:val="clear" w:color="auto" w:fill="FFFFFF"/>
          <w:lang w:val="zh-CN"/>
        </w:rPr>
        <w:t>（二）特定目标类项目绩效分析。</w:t>
      </w:r>
    </w:p>
    <w:p w:rsidR="009D1C0B" w:rsidRDefault="007F517E" w:rsidP="00846F12">
      <w:pPr>
        <w:pStyle w:val="a7"/>
        <w:widowControl/>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用好项目资金，保证财政业务网络系统正常运行、加强财政资金监管，提高财政队伍业务水平 ，加强国有资产、金融机构管理，有序推进PPP工作，做好后勤保障服务工作，确保专项资金在使用和管理上专款专用。</w:t>
      </w:r>
    </w:p>
    <w:p w:rsidR="00846F12" w:rsidRDefault="007F517E" w:rsidP="00846F12">
      <w:pPr>
        <w:pStyle w:val="a7"/>
        <w:widowControl/>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及时向县人代会、人大常委会报送相关资料，及时公开预决算情况；加强国资、国企管理工作，积极争取资金，依法进行融资；开展各类财务专项检查，规范单位财务管理，聘请中介机构开展绩效评价复评等工作，复检项目综合得分不低于95分；保障业务综合平台、供养、E财、乐财通、政府决算、固定资产管理、预算一体化等软件系统正常运转。</w:t>
      </w:r>
    </w:p>
    <w:p w:rsidR="00846F12" w:rsidRDefault="007F517E" w:rsidP="00846F12">
      <w:pPr>
        <w:pStyle w:val="a7"/>
        <w:widowControl/>
        <w:spacing w:before="0" w:beforeAutospacing="0" w:after="0" w:afterAutospacing="0" w:line="580" w:lineRule="exact"/>
        <w:ind w:firstLineChars="200" w:firstLine="640"/>
        <w:rPr>
          <w:rFonts w:ascii="楷体_GB2312" w:eastAsia="楷体_GB2312" w:hAnsi="宋体" w:cs="宋体"/>
          <w:color w:val="000000"/>
          <w:sz w:val="32"/>
          <w:szCs w:val="32"/>
          <w:shd w:val="clear" w:color="auto" w:fill="FFFFFF"/>
          <w:lang w:val="zh-CN"/>
        </w:rPr>
      </w:pPr>
      <w:r w:rsidRPr="00846F12">
        <w:rPr>
          <w:rFonts w:ascii="楷体_GB2312" w:eastAsia="楷体_GB2312" w:hAnsi="宋体" w:cs="宋体" w:hint="eastAsia"/>
          <w:color w:val="000000"/>
          <w:sz w:val="32"/>
          <w:szCs w:val="32"/>
          <w:shd w:val="clear" w:color="auto" w:fill="FFFFFF"/>
          <w:lang w:val="zh-CN"/>
        </w:rPr>
        <w:t>（三）部门预算项目支出情况分析。</w:t>
      </w:r>
    </w:p>
    <w:p w:rsidR="00846F12" w:rsidRDefault="007F517E" w:rsidP="00846F12">
      <w:pPr>
        <w:pStyle w:val="a7"/>
        <w:widowControl/>
        <w:spacing w:before="0" w:beforeAutospacing="0" w:after="0" w:afterAutospacing="0" w:line="58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项目1.拖欠企业账款清偿项目</w:t>
      </w:r>
      <w:r w:rsidR="00846F12">
        <w:rPr>
          <w:rFonts w:ascii="仿宋_GB2312" w:eastAsia="仿宋_GB2312" w:hAnsi="仿宋_GB2312" w:cs="仿宋_GB2312" w:hint="eastAsia"/>
          <w:color w:val="000000"/>
          <w:sz w:val="32"/>
          <w:szCs w:val="32"/>
          <w:shd w:val="clear" w:color="auto" w:fill="FFFFFF"/>
        </w:rPr>
        <w:t>。</w:t>
      </w:r>
    </w:p>
    <w:p w:rsidR="00846F12" w:rsidRDefault="007F517E" w:rsidP="00846F12">
      <w:pPr>
        <w:pStyle w:val="a7"/>
        <w:widowControl/>
        <w:spacing w:before="0" w:beforeAutospacing="0" w:after="0" w:afterAutospacing="0" w:line="580" w:lineRule="exact"/>
        <w:ind w:firstLineChars="200" w:firstLine="640"/>
        <w:rPr>
          <w:rFonts w:ascii="仿宋_GB2312" w:eastAsia="仿宋_GB2312" w:hAnsi="仿宋_GB2312" w:cs="仿宋_GB2312"/>
          <w:sz w:val="32"/>
        </w:rPr>
      </w:pPr>
      <w:r>
        <w:rPr>
          <w:rFonts w:ascii="仿宋_GB2312" w:eastAsia="仿宋_GB2312" w:hAnsi="仿宋_GB2312" w:cs="仿宋_GB2312"/>
          <w:sz w:val="32"/>
        </w:rPr>
        <w:t>202</w:t>
      </w:r>
      <w:r>
        <w:rPr>
          <w:rFonts w:ascii="仿宋_GB2312" w:eastAsia="仿宋_GB2312" w:hAnsi="仿宋_GB2312" w:cs="仿宋_GB2312" w:hint="eastAsia"/>
          <w:sz w:val="32"/>
        </w:rPr>
        <w:t>4</w:t>
      </w:r>
      <w:r>
        <w:rPr>
          <w:rFonts w:ascii="仿宋_GB2312" w:eastAsia="仿宋_GB2312" w:hAnsi="仿宋_GB2312" w:cs="仿宋_GB2312"/>
          <w:sz w:val="32"/>
        </w:rPr>
        <w:t>年</w:t>
      </w:r>
      <w:r>
        <w:rPr>
          <w:rFonts w:ascii="仿宋_GB2312" w:eastAsia="仿宋_GB2312" w:hAnsi="仿宋_GB2312" w:cs="仿宋_GB2312" w:hint="eastAsia"/>
          <w:sz w:val="32"/>
        </w:rPr>
        <w:t>拖欠企业账款清偿项目预算资金132.20</w:t>
      </w:r>
      <w:r>
        <w:rPr>
          <w:rFonts w:ascii="仿宋_GB2312" w:eastAsia="仿宋_GB2312" w:hAnsi="仿宋_GB2312" w:cs="仿宋_GB2312"/>
          <w:sz w:val="32"/>
        </w:rPr>
        <w:t>万元，我局申报</w:t>
      </w:r>
      <w:r>
        <w:rPr>
          <w:rFonts w:ascii="仿宋_GB2312" w:eastAsia="仿宋_GB2312" w:hAnsi="仿宋_GB2312" w:cs="仿宋_GB2312" w:hint="eastAsia"/>
          <w:sz w:val="32"/>
        </w:rPr>
        <w:t>132.20</w:t>
      </w:r>
      <w:r>
        <w:rPr>
          <w:rFonts w:ascii="仿宋_GB2312" w:eastAsia="仿宋_GB2312" w:hAnsi="仿宋_GB2312" w:cs="仿宋_GB2312"/>
          <w:sz w:val="32"/>
        </w:rPr>
        <w:t>万元，经财政局批复下达后，用于</w:t>
      </w:r>
      <w:r>
        <w:rPr>
          <w:rFonts w:ascii="仿宋_GB2312" w:eastAsia="仿宋_GB2312" w:hAnsi="仿宋_GB2312" w:cs="仿宋_GB2312" w:hint="eastAsia"/>
          <w:sz w:val="32"/>
        </w:rPr>
        <w:t>支付各咨询服务拖欠</w:t>
      </w:r>
      <w:r>
        <w:rPr>
          <w:rFonts w:ascii="仿宋_GB2312" w:eastAsia="仿宋_GB2312" w:hAnsi="仿宋_GB2312" w:cs="仿宋_GB2312" w:hint="eastAsia"/>
          <w:sz w:val="32"/>
        </w:rPr>
        <w:lastRenderedPageBreak/>
        <w:t>费</w:t>
      </w:r>
      <w:r>
        <w:rPr>
          <w:rFonts w:ascii="仿宋_GB2312" w:eastAsia="仿宋_GB2312" w:hAnsi="仿宋_GB2312" w:cs="仿宋_GB2312"/>
          <w:sz w:val="32"/>
        </w:rPr>
        <w:t>。截止2024年12月该项目资金支出</w:t>
      </w:r>
      <w:r>
        <w:rPr>
          <w:rFonts w:ascii="仿宋_GB2312" w:eastAsia="仿宋_GB2312" w:hAnsi="仿宋_GB2312" w:cs="仿宋_GB2312" w:hint="eastAsia"/>
          <w:sz w:val="32"/>
        </w:rPr>
        <w:t>132.20</w:t>
      </w:r>
      <w:r>
        <w:rPr>
          <w:rFonts w:ascii="仿宋_GB2312" w:eastAsia="仿宋_GB2312" w:hAnsi="仿宋_GB2312" w:cs="仿宋_GB2312"/>
          <w:sz w:val="32"/>
        </w:rPr>
        <w:t>万元，预算</w:t>
      </w:r>
      <w:r>
        <w:rPr>
          <w:rFonts w:ascii="仿宋_GB2312" w:eastAsia="仿宋_GB2312" w:hAnsi="仿宋_GB2312" w:cs="仿宋_GB2312" w:hint="eastAsia"/>
          <w:sz w:val="32"/>
        </w:rPr>
        <w:t>执行</w:t>
      </w:r>
      <w:r>
        <w:rPr>
          <w:rFonts w:ascii="仿宋_GB2312" w:eastAsia="仿宋_GB2312" w:hAnsi="仿宋_GB2312" w:cs="仿宋_GB2312"/>
          <w:sz w:val="32"/>
        </w:rPr>
        <w:t>率为100%。</w:t>
      </w:r>
    </w:p>
    <w:p w:rsidR="00846F12" w:rsidRDefault="007F517E" w:rsidP="00846F12">
      <w:pPr>
        <w:pStyle w:val="a7"/>
        <w:widowControl/>
        <w:spacing w:before="0" w:beforeAutospacing="0" w:after="0" w:afterAutospacing="0" w:line="58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项目2.财政预决算、绩效管理及财政监督检查费用。</w:t>
      </w:r>
    </w:p>
    <w:p w:rsidR="00846F12" w:rsidRDefault="007F517E" w:rsidP="00846F12">
      <w:pPr>
        <w:pStyle w:val="a7"/>
        <w:widowControl/>
        <w:spacing w:before="0" w:beforeAutospacing="0" w:after="0" w:afterAutospacing="0" w:line="58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财政预决算、绩效管理及财政监督检查费用预算资金年初预算资金130万，中期调整为229.46万元，我局申报229.46万元，</w:t>
      </w:r>
      <w:r>
        <w:rPr>
          <w:rFonts w:ascii="仿宋_GB2312" w:eastAsia="仿宋_GB2312" w:hAnsi="仿宋_GB2312" w:cs="仿宋_GB2312"/>
          <w:sz w:val="32"/>
        </w:rPr>
        <w:t>经财政局批复下达后，用于</w:t>
      </w:r>
      <w:r>
        <w:rPr>
          <w:rFonts w:ascii="仿宋_GB2312" w:eastAsia="仿宋_GB2312" w:hAnsi="仿宋_GB2312" w:cs="仿宋_GB2312" w:hint="eastAsia"/>
          <w:sz w:val="32"/>
        </w:rPr>
        <w:t>支付各类财务专项检查 ，常规性财务检查如滥发工资、奖金、津贴等项目检查，按上级规定临时性专项检查，聘请中介机构开展重点项目绩效评价，预决算编制等。</w:t>
      </w:r>
      <w:r>
        <w:rPr>
          <w:rFonts w:ascii="仿宋_GB2312" w:eastAsia="仿宋_GB2312" w:hAnsi="仿宋_GB2312" w:cs="仿宋_GB2312"/>
          <w:sz w:val="32"/>
        </w:rPr>
        <w:t>截止2024年12月该项目资金支出</w:t>
      </w:r>
      <w:r>
        <w:rPr>
          <w:rFonts w:ascii="仿宋_GB2312" w:eastAsia="仿宋_GB2312" w:hAnsi="仿宋_GB2312" w:cs="仿宋_GB2312" w:hint="eastAsia"/>
          <w:sz w:val="32"/>
        </w:rPr>
        <w:t>229.46</w:t>
      </w:r>
      <w:r>
        <w:rPr>
          <w:rFonts w:ascii="仿宋_GB2312" w:eastAsia="仿宋_GB2312" w:hAnsi="仿宋_GB2312" w:cs="仿宋_GB2312"/>
          <w:sz w:val="32"/>
        </w:rPr>
        <w:t>万元，预算</w:t>
      </w:r>
      <w:r>
        <w:rPr>
          <w:rFonts w:ascii="仿宋_GB2312" w:eastAsia="仿宋_GB2312" w:hAnsi="仿宋_GB2312" w:cs="仿宋_GB2312" w:hint="eastAsia"/>
          <w:sz w:val="32"/>
        </w:rPr>
        <w:t>执行</w:t>
      </w:r>
      <w:r>
        <w:rPr>
          <w:rFonts w:ascii="仿宋_GB2312" w:eastAsia="仿宋_GB2312" w:hAnsi="仿宋_GB2312" w:cs="仿宋_GB2312"/>
          <w:sz w:val="32"/>
        </w:rPr>
        <w:t>率为100%。</w:t>
      </w:r>
    </w:p>
    <w:p w:rsidR="00846F12" w:rsidRDefault="007F517E" w:rsidP="00846F12">
      <w:pPr>
        <w:pStyle w:val="a7"/>
        <w:widowControl/>
        <w:spacing w:before="0" w:beforeAutospacing="0" w:after="0" w:afterAutospacing="0" w:line="58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项目3.财政绩效及财评费用。</w:t>
      </w:r>
    </w:p>
    <w:p w:rsidR="00846F12" w:rsidRDefault="007F517E" w:rsidP="00846F12">
      <w:pPr>
        <w:pStyle w:val="a7"/>
        <w:widowControl/>
        <w:spacing w:before="0" w:beforeAutospacing="0" w:after="0" w:afterAutospacing="0" w:line="58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财政绩效及财评费用中期调整预算数为238.85万元，我局申报238.85万元，经财政局批复下达后，用于支付定期组织各项监督检查工作；拟采购服务机构分别从事采购人不能自行完成财政性投资项目的审核工程预算和审核竣工结算工作；对各预算单位开展项目绩效评价，聘请中介机构开展重点项目绩效评价等，</w:t>
      </w:r>
      <w:r>
        <w:rPr>
          <w:rFonts w:ascii="仿宋_GB2312" w:eastAsia="仿宋_GB2312" w:hAnsi="仿宋_GB2312" w:cs="仿宋_GB2312"/>
          <w:sz w:val="32"/>
        </w:rPr>
        <w:t>截止2024年12月该项目资金支出</w:t>
      </w:r>
      <w:r>
        <w:rPr>
          <w:rFonts w:ascii="仿宋_GB2312" w:eastAsia="仿宋_GB2312" w:hAnsi="仿宋_GB2312" w:cs="仿宋_GB2312" w:hint="eastAsia"/>
          <w:sz w:val="32"/>
        </w:rPr>
        <w:t>238.85</w:t>
      </w:r>
      <w:r>
        <w:rPr>
          <w:rFonts w:ascii="仿宋_GB2312" w:eastAsia="仿宋_GB2312" w:hAnsi="仿宋_GB2312" w:cs="仿宋_GB2312"/>
          <w:sz w:val="32"/>
        </w:rPr>
        <w:t>万元，预算</w:t>
      </w:r>
      <w:r>
        <w:rPr>
          <w:rFonts w:ascii="仿宋_GB2312" w:eastAsia="仿宋_GB2312" w:hAnsi="仿宋_GB2312" w:cs="仿宋_GB2312" w:hint="eastAsia"/>
          <w:sz w:val="32"/>
        </w:rPr>
        <w:t>执行</w:t>
      </w:r>
      <w:r>
        <w:rPr>
          <w:rFonts w:ascii="仿宋_GB2312" w:eastAsia="仿宋_GB2312" w:hAnsi="仿宋_GB2312" w:cs="仿宋_GB2312"/>
          <w:sz w:val="32"/>
        </w:rPr>
        <w:t>率为100%。</w:t>
      </w:r>
    </w:p>
    <w:p w:rsidR="00846F12" w:rsidRDefault="007F517E" w:rsidP="00846F12">
      <w:pPr>
        <w:pStyle w:val="a7"/>
        <w:widowControl/>
        <w:spacing w:before="0" w:beforeAutospacing="0" w:after="0" w:afterAutospacing="0" w:line="58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项目4.财政业务网络系统运修费。</w:t>
      </w:r>
    </w:p>
    <w:p w:rsidR="00846F12" w:rsidRDefault="007F517E" w:rsidP="00846F12">
      <w:pPr>
        <w:pStyle w:val="a7"/>
        <w:widowControl/>
        <w:spacing w:before="0" w:beforeAutospacing="0" w:after="0" w:afterAutospacing="0" w:line="58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财政业务网络系统运修费中期调整预算数为44.90万元，我局申报44.90万元，经财政局批复下达后，用于支付业务综合、供养E财、乐财通、投资、固定资产管理、预算一体化系统等财政业务网络的维运费，</w:t>
      </w:r>
      <w:r>
        <w:rPr>
          <w:rFonts w:ascii="仿宋_GB2312" w:eastAsia="仿宋_GB2312" w:hAnsi="仿宋_GB2312" w:cs="仿宋_GB2312"/>
          <w:sz w:val="32"/>
        </w:rPr>
        <w:t>截止2024年12月该项目资金支出</w:t>
      </w:r>
      <w:r>
        <w:rPr>
          <w:rFonts w:ascii="仿宋_GB2312" w:eastAsia="仿宋_GB2312" w:hAnsi="仿宋_GB2312" w:cs="仿宋_GB2312" w:hint="eastAsia"/>
          <w:sz w:val="32"/>
        </w:rPr>
        <w:t>44.90</w:t>
      </w:r>
      <w:r>
        <w:rPr>
          <w:rFonts w:ascii="仿宋_GB2312" w:eastAsia="仿宋_GB2312" w:hAnsi="仿宋_GB2312" w:cs="仿宋_GB2312"/>
          <w:sz w:val="32"/>
        </w:rPr>
        <w:t>万元，预算</w:t>
      </w:r>
      <w:r>
        <w:rPr>
          <w:rFonts w:ascii="仿宋_GB2312" w:eastAsia="仿宋_GB2312" w:hAnsi="仿宋_GB2312" w:cs="仿宋_GB2312" w:hint="eastAsia"/>
          <w:sz w:val="32"/>
        </w:rPr>
        <w:t>执行</w:t>
      </w:r>
      <w:r>
        <w:rPr>
          <w:rFonts w:ascii="仿宋_GB2312" w:eastAsia="仿宋_GB2312" w:hAnsi="仿宋_GB2312" w:cs="仿宋_GB2312"/>
          <w:sz w:val="32"/>
        </w:rPr>
        <w:t>率为100%。</w:t>
      </w:r>
    </w:p>
    <w:p w:rsidR="009D1C0B" w:rsidRPr="00846F12" w:rsidRDefault="007F517E" w:rsidP="00846F12">
      <w:pPr>
        <w:pStyle w:val="a7"/>
        <w:widowControl/>
        <w:spacing w:before="0" w:beforeAutospacing="0" w:after="0" w:afterAutospacing="0" w:line="580" w:lineRule="exact"/>
        <w:ind w:firstLineChars="200" w:firstLine="640"/>
        <w:rPr>
          <w:rFonts w:ascii="楷体_GB2312" w:eastAsia="楷体_GB2312" w:hAnsi="宋体" w:cs="宋体"/>
          <w:color w:val="000000"/>
          <w:sz w:val="32"/>
          <w:szCs w:val="32"/>
          <w:shd w:val="clear" w:color="auto" w:fill="FFFFFF"/>
          <w:lang w:val="zh-CN"/>
        </w:rPr>
      </w:pPr>
      <w:r w:rsidRPr="00846F12">
        <w:rPr>
          <w:rFonts w:ascii="楷体_GB2312" w:eastAsia="楷体_GB2312" w:hAnsi="宋体" w:cs="宋体" w:hint="eastAsia"/>
          <w:color w:val="000000"/>
          <w:sz w:val="32"/>
          <w:szCs w:val="32"/>
          <w:shd w:val="clear" w:color="auto" w:fill="FFFFFF"/>
          <w:lang w:val="zh-CN"/>
        </w:rPr>
        <w:t>（四）结果应用情况。</w:t>
      </w:r>
    </w:p>
    <w:p w:rsidR="009D1C0B" w:rsidRDefault="007F517E" w:rsidP="00846F12">
      <w:pPr>
        <w:widowControl/>
        <w:shd w:val="clear" w:color="auto" w:fill="FFFFFF"/>
        <w:spacing w:line="580" w:lineRule="exact"/>
        <w:ind w:firstLineChars="200" w:firstLine="640"/>
        <w:jc w:val="left"/>
        <w:rPr>
          <w:rFonts w:ascii="仿宋_GB2312" w:eastAsia="仿宋_GB2312" w:hAnsi="仿宋_GB2312" w:cs="仿宋_GB2312"/>
          <w:kern w:val="0"/>
          <w:szCs w:val="32"/>
        </w:rPr>
      </w:pPr>
      <w:r>
        <w:rPr>
          <w:rFonts w:ascii="仿宋_GB2312" w:eastAsia="仿宋_GB2312" w:hAnsi="仿宋_GB2312" w:cs="仿宋_GB2312" w:hint="eastAsia"/>
          <w:kern w:val="0"/>
          <w:szCs w:val="32"/>
        </w:rPr>
        <w:t>财政下达给本部门的经费制度健全、程序严格、管理规范，本部门严格执行财务管理各项规定，常态化开展违反中央八项规定、</w:t>
      </w:r>
      <w:r>
        <w:rPr>
          <w:rFonts w:ascii="仿宋_GB2312" w:eastAsia="仿宋_GB2312" w:hAnsi="仿宋_GB2312" w:cs="仿宋_GB2312" w:hint="eastAsia"/>
          <w:kern w:val="0"/>
          <w:szCs w:val="32"/>
        </w:rPr>
        <w:lastRenderedPageBreak/>
        <w:t>会计信息质量、严肃财经纪律、“三个一批”等监督检查工作，严格对预算管理、支付管理、货币资金、会计管理、内控管理、政府采购管理、资产管理、账户管理、往来款项管理、票据管理、预决算管理、存量资金清理十二个方面进行管控。</w:t>
      </w:r>
    </w:p>
    <w:p w:rsidR="00846F12" w:rsidRDefault="007F517E" w:rsidP="00846F12">
      <w:pPr>
        <w:widowControl/>
        <w:shd w:val="clear" w:color="auto" w:fill="FFFFFF"/>
        <w:spacing w:line="580" w:lineRule="exact"/>
        <w:ind w:firstLineChars="200" w:firstLine="640"/>
        <w:jc w:val="left"/>
        <w:rPr>
          <w:rFonts w:ascii="仿宋_GB2312" w:eastAsia="仿宋_GB2312" w:hAnsi="仿宋_GB2312" w:cs="仿宋_GB2312"/>
          <w:kern w:val="0"/>
          <w:szCs w:val="32"/>
        </w:rPr>
      </w:pPr>
      <w:r>
        <w:rPr>
          <w:rFonts w:ascii="仿宋_GB2312" w:eastAsia="仿宋_GB2312" w:hAnsi="仿宋_GB2312" w:cs="仿宋_GB2312" w:hint="eastAsia"/>
          <w:kern w:val="0"/>
          <w:szCs w:val="32"/>
        </w:rPr>
        <w:t>定期开展自查自纠，杜绝奢侈浪费，确保了财政资金支出的均衡平稳，科学合理。同时，利用有限的资金，着力提高资金使用绩效，把资金放大使用，用好，用活，在完成一般性支出压减的情况下，确保机关运行和重大项目的实施，圆满完成年初任务。</w:t>
      </w:r>
    </w:p>
    <w:p w:rsidR="009D1C0B" w:rsidRPr="00846F12" w:rsidRDefault="007F517E" w:rsidP="00846F12">
      <w:pPr>
        <w:widowControl/>
        <w:shd w:val="clear" w:color="auto" w:fill="FFFFFF"/>
        <w:spacing w:line="580" w:lineRule="exact"/>
        <w:ind w:firstLineChars="200" w:firstLine="640"/>
        <w:jc w:val="left"/>
        <w:rPr>
          <w:rFonts w:ascii="仿宋_GB2312" w:eastAsia="仿宋_GB2312" w:hAnsi="仿宋_GB2312" w:cs="仿宋_GB2312"/>
          <w:kern w:val="0"/>
          <w:szCs w:val="32"/>
        </w:rPr>
      </w:pPr>
      <w:r>
        <w:rPr>
          <w:rFonts w:ascii="黑体" w:eastAsia="黑体" w:hAnsi="黑体" w:cs="宋体" w:hint="eastAsia"/>
          <w:color w:val="000000"/>
          <w:kern w:val="0"/>
          <w:szCs w:val="32"/>
          <w:shd w:val="clear" w:color="auto" w:fill="FFFFFF"/>
        </w:rPr>
        <w:t>五、评价结论及建议</w:t>
      </w:r>
    </w:p>
    <w:p w:rsidR="00846F12" w:rsidRDefault="007F517E" w:rsidP="00846F12">
      <w:pPr>
        <w:spacing w:line="580" w:lineRule="exact"/>
        <w:ind w:firstLineChars="200" w:firstLine="640"/>
        <w:rPr>
          <w:rFonts w:ascii="楷体_GB2312" w:eastAsia="楷体_GB2312" w:hAnsi="宋体" w:cs="宋体"/>
          <w:color w:val="000000"/>
          <w:kern w:val="0"/>
          <w:szCs w:val="32"/>
          <w:shd w:val="clear" w:color="auto" w:fill="FFFFFF"/>
          <w:lang w:val="zh-CN"/>
        </w:rPr>
      </w:pPr>
      <w:r>
        <w:rPr>
          <w:rFonts w:ascii="楷体_GB2312" w:eastAsia="楷体_GB2312" w:hAnsi="宋体" w:cs="宋体" w:hint="eastAsia"/>
          <w:color w:val="000000"/>
          <w:kern w:val="0"/>
          <w:szCs w:val="32"/>
          <w:shd w:val="clear" w:color="auto" w:fill="FFFFFF"/>
          <w:lang w:val="zh-CN"/>
        </w:rPr>
        <w:t>（一）评价结论。</w:t>
      </w:r>
    </w:p>
    <w:p w:rsidR="009D1C0B" w:rsidRDefault="007F517E" w:rsidP="00846F12">
      <w:pPr>
        <w:spacing w:line="58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color w:val="000000"/>
          <w:kern w:val="0"/>
          <w:szCs w:val="32"/>
          <w:shd w:val="clear" w:color="auto" w:fill="FFFFFF"/>
          <w:lang w:val="zh-CN"/>
        </w:rPr>
        <w:t>根据《峨边彝族自治县财政局 关于开展20</w:t>
      </w:r>
      <w:r>
        <w:rPr>
          <w:rFonts w:ascii="仿宋_GB2312" w:eastAsia="仿宋_GB2312" w:hAnsi="仿宋_GB2312" w:cs="仿宋_GB2312" w:hint="eastAsia"/>
          <w:color w:val="000000"/>
          <w:kern w:val="0"/>
          <w:szCs w:val="32"/>
          <w:shd w:val="clear" w:color="auto" w:fill="FFFFFF"/>
        </w:rPr>
        <w:t>24</w:t>
      </w:r>
      <w:r>
        <w:rPr>
          <w:rFonts w:ascii="仿宋_GB2312" w:eastAsia="仿宋_GB2312" w:hAnsi="仿宋_GB2312" w:cs="仿宋_GB2312" w:hint="eastAsia"/>
          <w:color w:val="000000"/>
          <w:kern w:val="0"/>
          <w:szCs w:val="32"/>
          <w:shd w:val="clear" w:color="auto" w:fill="FFFFFF"/>
          <w:lang w:val="zh-CN"/>
        </w:rPr>
        <w:t>年财政绩效评价工作的通知》文件精神，</w:t>
      </w:r>
      <w:r>
        <w:rPr>
          <w:rFonts w:ascii="仿宋_GB2312" w:eastAsia="仿宋_GB2312" w:hAnsi="仿宋_GB2312" w:cs="仿宋_GB2312" w:hint="eastAsia"/>
          <w:color w:val="000000"/>
          <w:kern w:val="0"/>
          <w:szCs w:val="32"/>
          <w:shd w:val="clear" w:color="auto" w:fill="FFFFFF"/>
        </w:rPr>
        <w:t>财政局认真组织开展了部门整体支出绩效评价工作，绩效评价</w:t>
      </w:r>
      <w:r>
        <w:rPr>
          <w:rFonts w:ascii="仿宋_GB2312" w:eastAsia="仿宋_GB2312" w:hAnsi="仿宋_GB2312" w:cs="仿宋_GB2312" w:hint="eastAsia"/>
          <w:color w:val="000000"/>
          <w:kern w:val="0"/>
          <w:szCs w:val="32"/>
          <w:shd w:val="clear" w:color="auto" w:fill="FFFFFF"/>
          <w:lang w:val="zh-CN"/>
        </w:rPr>
        <w:t>得分：</w:t>
      </w:r>
      <w:r>
        <w:rPr>
          <w:rFonts w:ascii="仿宋_GB2312" w:eastAsia="仿宋_GB2312" w:hAnsi="仿宋_GB2312" w:cs="仿宋_GB2312" w:hint="eastAsia"/>
          <w:color w:val="000000"/>
          <w:kern w:val="0"/>
          <w:szCs w:val="32"/>
          <w:shd w:val="clear" w:color="auto" w:fill="FFFFFF"/>
        </w:rPr>
        <w:t xml:space="preserve">100 </w:t>
      </w:r>
      <w:r>
        <w:rPr>
          <w:rFonts w:ascii="仿宋_GB2312" w:eastAsia="仿宋_GB2312" w:hAnsi="仿宋_GB2312" w:cs="仿宋_GB2312" w:hint="eastAsia"/>
          <w:color w:val="000000"/>
          <w:kern w:val="0"/>
          <w:szCs w:val="32"/>
          <w:shd w:val="clear" w:color="auto" w:fill="FFFFFF"/>
          <w:lang w:val="zh-CN"/>
        </w:rPr>
        <w:t>分。</w:t>
      </w:r>
    </w:p>
    <w:p w:rsidR="009D1C0B" w:rsidRDefault="007F517E" w:rsidP="00846F12">
      <w:pPr>
        <w:spacing w:line="580" w:lineRule="exact"/>
        <w:ind w:firstLineChars="200" w:firstLine="640"/>
        <w:rPr>
          <w:rFonts w:ascii="仿宋_GB2312" w:eastAsia="仿宋_GB2312" w:hAnsi="仿宋_GB2312" w:cs="仿宋_GB2312"/>
          <w:color w:val="000000"/>
          <w:kern w:val="0"/>
          <w:szCs w:val="32"/>
          <w:shd w:val="clear" w:color="auto" w:fill="FFFFFF"/>
          <w:lang w:val="zh-CN"/>
        </w:rPr>
      </w:pPr>
      <w:r>
        <w:rPr>
          <w:rFonts w:ascii="仿宋_GB2312" w:eastAsia="仿宋_GB2312" w:hAnsi="仿宋_GB2312" w:cs="仿宋_GB2312" w:hint="eastAsia"/>
          <w:szCs w:val="32"/>
        </w:rPr>
        <w:t>县财政局2024年预、决算编制合理，支出规范，</w:t>
      </w:r>
      <w:r>
        <w:rPr>
          <w:rFonts w:ascii="仿宋_GB2312" w:eastAsia="仿宋_GB2312" w:hAnsi="仿宋_GB2312" w:cs="仿宋_GB2312" w:hint="eastAsia"/>
          <w:kern w:val="0"/>
          <w:szCs w:val="32"/>
        </w:rPr>
        <w:t>完成县级一般公共预算收入任务，优化结构，压缩一般性支出，保障重点项目，重大民生项目资金需求，组织开展务类专项检查，严肃财经纪律，</w:t>
      </w:r>
      <w:r>
        <w:rPr>
          <w:rFonts w:ascii="仿宋_GB2312" w:eastAsia="仿宋_GB2312" w:hAnsi="仿宋_GB2312" w:cs="仿宋_GB2312" w:hint="eastAsia"/>
          <w:szCs w:val="32"/>
        </w:rPr>
        <w:t>财政支出绩效良好。</w:t>
      </w:r>
    </w:p>
    <w:p w:rsidR="00846F12" w:rsidRDefault="007F517E" w:rsidP="00846F12">
      <w:pPr>
        <w:spacing w:line="580" w:lineRule="exact"/>
        <w:ind w:firstLineChars="200" w:firstLine="640"/>
        <w:rPr>
          <w:rFonts w:ascii="楷体_GB2312" w:eastAsia="楷体_GB2312" w:hAnsi="宋体" w:cs="宋体"/>
          <w:color w:val="000000"/>
          <w:kern w:val="0"/>
          <w:szCs w:val="32"/>
          <w:shd w:val="clear" w:color="auto" w:fill="FFFFFF"/>
          <w:lang w:val="zh-CN"/>
        </w:rPr>
      </w:pPr>
      <w:r>
        <w:rPr>
          <w:rFonts w:ascii="楷体_GB2312" w:eastAsia="楷体_GB2312" w:hAnsi="宋体" w:cs="宋体" w:hint="eastAsia"/>
          <w:color w:val="000000"/>
          <w:kern w:val="0"/>
          <w:szCs w:val="32"/>
          <w:shd w:val="clear" w:color="auto" w:fill="FFFFFF"/>
          <w:lang w:val="zh-CN"/>
        </w:rPr>
        <w:t>（二）存在问题。</w:t>
      </w:r>
    </w:p>
    <w:p w:rsidR="009D1C0B" w:rsidRPr="00846F12" w:rsidRDefault="007F517E" w:rsidP="00846F12">
      <w:pPr>
        <w:spacing w:line="580" w:lineRule="exact"/>
        <w:ind w:firstLineChars="200" w:firstLine="640"/>
        <w:rPr>
          <w:rFonts w:ascii="楷体_GB2312" w:eastAsia="楷体_GB2312" w:hAnsi="宋体" w:cs="宋体"/>
          <w:color w:val="000000"/>
          <w:kern w:val="0"/>
          <w:szCs w:val="32"/>
          <w:shd w:val="clear" w:color="auto" w:fill="FFFFFF"/>
          <w:lang w:val="zh-CN"/>
        </w:rPr>
      </w:pPr>
      <w:r>
        <w:rPr>
          <w:rFonts w:ascii="仿宋_GB2312" w:eastAsia="仿宋_GB2312" w:hAnsi="仿宋_GB2312" w:cs="仿宋_GB2312" w:hint="eastAsia"/>
          <w:szCs w:val="32"/>
        </w:rPr>
        <w:t>1.</w:t>
      </w:r>
      <w:r>
        <w:rPr>
          <w:rFonts w:ascii="仿宋_GB2312" w:eastAsia="仿宋_GB2312" w:hAnsi="仿宋_GB2312" w:cs="仿宋_GB2312" w:hint="eastAsia"/>
          <w:kern w:val="0"/>
          <w:szCs w:val="32"/>
          <w:shd w:val="clear" w:color="auto" w:fill="FFFFFF"/>
        </w:rPr>
        <w:t>预算编制精细化程度有待加强，资金列支时还无法完全按照年初预算下达的经济分类科目实现支出。</w:t>
      </w:r>
    </w:p>
    <w:p w:rsidR="009D1C0B" w:rsidRDefault="007F517E" w:rsidP="00846F12">
      <w:pPr>
        <w:spacing w:line="580" w:lineRule="exact"/>
        <w:ind w:firstLineChars="200" w:firstLine="640"/>
        <w:rPr>
          <w:rFonts w:ascii="仿宋_GB2312" w:eastAsia="仿宋_GB2312" w:hAnsi="仿宋_GB2312" w:cs="仿宋_GB2312"/>
          <w:color w:val="000000"/>
          <w:kern w:val="0"/>
          <w:szCs w:val="32"/>
          <w:shd w:val="clear" w:color="auto" w:fill="FFFFFF"/>
          <w:lang w:val="zh-CN"/>
        </w:rPr>
      </w:pPr>
      <w:r>
        <w:rPr>
          <w:rFonts w:ascii="仿宋_GB2312" w:eastAsia="仿宋_GB2312" w:hAnsi="仿宋_GB2312" w:cs="仿宋_GB2312" w:hint="eastAsia"/>
          <w:kern w:val="0"/>
          <w:szCs w:val="32"/>
          <w:shd w:val="clear" w:color="auto" w:fill="FFFFFF"/>
        </w:rPr>
        <w:t>2.财务工作水平还需提高，以适应越来越高的财务要求。</w:t>
      </w:r>
    </w:p>
    <w:p w:rsidR="009D1C0B" w:rsidRDefault="007F517E" w:rsidP="00846F12">
      <w:pPr>
        <w:spacing w:line="580" w:lineRule="exact"/>
        <w:ind w:firstLineChars="200" w:firstLine="640"/>
        <w:rPr>
          <w:rFonts w:ascii="楷体_GB2312" w:eastAsia="楷体_GB2312" w:hAnsi="宋体" w:cs="宋体"/>
          <w:color w:val="000000"/>
          <w:kern w:val="0"/>
          <w:szCs w:val="32"/>
          <w:shd w:val="clear" w:color="auto" w:fill="FFFFFF"/>
          <w:lang w:val="zh-CN"/>
        </w:rPr>
      </w:pPr>
      <w:r>
        <w:rPr>
          <w:rFonts w:ascii="楷体_GB2312" w:eastAsia="楷体_GB2312" w:hAnsi="宋体" w:cs="宋体" w:hint="eastAsia"/>
          <w:color w:val="000000"/>
          <w:kern w:val="0"/>
          <w:szCs w:val="32"/>
          <w:shd w:val="clear" w:color="auto" w:fill="FFFFFF"/>
          <w:lang w:val="zh-CN"/>
        </w:rPr>
        <w:t>（三）改进建议。</w:t>
      </w:r>
    </w:p>
    <w:p w:rsidR="009D1C0B" w:rsidRDefault="007F517E" w:rsidP="00846F12">
      <w:pPr>
        <w:spacing w:line="58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shd w:val="clear" w:color="auto" w:fill="FFFFFF"/>
        </w:rPr>
        <w:t>1、进一步完善财务制度，规范财经纪律，</w:t>
      </w:r>
      <w:r>
        <w:rPr>
          <w:rFonts w:ascii="仿宋_GB2312" w:eastAsia="仿宋_GB2312" w:hAnsi="仿宋_GB2312" w:cs="仿宋_GB2312" w:hint="eastAsia"/>
          <w:szCs w:val="32"/>
        </w:rPr>
        <w:t>严控行政支出</w:t>
      </w:r>
      <w:r>
        <w:rPr>
          <w:rFonts w:ascii="仿宋_GB2312" w:eastAsia="仿宋_GB2312" w:hAnsi="仿宋_GB2312" w:cs="仿宋_GB2312" w:hint="eastAsia"/>
          <w:szCs w:val="32"/>
          <w:shd w:val="clear" w:color="auto" w:fill="FFFFFF"/>
        </w:rPr>
        <w:t>。</w:t>
      </w:r>
    </w:p>
    <w:p w:rsidR="009D1C0B" w:rsidRDefault="007F517E" w:rsidP="00846F12">
      <w:pPr>
        <w:spacing w:line="580" w:lineRule="exact"/>
        <w:ind w:firstLineChars="200" w:firstLine="640"/>
        <w:rPr>
          <w:rFonts w:ascii="仿宋_GB2312" w:eastAsia="仿宋_GB2312" w:hAnsi="仿宋_GB2312" w:cs="仿宋_GB2312"/>
          <w:szCs w:val="32"/>
          <w:shd w:val="clear" w:color="auto" w:fill="FFFFFF"/>
        </w:rPr>
      </w:pPr>
      <w:r>
        <w:rPr>
          <w:rFonts w:ascii="仿宋_GB2312" w:eastAsia="仿宋_GB2312" w:hAnsi="仿宋_GB2312" w:cs="仿宋_GB2312" w:hint="eastAsia"/>
          <w:szCs w:val="32"/>
        </w:rPr>
        <w:t>2.</w:t>
      </w:r>
      <w:r>
        <w:rPr>
          <w:rFonts w:ascii="仿宋_GB2312" w:eastAsia="仿宋_GB2312" w:hAnsi="仿宋_GB2312" w:cs="仿宋_GB2312" w:hint="eastAsia"/>
          <w:szCs w:val="32"/>
          <w:shd w:val="clear" w:color="auto" w:fill="FFFFFF"/>
        </w:rPr>
        <w:t>充实财务人员，加强财务人员培训，不断提高财务人员素质。</w:t>
      </w:r>
    </w:p>
    <w:p w:rsidR="009D1C0B" w:rsidRDefault="009D1C0B" w:rsidP="00083F68">
      <w:pPr>
        <w:widowControl/>
        <w:adjustRightInd w:val="0"/>
        <w:snapToGrid w:val="0"/>
        <w:spacing w:line="580" w:lineRule="exact"/>
        <w:contextualSpacing/>
        <w:jc w:val="left"/>
        <w:rPr>
          <w:rFonts w:ascii="楷体_GB2312" w:eastAsia="楷体_GB2312" w:hAnsi="宋体" w:cs="宋体"/>
          <w:color w:val="000000"/>
          <w:kern w:val="0"/>
          <w:szCs w:val="32"/>
          <w:shd w:val="clear" w:color="auto" w:fill="FFFFFF"/>
          <w:lang w:val="zh-CN"/>
        </w:rPr>
      </w:pPr>
    </w:p>
    <w:sectPr w:rsidR="009D1C0B" w:rsidSect="009D1C0B">
      <w:headerReference w:type="default" r:id="rId8"/>
      <w:footerReference w:type="even" r:id="rId9"/>
      <w:pgSz w:w="11906" w:h="16838"/>
      <w:pgMar w:top="907" w:right="1361" w:bottom="851" w:left="1361" w:header="851" w:footer="992" w:gutter="0"/>
      <w:pgNumType w:fmt="numberInDash" w:start="12"/>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30B" w:rsidRDefault="0054030B" w:rsidP="009D1C0B">
      <w:r>
        <w:separator/>
      </w:r>
    </w:p>
  </w:endnote>
  <w:endnote w:type="continuationSeparator" w:id="0">
    <w:p w:rsidR="0054030B" w:rsidRDefault="0054030B" w:rsidP="009D1C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
    <w:altName w:val="Times New Roman"/>
    <w:charset w:val="00"/>
    <w:family w:val="roman"/>
    <w:pitch w:val="default"/>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C0B" w:rsidRDefault="00015544">
    <w:pPr>
      <w:pStyle w:val="a5"/>
    </w:pPr>
    <w:r>
      <w:rPr>
        <w:rFonts w:ascii="宋体" w:hAnsi="宋体"/>
        <w:sz w:val="28"/>
        <w:szCs w:val="28"/>
      </w:rPr>
      <w:fldChar w:fldCharType="begin"/>
    </w:r>
    <w:r w:rsidR="007F517E">
      <w:rPr>
        <w:rFonts w:ascii="宋体" w:hAnsi="宋体"/>
        <w:sz w:val="28"/>
        <w:szCs w:val="28"/>
      </w:rPr>
      <w:instrText xml:space="preserve"> PAGE   \* MERGEFORMAT </w:instrText>
    </w:r>
    <w:r>
      <w:rPr>
        <w:rFonts w:ascii="宋体" w:hAnsi="宋体"/>
        <w:sz w:val="28"/>
        <w:szCs w:val="28"/>
      </w:rPr>
      <w:fldChar w:fldCharType="separate"/>
    </w:r>
    <w:r w:rsidR="007F517E">
      <w:rPr>
        <w:rFonts w:ascii="宋体"/>
        <w:sz w:val="28"/>
        <w:szCs w:val="28"/>
        <w:lang w:val="zh-CN"/>
      </w:rPr>
      <w:t>-</w:t>
    </w:r>
    <w:r w:rsidR="007F517E">
      <w:rPr>
        <w:rFonts w:ascii="宋体" w:hAnsi="宋体"/>
        <w:sz w:val="28"/>
        <w:szCs w:val="28"/>
      </w:rPr>
      <w:t xml:space="preserve"> 12 -</w:t>
    </w:r>
    <w:r>
      <w:rPr>
        <w:rFonts w:ascii="宋体" w:hAnsi="宋体"/>
        <w:sz w:val="28"/>
        <w:szCs w:val="28"/>
      </w:rPr>
      <w:fldChar w:fldCharType="end"/>
    </w:r>
  </w:p>
  <w:p w:rsidR="009D1C0B" w:rsidRDefault="009D1C0B">
    <w:pPr>
      <w:pStyle w:val="a5"/>
      <w:tabs>
        <w:tab w:val="clear" w:pos="4153"/>
        <w:tab w:val="clear" w:pos="8306"/>
        <w:tab w:val="right" w:pos="9184"/>
      </w:tabs>
      <w:rPr>
        <w:rFonts w:asci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30B" w:rsidRDefault="0054030B" w:rsidP="009D1C0B">
      <w:r>
        <w:separator/>
      </w:r>
    </w:p>
  </w:footnote>
  <w:footnote w:type="continuationSeparator" w:id="0">
    <w:p w:rsidR="0054030B" w:rsidRDefault="0054030B" w:rsidP="009D1C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C0B" w:rsidRDefault="009D1C0B">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2FE70"/>
    <w:multiLevelType w:val="singleLevel"/>
    <w:tmpl w:val="2EB2FE70"/>
    <w:lvl w:ilvl="0">
      <w:start w:val="2"/>
      <w:numFmt w:val="chineseCounting"/>
      <w:suff w:val="nothing"/>
      <w:lvlText w:val="（%1）"/>
      <w:lvlJc w:val="left"/>
      <w:rPr>
        <w:rFonts w:hint="eastAsia"/>
      </w:rPr>
    </w:lvl>
  </w:abstractNum>
  <w:abstractNum w:abstractNumId="1">
    <w:nsid w:val="485EDC85"/>
    <w:multiLevelType w:val="singleLevel"/>
    <w:tmpl w:val="485EDC85"/>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60"/>
  <w:drawingGridVerticalSpacing w:val="435"/>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0174"/>
    <w:rsid w:val="9BFF62CB"/>
    <w:rsid w:val="00006E4D"/>
    <w:rsid w:val="00015544"/>
    <w:rsid w:val="00021652"/>
    <w:rsid w:val="00030311"/>
    <w:rsid w:val="00030782"/>
    <w:rsid w:val="00030B66"/>
    <w:rsid w:val="00052572"/>
    <w:rsid w:val="0006068D"/>
    <w:rsid w:val="0006102A"/>
    <w:rsid w:val="00065B0F"/>
    <w:rsid w:val="00065E7E"/>
    <w:rsid w:val="000820BB"/>
    <w:rsid w:val="0008241B"/>
    <w:rsid w:val="00083F68"/>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030B"/>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517E"/>
    <w:rsid w:val="007F637D"/>
    <w:rsid w:val="007F707F"/>
    <w:rsid w:val="007F77AA"/>
    <w:rsid w:val="007F794C"/>
    <w:rsid w:val="007F7AC9"/>
    <w:rsid w:val="00803B42"/>
    <w:rsid w:val="008073EF"/>
    <w:rsid w:val="0081095C"/>
    <w:rsid w:val="00810C41"/>
    <w:rsid w:val="008212FF"/>
    <w:rsid w:val="0082593B"/>
    <w:rsid w:val="00827537"/>
    <w:rsid w:val="00830A05"/>
    <w:rsid w:val="0083462A"/>
    <w:rsid w:val="008468EA"/>
    <w:rsid w:val="00846F12"/>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D1C0B"/>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C7C4A59"/>
    <w:rsid w:val="0F702DCC"/>
    <w:rsid w:val="10B71B4A"/>
    <w:rsid w:val="13E94EDC"/>
    <w:rsid w:val="143A1EB3"/>
    <w:rsid w:val="15AF49EA"/>
    <w:rsid w:val="19927F78"/>
    <w:rsid w:val="1DE210FA"/>
    <w:rsid w:val="21AE59D8"/>
    <w:rsid w:val="240F4E6E"/>
    <w:rsid w:val="286F56EA"/>
    <w:rsid w:val="29FB0312"/>
    <w:rsid w:val="2D527252"/>
    <w:rsid w:val="2D7A67E5"/>
    <w:rsid w:val="329102D6"/>
    <w:rsid w:val="3A9520B3"/>
    <w:rsid w:val="3DE562B7"/>
    <w:rsid w:val="3E6507EA"/>
    <w:rsid w:val="42DC31A4"/>
    <w:rsid w:val="47550EBA"/>
    <w:rsid w:val="4A0F35DD"/>
    <w:rsid w:val="50BB3388"/>
    <w:rsid w:val="649A4F60"/>
    <w:rsid w:val="6636451A"/>
    <w:rsid w:val="6BE94116"/>
    <w:rsid w:val="77483574"/>
    <w:rsid w:val="78916378"/>
    <w:rsid w:val="7BC20073"/>
    <w:rsid w:val="7C631402"/>
    <w:rsid w:val="7DCC0F6E"/>
    <w:rsid w:val="7E140770"/>
    <w:rsid w:val="7FFB73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nhideWhenUsed="0" w:qFormat="1"/>
    <w:lsdException w:name="footer" w:locked="0" w:semiHidden="0" w:unhideWhenUsed="0" w:qFormat="1"/>
    <w:lsdException w:name="caption" w:uiPriority="35" w:qFormat="1"/>
    <w:lsdException w:name="page number" w:locked="0" w:semiHidden="0" w:unhideWhenUsed="0" w:qFormat="1"/>
    <w:lsdException w:name="Title" w:semiHidden="0" w:uiPriority="10" w:unhideWhenUsed="0" w:qFormat="1"/>
    <w:lsdException w:name="Default Paragraph Font" w:locked="0" w:uiPriority="1" w:qFormat="1"/>
    <w:lsdException w:name="Body Text" w:semiHidden="0" w:uiPriority="0" w:unhideWhenUsed="0"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Document Map" w:locked="0" w:semiHidden="0" w:unhideWhenUsed="0" w:qFormat="1"/>
    <w:lsdException w:name="HTML Top of Form" w:locked="0"/>
    <w:lsdException w:name="HTML Bottom of Form" w:locked="0"/>
    <w:lsdException w:name="Normal (Web)" w:semiHidden="0" w:uiPriority="0" w:unhideWhenUsed="0" w:qFormat="1"/>
    <w:lsdException w:name="Normal Table" w:locked="0" w:qFormat="1"/>
    <w:lsdException w:name="No List" w:locked="0"/>
    <w:lsdException w:name="Outline List 1" w:locked="0"/>
    <w:lsdException w:name="Outline List 2" w:locked="0"/>
    <w:lsdException w:name="Outline List 3" w:locked="0"/>
    <w:lsdException w:name="Balloon Text" w:locked="0" w:unhideWhenUsed="0" w:qFormat="1"/>
    <w:lsdException w:name="Table Grid" w:locked="0" w:semiHidden="0"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D1C0B"/>
    <w:pPr>
      <w:widowControl w:val="0"/>
      <w:jc w:val="both"/>
    </w:pPr>
    <w:rPr>
      <w:rFonts w:ascii="Times New Roman" w:eastAsia="宋体" w:hAnsi="Times New Roman" w:cs="Times New Roman"/>
      <w:kern w:val="2"/>
      <w:sz w:val="32"/>
      <w:szCs w:val="24"/>
    </w:rPr>
  </w:style>
  <w:style w:type="paragraph" w:styleId="2">
    <w:name w:val="heading 2"/>
    <w:basedOn w:val="a"/>
    <w:next w:val="a"/>
    <w:qFormat/>
    <w:locked/>
    <w:rsid w:val="009D1C0B"/>
    <w:pPr>
      <w:spacing w:line="700" w:lineRule="exact"/>
      <w:outlineLvl w:val="1"/>
    </w:pPr>
    <w:rPr>
      <w:rFonts w:eastAsia="楷体_GB231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qFormat/>
    <w:rsid w:val="009D1C0B"/>
    <w:rPr>
      <w:rFonts w:ascii="宋体"/>
      <w:sz w:val="18"/>
      <w:szCs w:val="18"/>
    </w:rPr>
  </w:style>
  <w:style w:type="paragraph" w:styleId="a4">
    <w:name w:val="Balloon Text"/>
    <w:basedOn w:val="a"/>
    <w:link w:val="Char0"/>
    <w:uiPriority w:val="99"/>
    <w:semiHidden/>
    <w:qFormat/>
    <w:rsid w:val="009D1C0B"/>
    <w:rPr>
      <w:sz w:val="18"/>
      <w:szCs w:val="18"/>
    </w:rPr>
  </w:style>
  <w:style w:type="paragraph" w:styleId="a5">
    <w:name w:val="footer"/>
    <w:basedOn w:val="a"/>
    <w:link w:val="Char1"/>
    <w:uiPriority w:val="99"/>
    <w:qFormat/>
    <w:rsid w:val="009D1C0B"/>
    <w:pPr>
      <w:tabs>
        <w:tab w:val="center" w:pos="4153"/>
        <w:tab w:val="right" w:pos="8306"/>
      </w:tabs>
      <w:snapToGrid w:val="0"/>
      <w:jc w:val="left"/>
    </w:pPr>
    <w:rPr>
      <w:sz w:val="18"/>
      <w:szCs w:val="18"/>
    </w:rPr>
  </w:style>
  <w:style w:type="paragraph" w:styleId="a6">
    <w:name w:val="header"/>
    <w:basedOn w:val="a"/>
    <w:link w:val="Char2"/>
    <w:uiPriority w:val="99"/>
    <w:qFormat/>
    <w:rsid w:val="009D1C0B"/>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locked/>
    <w:rsid w:val="009D1C0B"/>
    <w:pPr>
      <w:spacing w:before="100" w:beforeAutospacing="1" w:after="100" w:afterAutospacing="1"/>
      <w:jc w:val="left"/>
    </w:pPr>
    <w:rPr>
      <w:kern w:val="0"/>
      <w:sz w:val="24"/>
    </w:rPr>
  </w:style>
  <w:style w:type="table" w:styleId="a8">
    <w:name w:val="Table Grid"/>
    <w:basedOn w:val="a1"/>
    <w:uiPriority w:val="99"/>
    <w:qFormat/>
    <w:rsid w:val="009D1C0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uiPriority w:val="99"/>
    <w:qFormat/>
    <w:rsid w:val="009D1C0B"/>
    <w:rPr>
      <w:rFonts w:cs="Times New Roman"/>
    </w:rPr>
  </w:style>
  <w:style w:type="character" w:customStyle="1" w:styleId="Char">
    <w:name w:val="文档结构图 Char"/>
    <w:link w:val="a3"/>
    <w:uiPriority w:val="99"/>
    <w:qFormat/>
    <w:locked/>
    <w:rsid w:val="009D1C0B"/>
    <w:rPr>
      <w:rFonts w:ascii="宋体" w:cs="Times New Roman"/>
      <w:kern w:val="2"/>
      <w:sz w:val="18"/>
      <w:szCs w:val="18"/>
    </w:rPr>
  </w:style>
  <w:style w:type="character" w:customStyle="1" w:styleId="Char0">
    <w:name w:val="批注框文本 Char"/>
    <w:link w:val="a4"/>
    <w:uiPriority w:val="99"/>
    <w:semiHidden/>
    <w:qFormat/>
    <w:locked/>
    <w:rsid w:val="009D1C0B"/>
    <w:rPr>
      <w:rFonts w:cs="Times New Roman"/>
      <w:sz w:val="2"/>
    </w:rPr>
  </w:style>
  <w:style w:type="character" w:customStyle="1" w:styleId="Char1">
    <w:name w:val="页脚 Char"/>
    <w:link w:val="a5"/>
    <w:uiPriority w:val="99"/>
    <w:qFormat/>
    <w:locked/>
    <w:rsid w:val="009D1C0B"/>
    <w:rPr>
      <w:rFonts w:cs="Times New Roman"/>
      <w:kern w:val="2"/>
      <w:sz w:val="18"/>
      <w:szCs w:val="18"/>
    </w:rPr>
  </w:style>
  <w:style w:type="character" w:customStyle="1" w:styleId="Char2">
    <w:name w:val="页眉 Char"/>
    <w:link w:val="a6"/>
    <w:uiPriority w:val="99"/>
    <w:semiHidden/>
    <w:qFormat/>
    <w:locked/>
    <w:rsid w:val="009D1C0B"/>
    <w:rPr>
      <w:rFonts w:cs="Times New Roman"/>
      <w:sz w:val="18"/>
      <w:szCs w:val="18"/>
    </w:rPr>
  </w:style>
  <w:style w:type="paragraph" w:customStyle="1" w:styleId="aa">
    <w:name w:val="四号正文"/>
    <w:basedOn w:val="a"/>
    <w:link w:val="Char3"/>
    <w:uiPriority w:val="99"/>
    <w:qFormat/>
    <w:rsid w:val="009D1C0B"/>
    <w:pPr>
      <w:spacing w:line="360" w:lineRule="auto"/>
    </w:pPr>
    <w:rPr>
      <w:rFonts w:ascii="??" w:hAnsi="??" w:cs="宋体"/>
      <w:color w:val="000000"/>
      <w:kern w:val="0"/>
      <w:sz w:val="28"/>
      <w:szCs w:val="21"/>
    </w:rPr>
  </w:style>
  <w:style w:type="character" w:customStyle="1" w:styleId="Char3">
    <w:name w:val="四号正文 Char"/>
    <w:link w:val="aa"/>
    <w:uiPriority w:val="99"/>
    <w:qFormat/>
    <w:locked/>
    <w:rsid w:val="009D1C0B"/>
    <w:rPr>
      <w:rFonts w:ascii="??" w:eastAsia="宋体" w:hAnsi="??" w:cs="宋体"/>
      <w:color w:val="000000"/>
      <w:sz w:val="21"/>
      <w:szCs w:val="21"/>
      <w:lang w:val="en-US" w:eastAsia="zh-CN" w:bidi="ar-SA"/>
    </w:rPr>
  </w:style>
  <w:style w:type="paragraph" w:customStyle="1" w:styleId="ab">
    <w:name w:val="a"/>
    <w:basedOn w:val="a"/>
    <w:uiPriority w:val="99"/>
    <w:qFormat/>
    <w:rsid w:val="009D1C0B"/>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342</Words>
  <Characters>1955</Characters>
  <Application>Microsoft Office Word</Application>
  <DocSecurity>0</DocSecurity>
  <Lines>16</Lines>
  <Paragraphs>4</Paragraphs>
  <ScaleCrop>false</ScaleCrop>
  <Company>PSZX</Company>
  <LinksUpToDate>false</LinksUpToDate>
  <CharactersWithSpaces>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区域性就业培训基地建设项目</dc:title>
  <dc:creator>陈萍</dc:creator>
  <cp:lastModifiedBy>ebluoy</cp:lastModifiedBy>
  <cp:revision>3</cp:revision>
  <cp:lastPrinted>2025-05-21T08:10:00Z</cp:lastPrinted>
  <dcterms:created xsi:type="dcterms:W3CDTF">2025-12-08T03:58:00Z</dcterms:created>
  <dcterms:modified xsi:type="dcterms:W3CDTF">2025-12-08T06:06:00Z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