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 xml:space="preserve">                                                 </w:t>
      </w:r>
    </w:p>
    <w:p>
      <w:pPr>
        <w:spacing w:line="600" w:lineRule="exact"/>
        <w:ind w:firstLine="1980" w:firstLineChars="600"/>
        <w:rPr>
          <w:rFonts w:hint="eastAsia" w:eastAsia="方正黑体_GBK"/>
          <w:sz w:val="33"/>
          <w:szCs w:val="33"/>
          <w:lang w:val="en-US" w:eastAsia="zh-CN"/>
        </w:rPr>
      </w:pPr>
      <w:r>
        <w:rPr>
          <w:rFonts w:hint="eastAsia" w:ascii="方正黑体_GBK" w:hAnsi="方正黑体_GBK" w:eastAsia="方正黑体_GBK" w:cs="方正黑体_GBK"/>
          <w:sz w:val="33"/>
          <w:szCs w:val="33"/>
          <w:lang w:val="en-US" w:eastAsia="zh-CN"/>
        </w:rPr>
        <w:t xml:space="preserve"> </w:t>
      </w:r>
      <w:r>
        <w:rPr>
          <w:rFonts w:hint="eastAsia" w:ascii="宋体" w:hAnsi="宋体" w:eastAsia="宋体"/>
          <w:b/>
          <w:bCs/>
          <w:sz w:val="44"/>
          <w:szCs w:val="44"/>
          <w:lang w:val="en-US" w:eastAsia="zh-CN"/>
        </w:rPr>
        <w:t>峨边彝族自治县财政局</w:t>
      </w:r>
    </w:p>
    <w:p>
      <w:pPr>
        <w:tabs>
          <w:tab w:val="left" w:pos="1440"/>
        </w:tabs>
        <w:spacing w:line="600" w:lineRule="exact"/>
        <w:ind w:firstLine="1320" w:firstLineChars="300"/>
        <w:rPr>
          <w:rFonts w:hint="default" w:ascii="宋体" w:hAnsi="宋体" w:eastAsia="宋体"/>
          <w:b/>
          <w:bCs/>
          <w:sz w:val="44"/>
          <w:szCs w:val="44"/>
          <w:lang w:val="en-US" w:eastAsia="zh-CN"/>
        </w:rPr>
      </w:pPr>
      <w:r>
        <w:rPr>
          <w:rFonts w:hint="eastAsia" w:ascii="方正小标宋简体" w:hAnsi="宋体" w:eastAsia="方正小标宋简体"/>
          <w:sz w:val="44"/>
          <w:szCs w:val="44"/>
          <w:lang w:val="en-US" w:eastAsia="zh-CN"/>
        </w:rPr>
        <w:t>2022年</w:t>
      </w:r>
      <w:r>
        <w:rPr>
          <w:rFonts w:hint="eastAsia" w:ascii="方正小标宋简体" w:hAnsi="宋体" w:eastAsia="方正小标宋简体"/>
          <w:sz w:val="44"/>
          <w:szCs w:val="44"/>
        </w:rPr>
        <w:t>项目支出绩效自评报告</w:t>
      </w:r>
    </w:p>
    <w:p>
      <w:pPr>
        <w:pStyle w:val="6"/>
        <w:spacing w:line="600" w:lineRule="exact"/>
        <w:ind w:firstLine="2560" w:firstLineChars="800"/>
        <w:jc w:val="both"/>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机房二级等保系统建设</w:t>
      </w:r>
      <w:r>
        <w:rPr>
          <w:rFonts w:hint="eastAsia" w:ascii="仿宋_GB2312" w:hAnsi="宋体" w:eastAsia="仿宋_GB2312"/>
          <w:color w:val="auto"/>
          <w:kern w:val="2"/>
          <w:sz w:val="32"/>
          <w:szCs w:val="32"/>
        </w:rPr>
        <w:t>）</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left="640" w:leftChars="200" w:firstLine="80" w:firstLineChars="25"/>
        <w:rPr>
          <w:rFonts w:hint="eastAsia" w:ascii="仿宋_GB2312" w:hAnsi="宋体"/>
          <w:lang w:val="en-US" w:eastAsia="zh-CN"/>
        </w:rPr>
      </w:pPr>
      <w:r>
        <w:rPr>
          <w:rFonts w:hint="eastAsia" w:ascii="仿宋_GB2312" w:hAnsi="宋体"/>
          <w:lang w:val="zh-CN"/>
        </w:rPr>
        <w:t>1．说明项目主管部门（单位）在该项目管理中的职能</w:t>
      </w:r>
      <w:r>
        <w:rPr>
          <w:rFonts w:hint="eastAsia" w:ascii="仿宋_GB2312" w:hAnsi="宋体"/>
          <w:lang w:val="en-US" w:eastAsia="zh-CN"/>
        </w:rPr>
        <w:t xml:space="preserve"> </w:t>
      </w:r>
    </w:p>
    <w:p>
      <w:pPr>
        <w:adjustRightInd w:val="0"/>
        <w:snapToGrid w:val="0"/>
        <w:spacing w:line="600" w:lineRule="exact"/>
        <w:ind w:firstLine="640" w:firstLineChars="200"/>
        <w:rPr>
          <w:rFonts w:hint="default" w:ascii="仿宋_GB2312" w:hAnsi="宋体" w:eastAsia="仿宋_GB2312"/>
          <w:lang w:val="en-US" w:eastAsia="zh-CN"/>
        </w:rPr>
      </w:pPr>
      <w:r>
        <w:rPr>
          <w:rFonts w:hint="eastAsia" w:ascii="仿宋_GB2312" w:hAnsi="宋体"/>
          <w:lang w:val="en-US" w:eastAsia="zh-CN"/>
        </w:rPr>
        <w:t>我局根据实际情况，制定机房二级等保系统建设项目管理制度，明确项目的使用范围、标准、程序和监督管理等，保证项目的合理使用。机房二级等保系统项目通过年初预算，按照预算执行情况进行监督和管理，确保此项目的使用符合预算、符合规定、符合实际需要，同时也要防止项目的滥用和浪费，对机房二级等保系统项目实施效果进行评估，及时发现问题并加以解决，提高机房二级等保系统项目的实效和质量。</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numPr>
          <w:ilvl w:val="0"/>
          <w:numId w:val="0"/>
        </w:numPr>
        <w:adjustRightInd w:val="0"/>
        <w:snapToGrid w:val="0"/>
        <w:spacing w:line="600" w:lineRule="exact"/>
        <w:ind w:firstLine="640" w:firstLineChars="200"/>
        <w:rPr>
          <w:rFonts w:hint="default" w:ascii="仿宋_GB2312" w:hAnsi="宋体" w:eastAsia="仿宋_GB2312"/>
          <w:lang w:val="en-US" w:eastAsia="zh-CN"/>
        </w:rPr>
      </w:pPr>
      <w:r>
        <w:rPr>
          <w:rFonts w:hint="eastAsia" w:ascii="仿宋_GB2312" w:hAnsi="宋体"/>
          <w:lang w:val="en-US" w:eastAsia="zh-CN"/>
        </w:rPr>
        <w:t>根据国务院颁布的《机关事业单位财务制度》中规定，各级机关事业单位可以使用财政资金来开展单位机房二级等保系统建设的维护及购买软件，实施项目必须与单位工作任务和职工岗位要求相适应。</w:t>
      </w:r>
    </w:p>
    <w:p>
      <w:pPr>
        <w:numPr>
          <w:ilvl w:val="0"/>
          <w:numId w:val="1"/>
        </w:numPr>
        <w:adjustRightInd w:val="0"/>
        <w:snapToGrid w:val="0"/>
        <w:spacing w:line="600" w:lineRule="exact"/>
        <w:ind w:left="0" w:leftChars="0" w:firstLine="720" w:firstLineChars="0"/>
        <w:rPr>
          <w:rFonts w:hint="eastAsia" w:ascii="仿宋_GB2312" w:hAnsi="宋体"/>
          <w:lang w:val="en-US" w:eastAsia="zh-CN"/>
        </w:rPr>
      </w:pPr>
      <w:r>
        <w:rPr>
          <w:rFonts w:hint="eastAsia" w:ascii="仿宋_GB2312" w:hAnsi="宋体"/>
          <w:lang w:val="zh-CN"/>
        </w:rPr>
        <w:t>资金管理办法制定情况，资金支持具体项目的条件、范围与支持方式概况。</w:t>
      </w:r>
      <w:r>
        <w:rPr>
          <w:rFonts w:hint="eastAsia" w:ascii="仿宋_GB2312" w:hAnsi="宋体"/>
          <w:lang w:val="en-US" w:eastAsia="zh-CN"/>
        </w:rPr>
        <w:t xml:space="preserve"> </w:t>
      </w:r>
    </w:p>
    <w:p>
      <w:pPr>
        <w:numPr>
          <w:ilvl w:val="0"/>
          <w:numId w:val="0"/>
        </w:numPr>
        <w:adjustRightInd w:val="0"/>
        <w:snapToGrid w:val="0"/>
        <w:spacing w:line="600" w:lineRule="exact"/>
        <w:ind w:firstLine="640" w:firstLineChars="200"/>
        <w:rPr>
          <w:rFonts w:hint="default" w:ascii="仿宋_GB2312" w:hAnsi="宋体" w:eastAsia="仿宋_GB2312"/>
          <w:lang w:val="en-US" w:eastAsia="zh-CN"/>
        </w:rPr>
      </w:pPr>
      <w:r>
        <w:rPr>
          <w:rFonts w:hint="eastAsia" w:ascii="仿宋_GB2312" w:hAnsi="宋体"/>
          <w:lang w:val="en-US" w:eastAsia="zh-CN"/>
        </w:rPr>
        <w:t>财政局根据国家有关规定及本县实际情况，制定机房二级等保系统项目管理制度，明确项目的使用范围、标准、程序和监督管理等方面的内容，保证项目的合理使用。通过我局对机房二级等保系统建设的维护及软件购买，保障全县财务软件的正常使用。</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4．资金分配</w:t>
      </w:r>
      <w:r>
        <w:rPr>
          <w:rFonts w:hint="eastAsia" w:ascii="仿宋_GB2312" w:hAnsi="宋体"/>
          <w:lang w:val="en-US" w:eastAsia="zh-CN"/>
        </w:rPr>
        <w:t>和使用方向要与资金管理方法相符。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default" w:ascii="仿宋_GB2312" w:hAnsi="宋体"/>
          <w:lang w:val="en-US"/>
        </w:rPr>
      </w:pPr>
      <w:r>
        <w:rPr>
          <w:rFonts w:hint="eastAsia" w:ascii="仿宋_GB2312" w:hAnsi="宋体"/>
          <w:lang w:val="zh-CN"/>
        </w:rPr>
        <w:t>1．项目主要内容：</w:t>
      </w:r>
      <w:r>
        <w:rPr>
          <w:rFonts w:hint="eastAsia" w:ascii="仿宋_GB2312" w:hAnsi="宋体"/>
          <w:lang w:val="en-US" w:eastAsia="zh-CN"/>
        </w:rPr>
        <w:t>明确机房二级等保系统建设项目的使用范围、标准、程序和监督管理等，保证机房二级等保系统建设项目的合理使用.</w:t>
      </w:r>
    </w:p>
    <w:p>
      <w:pPr>
        <w:adjustRightInd w:val="0"/>
        <w:snapToGrid w:val="0"/>
        <w:spacing w:line="600" w:lineRule="exact"/>
        <w:ind w:firstLine="720"/>
        <w:rPr>
          <w:rFonts w:hint="default" w:ascii="仿宋_GB2312" w:hAnsi="宋体"/>
          <w:lang w:val="en-US"/>
        </w:rPr>
      </w:pPr>
      <w:r>
        <w:rPr>
          <w:rFonts w:hint="eastAsia" w:ascii="仿宋_GB2312" w:hAnsi="宋体"/>
          <w:lang w:val="zh-CN"/>
        </w:rPr>
        <w:t>2．</w:t>
      </w:r>
      <w:r>
        <w:rPr>
          <w:rFonts w:hint="eastAsia" w:ascii="仿宋_GB2312" w:hAnsi="仿宋" w:eastAsia="仿宋_GB2312" w:cs="??_GB2312"/>
          <w:sz w:val="32"/>
          <w:szCs w:val="32"/>
        </w:rPr>
        <w:t>项目应实现的具体绩效目标</w:t>
      </w:r>
      <w:r>
        <w:rPr>
          <w:rFonts w:hint="eastAsia" w:ascii="仿宋_GB2312" w:hAnsi="仿宋" w:cs="??_GB2312"/>
          <w:sz w:val="32"/>
          <w:szCs w:val="32"/>
          <w:lang w:eastAsia="zh-CN"/>
        </w:rPr>
        <w:t>：</w:t>
      </w:r>
      <w:r>
        <w:rPr>
          <w:rFonts w:hint="eastAsia" w:ascii="仿宋_GB2312" w:hAnsi="仿宋" w:cs="??_GB2312"/>
          <w:sz w:val="32"/>
          <w:szCs w:val="32"/>
          <w:lang w:val="en-US" w:eastAsia="zh-CN"/>
        </w:rPr>
        <w:t>财政业务专网与财政业务外网之间的边界采用安全的隔离与信息交换系统，保障网络隔离安全，对信息化设备运行的环境、资源等进行安全状态监测预警、保障网络安全，通过版本管理、安全基线配置、访问控制、资源监控、安全审计和安全防护等措施，有效防范基础软件的安全风险，提高重要信息系统的安全保障能力，保障业务系统稳定运行，可持续为财政业务提供服务。</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仿宋" w:eastAsia="仿宋_GB2312" w:cs="??_GB2312"/>
          <w:sz w:val="32"/>
          <w:szCs w:val="32"/>
        </w:rPr>
        <w:t>分析评价申报内容与实际相符，申报目标合理可行。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绩效评价工作由财务室具体负责开展，负责撰写项目绩效报告评价。</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hint="eastAsia" w:ascii="楷体_GB2312" w:hAnsi="宋体" w:eastAsia="楷体_GB2312"/>
          <w:b/>
          <w:lang w:val="en-US" w:eastAsia="zh-CN"/>
        </w:rPr>
      </w:pPr>
      <w:r>
        <w:rPr>
          <w:rFonts w:hint="eastAsia" w:ascii="楷体_GB2312" w:hAnsi="宋体" w:eastAsia="楷体_GB2312"/>
          <w:b/>
          <w:lang w:val="zh-CN"/>
        </w:rPr>
        <w:t>（一）项目资金申报及批复情况。</w:t>
      </w:r>
      <w:r>
        <w:rPr>
          <w:rFonts w:hint="eastAsia" w:ascii="楷体_GB2312" w:hAnsi="宋体" w:eastAsia="楷体_GB2312"/>
          <w:b/>
          <w:lang w:val="en-US" w:eastAsia="zh-CN"/>
        </w:rPr>
        <w:t xml:space="preserve"> </w:t>
      </w:r>
    </w:p>
    <w:p>
      <w:pPr>
        <w:adjustRightInd w:val="0"/>
        <w:snapToGrid w:val="0"/>
        <w:spacing w:line="600" w:lineRule="exact"/>
        <w:ind w:firstLine="1040" w:firstLineChars="325"/>
        <w:rPr>
          <w:rFonts w:hint="default" w:ascii="楷体_GB2312" w:hAnsi="宋体" w:eastAsia="楷体_GB2312"/>
          <w:b/>
          <w:lang w:val="en-US" w:eastAsia="zh-CN"/>
        </w:rPr>
      </w:pPr>
      <w:r>
        <w:rPr>
          <w:rFonts w:hint="eastAsia" w:ascii="仿宋_GB2312" w:hAnsi="仿宋_GB2312" w:cs="仿宋_GB2312"/>
          <w:b w:val="0"/>
          <w:bCs/>
          <w:lang w:val="en-US" w:eastAsia="zh-CN"/>
        </w:rPr>
        <w:t>机房二级等保系统建设</w:t>
      </w:r>
      <w:r>
        <w:rPr>
          <w:rFonts w:hint="eastAsia" w:ascii="仿宋_GB2312" w:hAnsi="仿宋_GB2312" w:eastAsia="仿宋_GB2312" w:cs="仿宋_GB2312"/>
          <w:b w:val="0"/>
          <w:bCs/>
          <w:lang w:val="en-US" w:eastAsia="zh-CN"/>
        </w:rPr>
        <w:t>项目经费年初预算资金</w:t>
      </w:r>
      <w:r>
        <w:rPr>
          <w:rFonts w:hint="eastAsia" w:ascii="仿宋_GB2312" w:hAnsi="仿宋_GB2312" w:cs="仿宋_GB2312"/>
          <w:b w:val="0"/>
          <w:bCs/>
          <w:lang w:val="en-US" w:eastAsia="zh-CN"/>
        </w:rPr>
        <w:t>76.99</w:t>
      </w:r>
      <w:r>
        <w:rPr>
          <w:rFonts w:hint="eastAsia" w:ascii="仿宋_GB2312" w:hAnsi="仿宋_GB2312" w:eastAsia="仿宋_GB2312" w:cs="仿宋_GB2312"/>
          <w:b w:val="0"/>
          <w:bCs/>
          <w:lang w:val="en-US" w:eastAsia="zh-CN"/>
        </w:rPr>
        <w:t>万元，我局申报</w:t>
      </w:r>
      <w:r>
        <w:rPr>
          <w:rFonts w:hint="eastAsia" w:ascii="仿宋_GB2312" w:hAnsi="仿宋_GB2312" w:cs="仿宋_GB2312"/>
          <w:b w:val="0"/>
          <w:bCs/>
          <w:lang w:val="en-US" w:eastAsia="zh-CN"/>
        </w:rPr>
        <w:t>76.99</w:t>
      </w:r>
      <w:r>
        <w:rPr>
          <w:rFonts w:hint="eastAsia" w:ascii="仿宋_GB2312" w:hAnsi="仿宋_GB2312" w:eastAsia="仿宋_GB2312" w:cs="仿宋_GB2312"/>
          <w:b w:val="0"/>
          <w:bCs/>
          <w:lang w:val="en-US" w:eastAsia="zh-CN"/>
        </w:rPr>
        <w:t>万元，经财政局批复下达后，用于</w:t>
      </w:r>
      <w:r>
        <w:rPr>
          <w:rFonts w:hint="eastAsia" w:ascii="仿宋_GB2312" w:hAnsi="仿宋_GB2312" w:cs="仿宋_GB2312"/>
          <w:b w:val="0"/>
          <w:bCs/>
          <w:lang w:val="en-US" w:eastAsia="zh-CN"/>
        </w:rPr>
        <w:t>财政业务软件系统稳定运行</w:t>
      </w:r>
      <w:r>
        <w:rPr>
          <w:rFonts w:hint="eastAsia" w:ascii="仿宋_GB2312" w:hAnsi="仿宋_GB2312" w:eastAsia="仿宋_GB2312" w:cs="仿宋_GB2312"/>
          <w:b w:val="0"/>
          <w:bCs/>
          <w:lang w:val="en-US" w:eastAsia="zh-CN"/>
        </w:rPr>
        <w:t>费用。</w:t>
      </w:r>
    </w:p>
    <w:p>
      <w:pPr>
        <w:numPr>
          <w:ilvl w:val="0"/>
          <w:numId w:val="2"/>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资金计划、到位及使用情况</w:t>
      </w:r>
    </w:p>
    <w:p>
      <w:pPr>
        <w:numPr>
          <w:numId w:val="0"/>
        </w:numPr>
        <w:adjustRightInd w:val="0"/>
        <w:snapToGrid w:val="0"/>
        <w:spacing w:line="600" w:lineRule="exact"/>
        <w:ind w:firstLine="640" w:firstLineChars="200"/>
        <w:rPr>
          <w:rFonts w:hint="default" w:ascii="仿宋_GB2312" w:hAnsi="宋体" w:eastAsia="楷体_GB2312"/>
          <w:lang w:val="en-US" w:eastAsia="zh-CN"/>
        </w:rPr>
      </w:pPr>
      <w:bookmarkStart w:id="0" w:name="_GoBack"/>
      <w:bookmarkEnd w:id="0"/>
      <w:r>
        <w:rPr>
          <w:rFonts w:hint="eastAsia" w:ascii="楷体_GB2312" w:hAnsi="宋体" w:eastAsia="楷体_GB2312"/>
          <w:lang w:val="zh-CN"/>
        </w:rPr>
        <w:t>1．资金计划：</w:t>
      </w:r>
      <w:r>
        <w:rPr>
          <w:rFonts w:hint="eastAsia" w:ascii="仿宋_GB2312" w:hAnsi="宋体"/>
          <w:lang w:val="en-US" w:eastAsia="zh-CN"/>
        </w:rPr>
        <w:t>县财政资金76.99万元。</w:t>
      </w:r>
    </w:p>
    <w:p>
      <w:pPr>
        <w:adjustRightInd w:val="0"/>
        <w:snapToGrid w:val="0"/>
        <w:spacing w:line="600" w:lineRule="exact"/>
        <w:ind w:firstLine="720"/>
        <w:rPr>
          <w:rFonts w:hint="default" w:ascii="仿宋_GB2312" w:hAnsi="宋体" w:eastAsia="楷体_GB2312"/>
          <w:lang w:val="en-US" w:eastAsia="zh-CN"/>
        </w:rPr>
      </w:pPr>
      <w:r>
        <w:rPr>
          <w:rFonts w:hint="eastAsia" w:ascii="楷体_GB2312" w:hAnsi="宋体" w:eastAsia="楷体_GB2312"/>
          <w:lang w:val="zh-CN"/>
        </w:rPr>
        <w:t>2．资金到位：</w:t>
      </w:r>
      <w:r>
        <w:rPr>
          <w:rFonts w:hint="eastAsia" w:ascii="仿宋_GB2312" w:hAnsi="宋体"/>
          <w:lang w:val="en-US" w:eastAsia="zh-CN"/>
        </w:rPr>
        <w:t>县级财政资金到位76.99万元。</w:t>
      </w:r>
    </w:p>
    <w:p>
      <w:pPr>
        <w:adjustRightInd w:val="0"/>
        <w:snapToGrid w:val="0"/>
        <w:spacing w:line="600" w:lineRule="exact"/>
        <w:ind w:firstLine="720"/>
        <w:rPr>
          <w:rFonts w:hint="default" w:ascii="仿宋_GB2312" w:hAnsi="宋体" w:eastAsia="楷体_GB2312"/>
          <w:lang w:val="en-US" w:eastAsia="zh-CN"/>
        </w:rPr>
      </w:pPr>
      <w:r>
        <w:rPr>
          <w:rFonts w:hint="eastAsia" w:ascii="楷体_GB2312" w:hAnsi="宋体" w:eastAsia="楷体_GB2312"/>
          <w:lang w:val="zh-CN"/>
        </w:rPr>
        <w:t>3．资金使用：</w:t>
      </w:r>
      <w:r>
        <w:rPr>
          <w:rFonts w:hint="eastAsia" w:ascii="楷体_GB2312" w:hAnsi="宋体" w:eastAsia="楷体_GB2312"/>
          <w:lang w:val="en-US" w:eastAsia="zh-CN"/>
        </w:rPr>
        <w:t>截止2022年12月，该项目用于财政业务软件系统稳定运行费用76.99万元。</w:t>
      </w:r>
    </w:p>
    <w:p>
      <w:pPr>
        <w:adjustRightInd w:val="0"/>
        <w:snapToGrid w:val="0"/>
        <w:spacing w:line="600" w:lineRule="exact"/>
        <w:ind w:left="640" w:leftChars="200" w:firstLine="80" w:firstLineChars="25"/>
        <w:rPr>
          <w:rFonts w:hint="eastAsia" w:ascii="楷体_GB2312" w:hAnsi="宋体" w:eastAsia="楷体_GB2312"/>
          <w:b/>
          <w:lang w:val="en-US" w:eastAsia="zh-CN"/>
        </w:rPr>
      </w:pPr>
      <w:r>
        <w:rPr>
          <w:rFonts w:hint="eastAsia" w:ascii="楷体_GB2312" w:hAnsi="宋体" w:eastAsia="楷体_GB2312"/>
          <w:b/>
          <w:lang w:val="zh-CN"/>
        </w:rPr>
        <w:t>（三）项目财务管理情</w:t>
      </w:r>
      <w:r>
        <w:rPr>
          <w:rFonts w:hint="eastAsia" w:ascii="楷体_GB2312" w:hAnsi="宋体" w:eastAsia="楷体_GB2312"/>
          <w:b/>
          <w:lang w:val="en-US" w:eastAsia="zh-CN"/>
        </w:rPr>
        <w:t>况。</w:t>
      </w:r>
    </w:p>
    <w:p>
      <w:pPr>
        <w:adjustRightInd w:val="0"/>
        <w:snapToGrid w:val="0"/>
        <w:spacing w:line="600" w:lineRule="exact"/>
        <w:ind w:firstLine="720"/>
        <w:rPr>
          <w:rFonts w:hint="default" w:ascii="仿宋_GB2312" w:hAnsi="宋体"/>
          <w:lang w:val="en-US" w:eastAsia="zh-CN"/>
        </w:rPr>
      </w:pPr>
      <w:r>
        <w:rPr>
          <w:rFonts w:hint="eastAsia" w:ascii="仿宋_GB2312" w:hAnsi="宋体"/>
          <w:lang w:val="en-US" w:eastAsia="zh-CN"/>
        </w:rPr>
        <w:t>我局严格按照单位财务管理制度“一把手”负总责、分管领导具体抓、班子成员协助抓、财务室具体承办的工作格局有效开展工作。根据按制度办事、按规程操作、靠责任落实的权利运行机制开展财务管理工作。2022年我局财务管理严格按照制度和规章使用财政资金，有效利用资金为项目提供服务，财务档案按照规定已全部装订归档。</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项目组织架构及实施流程。</w:t>
      </w:r>
    </w:p>
    <w:p>
      <w:pPr>
        <w:adjustRightInd w:val="0"/>
        <w:snapToGrid w:val="0"/>
        <w:spacing w:line="600" w:lineRule="exact"/>
        <w:ind w:firstLine="720"/>
        <w:rPr>
          <w:rFonts w:hint="default" w:ascii="仿宋_GB2312" w:hAnsi="宋体"/>
          <w:lang w:val="en-US" w:eastAsia="zh-CN"/>
        </w:rPr>
      </w:pPr>
      <w:r>
        <w:rPr>
          <w:rFonts w:hint="eastAsia" w:ascii="仿宋_GB2312" w:hAnsi="宋体"/>
          <w:lang w:val="en-US" w:eastAsia="zh-CN"/>
        </w:rPr>
        <w:t>该项目主要用于财政业务专网与财政业务外网软件系统的稳定运行。</w:t>
      </w:r>
    </w:p>
    <w:p>
      <w:pPr>
        <w:numPr>
          <w:ilvl w:val="0"/>
          <w:numId w:val="3"/>
        </w:numPr>
        <w:adjustRightInd w:val="0"/>
        <w:snapToGrid w:val="0"/>
        <w:spacing w:line="60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项目管理情况。</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切实加强资金管理。一是严格执行财务管理制度，有效杜绝挪用、挤占、截留和超标、超范围使用现象，确保项目资金安全，发挥资金最大效益。二是严格审核，手续完备，程序合规，没有发现弄虚作假、优亲厚友、挤占、挪用、虚报等情况，做到对象明确、资料齐全、手续完备，接受社会监督。</w:t>
      </w:r>
    </w:p>
    <w:p>
      <w:pPr>
        <w:numPr>
          <w:ilvl w:val="0"/>
          <w:numId w:val="3"/>
        </w:numPr>
        <w:adjustRightInd w:val="0"/>
        <w:snapToGrid w:val="0"/>
        <w:spacing w:line="600" w:lineRule="exact"/>
        <w:ind w:left="0" w:leftChars="0" w:firstLine="720" w:firstLineChars="0"/>
        <w:rPr>
          <w:rFonts w:hint="eastAsia" w:ascii="楷体_GB2312" w:hAnsi="宋体" w:eastAsia="楷体_GB2312"/>
          <w:b/>
          <w:lang w:val="zh-CN"/>
        </w:rPr>
      </w:pPr>
      <w:r>
        <w:rPr>
          <w:rFonts w:hint="eastAsia" w:ascii="楷体_GB2312" w:hAnsi="宋体" w:eastAsia="楷体_GB2312"/>
          <w:b/>
          <w:bCs w:val="0"/>
          <w:lang w:val="zh-CN"/>
        </w:rPr>
        <w:t>项目</w:t>
      </w:r>
      <w:r>
        <w:rPr>
          <w:rFonts w:hint="eastAsia" w:ascii="楷体_GB2312" w:hAnsi="宋体" w:eastAsia="楷体_GB2312"/>
          <w:b/>
          <w:lang w:val="zh-CN"/>
        </w:rPr>
        <w:t>监管情况。</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严格审核，手续完备，程序合规，没有发现弄虚作假、优亲厚友、挤占、挪用、虚报等情况，做到对象明确、资料齐全、手续完备，接受社会监督。</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eastAsia="楷体_GB2312"/>
          <w:lang w:val="en-US" w:eastAsia="zh-CN"/>
        </w:rPr>
      </w:pPr>
      <w:r>
        <w:rPr>
          <w:rFonts w:hint="eastAsia" w:ascii="仿宋_GB2312" w:hAnsi="宋体"/>
          <w:lang w:val="en-US" w:eastAsia="zh-CN"/>
        </w:rPr>
        <w:t xml:space="preserve">2022年我局用机房二级等保系统建设项目资金购买了公路造价管理软件1套2.56万元，购买清单计价专家软件4套 3.56万元，移动协同办公平台1套28.63万元，购买机房用电脑3台、复印机一台、一体机一台4.91万元，购买预算一体化UK0.47万元。支付即时通系统升级及技术服务费6万元，土地计量平台服务费3.3万元，办公平台升级改造27.56万元。     </w:t>
      </w:r>
      <w:r>
        <w:rPr>
          <w:rFonts w:hint="eastAsia" w:ascii="仿宋_GB2312" w:hAnsi="宋体" w:eastAsia="楷体_GB2312"/>
          <w:lang w:val="en-US" w:eastAsia="zh-CN"/>
        </w:rPr>
        <w:t xml:space="preserve">               </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社会效益</w:t>
      </w:r>
      <w:r>
        <w:rPr>
          <w:rFonts w:hint="eastAsia" w:ascii="仿宋_GB2312" w:hAnsi="宋体"/>
          <w:lang w:val="en-US" w:eastAsia="zh-CN"/>
        </w:rPr>
        <w:t>指标：高质高效完成项目管理工作，提高财政业务软件系统稳定运行。</w:t>
      </w:r>
    </w:p>
    <w:p>
      <w:pPr>
        <w:adjustRightInd w:val="0"/>
        <w:snapToGrid w:val="0"/>
        <w:spacing w:line="600" w:lineRule="exact"/>
        <w:ind w:firstLine="720"/>
        <w:rPr>
          <w:rFonts w:ascii="仿宋_GB2312" w:hAnsi="宋体"/>
          <w:lang w:val="zh-CN"/>
        </w:rPr>
      </w:pPr>
      <w:r>
        <w:rPr>
          <w:rFonts w:hint="eastAsia" w:ascii="仿宋_GB2312" w:hAnsi="宋体"/>
          <w:lang w:val="zh-CN"/>
        </w:rPr>
        <w:t>满意度</w:t>
      </w:r>
      <w:r>
        <w:rPr>
          <w:rFonts w:hint="eastAsia" w:ascii="仿宋_GB2312" w:hAnsi="宋体"/>
          <w:lang w:val="en-US" w:eastAsia="zh-CN"/>
        </w:rPr>
        <w:t>指标：满意度98%以上。</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lang w:val="en-US" w:eastAsia="zh-CN"/>
        </w:rPr>
        <w:t>根据《峨边彝族自治县财政局关于开展2022年财政绩效评价工作的通知》文件精神，我单位认真组织开展了部门整体支出绩效评价工作，绩效评价自评得分：100分。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en-US" w:eastAsia="zh-CN"/>
        </w:rPr>
        <w:t>进一步加强资金监管，确保项目资金安全，严格审核资金拨付资料，确保程序合规，发挥资金最大效益。</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640" w:firstLineChars="200"/>
        <w:rPr>
          <w:rFonts w:hint="default" w:eastAsia="仿宋_GB2312"/>
          <w:lang w:val="en-US" w:eastAsia="zh-CN"/>
        </w:rPr>
      </w:pPr>
      <w:r>
        <w:rPr>
          <w:rFonts w:hint="eastAsia" w:ascii="仿宋_GB2312" w:hAnsi="宋体"/>
          <w:lang w:val="en-US" w:eastAsia="zh-CN"/>
        </w:rPr>
        <w:t>加强财务管理，严格财务审核。加强单位财务管理，健全单位财务管理制度体系，规范单位财务行为。在费用报账支付时按照预算规定的费用和用途进行资金使用审核、列报支付、账务核算，杜绝超支现象的发生。</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7376B"/>
    <w:multiLevelType w:val="singleLevel"/>
    <w:tmpl w:val="A5E7376B"/>
    <w:lvl w:ilvl="0" w:tentative="0">
      <w:start w:val="1"/>
      <w:numFmt w:val="chineseCounting"/>
      <w:suff w:val="nothing"/>
      <w:lvlText w:val="（%1）"/>
      <w:lvlJc w:val="left"/>
      <w:rPr>
        <w:rFonts w:hint="eastAsia"/>
      </w:rPr>
    </w:lvl>
  </w:abstractNum>
  <w:abstractNum w:abstractNumId="1">
    <w:nsid w:val="F3A07D24"/>
    <w:multiLevelType w:val="singleLevel"/>
    <w:tmpl w:val="F3A07D24"/>
    <w:lvl w:ilvl="0" w:tentative="0">
      <w:start w:val="2"/>
      <w:numFmt w:val="chineseCounting"/>
      <w:suff w:val="nothing"/>
      <w:lvlText w:val="（%1）"/>
      <w:lvlJc w:val="left"/>
      <w:rPr>
        <w:rFonts w:hint="eastAsia"/>
      </w:rPr>
    </w:lvl>
  </w:abstractNum>
  <w:abstractNum w:abstractNumId="2">
    <w:nsid w:val="49E469CD"/>
    <w:multiLevelType w:val="singleLevel"/>
    <w:tmpl w:val="49E469CD"/>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1076A25"/>
    <w:rsid w:val="03335123"/>
    <w:rsid w:val="0D466608"/>
    <w:rsid w:val="0D850CC5"/>
    <w:rsid w:val="19B536B9"/>
    <w:rsid w:val="1D582FE1"/>
    <w:rsid w:val="20240089"/>
    <w:rsid w:val="226D521A"/>
    <w:rsid w:val="24AB74E1"/>
    <w:rsid w:val="291C455A"/>
    <w:rsid w:val="29ED7527"/>
    <w:rsid w:val="2A502512"/>
    <w:rsid w:val="2ACD0A22"/>
    <w:rsid w:val="2C2D4C22"/>
    <w:rsid w:val="301F2D7B"/>
    <w:rsid w:val="36926D0C"/>
    <w:rsid w:val="3CC72258"/>
    <w:rsid w:val="402D1D4F"/>
    <w:rsid w:val="41200A45"/>
    <w:rsid w:val="414A628B"/>
    <w:rsid w:val="4D5A4289"/>
    <w:rsid w:val="4E884C28"/>
    <w:rsid w:val="511F5C35"/>
    <w:rsid w:val="52DA1C7D"/>
    <w:rsid w:val="553261AF"/>
    <w:rsid w:val="58DB06EB"/>
    <w:rsid w:val="5ABD62A5"/>
    <w:rsid w:val="5BD7112A"/>
    <w:rsid w:val="5D127D32"/>
    <w:rsid w:val="600C23F8"/>
    <w:rsid w:val="673E27F9"/>
    <w:rsid w:val="697410B3"/>
    <w:rsid w:val="69BC7BA2"/>
    <w:rsid w:val="6EF16389"/>
    <w:rsid w:val="7384318D"/>
    <w:rsid w:val="74054817"/>
    <w:rsid w:val="74276058"/>
    <w:rsid w:val="75AE0E0C"/>
    <w:rsid w:val="78AF2240"/>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1962</Words>
  <Characters>2022</Characters>
  <Lines>9</Lines>
  <Paragraphs>2</Paragraphs>
  <TotalTime>55</TotalTime>
  <ScaleCrop>false</ScaleCrop>
  <LinksUpToDate>false</LinksUpToDate>
  <CharactersWithSpaces>2098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2023-11-24T06:26:49Z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