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80" w:lineRule="exact"/>
        <w:jc w:val="center"/>
        <w:rPr>
          <w:rFonts w:ascii="仿宋_GB2312" w:hAnsi="宋体" w:eastAsia="仿宋_GB2312" w:cs="Times New Roman"/>
          <w:kern w:val="2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项目支出绩效自评报告</w:t>
      </w:r>
    </w:p>
    <w:p>
      <w:pPr>
        <w:spacing w:line="58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黑竹沟景区宣传促销项目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pStyle w:val="5"/>
        <w:spacing w:line="580" w:lineRule="exact"/>
        <w:ind w:firstLine="640"/>
        <w:jc w:val="center"/>
        <w:rPr>
          <w:rFonts w:ascii="仿宋" w:hAnsi="仿宋" w:eastAsia="仿宋" w:cs="Times New Roman"/>
          <w:kern w:val="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一、项目概况</w:t>
      </w:r>
    </w:p>
    <w:p>
      <w:pPr>
        <w:adjustRightInd w:val="0"/>
        <w:snapToGrid w:val="0"/>
        <w:spacing w:line="580" w:lineRule="exact"/>
        <w:ind w:firstLine="72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（一）项目基本情况。</w:t>
      </w:r>
    </w:p>
    <w:p>
      <w:pPr>
        <w:adjustRightInd w:val="0"/>
        <w:snapToGrid w:val="0"/>
        <w:spacing w:line="580" w:lineRule="exact"/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1、风景名胜区的宣传促销，主要对景区旅游资源能通过不同的平台进行包装宣传。</w:t>
      </w:r>
      <w:bookmarkStart w:id="0" w:name="_GoBack"/>
      <w:bookmarkEnd w:id="0"/>
    </w:p>
    <w:p>
      <w:pPr>
        <w:adjustRightInd w:val="0"/>
        <w:snapToGrid w:val="0"/>
        <w:spacing w:line="580" w:lineRule="exact"/>
        <w:ind w:firstLine="480" w:firstLineChars="15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2、宣传经费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根据往年资金拨付情况再结合当前实际情况进行资金分配，在年中若有变化再进行预算调整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72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（二）项目绩效目标。</w:t>
      </w:r>
    </w:p>
    <w:p>
      <w:pPr>
        <w:adjustRightInd w:val="0"/>
        <w:snapToGrid w:val="0"/>
        <w:spacing w:line="580" w:lineRule="exact"/>
        <w:ind w:firstLine="720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</w:rPr>
        <w:t>继续与携程网、同程网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lang w:eastAsia="zh-CN"/>
        </w:rPr>
        <w:t>等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</w:rPr>
        <w:t>开展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lang w:eastAsia="zh-CN"/>
        </w:rPr>
        <w:t>线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</w:rPr>
        <w:t>上销售合作，方便游客购票和了解景区；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lang w:eastAsia="zh-CN"/>
        </w:rPr>
        <w:t>及时更新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</w:rPr>
        <w:t>微信公众号、景区官网、微博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lang w:eastAsia="zh-CN"/>
        </w:rPr>
        <w:t>、今日头条等线上推广平台内容。</w:t>
      </w:r>
    </w:p>
    <w:p>
      <w:pPr>
        <w:adjustRightInd w:val="0"/>
        <w:snapToGrid w:val="0"/>
        <w:spacing w:line="580" w:lineRule="exact"/>
        <w:ind w:firstLine="720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全面完成景区四季风光片制作，新编并印制景区宣传画册，完成邮票珍藏册定向邮品制作，全方位宣传和展示黑竹沟八大景区四季风光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华文仿宋" w:cs="华文仿宋"/>
          <w:color w:val="000000"/>
          <w:spacing w:val="0"/>
          <w:sz w:val="32"/>
          <w:szCs w:val="32"/>
          <w:lang w:val="en-US" w:eastAsia="zh-CN"/>
        </w:rPr>
        <w:t>推出“中石化会员日黑竹沟专场活动”，通过提供部分优惠门票，以在线上平台发布活动公告及宣传软文、在线下热门加油站张贴活动海报等方式，吸引中石化客户在特定的日期进景区游览，增加景区游客量和曝光度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（三）项目自评步骤及方法。</w:t>
      </w:r>
    </w:p>
    <w:p>
      <w:pPr>
        <w:adjustRightInd w:val="0"/>
        <w:snapToGrid w:val="0"/>
        <w:spacing w:line="580" w:lineRule="exact"/>
        <w:ind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绩效评价工作由财务室组织指导，业务股室归口负责。</w:t>
      </w:r>
    </w:p>
    <w:p>
      <w:pPr>
        <w:adjustRightInd w:val="0"/>
        <w:snapToGrid w:val="0"/>
        <w:spacing w:line="580" w:lineRule="exact"/>
        <w:ind w:firstLine="7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1、财务室主要职责：负责绩效评价工作方案制定，负责指导各业务股室开展绩效评价工作，负责资金使用情况收集，负责项目绩效评价的汇总，负责撰写绩效评价汇报资料。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2、业务股室主要职责：具体负责开展项目绩效评价，撰写项目绩效评价报告。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二、项目资金申报及使用情况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（一）项目资金申报及批复情况。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该项目为部门预算项目，中途没有进行预算调整。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（二）资金计划、到位及使用情况（可用表格形式反映）。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．资金计划。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县财政资金预算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．资金到位。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县级财政资金到位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13.1378万元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．资金使用。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截止目前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13.1378万还未全部使用完成，正在根据与平台方签订的合同按约定支付。资金使用安全、规范，支付范围、</w:t>
      </w:r>
      <w:r>
        <w:rPr>
          <w:rFonts w:hint="eastAsia" w:ascii="仿宋" w:hAnsi="仿宋" w:eastAsia="仿宋" w:cs="仿宋"/>
          <w:sz w:val="32"/>
          <w:szCs w:val="32"/>
        </w:rPr>
        <w:t>支付标准、支付进度、支付依据等合规合法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与预算相符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（三）项目财务管理情况。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单位财务管理制度健全，严格执行财务管理制度，账务处理及时，会计核算规范。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三、项目实施及管理情况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结合项目组织实施管理办法，重点围绕以下内容进行分析评价，并对自评中发现的问题分析说明。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项目组织架构及实施流程。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本项目为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景区旅游资源通过不同的平台进行包装宣传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3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（二）项目管理情况。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项目实施单位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sz w:val="32"/>
          <w:szCs w:val="32"/>
        </w:rPr>
        <w:t>执行相关法律法规及项目管理制度，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严格按</w:t>
      </w:r>
      <w:r>
        <w:rPr>
          <w:rFonts w:hint="eastAsia" w:ascii="仿宋" w:hAnsi="仿宋" w:eastAsia="仿宋" w:cs="仿宋"/>
          <w:sz w:val="32"/>
          <w:szCs w:val="32"/>
        </w:rPr>
        <w:t>投标、政府采购、项目公示制等相关规定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72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（三）项目监管情况。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我委《合同法》、政府采购、等相关规章制度，并在资金支付时都在党工委会上讨论通过再行支付。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四、项目绩效情况</w:t>
      </w:r>
      <w:r>
        <w:rPr>
          <w:rFonts w:ascii="仿宋" w:hAnsi="仿宋" w:eastAsia="仿宋" w:cs="Times New Roman"/>
          <w:sz w:val="32"/>
          <w:szCs w:val="32"/>
        </w:rPr>
        <w:tab/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（一）项目完成情况。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宣传促销不仅仅增加了我县的旅游收入，同时也为提升峨边旅游影响力做出了贡献，截止目前，该项目完成了预定的绩效目标。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（二）项目效益情况。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该项目提升了黑竹沟景区的接待能力，提升了黑竹沟景区的知名度，群众满意度达到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100%。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五、评价结论及建议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（一）评价结论。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该项目增加了我县的旅游收入，同时也为提升峨边旅游影响力做出了贡献，该项目完成了预定的绩效目标。</w:t>
      </w:r>
    </w:p>
    <w:p>
      <w:pPr>
        <w:numPr>
          <w:ilvl w:val="0"/>
          <w:numId w:val="1"/>
        </w:numPr>
        <w:adjustRightInd w:val="0"/>
        <w:snapToGrid w:val="0"/>
        <w:spacing w:line="580" w:lineRule="exact"/>
        <w:ind w:left="0" w:leftChars="0" w:firstLine="7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存在的问题。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目前黑竹沟景区基础建设还有限，接待游客也有限，如遇到高峰时段还需分流，所以景区宣传力度也是只能一直保持在一个水平。</w:t>
      </w:r>
    </w:p>
    <w:p>
      <w:pPr>
        <w:adjustRightInd w:val="0"/>
        <w:snapToGrid w:val="0"/>
        <w:spacing w:line="580" w:lineRule="exact"/>
        <w:ind w:firstLine="72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（三）相关建议。</w:t>
      </w:r>
    </w:p>
    <w:p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加大黑竹沟景区的开发力度，增设景点，完善基础设施建设，不断提高接待能力。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58542449">
    <w:nsid w:val="7AB2DD71"/>
    <w:multiLevelType w:val="singleLevel"/>
    <w:tmpl w:val="7AB2DD71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0585424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20EEA"/>
    <w:rsid w:val="09520EEA"/>
    <w:rsid w:val="350E5D58"/>
    <w:rsid w:val="46BD2CB7"/>
    <w:rsid w:val="52EA31E3"/>
    <w:rsid w:val="629F1415"/>
    <w:rsid w:val="64FC15ED"/>
    <w:rsid w:val="6F5A05BD"/>
    <w:rsid w:val="7A9B3C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customStyle="1" w:styleId="5">
    <w:name w:val="四号正文"/>
    <w:basedOn w:val="1"/>
    <w:qFormat/>
    <w:uiPriority w:val="99"/>
    <w:pPr>
      <w:spacing w:line="360" w:lineRule="auto"/>
    </w:pPr>
    <w:rPr>
      <w:rFonts w:ascii="??" w:hAnsi="??" w:cs="??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2019-10-28T11:18:00Z</dcterms:created>
  <dc:creator>庞敏</dc:creator>
  <cp:lastModifiedBy>Administrator</cp:lastModifiedBy>
  <dcterms:modified xsi:type="dcterms:W3CDTF">2020-12-31T07:04:28Z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