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9F9D">
      <w:pPr>
        <w:pStyle w:val="8"/>
        <w:spacing w:before="93"/>
      </w:pPr>
      <w:bookmarkStart w:id="0" w:name="_Toc15306267"/>
    </w:p>
    <w:p w14:paraId="61ABA39E">
      <w:pPr>
        <w:widowControl w:val="0"/>
        <w:suppressAutoHyphens/>
        <w:spacing w:before="0" w:after="140" w:line="276" w:lineRule="auto"/>
        <w:jc w:val="center"/>
        <w:rPr>
          <w:rFonts w:hint="eastAsia" w:ascii="方正小标宋简体" w:hAnsi="宋体" w:eastAsia="方正小标宋简体" w:cs="Times New Roman"/>
          <w:kern w:val="2"/>
          <w:sz w:val="44"/>
          <w:szCs w:val="44"/>
          <w:lang w:val="en-US" w:eastAsia="zh-CN" w:bidi="ar-SA"/>
        </w:rPr>
      </w:pPr>
    </w:p>
    <w:p w14:paraId="3B38EEB9">
      <w:pPr>
        <w:widowControl w:val="0"/>
        <w:suppressAutoHyphens/>
        <w:spacing w:before="0" w:after="140" w:line="276" w:lineRule="auto"/>
        <w:jc w:val="center"/>
        <w:rPr>
          <w:rFonts w:hint="eastAsia" w:ascii="方正小标宋简体" w:hAnsi="宋体" w:eastAsia="方正小标宋简体" w:cs="Times New Roman"/>
          <w:kern w:val="2"/>
          <w:sz w:val="44"/>
          <w:szCs w:val="44"/>
          <w:lang w:val="en-US" w:eastAsia="zh-CN" w:bidi="ar-SA"/>
        </w:rPr>
      </w:pPr>
    </w:p>
    <w:p w14:paraId="0FAC1099">
      <w:pPr>
        <w:widowControl w:val="0"/>
        <w:suppressAutoHyphens/>
        <w:spacing w:before="0" w:after="140" w:line="276" w:lineRule="auto"/>
        <w:jc w:val="center"/>
        <w:rPr>
          <w:rFonts w:hint="eastAsia" w:ascii="方正小标宋简体" w:hAnsi="宋体" w:eastAsia="方正小标宋简体" w:cs="Times New Roman"/>
          <w:kern w:val="2"/>
          <w:sz w:val="44"/>
          <w:szCs w:val="44"/>
          <w:lang w:val="en-US" w:eastAsia="zh-CN" w:bidi="ar-SA"/>
        </w:rPr>
      </w:pPr>
    </w:p>
    <w:p w14:paraId="7A29E8FB">
      <w:pPr>
        <w:widowControl w:val="0"/>
        <w:suppressAutoHyphens/>
        <w:spacing w:before="0" w:after="140" w:line="276" w:lineRule="auto"/>
        <w:jc w:val="center"/>
        <w:rPr>
          <w:rFonts w:hint="eastAsia" w:ascii="方正小标宋简体" w:hAnsi="宋体" w:eastAsia="方正小标宋简体" w:cs="Times New Roman"/>
          <w:kern w:val="2"/>
          <w:sz w:val="44"/>
          <w:szCs w:val="44"/>
          <w:lang w:val="en-US" w:eastAsia="zh-CN" w:bidi="ar-SA"/>
        </w:rPr>
      </w:pPr>
    </w:p>
    <w:p w14:paraId="6C03F196">
      <w:pPr>
        <w:widowControl w:val="0"/>
        <w:suppressAutoHyphens/>
        <w:spacing w:before="0" w:after="140" w:line="276" w:lineRule="auto"/>
        <w:jc w:val="center"/>
        <w:rPr>
          <w:rFonts w:hint="eastAsia" w:ascii="方正小标宋简体" w:hAnsi="宋体" w:eastAsia="方正小标宋简体" w:cs="Times New Roman"/>
          <w:kern w:val="2"/>
          <w:sz w:val="44"/>
          <w:szCs w:val="44"/>
          <w:lang w:val="en-US" w:eastAsia="zh-CN" w:bidi="ar-SA"/>
        </w:rPr>
      </w:pPr>
      <w:r>
        <w:rPr>
          <w:rFonts w:hint="eastAsia" w:ascii="方正小标宋简体" w:hAnsi="宋体" w:eastAsia="方正小标宋简体" w:cs="Times New Roman"/>
          <w:kern w:val="2"/>
          <w:sz w:val="44"/>
          <w:szCs w:val="44"/>
          <w:lang w:val="en-US" w:eastAsia="zh-CN" w:bidi="ar-SA"/>
        </w:rPr>
        <w:t>2023年度</w:t>
      </w:r>
    </w:p>
    <w:p w14:paraId="62C75EB3">
      <w:pPr>
        <w:widowControl w:val="0"/>
        <w:suppressAutoHyphens/>
        <w:spacing w:before="0" w:after="140" w:line="276" w:lineRule="auto"/>
        <w:jc w:val="center"/>
        <w:outlineLvl w:val="0"/>
        <w:rPr>
          <w:rFonts w:hint="eastAsia" w:ascii="方正小标宋简体" w:hAnsi="宋体" w:eastAsia="方正小标宋简体" w:cs="Times New Roman"/>
          <w:kern w:val="2"/>
          <w:sz w:val="44"/>
          <w:szCs w:val="44"/>
          <w:lang w:val="en-US" w:eastAsia="zh-CN" w:bidi="ar-SA"/>
        </w:rPr>
      </w:pPr>
      <w:bookmarkStart w:id="1" w:name="_Toc25185"/>
      <w:bookmarkStart w:id="2" w:name="_Toc12374"/>
      <w:r>
        <w:rPr>
          <w:rFonts w:hint="eastAsia" w:ascii="方正小标宋简体" w:hAnsi="宋体" w:eastAsia="方正小标宋简体" w:cs="Times New Roman"/>
          <w:kern w:val="2"/>
          <w:sz w:val="44"/>
          <w:szCs w:val="44"/>
          <w:lang w:val="en-US" w:eastAsia="zh-CN" w:bidi="ar-SA"/>
        </w:rPr>
        <w:t>峨边彝族自治县黑竹沟镇人民政府</w:t>
      </w:r>
      <w:bookmarkEnd w:id="1"/>
    </w:p>
    <w:p w14:paraId="499D0529">
      <w:pPr>
        <w:widowControl w:val="0"/>
        <w:suppressAutoHyphens/>
        <w:spacing w:before="0" w:after="140" w:line="276" w:lineRule="auto"/>
        <w:jc w:val="center"/>
        <w:outlineLvl w:val="0"/>
        <w:rPr>
          <w:rFonts w:ascii="方正小标宋简体" w:hAnsi="宋体" w:eastAsia="方正小标宋简体"/>
          <w:sz w:val="72"/>
          <w:szCs w:val="72"/>
        </w:rPr>
      </w:pPr>
      <w:bookmarkStart w:id="3" w:name="_Toc25471"/>
      <w:r>
        <w:rPr>
          <w:rFonts w:hint="eastAsia" w:ascii="方正小标宋简体" w:hAnsi="宋体" w:eastAsia="方正小标宋简体" w:cs="Times New Roman"/>
          <w:kern w:val="2"/>
          <w:sz w:val="44"/>
          <w:szCs w:val="44"/>
          <w:lang w:val="en-US" w:eastAsia="zh-CN" w:bidi="ar-SA"/>
        </w:rPr>
        <w:t>单位决算</w:t>
      </w:r>
      <w:bookmarkEnd w:id="2"/>
      <w:bookmarkEnd w:id="3"/>
    </w:p>
    <w:bookmarkEnd w:id="0"/>
    <w:p w14:paraId="43F10F5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4511D76">
      <w:pPr>
        <w:widowControl/>
        <w:jc w:val="center"/>
        <w:rPr>
          <w:rFonts w:ascii="黑体" w:hAnsi="黑体" w:eastAsia="黑体" w:cstheme="minorBidi"/>
          <w:sz w:val="28"/>
          <w:szCs w:val="28"/>
        </w:rPr>
      </w:pPr>
    </w:p>
    <w:p w14:paraId="1317945F">
      <w:pPr>
        <w:pStyle w:val="13"/>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 xml:space="preserve">16 </w:t>
      </w:r>
      <w:r>
        <w:rPr>
          <w:rFonts w:hint="eastAsia"/>
        </w:rPr>
        <w:t>日</w:t>
      </w:r>
    </w:p>
    <w:p w14:paraId="4153F13C"/>
    <w:sdt>
      <w:sdtPr>
        <w:rPr>
          <w:rFonts w:ascii="宋体" w:hAnsi="宋体" w:eastAsia="宋体" w:cs="Times New Roman"/>
          <w:kern w:val="2"/>
          <w:sz w:val="21"/>
          <w:szCs w:val="24"/>
          <w:lang w:val="en-US" w:eastAsia="zh-CN" w:bidi="ar-SA"/>
        </w:rPr>
        <w:id w:val="14745485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D29976A">
          <w:pPr>
            <w:spacing w:before="0" w:beforeLines="0" w:after="0" w:afterLines="0" w:line="240" w:lineRule="auto"/>
            <w:ind w:left="0" w:leftChars="0" w:right="0" w:rightChars="0" w:firstLine="0" w:firstLineChars="0"/>
            <w:jc w:val="center"/>
          </w:pPr>
          <w:bookmarkStart w:id="4" w:name="_Toc15377196"/>
          <w:bookmarkStart w:id="5" w:name="_Toc15396599"/>
          <w:r>
            <w:fldChar w:fldCharType="begin"/>
          </w:r>
          <w:r>
            <w:instrText xml:space="preserve">TOC \o "1-2" \h \u </w:instrText>
          </w:r>
          <w:r>
            <w:fldChar w:fldCharType="separate"/>
          </w:r>
        </w:p>
        <w:p w14:paraId="3EFC9E78">
          <w:pPr>
            <w:pStyle w:val="21"/>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_Toc4241 </w:instrText>
          </w:r>
          <w:r>
            <w:fldChar w:fldCharType="separate"/>
          </w:r>
          <w:r>
            <w:rPr>
              <w:rFonts w:hint="eastAsia"/>
            </w:rPr>
            <w:t>第一部分 单位概况</w:t>
          </w:r>
          <w:r>
            <w:rPr>
              <w:rFonts w:hint="default" w:ascii="Times New Roman" w:hAnsi="Times New Roman" w:eastAsia="宋体" w:cs="Times New Roman"/>
              <w:sz w:val="24"/>
              <w:szCs w:val="24"/>
            </w:rPr>
            <w:tab/>
          </w:r>
          <w:r>
            <w:fldChar w:fldCharType="begin"/>
          </w:r>
          <w:r>
            <w:instrText xml:space="preserve"> PAGEREF _Toc4241 \h </w:instrText>
          </w:r>
          <w:r>
            <w:fldChar w:fldCharType="separate"/>
          </w:r>
          <w:r>
            <w:t>3</w:t>
          </w:r>
          <w:r>
            <w:fldChar w:fldCharType="end"/>
          </w:r>
          <w:r>
            <w:fldChar w:fldCharType="end"/>
          </w:r>
        </w:p>
        <w:p w14:paraId="26A63CFD">
          <w:pPr>
            <w:pStyle w:val="22"/>
            <w:keepNext w:val="0"/>
            <w:keepLines w:val="0"/>
            <w:pageBreakBefore w:val="0"/>
            <w:widowControl w:val="0"/>
            <w:kinsoku/>
            <w:wordWrap/>
            <w:overflowPunct/>
            <w:topLinePunct w:val="0"/>
            <w:autoSpaceDE/>
            <w:autoSpaceDN/>
            <w:bidi w:val="0"/>
            <w:spacing w:line="240" w:lineRule="auto"/>
            <w:textAlignment w:val="auto"/>
            <w:rPr>
              <w:b w:val="0"/>
              <w:bCs w:val="0"/>
            </w:rPr>
          </w:pPr>
          <w:r>
            <w:rPr>
              <w:b w:val="0"/>
              <w:bCs w:val="0"/>
            </w:rPr>
            <w:fldChar w:fldCharType="begin"/>
          </w:r>
          <w:r>
            <w:rPr>
              <w:b w:val="0"/>
              <w:bCs w:val="0"/>
            </w:rPr>
            <w:instrText xml:space="preserve"> HYPERLINK \l _Toc12936 </w:instrText>
          </w:r>
          <w:r>
            <w:rPr>
              <w:b w:val="0"/>
              <w:bCs w:val="0"/>
            </w:rPr>
            <w:fldChar w:fldCharType="separate"/>
          </w:r>
          <w:r>
            <w:rPr>
              <w:rFonts w:hint="eastAsia"/>
              <w:b w:val="0"/>
              <w:bCs w:val="0"/>
            </w:rPr>
            <w:t>一、主要职责</w:t>
          </w:r>
          <w:r>
            <w:rPr>
              <w:b w:val="0"/>
              <w:bCs w:val="0"/>
            </w:rPr>
            <w:tab/>
          </w:r>
          <w:r>
            <w:rPr>
              <w:b w:val="0"/>
              <w:bCs w:val="0"/>
            </w:rPr>
            <w:fldChar w:fldCharType="begin"/>
          </w:r>
          <w:r>
            <w:rPr>
              <w:b w:val="0"/>
              <w:bCs w:val="0"/>
            </w:rPr>
            <w:instrText xml:space="preserve"> PAGEREF _Toc12936 \h </w:instrText>
          </w:r>
          <w:r>
            <w:rPr>
              <w:b w:val="0"/>
              <w:bCs w:val="0"/>
            </w:rPr>
            <w:fldChar w:fldCharType="separate"/>
          </w:r>
          <w:r>
            <w:rPr>
              <w:b w:val="0"/>
              <w:bCs w:val="0"/>
            </w:rPr>
            <w:t>3</w:t>
          </w:r>
          <w:r>
            <w:rPr>
              <w:b w:val="0"/>
              <w:bCs w:val="0"/>
            </w:rPr>
            <w:fldChar w:fldCharType="end"/>
          </w:r>
          <w:r>
            <w:rPr>
              <w:b w:val="0"/>
              <w:bCs w:val="0"/>
            </w:rPr>
            <w:fldChar w:fldCharType="end"/>
          </w:r>
        </w:p>
        <w:p w14:paraId="6976158C">
          <w:pPr>
            <w:pStyle w:val="22"/>
            <w:keepNext w:val="0"/>
            <w:keepLines w:val="0"/>
            <w:pageBreakBefore w:val="0"/>
            <w:widowControl w:val="0"/>
            <w:kinsoku/>
            <w:wordWrap/>
            <w:overflowPunct/>
            <w:topLinePunct w:val="0"/>
            <w:autoSpaceDE/>
            <w:autoSpaceDN/>
            <w:bidi w:val="0"/>
            <w:spacing w:line="240" w:lineRule="auto"/>
            <w:textAlignment w:val="auto"/>
          </w:pPr>
          <w:r>
            <w:rPr>
              <w:b w:val="0"/>
              <w:bCs w:val="0"/>
            </w:rPr>
            <w:fldChar w:fldCharType="begin"/>
          </w:r>
          <w:r>
            <w:rPr>
              <w:b w:val="0"/>
              <w:bCs w:val="0"/>
            </w:rPr>
            <w:instrText xml:space="preserve"> HYPERLINK \l _Toc25037 </w:instrText>
          </w:r>
          <w:r>
            <w:rPr>
              <w:b w:val="0"/>
              <w:bCs w:val="0"/>
            </w:rPr>
            <w:fldChar w:fldCharType="separate"/>
          </w:r>
          <w:r>
            <w:rPr>
              <w:rFonts w:hint="eastAsia"/>
              <w:b w:val="0"/>
              <w:bCs w:val="0"/>
            </w:rPr>
            <w:t>二、机构设置</w:t>
          </w:r>
          <w:r>
            <w:rPr>
              <w:b w:val="0"/>
              <w:bCs w:val="0"/>
            </w:rPr>
            <w:tab/>
          </w:r>
          <w:r>
            <w:rPr>
              <w:b w:val="0"/>
              <w:bCs w:val="0"/>
            </w:rPr>
            <w:fldChar w:fldCharType="begin"/>
          </w:r>
          <w:r>
            <w:rPr>
              <w:b w:val="0"/>
              <w:bCs w:val="0"/>
            </w:rPr>
            <w:instrText xml:space="preserve"> PAGEREF _Toc25037 \h </w:instrText>
          </w:r>
          <w:r>
            <w:rPr>
              <w:b w:val="0"/>
              <w:bCs w:val="0"/>
            </w:rPr>
            <w:fldChar w:fldCharType="separate"/>
          </w:r>
          <w:r>
            <w:rPr>
              <w:b w:val="0"/>
              <w:bCs w:val="0"/>
            </w:rPr>
            <w:t>3</w:t>
          </w:r>
          <w:r>
            <w:rPr>
              <w:b w:val="0"/>
              <w:bCs w:val="0"/>
            </w:rPr>
            <w:fldChar w:fldCharType="end"/>
          </w:r>
          <w:r>
            <w:rPr>
              <w:b w:val="0"/>
              <w:bCs w:val="0"/>
            </w:rPr>
            <w:fldChar w:fldCharType="end"/>
          </w:r>
        </w:p>
        <w:p w14:paraId="6827CBBB">
          <w:pPr>
            <w:pStyle w:val="21"/>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_Toc8815 </w:instrText>
          </w:r>
          <w:r>
            <w:fldChar w:fldCharType="separate"/>
          </w:r>
          <w:r>
            <w:rPr>
              <w:rFonts w:hint="eastAsia"/>
            </w:rPr>
            <w:t>第二部分 2023年度单位决算情况说明</w:t>
          </w:r>
          <w:r>
            <w:rPr>
              <w:rFonts w:hint="default" w:ascii="Times New Roman" w:hAnsi="Times New Roman" w:eastAsia="宋体" w:cs="Times New Roman"/>
              <w:sz w:val="24"/>
              <w:szCs w:val="24"/>
            </w:rPr>
            <w:tab/>
          </w:r>
          <w:r>
            <w:fldChar w:fldCharType="begin"/>
          </w:r>
          <w:r>
            <w:instrText xml:space="preserve"> PAGEREF _Toc8815 \h </w:instrText>
          </w:r>
          <w:r>
            <w:fldChar w:fldCharType="separate"/>
          </w:r>
          <w:r>
            <w:t>5</w:t>
          </w:r>
          <w:r>
            <w:fldChar w:fldCharType="end"/>
          </w:r>
          <w:r>
            <w:fldChar w:fldCharType="end"/>
          </w:r>
        </w:p>
        <w:p w14:paraId="14123A46">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_Toc2920 </w:instrText>
          </w:r>
          <w:r>
            <w:fldChar w:fldCharType="separate"/>
          </w:r>
          <w:r>
            <w:rPr>
              <w:rFonts w:hint="default"/>
            </w:rPr>
            <w:t>一、</w:t>
          </w:r>
          <w:r>
            <w:rPr>
              <w:rFonts w:hint="eastAsia"/>
            </w:rPr>
            <w:t>收入支出决算总体情况说明</w:t>
          </w:r>
          <w:r>
            <w:tab/>
          </w:r>
          <w:r>
            <w:fldChar w:fldCharType="begin"/>
          </w:r>
          <w:r>
            <w:instrText xml:space="preserve"> PAGEREF _Toc2920 \h </w:instrText>
          </w:r>
          <w:r>
            <w:fldChar w:fldCharType="separate"/>
          </w:r>
          <w:r>
            <w:t>5</w:t>
          </w:r>
          <w:r>
            <w:fldChar w:fldCharType="end"/>
          </w:r>
          <w:r>
            <w:fldChar w:fldCharType="end"/>
          </w:r>
        </w:p>
        <w:p w14:paraId="615DA7C2">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_Toc19788 </w:instrText>
          </w:r>
          <w:r>
            <w:fldChar w:fldCharType="separate"/>
          </w:r>
          <w:r>
            <w:rPr>
              <w:rFonts w:hint="default"/>
            </w:rPr>
            <w:t>二、</w:t>
          </w:r>
          <w:r>
            <w:rPr>
              <w:rFonts w:hint="eastAsia"/>
            </w:rPr>
            <w:t>收入决算情况说明</w:t>
          </w:r>
          <w:r>
            <w:tab/>
          </w:r>
          <w:r>
            <w:fldChar w:fldCharType="begin"/>
          </w:r>
          <w:r>
            <w:instrText xml:space="preserve"> PAGEREF _Toc19788 \h </w:instrText>
          </w:r>
          <w:r>
            <w:fldChar w:fldCharType="separate"/>
          </w:r>
          <w:r>
            <w:t>5</w:t>
          </w:r>
          <w:r>
            <w:fldChar w:fldCharType="end"/>
          </w:r>
          <w:r>
            <w:fldChar w:fldCharType="end"/>
          </w:r>
        </w:p>
        <w:p w14:paraId="12CCE89D">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_Toc22757 </w:instrText>
          </w:r>
          <w:r>
            <w:fldChar w:fldCharType="separate"/>
          </w:r>
          <w:r>
            <w:rPr>
              <w:rFonts w:hint="default"/>
            </w:rPr>
            <w:t>三、</w:t>
          </w:r>
          <w:r>
            <w:rPr>
              <w:rFonts w:hint="eastAsia"/>
            </w:rPr>
            <w:t>支出决算情况说明</w:t>
          </w:r>
          <w:r>
            <w:tab/>
          </w:r>
          <w:r>
            <w:fldChar w:fldCharType="begin"/>
          </w:r>
          <w:r>
            <w:instrText xml:space="preserve"> PAGEREF _Toc22757 \h </w:instrText>
          </w:r>
          <w:r>
            <w:fldChar w:fldCharType="separate"/>
          </w:r>
          <w:r>
            <w:t>6</w:t>
          </w:r>
          <w:r>
            <w:fldChar w:fldCharType="end"/>
          </w:r>
          <w:r>
            <w:fldChar w:fldCharType="end"/>
          </w:r>
        </w:p>
        <w:p w14:paraId="0F51DD02">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_Toc11066 </w:instrText>
          </w:r>
          <w:r>
            <w:fldChar w:fldCharType="separate"/>
          </w:r>
          <w:r>
            <w:rPr>
              <w:rFonts w:hint="eastAsia"/>
            </w:rPr>
            <w:t>四、财政拨款收入支出决算总体情况说明</w:t>
          </w:r>
          <w:r>
            <w:tab/>
          </w:r>
          <w:r>
            <w:fldChar w:fldCharType="begin"/>
          </w:r>
          <w:r>
            <w:instrText xml:space="preserve"> PAGEREF _Toc11066 \h </w:instrText>
          </w:r>
          <w:r>
            <w:fldChar w:fldCharType="separate"/>
          </w:r>
          <w:r>
            <w:t>7</w:t>
          </w:r>
          <w:r>
            <w:fldChar w:fldCharType="end"/>
          </w:r>
          <w:r>
            <w:fldChar w:fldCharType="end"/>
          </w:r>
        </w:p>
        <w:p w14:paraId="0BA2A4EE">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_Toc23052 </w:instrText>
          </w:r>
          <w:r>
            <w:fldChar w:fldCharType="separate"/>
          </w:r>
          <w:r>
            <w:rPr>
              <w:rFonts w:hint="eastAsia"/>
            </w:rPr>
            <w:t>五、一般公共预算财政拨款支出决算情况说明</w:t>
          </w:r>
          <w:r>
            <w:tab/>
          </w:r>
          <w:r>
            <w:fldChar w:fldCharType="begin"/>
          </w:r>
          <w:r>
            <w:instrText xml:space="preserve"> PAGEREF _Toc23052 \h </w:instrText>
          </w:r>
          <w:r>
            <w:fldChar w:fldCharType="separate"/>
          </w:r>
          <w:r>
            <w:t>8</w:t>
          </w:r>
          <w:r>
            <w:fldChar w:fldCharType="end"/>
          </w:r>
          <w:r>
            <w:fldChar w:fldCharType="end"/>
          </w:r>
        </w:p>
        <w:p w14:paraId="38209086">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_Toc3219 </w:instrText>
          </w:r>
          <w:r>
            <w:fldChar w:fldCharType="separate"/>
          </w:r>
          <w:r>
            <w:rPr>
              <w:rFonts w:hint="eastAsia"/>
            </w:rPr>
            <w:t>六、一般公共预算财政拨款基本支出决算情况说明</w:t>
          </w:r>
          <w:r>
            <w:tab/>
          </w:r>
          <w:r>
            <w:fldChar w:fldCharType="begin"/>
          </w:r>
          <w:r>
            <w:instrText xml:space="preserve"> PAGEREF _Toc3219 \h </w:instrText>
          </w:r>
          <w:r>
            <w:fldChar w:fldCharType="separate"/>
          </w:r>
          <w:r>
            <w:t>12</w:t>
          </w:r>
          <w:r>
            <w:fldChar w:fldCharType="end"/>
          </w:r>
          <w:r>
            <w:fldChar w:fldCharType="end"/>
          </w:r>
        </w:p>
        <w:p w14:paraId="071E5DB5">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_Toc26299 </w:instrText>
          </w:r>
          <w:r>
            <w:fldChar w:fldCharType="separate"/>
          </w:r>
          <w:r>
            <w:rPr>
              <w:rFonts w:hint="eastAsia"/>
            </w:rPr>
            <w:t>七、财政拨款“三公”经费支出决算情况说明</w:t>
          </w:r>
          <w:r>
            <w:tab/>
          </w:r>
          <w:r>
            <w:fldChar w:fldCharType="begin"/>
          </w:r>
          <w:r>
            <w:instrText xml:space="preserve"> PAGEREF _Toc26299 \h </w:instrText>
          </w:r>
          <w:r>
            <w:fldChar w:fldCharType="separate"/>
          </w:r>
          <w:r>
            <w:t>12</w:t>
          </w:r>
          <w:r>
            <w:fldChar w:fldCharType="end"/>
          </w:r>
          <w:r>
            <w:fldChar w:fldCharType="end"/>
          </w:r>
        </w:p>
        <w:p w14:paraId="088F6278">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_Toc14076 </w:instrText>
          </w:r>
          <w:r>
            <w:fldChar w:fldCharType="separate"/>
          </w:r>
          <w:r>
            <w:rPr>
              <w:rFonts w:hint="eastAsia"/>
            </w:rPr>
            <w:t>八、政府性基金预算支出决算情况说明</w:t>
          </w:r>
          <w:r>
            <w:tab/>
          </w:r>
          <w:r>
            <w:fldChar w:fldCharType="begin"/>
          </w:r>
          <w:r>
            <w:instrText xml:space="preserve"> PAGEREF _Toc14076 \h </w:instrText>
          </w:r>
          <w:r>
            <w:fldChar w:fldCharType="separate"/>
          </w:r>
          <w:r>
            <w:t>14</w:t>
          </w:r>
          <w:r>
            <w:fldChar w:fldCharType="end"/>
          </w:r>
          <w:r>
            <w:fldChar w:fldCharType="end"/>
          </w:r>
        </w:p>
        <w:p w14:paraId="28DDF98C">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_Toc20025 </w:instrText>
          </w:r>
          <w:r>
            <w:fldChar w:fldCharType="separate"/>
          </w:r>
          <w:r>
            <w:rPr>
              <w:rFonts w:hint="eastAsia"/>
            </w:rPr>
            <w:t>九、国有资本经营预算支出决算情况说明</w:t>
          </w:r>
          <w:r>
            <w:tab/>
          </w:r>
          <w:r>
            <w:fldChar w:fldCharType="begin"/>
          </w:r>
          <w:r>
            <w:instrText xml:space="preserve"> PAGEREF _Toc20025 \h </w:instrText>
          </w:r>
          <w:r>
            <w:fldChar w:fldCharType="separate"/>
          </w:r>
          <w:r>
            <w:t>14</w:t>
          </w:r>
          <w:r>
            <w:fldChar w:fldCharType="end"/>
          </w:r>
          <w:r>
            <w:fldChar w:fldCharType="end"/>
          </w:r>
        </w:p>
        <w:p w14:paraId="6C59603C">
          <w:pPr>
            <w:pStyle w:val="22"/>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_Toc17399 </w:instrText>
          </w:r>
          <w:r>
            <w:fldChar w:fldCharType="separate"/>
          </w:r>
          <w:r>
            <w:rPr>
              <w:rFonts w:hint="eastAsia"/>
            </w:rPr>
            <w:t>十、其他重要事项的情况说明</w:t>
          </w:r>
          <w:r>
            <w:tab/>
          </w:r>
          <w:r>
            <w:fldChar w:fldCharType="begin"/>
          </w:r>
          <w:r>
            <w:instrText xml:space="preserve"> PAGEREF _Toc17399 \h </w:instrText>
          </w:r>
          <w:r>
            <w:fldChar w:fldCharType="separate"/>
          </w:r>
          <w:r>
            <w:t>15</w:t>
          </w:r>
          <w:r>
            <w:fldChar w:fldCharType="end"/>
          </w:r>
          <w:r>
            <w:fldChar w:fldCharType="end"/>
          </w:r>
        </w:p>
        <w:p w14:paraId="5B7D82B2">
          <w:pPr>
            <w:pStyle w:val="21"/>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_Toc30220 </w:instrText>
          </w:r>
          <w:r>
            <w:fldChar w:fldCharType="separate"/>
          </w:r>
          <w:r>
            <w:rPr>
              <w:rFonts w:hint="eastAsia"/>
            </w:rPr>
            <w:t>第三部分 名词解释</w:t>
          </w:r>
          <w:r>
            <w:rPr>
              <w:rFonts w:hint="default" w:ascii="Times New Roman" w:hAnsi="Times New Roman" w:eastAsia="宋体" w:cs="Times New Roman"/>
              <w:sz w:val="24"/>
              <w:szCs w:val="24"/>
            </w:rPr>
            <w:tab/>
          </w:r>
          <w:r>
            <w:fldChar w:fldCharType="begin"/>
          </w:r>
          <w:r>
            <w:instrText xml:space="preserve"> PAGEREF _Toc30220 \h </w:instrText>
          </w:r>
          <w:r>
            <w:fldChar w:fldCharType="separate"/>
          </w:r>
          <w:r>
            <w:t>17</w:t>
          </w:r>
          <w:r>
            <w:fldChar w:fldCharType="end"/>
          </w:r>
          <w:r>
            <w:fldChar w:fldCharType="end"/>
          </w:r>
        </w:p>
        <w:p w14:paraId="7DFE40CD">
          <w:pPr>
            <w:pStyle w:val="21"/>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_Toc5329 </w:instrText>
          </w:r>
          <w:r>
            <w:fldChar w:fldCharType="separate"/>
          </w:r>
          <w:r>
            <w:rPr>
              <w:rFonts w:hint="eastAsia"/>
            </w:rPr>
            <w:t>第四部分 附件</w:t>
          </w:r>
          <w:r>
            <w:rPr>
              <w:rFonts w:hint="default" w:ascii="Times New Roman" w:hAnsi="Times New Roman" w:eastAsia="宋体" w:cs="Times New Roman"/>
              <w:sz w:val="24"/>
              <w:szCs w:val="24"/>
            </w:rPr>
            <w:tab/>
          </w:r>
          <w:r>
            <w:fldChar w:fldCharType="begin"/>
          </w:r>
          <w:r>
            <w:instrText xml:space="preserve"> PAGEREF _Toc5329 \h </w:instrText>
          </w:r>
          <w:r>
            <w:fldChar w:fldCharType="separate"/>
          </w:r>
          <w:r>
            <w:t>21</w:t>
          </w:r>
          <w:r>
            <w:fldChar w:fldCharType="end"/>
          </w:r>
          <w:r>
            <w:fldChar w:fldCharType="end"/>
          </w:r>
        </w:p>
        <w:p w14:paraId="5523F2B7">
          <w:pPr>
            <w:pStyle w:val="21"/>
            <w:keepNext w:val="0"/>
            <w:keepLines w:val="0"/>
            <w:pageBreakBefore w:val="0"/>
            <w:widowControl w:val="0"/>
            <w:kinsoku/>
            <w:wordWrap/>
            <w:overflowPunct/>
            <w:topLinePunct w:val="0"/>
            <w:autoSpaceDE/>
            <w:autoSpaceDN/>
            <w:bidi w:val="0"/>
            <w:spacing w:line="240" w:lineRule="auto"/>
            <w:textAlignment w:val="auto"/>
          </w:pPr>
          <w:r>
            <w:fldChar w:fldCharType="begin"/>
          </w:r>
          <w:r>
            <w:instrText xml:space="preserve"> HYPERLINK \l _Toc3874 </w:instrText>
          </w:r>
          <w:r>
            <w:fldChar w:fldCharType="separate"/>
          </w:r>
          <w:r>
            <w:rPr>
              <w:rFonts w:hint="eastAsia"/>
            </w:rPr>
            <w:t>第五部分 附表</w:t>
          </w:r>
          <w:r>
            <w:rPr>
              <w:rFonts w:hint="eastAsia" w:ascii="Times New Roman" w:hAnsi="Times New Roman" w:eastAsia="宋体" w:cs="Times New Roman"/>
              <w:sz w:val="24"/>
              <w:szCs w:val="24"/>
            </w:rPr>
            <w:tab/>
          </w:r>
          <w:r>
            <w:fldChar w:fldCharType="begin"/>
          </w:r>
          <w:r>
            <w:instrText xml:space="preserve"> PAGEREF _Toc3874 \h </w:instrText>
          </w:r>
          <w:r>
            <w:fldChar w:fldCharType="separate"/>
          </w:r>
          <w:r>
            <w:t>27</w:t>
          </w:r>
          <w:r>
            <w:fldChar w:fldCharType="end"/>
          </w:r>
          <w:r>
            <w:fldChar w:fldCharType="end"/>
          </w:r>
        </w:p>
        <w:p w14:paraId="6BE1C7A6">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_Toc22127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一、收入支出决算总表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_Toc22127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16779F71">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_Toc11837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二、收入决算表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_Toc11837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16290399">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_Toc4062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三、支出决算表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_Toc4062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53773CDF">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_Toc6473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四、财政拨款收入支出决算总表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_Toc6473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711E378F">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_Toc30162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五、财政拨款支出决算明细表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_Toc30162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2FEEE532">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_Toc10956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六、一般公共预算财政拨款支出决算表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_Toc10956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7C1279B6">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_Toc32246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七、一般公共预算财政拨款支出决算明细表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_Toc32246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0127FD98">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_Toc20007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八、一般公共预算财政拨款基本支出决算表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_Toc20007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2825BC21">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_Toc30453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九、一般公共预算财政拨款项目支出决算表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_Toc30453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69417E7E">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_Toc12437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十、政府性基金预算财政拨款收入支出决算表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_Toc12437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5612388D">
          <w:pPr>
            <w:pStyle w:val="14"/>
            <w:keepNext w:val="0"/>
            <w:keepLines w:val="0"/>
            <w:pageBreakBefore w:val="0"/>
            <w:widowControl w:val="0"/>
            <w:tabs>
              <w:tab w:val="right" w:leader="dot" w:pos="8306"/>
              <w:tab w:val="clear" w:pos="8296"/>
            </w:tabs>
            <w:kinsoku/>
            <w:wordWrap/>
            <w:overflowPunct/>
            <w:topLinePunct w:val="0"/>
            <w:autoSpaceDE/>
            <w:autoSpaceDN/>
            <w:bidi w:val="0"/>
            <w:spacing w:line="240" w:lineRule="auto"/>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_Toc9995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十一、国有资本经营预算财政拨款收入支出决算表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_Toc9995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54231128">
          <w:pPr>
            <w:pStyle w:val="14"/>
            <w:tabs>
              <w:tab w:val="right" w:leader="dot" w:pos="8306"/>
              <w:tab w:val="clear" w:pos="8296"/>
            </w:tabs>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_Toc23387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十二、国有资本经营预算财政拨款支出决算表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_Toc23387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5601CE1A">
          <w:pPr>
            <w:pStyle w:val="14"/>
            <w:tabs>
              <w:tab w:val="right" w:leader="dot" w:pos="8306"/>
              <w:tab w:val="clear" w:pos="8296"/>
            </w:tabs>
          </w:pP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HYPERLINK \l _Toc12868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十三、财政拨款“三公”经费支出决算表</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fldChar w:fldCharType="begin"/>
          </w:r>
          <w:r>
            <w:rPr>
              <w:rFonts w:hint="eastAsia" w:ascii="Times New Roman" w:hAnsi="Times New Roman" w:eastAsia="宋体" w:cs="Times New Roman"/>
              <w:kern w:val="2"/>
              <w:sz w:val="24"/>
              <w:szCs w:val="24"/>
              <w:lang w:val="en-US" w:eastAsia="zh-CN" w:bidi="ar-SA"/>
            </w:rPr>
            <w:instrText xml:space="preserve"> PAGEREF _Toc12868 \h </w:instrText>
          </w:r>
          <w:r>
            <w:rPr>
              <w:rFonts w:hint="eastAsia"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kern w:val="2"/>
              <w:sz w:val="24"/>
              <w:szCs w:val="24"/>
              <w:lang w:val="en-US" w:eastAsia="zh-CN" w:bidi="ar-SA"/>
            </w:rPr>
            <w:t>27</w:t>
          </w:r>
          <w:r>
            <w:rPr>
              <w:rFonts w:hint="eastAsia" w:ascii="Times New Roman" w:hAnsi="Times New Roman" w:eastAsia="宋体" w:cs="Times New Roman"/>
              <w:kern w:val="2"/>
              <w:sz w:val="24"/>
              <w:szCs w:val="24"/>
              <w:lang w:val="en-US" w:eastAsia="zh-CN" w:bidi="ar-SA"/>
            </w:rPr>
            <w:fldChar w:fldCharType="end"/>
          </w:r>
          <w:r>
            <w:rPr>
              <w:rFonts w:hint="eastAsia" w:ascii="Times New Roman" w:hAnsi="Times New Roman" w:eastAsia="宋体" w:cs="Times New Roman"/>
              <w:kern w:val="2"/>
              <w:sz w:val="24"/>
              <w:szCs w:val="24"/>
              <w:lang w:val="en-US" w:eastAsia="zh-CN" w:bidi="ar-SA"/>
            </w:rPr>
            <w:fldChar w:fldCharType="end"/>
          </w:r>
        </w:p>
        <w:p w14:paraId="1FCB6649">
          <w:r>
            <w:fldChar w:fldCharType="end"/>
          </w:r>
        </w:p>
      </w:sdtContent>
    </w:sdt>
    <w:p w14:paraId="24099BA7">
      <w:pPr>
        <w:widowControl/>
        <w:spacing w:line="440" w:lineRule="exact"/>
        <w:jc w:val="left"/>
        <w:rPr>
          <w:rFonts w:ascii="仿宋" w:hAnsi="仿宋" w:eastAsia="仿宋"/>
          <w:bCs/>
          <w:kern w:val="44"/>
          <w:sz w:val="24"/>
        </w:rPr>
      </w:pPr>
      <w:r>
        <w:rPr>
          <w:rFonts w:ascii="仿宋" w:hAnsi="仿宋" w:eastAsia="仿宋"/>
          <w:b/>
          <w:sz w:val="24"/>
        </w:rPr>
        <w:br w:type="page"/>
      </w:r>
    </w:p>
    <w:p w14:paraId="057D7791">
      <w:pPr>
        <w:pStyle w:val="5"/>
        <w:jc w:val="center"/>
        <w:rPr>
          <w:rStyle w:val="32"/>
          <w:rFonts w:ascii="黑体" w:hAnsi="黑体" w:eastAsia="黑体"/>
          <w:b/>
          <w:bCs w:val="0"/>
        </w:rPr>
      </w:pPr>
      <w:bookmarkStart w:id="6" w:name="_Toc4241"/>
      <w:r>
        <w:rPr>
          <w:rFonts w:hint="eastAsia" w:ascii="黑体" w:hAnsi="黑体" w:eastAsia="黑体"/>
          <w:b w:val="0"/>
        </w:rPr>
        <w:t>第一部分 单位</w:t>
      </w:r>
      <w:r>
        <w:rPr>
          <w:rStyle w:val="32"/>
          <w:rFonts w:hint="eastAsia" w:ascii="黑体" w:hAnsi="黑体" w:eastAsia="黑体"/>
          <w:b w:val="0"/>
          <w:bCs w:val="0"/>
        </w:rPr>
        <w:t>概况</w:t>
      </w:r>
      <w:bookmarkEnd w:id="4"/>
      <w:bookmarkEnd w:id="5"/>
      <w:bookmarkEnd w:id="6"/>
    </w:p>
    <w:p w14:paraId="598D441F">
      <w:pPr>
        <w:widowControl/>
        <w:jc w:val="left"/>
        <w:rPr>
          <w:rFonts w:ascii="黑体" w:eastAsia="黑体"/>
          <w:sz w:val="32"/>
          <w:szCs w:val="32"/>
        </w:rPr>
      </w:pPr>
    </w:p>
    <w:p w14:paraId="4B543959">
      <w:pPr>
        <w:pStyle w:val="6"/>
        <w:numPr>
          <w:ilvl w:val="0"/>
          <w:numId w:val="1"/>
        </w:numPr>
        <w:rPr>
          <w:rStyle w:val="33"/>
          <w:rFonts w:ascii="黑体" w:hAnsi="黑体" w:eastAsia="黑体"/>
          <w:b w:val="0"/>
          <w:bCs w:val="0"/>
        </w:rPr>
      </w:pPr>
      <w:bookmarkStart w:id="7" w:name="_Toc12936"/>
      <w:bookmarkStart w:id="8" w:name="_Toc15377197"/>
      <w:bookmarkStart w:id="9" w:name="_Toc15396600"/>
      <w:r>
        <w:rPr>
          <w:rStyle w:val="33"/>
          <w:rFonts w:hint="eastAsia" w:ascii="黑体" w:hAnsi="黑体" w:eastAsia="黑体"/>
          <w:b w:val="0"/>
          <w:bCs w:val="0"/>
        </w:rPr>
        <w:t>主要职责</w:t>
      </w:r>
      <w:bookmarkEnd w:id="7"/>
    </w:p>
    <w:p w14:paraId="535EB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按照省、市、县对镇</w:t>
      </w:r>
      <w:r>
        <w:rPr>
          <w:rFonts w:hint="eastAsia" w:ascii="仿宋" w:hAnsi="仿宋" w:eastAsia="仿宋" w:cs="仿宋"/>
          <w:sz w:val="32"/>
          <w:szCs w:val="32"/>
          <w:lang w:eastAsia="zh-CN"/>
        </w:rPr>
        <w:t>镇机</w:t>
      </w:r>
      <w:r>
        <w:rPr>
          <w:rFonts w:hint="eastAsia" w:ascii="仿宋" w:hAnsi="仿宋" w:eastAsia="仿宋" w:cs="仿宋"/>
          <w:sz w:val="32"/>
          <w:szCs w:val="32"/>
        </w:rPr>
        <w:t>构改革的统一要求，黑竹沟镇机关领导机构设党委、人大、政府，不设政协机构，设镇人民武装部，为镇党委的军事部门和镇人民政府的兵役工作机构，受镇党委、政府和县人民武装部双重领导。</w:t>
      </w:r>
    </w:p>
    <w:p w14:paraId="5957046F">
      <w:pPr>
        <w:pStyle w:val="6"/>
        <w:rPr>
          <w:rFonts w:ascii="黑体" w:hAnsi="黑体" w:eastAsia="黑体"/>
          <w:b w:val="0"/>
        </w:rPr>
      </w:pPr>
      <w:bookmarkStart w:id="10" w:name="_Toc25037"/>
      <w:r>
        <w:rPr>
          <w:rFonts w:hint="eastAsia" w:ascii="黑体" w:hAnsi="黑体" w:eastAsia="黑体"/>
          <w:b w:val="0"/>
        </w:rPr>
        <w:t>二、机构设置</w:t>
      </w:r>
      <w:bookmarkEnd w:id="10"/>
    </w:p>
    <w:bookmarkEnd w:id="8"/>
    <w:bookmarkEnd w:id="9"/>
    <w:p w14:paraId="1022E0C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黑竹沟镇综合设置行政机构，不搞上下对口一事一职，根据工作需要配备专、兼职干部，人员编制在镇行政编制总数内统筹考虑。黑竹沟镇设</w:t>
      </w:r>
      <w:r>
        <w:rPr>
          <w:rFonts w:hint="eastAsia" w:ascii="仿宋" w:hAnsi="仿宋" w:eastAsia="仿宋"/>
          <w:sz w:val="32"/>
          <w:szCs w:val="32"/>
          <w:lang w:eastAsia="zh-CN"/>
        </w:rPr>
        <w:t>两个</w:t>
      </w:r>
      <w:r>
        <w:rPr>
          <w:rFonts w:hint="eastAsia" w:ascii="仿宋" w:hAnsi="仿宋" w:eastAsia="仿宋"/>
          <w:sz w:val="32"/>
          <w:szCs w:val="32"/>
        </w:rPr>
        <w:t>办事机构，即：党政办公室：当好党委、政府的参谋，负责人大、党务（组织、宣传、纪检、统战）、武装、文书档案、人事、财政、精神文明建设、群众来信来访接待等工作，承办群团组织的日常事务和机关后勤工作（对外挂信访和群众工作室牌子）。社会事务办公室：负责民政救灾、救济、优抚、计生、农业、林业、水利、农机、国土、科技、统计、镇企、社会治安综合治理、维护社会稳定、交通、安全生产、教育、卫生、劳动保障和司法民事调解等工作（对外挂计划生育办公室、安全生产办公室牌子）。黑竹沟镇不设行政执法机构，使用行政编制的地方税务所、工商所和使用政法专项编制的公安派出所、司法所等派出机构按规定设置。按照科学合理、集中规范的原则，在整合现有黑竹沟镇事业机构的基础上，综合设置黑竹沟镇直属事业单位，对应镇</w:t>
      </w:r>
      <w:r>
        <w:rPr>
          <w:rFonts w:hint="eastAsia" w:ascii="仿宋" w:hAnsi="仿宋" w:eastAsia="仿宋"/>
          <w:sz w:val="32"/>
          <w:szCs w:val="32"/>
          <w:lang w:eastAsia="zh-CN"/>
        </w:rPr>
        <w:t>机</w:t>
      </w:r>
      <w:r>
        <w:rPr>
          <w:rFonts w:hint="eastAsia" w:ascii="仿宋" w:hAnsi="仿宋" w:eastAsia="仿宋"/>
          <w:sz w:val="32"/>
          <w:szCs w:val="32"/>
        </w:rPr>
        <w:t>关综合办事机构个数，依据我县实情，黑竹沟镇设置2个乡镇直属事业单位，即：农业技术服务中心：农经、农技、林业、水土保持等综合性的农业技术服务机构，其经费来源渠道不变。社会事业服务中心：镇劳动保障、计划生育服务站（计生服务站对外挂牌）文化、广播电视、教育、卫生防疫、公共卫生体系建设等。撤销2003年黑竹沟镇事业单位机构改革时，保留的农经站、农技站、林业站、水利站、农机站、文化站、广播电视站、劳动保障服务所等牌子。政府举办的镇农村中小学、镇卫生院、兽防站实行县办县管体制，黑竹沟镇不再保留也不再新设经费自筹事业单位。</w:t>
      </w:r>
    </w:p>
    <w:p w14:paraId="7D51EC2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人员情况。领导职数按省、市有关规定黑竹沟镇设党委书记1名，人大主席1名，镇长（兼副书记）1名，专职副书记1名，副镇长3名（其中1名兼任人武部长），纪委书记1名，组织委员1名（兼任统战委员），宣传委员1名（兼任人大副主席），政法委员1名。设中层7名。重新核定黑竹沟镇行政编制23名，核定机关工勤编制4名。</w:t>
      </w:r>
    </w:p>
    <w:p w14:paraId="79A0DA3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黑竹沟镇事业机构和人员编制。</w:t>
      </w:r>
    </w:p>
    <w:p w14:paraId="19E4004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kern w:val="0"/>
          <w:sz w:val="32"/>
          <w:szCs w:val="32"/>
        </w:rPr>
      </w:pPr>
      <w:r>
        <w:rPr>
          <w:rFonts w:hint="eastAsia" w:ascii="仿宋" w:hAnsi="仿宋" w:eastAsia="仿宋"/>
          <w:sz w:val="32"/>
          <w:szCs w:val="32"/>
        </w:rPr>
        <w:t>黑竹沟镇设2个直属事业单位，核定为26名；县级主管部门派驻镇事业单位1个畜牧兽医站，核定事业编制2名。</w:t>
      </w:r>
      <w:r>
        <w:rPr>
          <w:rFonts w:ascii="仿宋" w:hAnsi="仿宋" w:eastAsia="仿宋"/>
          <w:sz w:val="32"/>
          <w:szCs w:val="32"/>
        </w:rPr>
        <w:br w:type="page"/>
      </w:r>
    </w:p>
    <w:p w14:paraId="278DD2D3">
      <w:pPr>
        <w:pStyle w:val="5"/>
        <w:ind w:right="440"/>
        <w:jc w:val="center"/>
        <w:rPr>
          <w:rStyle w:val="32"/>
          <w:rFonts w:ascii="黑体" w:hAnsi="黑体" w:eastAsia="黑体"/>
          <w:b w:val="0"/>
          <w:bCs/>
        </w:rPr>
      </w:pPr>
      <w:bookmarkStart w:id="11" w:name="_Toc8815"/>
      <w:bookmarkStart w:id="12" w:name="_Toc15396602"/>
      <w:bookmarkStart w:id="13" w:name="_Toc15377204"/>
      <w:r>
        <w:rPr>
          <w:rFonts w:hint="eastAsia" w:ascii="黑体" w:hAnsi="黑体" w:eastAsia="黑体"/>
          <w:b w:val="0"/>
        </w:rPr>
        <w:t>第二部分 2023年度</w:t>
      </w:r>
      <w:r>
        <w:rPr>
          <w:rStyle w:val="32"/>
          <w:rFonts w:hint="eastAsia" w:ascii="黑体" w:hAnsi="黑体" w:eastAsia="黑体"/>
          <w:b w:val="0"/>
          <w:bCs/>
        </w:rPr>
        <w:t>单位决算情况说明</w:t>
      </w:r>
      <w:bookmarkEnd w:id="11"/>
      <w:bookmarkEnd w:id="12"/>
      <w:bookmarkEnd w:id="13"/>
    </w:p>
    <w:p w14:paraId="295ED65A"/>
    <w:p w14:paraId="5231FA3E">
      <w:pPr>
        <w:pStyle w:val="31"/>
        <w:numPr>
          <w:ilvl w:val="0"/>
          <w:numId w:val="2"/>
        </w:numPr>
        <w:spacing w:line="600" w:lineRule="exact"/>
        <w:ind w:firstLineChars="0"/>
        <w:outlineLvl w:val="1"/>
        <w:rPr>
          <w:rStyle w:val="33"/>
          <w:rFonts w:ascii="黑体" w:hAnsi="黑体" w:eastAsia="黑体"/>
          <w:b w:val="0"/>
        </w:rPr>
      </w:pPr>
      <w:bookmarkStart w:id="14" w:name="_Toc2920"/>
      <w:bookmarkStart w:id="15" w:name="_Toc15396603"/>
      <w:bookmarkStart w:id="16"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14"/>
      <w:bookmarkEnd w:id="15"/>
      <w:bookmarkEnd w:id="16"/>
    </w:p>
    <w:p w14:paraId="5F82DD3C">
      <w:pPr>
        <w:spacing w:line="600" w:lineRule="exact"/>
        <w:ind w:firstLine="640" w:firstLineChars="200"/>
        <w:rPr>
          <w:rFonts w:ascii="仿宋" w:hAnsi="仿宋" w:eastAsia="仿宋"/>
          <w:sz w:val="32"/>
          <w:szCs w:val="32"/>
        </w:rPr>
      </w:pPr>
      <w:r>
        <w:rPr>
          <w:rFonts w:hint="eastAsia" w:ascii="仿宋" w:hAnsi="仿宋" w:eastAsia="仿宋"/>
          <w:b w:val="0"/>
          <w:bCs w:val="0"/>
          <w:sz w:val="32"/>
          <w:szCs w:val="32"/>
        </w:rPr>
        <w:t>2023年度收、支总计均为1277.8</w:t>
      </w:r>
      <w:r>
        <w:rPr>
          <w:rFonts w:hint="eastAsia" w:ascii="仿宋" w:hAnsi="仿宋" w:eastAsia="仿宋"/>
          <w:b w:val="0"/>
          <w:bCs w:val="0"/>
          <w:sz w:val="32"/>
          <w:szCs w:val="32"/>
          <w:lang w:val="en-US" w:eastAsia="zh-CN"/>
        </w:rPr>
        <w:t>0</w:t>
      </w:r>
      <w:r>
        <w:rPr>
          <w:rFonts w:hint="eastAsia" w:ascii="仿宋" w:hAnsi="仿宋" w:eastAsia="仿宋"/>
          <w:b w:val="0"/>
          <w:bCs w:val="0"/>
          <w:sz w:val="32"/>
          <w:szCs w:val="32"/>
        </w:rPr>
        <w:t>万</w:t>
      </w:r>
      <w:r>
        <w:rPr>
          <w:rFonts w:hint="eastAsia" w:ascii="仿宋" w:hAnsi="仿宋" w:eastAsia="仿宋"/>
          <w:sz w:val="32"/>
          <w:szCs w:val="32"/>
        </w:rPr>
        <w:t>元。与2022年度相比，收、支总计各减少223.37万元，下降14.88</w:t>
      </w:r>
      <w:r>
        <w:rPr>
          <w:rFonts w:ascii="仿宋" w:hAnsi="仿宋" w:eastAsia="仿宋"/>
          <w:sz w:val="32"/>
          <w:szCs w:val="32"/>
        </w:rPr>
        <w:t>%</w:t>
      </w:r>
      <w:r>
        <w:rPr>
          <w:rFonts w:hint="eastAsia" w:ascii="仿宋" w:hAnsi="仿宋" w:eastAsia="仿宋"/>
          <w:sz w:val="32"/>
          <w:szCs w:val="32"/>
        </w:rPr>
        <w:t>。主要变动原因是本年厉行节约，压减本级预算项目经费。</w:t>
      </w:r>
    </w:p>
    <w:p w14:paraId="70735CB5">
      <w:pPr>
        <w:spacing w:line="240" w:lineRule="auto"/>
        <w:ind w:firstLine="0" w:firstLineChars="0"/>
        <w:rPr>
          <w:rFonts w:hint="eastAsia" w:ascii="仿宋" w:hAnsi="仿宋" w:eastAsia="仿宋"/>
          <w:sz w:val="32"/>
          <w:szCs w:val="32"/>
        </w:rPr>
      </w:pPr>
      <w:r>
        <w:drawing>
          <wp:inline distT="0" distB="0" distL="114300" distR="114300">
            <wp:extent cx="5271135" cy="3484245"/>
            <wp:effectExtent l="38735" t="18415" r="43180" b="596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0AFDAA">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AD046E3">
      <w:pPr>
        <w:spacing w:line="600" w:lineRule="exact"/>
        <w:ind w:firstLine="640" w:firstLineChars="200"/>
        <w:jc w:val="left"/>
        <w:rPr>
          <w:rFonts w:ascii="仿宋_GB2312" w:eastAsia="仿宋_GB2312"/>
          <w:sz w:val="32"/>
          <w:szCs w:val="32"/>
        </w:rPr>
      </w:pPr>
    </w:p>
    <w:p w14:paraId="18469A33">
      <w:pPr>
        <w:pStyle w:val="31"/>
        <w:numPr>
          <w:ilvl w:val="0"/>
          <w:numId w:val="2"/>
        </w:numPr>
        <w:spacing w:line="600" w:lineRule="exact"/>
        <w:ind w:firstLineChars="0"/>
        <w:outlineLvl w:val="1"/>
        <w:rPr>
          <w:rStyle w:val="33"/>
          <w:rFonts w:ascii="黑体" w:hAnsi="黑体" w:eastAsia="黑体"/>
          <w:b w:val="0"/>
        </w:rPr>
      </w:pPr>
      <w:bookmarkStart w:id="17" w:name="_Toc15377206"/>
      <w:bookmarkStart w:id="18" w:name="_Toc19788"/>
      <w:bookmarkStart w:id="19" w:name="_Toc15396604"/>
      <w:r>
        <w:rPr>
          <w:rFonts w:hint="eastAsia" w:ascii="黑体" w:hAnsi="黑体" w:eastAsia="黑体"/>
          <w:sz w:val="32"/>
          <w:szCs w:val="32"/>
        </w:rPr>
        <w:t>收</w:t>
      </w:r>
      <w:r>
        <w:rPr>
          <w:rStyle w:val="33"/>
          <w:rFonts w:hint="eastAsia" w:ascii="黑体" w:hAnsi="黑体" w:eastAsia="黑体"/>
          <w:b w:val="0"/>
        </w:rPr>
        <w:t>入决算情况说明</w:t>
      </w:r>
      <w:bookmarkEnd w:id="17"/>
      <w:bookmarkEnd w:id="18"/>
      <w:bookmarkEnd w:id="19"/>
    </w:p>
    <w:p w14:paraId="6A937C87">
      <w:pPr>
        <w:pStyle w:val="20"/>
        <w:bidi w:val="0"/>
      </w:pPr>
      <w:r>
        <w:rPr>
          <w:rFonts w:hint="eastAsia"/>
        </w:rPr>
        <w:t>2023年度本年收入合计</w:t>
      </w:r>
      <w:r>
        <w:t>1277.8</w:t>
      </w:r>
      <w:r>
        <w:rPr>
          <w:rFonts w:hint="eastAsia"/>
          <w:lang w:val="en-US" w:eastAsia="zh-CN"/>
        </w:rPr>
        <w:t>0</w:t>
      </w:r>
      <w:r>
        <w:rPr>
          <w:rFonts w:hint="eastAsia"/>
        </w:rPr>
        <w:t>万元，其中：一般公共预算财政拨款收入</w:t>
      </w:r>
      <w:r>
        <w:t>1221.55</w:t>
      </w:r>
      <w:r>
        <w:rPr>
          <w:rFonts w:hint="eastAsia"/>
        </w:rPr>
        <w:t>万元，占</w:t>
      </w:r>
      <w:r>
        <w:t>95.59%</w:t>
      </w:r>
      <w:r>
        <w:rPr>
          <w:rFonts w:hint="eastAsia"/>
        </w:rPr>
        <w:t>；政府性基金预算财政拨款收入</w:t>
      </w:r>
      <w:r>
        <w:t>56.25</w:t>
      </w:r>
      <w:r>
        <w:rPr>
          <w:rFonts w:hint="eastAsia"/>
        </w:rPr>
        <w:t>万元，占</w:t>
      </w:r>
      <w:r>
        <w:t>4.4</w:t>
      </w:r>
      <w:r>
        <w:rPr>
          <w:rFonts w:hint="eastAsia"/>
          <w:lang w:val="en-US" w:eastAsia="zh-CN"/>
        </w:rPr>
        <w:t>0</w:t>
      </w:r>
      <w:r>
        <w:t>%</w:t>
      </w:r>
      <w:r>
        <w:rPr>
          <w:rFonts w:hint="eastAsia"/>
        </w:rPr>
        <w:t>；国有资本经营预算财政拨款收入</w:t>
      </w:r>
      <w:r>
        <w:t>0</w:t>
      </w:r>
      <w:r>
        <w:rPr>
          <w:rFonts w:hint="eastAsia"/>
          <w:lang w:val="en-US" w:eastAsia="zh-CN"/>
        </w:rPr>
        <w:t>.00</w:t>
      </w:r>
      <w:r>
        <w:rPr>
          <w:rFonts w:hint="eastAsia"/>
        </w:rPr>
        <w:t>万元，占</w:t>
      </w:r>
      <w:r>
        <w:t>0</w:t>
      </w:r>
      <w:r>
        <w:rPr>
          <w:rFonts w:hint="eastAsia"/>
          <w:lang w:val="en-US" w:eastAsia="zh-CN"/>
        </w:rPr>
        <w:t>.00</w:t>
      </w:r>
      <w:r>
        <w:t>%</w:t>
      </w:r>
      <w:r>
        <w:rPr>
          <w:rFonts w:hint="eastAsia"/>
        </w:rPr>
        <w:t>；上级补助收入</w:t>
      </w:r>
      <w:r>
        <w:t>0</w:t>
      </w:r>
      <w:r>
        <w:rPr>
          <w:rFonts w:hint="eastAsia"/>
          <w:lang w:val="en-US" w:eastAsia="zh-CN"/>
        </w:rPr>
        <w:t>.00</w:t>
      </w:r>
      <w:r>
        <w:rPr>
          <w:rFonts w:hint="eastAsia"/>
        </w:rPr>
        <w:t>万元，占</w:t>
      </w:r>
      <w:r>
        <w:t>0</w:t>
      </w:r>
      <w:r>
        <w:rPr>
          <w:rFonts w:hint="eastAsia"/>
          <w:lang w:val="en-US" w:eastAsia="zh-CN"/>
        </w:rPr>
        <w:t>.00</w:t>
      </w:r>
      <w:r>
        <w:t>%</w:t>
      </w:r>
      <w:r>
        <w:rPr>
          <w:rFonts w:hint="eastAsia"/>
        </w:rPr>
        <w:t>；事业收入</w:t>
      </w:r>
      <w:r>
        <w:rPr>
          <w:rFonts w:hint="eastAsia"/>
          <w:lang w:val="en-US" w:eastAsia="zh-CN"/>
        </w:rPr>
        <w:t>0.0</w:t>
      </w:r>
      <w:r>
        <w:t>0</w:t>
      </w:r>
      <w:r>
        <w:rPr>
          <w:rFonts w:hint="eastAsia"/>
        </w:rPr>
        <w:t>万元，占0.00</w:t>
      </w:r>
      <w:r>
        <w:t>%</w:t>
      </w:r>
      <w:r>
        <w:rPr>
          <w:rFonts w:hint="eastAsia"/>
        </w:rPr>
        <w:t>；经营收入0.00万元，占0.00</w:t>
      </w:r>
      <w:r>
        <w:t>%</w:t>
      </w:r>
      <w:r>
        <w:rPr>
          <w:rFonts w:hint="eastAsia"/>
        </w:rPr>
        <w:t>；附属单位上缴收入0.00万元，占0.00</w:t>
      </w:r>
      <w:r>
        <w:t>%</w:t>
      </w:r>
      <w:r>
        <w:rPr>
          <w:rFonts w:hint="eastAsia"/>
        </w:rPr>
        <w:t>；其他收入0.00万元，占0.00</w:t>
      </w:r>
      <w:r>
        <w:t>%</w:t>
      </w:r>
    </w:p>
    <w:p w14:paraId="646C71EA">
      <w:pPr>
        <w:pStyle w:val="19"/>
        <w:bidi w:val="0"/>
      </w:pPr>
      <w:r>
        <w:rPr>
          <w:rFonts w:hint="eastAsia"/>
        </w:rPr>
        <w:t>（注：数据来源于财决</w:t>
      </w:r>
      <w:r>
        <w:t>01表</w:t>
      </w:r>
      <w:r>
        <w:rPr>
          <w:rFonts w:hint="eastAsia"/>
        </w:rPr>
        <w:t>，仅罗列本单位涉及的收入</w:t>
      </w:r>
      <w:r>
        <w:t>）</w:t>
      </w:r>
    </w:p>
    <w:p w14:paraId="4C5A3E5F">
      <w:pPr>
        <w:bidi w:val="0"/>
      </w:pPr>
      <w:r>
        <w:drawing>
          <wp:inline distT="0" distB="0" distL="114300" distR="114300">
            <wp:extent cx="5272405" cy="2698115"/>
            <wp:effectExtent l="4445" t="4445" r="19050" b="59690"/>
            <wp:docPr id="2" name="图表 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DBCFBC">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C176120">
      <w:pPr>
        <w:spacing w:line="600" w:lineRule="exact"/>
        <w:ind w:firstLine="640" w:firstLineChars="200"/>
        <w:rPr>
          <w:rFonts w:ascii="仿宋_GB2312" w:eastAsia="仿宋_GB2312"/>
          <w:sz w:val="32"/>
          <w:szCs w:val="32"/>
        </w:rPr>
      </w:pPr>
    </w:p>
    <w:p w14:paraId="37F6A3D2">
      <w:pPr>
        <w:pStyle w:val="31"/>
        <w:numPr>
          <w:ilvl w:val="0"/>
          <w:numId w:val="2"/>
        </w:numPr>
        <w:spacing w:line="600" w:lineRule="exact"/>
        <w:ind w:firstLineChars="0"/>
        <w:outlineLvl w:val="1"/>
        <w:rPr>
          <w:rStyle w:val="33"/>
          <w:rFonts w:ascii="黑体" w:hAnsi="黑体" w:eastAsia="黑体"/>
          <w:b w:val="0"/>
        </w:rPr>
      </w:pPr>
      <w:bookmarkStart w:id="20" w:name="_Toc15396605"/>
      <w:bookmarkStart w:id="21" w:name="_Toc22757"/>
      <w:bookmarkStart w:id="22" w:name="_Toc15377207"/>
      <w:r>
        <w:rPr>
          <w:rFonts w:hint="eastAsia" w:ascii="黑体" w:hAnsi="黑体" w:eastAsia="黑体"/>
          <w:sz w:val="32"/>
          <w:szCs w:val="32"/>
        </w:rPr>
        <w:t>支</w:t>
      </w:r>
      <w:r>
        <w:rPr>
          <w:rStyle w:val="33"/>
          <w:rFonts w:hint="eastAsia" w:ascii="黑体" w:hAnsi="黑体" w:eastAsia="黑体"/>
          <w:b w:val="0"/>
        </w:rPr>
        <w:t>出决算情况说明</w:t>
      </w:r>
      <w:bookmarkEnd w:id="20"/>
      <w:bookmarkEnd w:id="21"/>
      <w:bookmarkEnd w:id="22"/>
    </w:p>
    <w:p w14:paraId="29CD948A">
      <w:pPr>
        <w:pStyle w:val="20"/>
        <w:bidi w:val="0"/>
      </w:pPr>
      <w:r>
        <w:rPr>
          <w:rFonts w:hint="eastAsia"/>
        </w:rPr>
        <w:t>2023年度本年支出合计</w:t>
      </w:r>
      <w:r>
        <w:t>1277.8</w:t>
      </w:r>
      <w:r>
        <w:rPr>
          <w:rFonts w:hint="eastAsia"/>
          <w:lang w:val="en-US" w:eastAsia="zh-CN"/>
        </w:rPr>
        <w:t>0</w:t>
      </w:r>
      <w:r>
        <w:rPr>
          <w:rFonts w:hint="eastAsia"/>
        </w:rPr>
        <w:t>万元，其中：基本支出</w:t>
      </w:r>
      <w:r>
        <w:t>1062.81</w:t>
      </w:r>
      <w:r>
        <w:rPr>
          <w:rFonts w:hint="eastAsia"/>
        </w:rPr>
        <w:t>万元，占</w:t>
      </w:r>
      <w:r>
        <w:t>83.17%</w:t>
      </w:r>
      <w:r>
        <w:rPr>
          <w:rFonts w:hint="eastAsia"/>
        </w:rPr>
        <w:t>；项目支出</w:t>
      </w:r>
      <w:r>
        <w:t>214.99</w:t>
      </w:r>
      <w:r>
        <w:rPr>
          <w:rFonts w:hint="eastAsia"/>
        </w:rPr>
        <w:t>万元，占</w:t>
      </w:r>
      <w:r>
        <w:t>16.82%</w:t>
      </w:r>
      <w:r>
        <w:rPr>
          <w:rFonts w:hint="eastAsia"/>
        </w:rPr>
        <w:t>；上缴上级支出</w:t>
      </w:r>
      <w:r>
        <w:rPr>
          <w:rFonts w:hint="eastAsia"/>
          <w:lang w:eastAsia="zh-CN"/>
        </w:rPr>
        <w:t>0.00</w:t>
      </w:r>
      <w:r>
        <w:rPr>
          <w:rFonts w:hint="eastAsia"/>
        </w:rPr>
        <w:t>万元，占</w:t>
      </w:r>
      <w:r>
        <w:rPr>
          <w:rFonts w:hint="eastAsia"/>
          <w:lang w:eastAsia="zh-CN"/>
        </w:rPr>
        <w:t>0.00</w:t>
      </w:r>
      <w:r>
        <w:t>%</w:t>
      </w:r>
      <w:r>
        <w:rPr>
          <w:rFonts w:hint="eastAsia"/>
        </w:rPr>
        <w:t>；经营支出</w:t>
      </w:r>
      <w:r>
        <w:rPr>
          <w:rFonts w:hint="eastAsia"/>
          <w:lang w:eastAsia="zh-CN"/>
        </w:rPr>
        <w:t>0.00</w:t>
      </w:r>
      <w:r>
        <w:rPr>
          <w:rFonts w:hint="eastAsia"/>
        </w:rPr>
        <w:t>万元，占</w:t>
      </w:r>
      <w:r>
        <w:rPr>
          <w:rFonts w:hint="eastAsia"/>
          <w:lang w:eastAsia="zh-CN"/>
        </w:rPr>
        <w:t>0.00</w:t>
      </w:r>
      <w:r>
        <w:t>%</w:t>
      </w:r>
      <w:r>
        <w:rPr>
          <w:rFonts w:hint="eastAsia"/>
        </w:rPr>
        <w:t>；对附属单位补助支出</w:t>
      </w:r>
      <w:r>
        <w:rPr>
          <w:rFonts w:hint="eastAsia"/>
          <w:lang w:eastAsia="zh-CN"/>
        </w:rPr>
        <w:t>0.00</w:t>
      </w:r>
      <w:r>
        <w:rPr>
          <w:rFonts w:hint="eastAsia"/>
        </w:rPr>
        <w:t>万元，占</w:t>
      </w:r>
      <w:r>
        <w:rPr>
          <w:rFonts w:hint="eastAsia"/>
          <w:lang w:eastAsia="zh-CN"/>
        </w:rPr>
        <w:t>0.00</w:t>
      </w:r>
      <w:r>
        <w:t>%</w:t>
      </w:r>
      <w:r>
        <w:rPr>
          <w:rFonts w:hint="eastAsia"/>
        </w:rPr>
        <w:t>。</w:t>
      </w:r>
    </w:p>
    <w:p w14:paraId="6BF09BFD">
      <w:pPr>
        <w:pStyle w:val="19"/>
        <w:bidi w:val="0"/>
      </w:pPr>
      <w:r>
        <w:rPr>
          <w:rFonts w:hint="eastAsia"/>
        </w:rPr>
        <w:t>（注：数据来源于财决</w:t>
      </w:r>
      <w:r>
        <w:t>04</w:t>
      </w:r>
      <w:r>
        <w:rPr>
          <w:rFonts w:hint="eastAsia"/>
        </w:rPr>
        <w:t>表，仅罗列本单位涉及的支出）</w:t>
      </w:r>
    </w:p>
    <w:p w14:paraId="7298851D">
      <w:pPr>
        <w:spacing w:line="240" w:lineRule="auto"/>
        <w:ind w:firstLine="0"/>
        <w:rPr>
          <w:rFonts w:ascii="仿宋" w:hAnsi="仿宋" w:eastAsia="仿宋"/>
          <w:sz w:val="32"/>
          <w:szCs w:val="32"/>
          <w:shd w:val="pct10" w:color="auto" w:fill="FFFFFF"/>
        </w:rP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8DE68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40B32159">
      <w:pPr>
        <w:spacing w:line="600" w:lineRule="exact"/>
        <w:ind w:firstLine="640" w:firstLineChars="200"/>
        <w:rPr>
          <w:rFonts w:ascii="仿宋_GB2312" w:eastAsia="仿宋_GB2312"/>
          <w:sz w:val="32"/>
          <w:szCs w:val="32"/>
        </w:rPr>
      </w:pPr>
    </w:p>
    <w:p w14:paraId="6D861F27">
      <w:pPr>
        <w:spacing w:line="600" w:lineRule="exact"/>
        <w:ind w:firstLine="640" w:firstLineChars="200"/>
        <w:outlineLvl w:val="1"/>
        <w:rPr>
          <w:rStyle w:val="33"/>
          <w:rFonts w:ascii="黑体" w:hAnsi="黑体" w:eastAsia="黑体"/>
          <w:b w:val="0"/>
        </w:rPr>
      </w:pPr>
      <w:bookmarkStart w:id="23" w:name="_Toc15396606"/>
      <w:bookmarkStart w:id="24" w:name="_Toc11066"/>
      <w:bookmarkStart w:id="25"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3"/>
      <w:bookmarkEnd w:id="24"/>
      <w:bookmarkEnd w:id="25"/>
    </w:p>
    <w:p w14:paraId="103F0E4D">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w:t>
      </w:r>
      <w:r>
        <w:rPr>
          <w:rFonts w:hint="eastAsia" w:ascii="仿宋" w:hAnsi="仿宋" w:eastAsia="仿宋"/>
          <w:b w:val="0"/>
          <w:bCs w:val="0"/>
          <w:sz w:val="32"/>
          <w:szCs w:val="32"/>
        </w:rPr>
        <w:t>收、支总计均为</w:t>
      </w:r>
      <w:r>
        <w:rPr>
          <w:rFonts w:ascii="仿宋" w:hAnsi="仿宋" w:eastAsia="仿宋"/>
          <w:b w:val="0"/>
          <w:bCs w:val="0"/>
          <w:sz w:val="32"/>
          <w:szCs w:val="32"/>
        </w:rPr>
        <w:t>1277.8</w:t>
      </w:r>
      <w:r>
        <w:rPr>
          <w:rFonts w:hint="eastAsia" w:ascii="仿宋" w:hAnsi="仿宋" w:eastAsia="仿宋"/>
          <w:b w:val="0"/>
          <w:bCs w:val="0"/>
          <w:sz w:val="32"/>
          <w:szCs w:val="32"/>
          <w:lang w:val="en-US" w:eastAsia="zh-CN"/>
        </w:rPr>
        <w:t>0</w:t>
      </w:r>
      <w:r>
        <w:rPr>
          <w:rFonts w:hint="eastAsia" w:ascii="仿宋" w:hAnsi="仿宋" w:eastAsia="仿宋"/>
          <w:b w:val="0"/>
          <w:bCs w:val="0"/>
          <w:sz w:val="32"/>
          <w:szCs w:val="32"/>
        </w:rPr>
        <w:t>万</w:t>
      </w:r>
      <w:r>
        <w:rPr>
          <w:rFonts w:hint="eastAsia" w:ascii="仿宋" w:hAnsi="仿宋" w:eastAsia="仿宋"/>
          <w:sz w:val="32"/>
          <w:szCs w:val="32"/>
        </w:rPr>
        <w:t>元。与2022年度相比，财政拨款收、支总计各减少223.37万元，下降14.88</w:t>
      </w:r>
      <w:r>
        <w:rPr>
          <w:rFonts w:ascii="仿宋" w:hAnsi="仿宋" w:eastAsia="仿宋"/>
          <w:sz w:val="32"/>
          <w:szCs w:val="32"/>
        </w:rPr>
        <w:t>%</w:t>
      </w:r>
      <w:r>
        <w:rPr>
          <w:rFonts w:hint="eastAsia" w:ascii="仿宋" w:hAnsi="仿宋" w:eastAsia="仿宋"/>
          <w:sz w:val="32"/>
          <w:szCs w:val="32"/>
        </w:rPr>
        <w:t>。主要变动原因是本年厉行节约，压减本级预算项目经费</w:t>
      </w:r>
      <w:r>
        <w:rPr>
          <w:rFonts w:hint="eastAsia" w:ascii="仿宋" w:hAnsi="仿宋" w:eastAsia="仿宋"/>
          <w:sz w:val="32"/>
          <w:szCs w:val="32"/>
          <w:lang w:eastAsia="zh-CN"/>
        </w:rPr>
        <w:t>。</w:t>
      </w:r>
    </w:p>
    <w:p w14:paraId="17568F3C">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46C68AD6">
      <w:pPr>
        <w:spacing w:line="240" w:lineRule="auto"/>
        <w:rPr>
          <w:rFonts w:ascii="仿宋" w:hAnsi="仿宋" w:eastAsia="仿宋"/>
          <w:sz w:val="32"/>
          <w:szCs w:val="32"/>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99B69B">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32C15F7">
      <w:pPr>
        <w:spacing w:line="600" w:lineRule="exact"/>
        <w:ind w:firstLine="640"/>
        <w:rPr>
          <w:rFonts w:ascii="仿宋" w:hAnsi="仿宋" w:eastAsia="仿宋"/>
          <w:b/>
          <w:sz w:val="32"/>
          <w:szCs w:val="32"/>
        </w:rPr>
      </w:pPr>
    </w:p>
    <w:p w14:paraId="2B63CBDA">
      <w:pPr>
        <w:spacing w:line="600" w:lineRule="exact"/>
        <w:ind w:firstLine="640" w:firstLineChars="200"/>
        <w:outlineLvl w:val="1"/>
        <w:rPr>
          <w:rStyle w:val="33"/>
          <w:rFonts w:ascii="黑体" w:hAnsi="黑体" w:eastAsia="黑体"/>
          <w:b w:val="0"/>
        </w:rPr>
      </w:pPr>
      <w:bookmarkStart w:id="26" w:name="_Toc15396607"/>
      <w:bookmarkStart w:id="27" w:name="_Toc15377209"/>
      <w:bookmarkStart w:id="28" w:name="_Toc23052"/>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6"/>
      <w:bookmarkEnd w:id="27"/>
      <w:bookmarkEnd w:id="28"/>
    </w:p>
    <w:p w14:paraId="070A0816">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14:paraId="7FDDD155">
      <w:pPr>
        <w:spacing w:line="600" w:lineRule="exact"/>
        <w:ind w:firstLine="640" w:firstLineChars="200"/>
        <w:rPr>
          <w:rFonts w:hint="eastAsia" w:ascii="仿宋" w:hAnsi="仿宋" w:eastAsia="仿宋"/>
          <w:b w:val="0"/>
          <w:bCs w:val="0"/>
          <w:sz w:val="32"/>
          <w:szCs w:val="32"/>
          <w:lang w:eastAsia="zh-CN"/>
        </w:rPr>
      </w:pPr>
      <w:r>
        <w:rPr>
          <w:rFonts w:hint="eastAsia" w:ascii="仿宋" w:hAnsi="仿宋" w:eastAsia="仿宋"/>
          <w:b w:val="0"/>
          <w:bCs w:val="0"/>
          <w:sz w:val="32"/>
          <w:szCs w:val="32"/>
        </w:rPr>
        <w:t>2023年度一般公共预算财政拨款支出</w:t>
      </w:r>
      <w:r>
        <w:rPr>
          <w:rFonts w:ascii="仿宋" w:hAnsi="仿宋" w:eastAsia="仿宋"/>
          <w:b w:val="0"/>
          <w:bCs w:val="0"/>
          <w:sz w:val="32"/>
          <w:szCs w:val="32"/>
        </w:rPr>
        <w:t>1221.55</w:t>
      </w:r>
      <w:r>
        <w:rPr>
          <w:rFonts w:hint="eastAsia" w:ascii="仿宋" w:hAnsi="仿宋" w:eastAsia="仿宋"/>
          <w:b w:val="0"/>
          <w:bCs w:val="0"/>
          <w:sz w:val="32"/>
          <w:szCs w:val="32"/>
        </w:rPr>
        <w:t>万元，占本年支出合计的</w:t>
      </w:r>
      <w:r>
        <w:rPr>
          <w:rFonts w:ascii="仿宋" w:hAnsi="仿宋" w:eastAsia="仿宋"/>
          <w:b w:val="0"/>
          <w:bCs w:val="0"/>
          <w:sz w:val="32"/>
          <w:szCs w:val="32"/>
        </w:rPr>
        <w:t>95.59%</w:t>
      </w:r>
      <w:r>
        <w:rPr>
          <w:rFonts w:hint="eastAsia" w:ascii="仿宋" w:hAnsi="仿宋" w:eastAsia="仿宋"/>
          <w:b w:val="0"/>
          <w:bCs w:val="0"/>
          <w:sz w:val="32"/>
          <w:szCs w:val="32"/>
        </w:rPr>
        <w:t>。与2022年度相比，一般公共预算财政拨款支出减少163.54万元，下降11.81</w:t>
      </w:r>
      <w:r>
        <w:rPr>
          <w:rFonts w:ascii="仿宋" w:hAnsi="仿宋" w:eastAsia="仿宋"/>
          <w:b w:val="0"/>
          <w:bCs w:val="0"/>
          <w:sz w:val="32"/>
          <w:szCs w:val="32"/>
        </w:rPr>
        <w:t>%</w:t>
      </w:r>
      <w:r>
        <w:rPr>
          <w:rFonts w:hint="eastAsia" w:ascii="仿宋" w:hAnsi="仿宋" w:eastAsia="仿宋"/>
          <w:b w:val="0"/>
          <w:bCs w:val="0"/>
          <w:sz w:val="32"/>
          <w:szCs w:val="32"/>
        </w:rPr>
        <w:t>。主要变动原因是2023年本单位环境卫生整治经费项目增加</w:t>
      </w:r>
      <w:r>
        <w:rPr>
          <w:rFonts w:hint="eastAsia" w:ascii="仿宋" w:hAnsi="仿宋" w:eastAsia="仿宋"/>
          <w:b w:val="0"/>
          <w:bCs w:val="0"/>
          <w:sz w:val="32"/>
          <w:szCs w:val="32"/>
          <w:lang w:eastAsia="zh-CN"/>
        </w:rPr>
        <w:t>。</w:t>
      </w:r>
    </w:p>
    <w:p w14:paraId="1D304697">
      <w:pPr>
        <w:spacing w:line="240" w:lineRule="auto"/>
        <w:ind w:firstLine="0" w:firstLineChars="0"/>
        <w:rPr>
          <w:rFonts w:ascii="仿宋" w:hAnsi="仿宋" w:eastAsia="仿宋"/>
          <w:sz w:val="32"/>
          <w:szCs w:val="32"/>
        </w:rPr>
      </w:pPr>
      <w:r>
        <w:drawing>
          <wp:inline distT="0" distB="0" distL="114300" distR="114300">
            <wp:extent cx="4826000" cy="2743200"/>
            <wp:effectExtent l="4445" t="4445" r="825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F42690">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095E4AB">
      <w:pPr>
        <w:spacing w:line="600" w:lineRule="exact"/>
        <w:ind w:firstLine="640" w:firstLineChars="200"/>
        <w:rPr>
          <w:rFonts w:ascii="仿宋" w:hAnsi="仿宋" w:eastAsia="仿宋"/>
          <w:sz w:val="32"/>
          <w:szCs w:val="32"/>
        </w:rPr>
      </w:pPr>
    </w:p>
    <w:p w14:paraId="5B718EAA">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14:paraId="4D30342B">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val="0"/>
          <w:bCs/>
          <w:sz w:val="32"/>
          <w:szCs w:val="32"/>
        </w:rPr>
        <w:t>1221.55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691.13万元，占54.09%；</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158.24万元，占12.38%；</w:t>
      </w:r>
      <w:r>
        <w:rPr>
          <w:rFonts w:hint="eastAsia" w:ascii="仿宋" w:hAnsi="仿宋" w:eastAsia="仿宋"/>
          <w:b/>
          <w:bCs/>
          <w:sz w:val="32"/>
          <w:szCs w:val="32"/>
        </w:rPr>
        <w:t>卫生健康支出</w:t>
      </w:r>
      <w:r>
        <w:rPr>
          <w:rFonts w:hint="eastAsia" w:ascii="仿宋" w:hAnsi="仿宋" w:eastAsia="仿宋"/>
          <w:sz w:val="32"/>
          <w:szCs w:val="32"/>
        </w:rPr>
        <w:t>21.14万元，占1.65%；</w:t>
      </w:r>
      <w:r>
        <w:rPr>
          <w:rFonts w:hint="eastAsia" w:ascii="仿宋" w:hAnsi="仿宋" w:eastAsia="仿宋" w:cs="Times New Roman"/>
          <w:b/>
          <w:bCs/>
          <w:sz w:val="32"/>
          <w:szCs w:val="32"/>
        </w:rPr>
        <w:t>城乡社区支出</w:t>
      </w:r>
      <w:r>
        <w:rPr>
          <w:rFonts w:hint="eastAsia" w:ascii="仿宋" w:hAnsi="仿宋" w:eastAsia="仿宋"/>
          <w:sz w:val="32"/>
          <w:szCs w:val="32"/>
        </w:rPr>
        <w:t>56.25</w:t>
      </w:r>
      <w:r>
        <w:rPr>
          <w:rFonts w:hint="eastAsia" w:ascii="仿宋" w:hAnsi="仿宋" w:eastAsia="仿宋"/>
          <w:sz w:val="32"/>
          <w:szCs w:val="32"/>
          <w:lang w:val="en-US" w:eastAsia="zh-CN"/>
        </w:rPr>
        <w:t>万元，占4.40%；</w:t>
      </w:r>
      <w:r>
        <w:rPr>
          <w:rFonts w:hint="eastAsia" w:ascii="仿宋" w:hAnsi="仿宋" w:eastAsia="仿宋" w:cs="Times New Roman"/>
          <w:b/>
          <w:bCs/>
          <w:sz w:val="32"/>
          <w:szCs w:val="32"/>
          <w:lang w:val="en-US" w:eastAsia="zh-CN"/>
        </w:rPr>
        <w:t>农林水支出</w:t>
      </w:r>
      <w:r>
        <w:rPr>
          <w:rFonts w:hint="eastAsia" w:ascii="仿宋" w:hAnsi="仿宋" w:eastAsia="仿宋"/>
          <w:sz w:val="32"/>
          <w:szCs w:val="32"/>
          <w:lang w:val="en-US" w:eastAsia="zh-CN"/>
        </w:rPr>
        <w:t>294.51万元；</w:t>
      </w:r>
      <w:r>
        <w:rPr>
          <w:rFonts w:hint="eastAsia" w:ascii="仿宋" w:hAnsi="仿宋" w:eastAsia="仿宋" w:cs="Times New Roman"/>
          <w:b/>
          <w:bCs/>
          <w:sz w:val="32"/>
          <w:szCs w:val="32"/>
          <w:lang w:val="en-US" w:eastAsia="zh-CN"/>
        </w:rPr>
        <w:t>住房保障支出</w:t>
      </w:r>
      <w:r>
        <w:rPr>
          <w:rFonts w:hint="eastAsia" w:ascii="仿宋" w:hAnsi="仿宋" w:eastAsia="仿宋"/>
          <w:sz w:val="32"/>
          <w:szCs w:val="32"/>
          <w:lang w:val="en-US" w:eastAsia="zh-CN"/>
        </w:rPr>
        <w:t>56.53万元，占23.05%</w:t>
      </w:r>
      <w:r>
        <w:rPr>
          <w:rFonts w:hint="eastAsia" w:ascii="仿宋" w:hAnsi="仿宋" w:eastAsia="仿宋"/>
          <w:sz w:val="32"/>
          <w:szCs w:val="32"/>
        </w:rPr>
        <w:t>。</w:t>
      </w:r>
    </w:p>
    <w:p w14:paraId="2D78129B">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0A1134C0">
      <w:pPr>
        <w:spacing w:line="240" w:lineRule="auto"/>
        <w:ind w:firstLine="0"/>
        <w:jc w:val="center"/>
        <w:rPr>
          <w:rFonts w:ascii="仿宋" w:hAnsi="仿宋" w:eastAsia="仿宋"/>
          <w:sz w:val="32"/>
          <w:szCs w:val="32"/>
        </w:rPr>
      </w:pPr>
      <w:r>
        <w:drawing>
          <wp:inline distT="0" distB="0" distL="114300" distR="114300">
            <wp:extent cx="5269230" cy="2810510"/>
            <wp:effectExtent l="0" t="0" r="7620" b="889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1"/>
                    <a:stretch>
                      <a:fillRect/>
                    </a:stretch>
                  </pic:blipFill>
                  <pic:spPr>
                    <a:xfrm>
                      <a:off x="0" y="0"/>
                      <a:ext cx="5269230" cy="2810510"/>
                    </a:xfrm>
                    <a:prstGeom prst="rect">
                      <a:avLst/>
                    </a:prstGeom>
                    <a:noFill/>
                    <a:ln>
                      <a:noFill/>
                    </a:ln>
                  </pic:spPr>
                </pic:pic>
              </a:graphicData>
            </a:graphic>
          </wp:inline>
        </w:drawing>
      </w:r>
    </w:p>
    <w:p w14:paraId="5867D5B5">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F8C6903">
      <w:pPr>
        <w:spacing w:line="600" w:lineRule="exact"/>
        <w:ind w:firstLine="640" w:firstLineChars="200"/>
        <w:rPr>
          <w:rFonts w:ascii="仿宋" w:hAnsi="仿宋" w:eastAsia="仿宋"/>
          <w:sz w:val="32"/>
          <w:szCs w:val="32"/>
        </w:rPr>
      </w:pPr>
    </w:p>
    <w:p w14:paraId="0DCBD592">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14:paraId="054EBC0D">
      <w:pPr>
        <w:pStyle w:val="20"/>
        <w:bidi w:val="0"/>
        <w:rPr>
          <w:b/>
          <w:bCs/>
        </w:rPr>
      </w:pPr>
      <w:bookmarkStart w:id="32" w:name="_Toc15377444"/>
      <w:bookmarkStart w:id="33" w:name="_Toc15378460"/>
      <w:bookmarkStart w:id="34" w:name="_Toc15377213"/>
      <w:r>
        <w:rPr>
          <w:rFonts w:hint="eastAsia"/>
          <w:b/>
          <w:bCs/>
        </w:rPr>
        <w:t>2023年度一般公共预算支出决算数为</w:t>
      </w:r>
      <w:r>
        <w:rPr>
          <w:b/>
          <w:bCs/>
        </w:rPr>
        <w:t>1221.55</w:t>
      </w:r>
      <w:r>
        <w:rPr>
          <w:rFonts w:hint="eastAsia"/>
          <w:b/>
          <w:bCs/>
        </w:rPr>
        <w:t>，完成预算</w:t>
      </w:r>
      <w:r>
        <w:rPr>
          <w:rFonts w:hint="eastAsia"/>
          <w:b/>
          <w:bCs/>
          <w:lang w:val="en-US" w:eastAsia="zh-CN"/>
        </w:rPr>
        <w:t>100.00</w:t>
      </w:r>
      <w:r>
        <w:rPr>
          <w:b/>
          <w:bCs/>
        </w:rPr>
        <w:t>%</w:t>
      </w:r>
      <w:r>
        <w:rPr>
          <w:rFonts w:hint="eastAsia"/>
          <w:b/>
          <w:bCs/>
        </w:rPr>
        <w:t>。其中：</w:t>
      </w:r>
      <w:bookmarkEnd w:id="32"/>
      <w:bookmarkEnd w:id="33"/>
      <w:bookmarkEnd w:id="34"/>
    </w:p>
    <w:p w14:paraId="26710C36">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一般公共服务（类）政府办公厅（室）及相关机构事务（款）行政运行（项）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支出决算为443.57万元，完成预算</w:t>
      </w:r>
      <w:r>
        <w:rPr>
          <w:rStyle w:val="17"/>
          <w:rFonts w:hint="eastAsia" w:ascii="仿宋" w:hAnsi="仿宋" w:eastAsia="仿宋"/>
          <w:b w:val="0"/>
          <w:bCs/>
          <w:sz w:val="32"/>
          <w:szCs w:val="32"/>
          <w:lang w:val="en-US" w:eastAsia="zh-CN"/>
        </w:rPr>
        <w:t>100.00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3FCBFFE8">
      <w:pPr>
        <w:spacing w:line="600" w:lineRule="exact"/>
        <w:ind w:firstLine="643" w:firstLineChars="200"/>
        <w:rPr>
          <w:rFonts w:ascii="仿宋" w:hAnsi="仿宋" w:eastAsia="仿宋" w:cs="Times New Roman"/>
          <w:b/>
          <w:sz w:val="32"/>
          <w:szCs w:val="32"/>
        </w:rPr>
      </w:pPr>
      <w:r>
        <w:rPr>
          <w:rStyle w:val="17"/>
          <w:rFonts w:ascii="仿宋" w:hAnsi="仿宋" w:eastAsia="仿宋"/>
          <w:bCs/>
          <w:sz w:val="32"/>
          <w:szCs w:val="32"/>
        </w:rPr>
        <w:t>2.</w:t>
      </w:r>
      <w:r>
        <w:rPr>
          <w:rStyle w:val="17"/>
          <w:rFonts w:hint="eastAsia" w:ascii="仿宋" w:hAnsi="仿宋" w:eastAsia="仿宋" w:cs="Times New Roman"/>
          <w:bCs/>
          <w:sz w:val="32"/>
          <w:szCs w:val="32"/>
        </w:rPr>
        <w:t>一般公共服务（类）政府办公厅（室）及相关机构事务（款）事业运行（项）</w:t>
      </w:r>
      <w:r>
        <w:rPr>
          <w:rStyle w:val="17"/>
          <w:rFonts w:hint="eastAsia" w:ascii="仿宋" w:hAnsi="仿宋" w:eastAsia="仿宋" w:cs="Times New Roman"/>
          <w:bCs/>
          <w:sz w:val="32"/>
          <w:szCs w:val="32"/>
          <w:lang w:eastAsia="zh-CN"/>
        </w:rPr>
        <w:t>：</w:t>
      </w:r>
      <w:r>
        <w:rPr>
          <w:rStyle w:val="17"/>
          <w:rFonts w:hint="eastAsia" w:ascii="仿宋" w:hAnsi="仿宋" w:eastAsia="仿宋" w:cs="Times New Roman"/>
          <w:b w:val="0"/>
          <w:bCs/>
          <w:sz w:val="32"/>
          <w:szCs w:val="32"/>
        </w:rPr>
        <w:t>支出决算为247.55万元，完成预算</w:t>
      </w:r>
      <w:r>
        <w:rPr>
          <w:rStyle w:val="17"/>
          <w:rFonts w:hint="eastAsia" w:ascii="仿宋" w:hAnsi="仿宋" w:eastAsia="仿宋" w:cs="Times New Roman"/>
          <w:b w:val="0"/>
          <w:bCs/>
          <w:sz w:val="32"/>
          <w:szCs w:val="32"/>
          <w:lang w:val="en-US" w:eastAsia="zh-CN"/>
        </w:rPr>
        <w:t>100.00</w:t>
      </w:r>
      <w:r>
        <w:rPr>
          <w:rStyle w:val="17"/>
          <w:rFonts w:ascii="仿宋" w:hAnsi="仿宋" w:eastAsia="仿宋" w:cs="Times New Roman"/>
          <w:b w:val="0"/>
          <w:bCs/>
          <w:sz w:val="32"/>
          <w:szCs w:val="32"/>
        </w:rPr>
        <w:t>%</w:t>
      </w:r>
      <w:r>
        <w:rPr>
          <w:rStyle w:val="17"/>
          <w:rFonts w:hint="eastAsia" w:ascii="仿宋" w:hAnsi="仿宋" w:eastAsia="仿宋" w:cs="Times New Roman"/>
          <w:b w:val="0"/>
          <w:bCs/>
          <w:sz w:val="32"/>
          <w:szCs w:val="32"/>
        </w:rPr>
        <w:t>，决算数等于预算数。</w:t>
      </w:r>
    </w:p>
    <w:p w14:paraId="47834339">
      <w:pPr>
        <w:spacing w:line="600" w:lineRule="exact"/>
        <w:ind w:firstLine="643" w:firstLineChars="200"/>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rPr>
        <w:t>社会保障和就业支出（类）行政事业单位养老支出（款）机关事业单位基本养老保险缴费支出（项）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支出决算为73.35万元，完成预算100.00%，决算数等于预算数。</w:t>
      </w:r>
    </w:p>
    <w:p w14:paraId="49F9AE3D">
      <w:pPr>
        <w:spacing w:line="600" w:lineRule="exact"/>
        <w:ind w:firstLine="643" w:firstLineChars="200"/>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社会保障和就业支出（类）行政事业单位养老支出（款）机关事业单位职业年金缴费支出（项）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lang w:eastAsia="zh-CN"/>
        </w:rPr>
        <w:t>支出决算为36.63万元，完成预算100.00%，决算数等于预算数</w:t>
      </w:r>
      <w:r>
        <w:rPr>
          <w:rStyle w:val="17"/>
          <w:rFonts w:hint="eastAsia" w:ascii="仿宋" w:hAnsi="仿宋" w:eastAsia="仿宋"/>
          <w:b w:val="0"/>
          <w:bCs/>
          <w:sz w:val="32"/>
          <w:szCs w:val="32"/>
        </w:rPr>
        <w:t>。</w:t>
      </w:r>
    </w:p>
    <w:p w14:paraId="2C7EEE94">
      <w:pPr>
        <w:spacing w:line="600" w:lineRule="exact"/>
        <w:ind w:firstLine="643"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社会保障和就业（类）抚恤（款）死亡抚恤（项）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lang w:eastAsia="zh-CN"/>
        </w:rPr>
        <w:t>支出决算为38.34万元，完成预算100.00%，决算数等于预算数</w:t>
      </w:r>
      <w:r>
        <w:rPr>
          <w:rStyle w:val="17"/>
          <w:rFonts w:hint="eastAsia" w:ascii="仿宋" w:hAnsi="仿宋" w:eastAsia="仿宋"/>
          <w:b w:val="0"/>
          <w:bCs/>
          <w:sz w:val="32"/>
          <w:szCs w:val="32"/>
        </w:rPr>
        <w:t>。</w:t>
      </w:r>
    </w:p>
    <w:p w14:paraId="0BB312CD">
      <w:pPr>
        <w:spacing w:line="600" w:lineRule="exact"/>
        <w:ind w:firstLine="643" w:firstLineChars="200"/>
        <w:rPr>
          <w:rFonts w:ascii="仿宋" w:hAnsi="仿宋" w:eastAsia="仿宋"/>
          <w:b/>
          <w:sz w:val="32"/>
          <w:szCs w:val="32"/>
        </w:rPr>
      </w:pPr>
      <w:r>
        <w:rPr>
          <w:rStyle w:val="17"/>
          <w:rFonts w:ascii="仿宋" w:hAnsi="仿宋" w:eastAsia="仿宋"/>
          <w:bCs/>
          <w:sz w:val="32"/>
          <w:szCs w:val="32"/>
        </w:rPr>
        <w:t>6.</w:t>
      </w:r>
      <w:r>
        <w:rPr>
          <w:rFonts w:hint="eastAsia" w:ascii="仿宋" w:hAnsi="仿宋" w:eastAsia="仿宋"/>
          <w:b/>
          <w:bCs/>
          <w:sz w:val="32"/>
          <w:szCs w:val="32"/>
        </w:rPr>
        <w:t>社会保障和就业</w:t>
      </w:r>
      <w:r>
        <w:rPr>
          <w:rStyle w:val="17"/>
          <w:rFonts w:hint="eastAsia" w:ascii="仿宋" w:hAnsi="仿宋" w:eastAsia="仿宋"/>
          <w:bCs/>
          <w:sz w:val="32"/>
          <w:szCs w:val="32"/>
        </w:rPr>
        <w:t>（类）其他社会保障和就业支出（款）其他社会保障和就业支出（项）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支出决算为9.92万元，完成预算100.00%，决算数等于预算数。</w:t>
      </w:r>
    </w:p>
    <w:p w14:paraId="31CB9DBF">
      <w:pPr>
        <w:spacing w:line="600" w:lineRule="exact"/>
        <w:ind w:firstLine="643" w:firstLineChars="200"/>
        <w:rPr>
          <w:rFonts w:hint="eastAsia" w:ascii="仿宋" w:hAnsi="仿宋" w:eastAsia="仿宋"/>
          <w:b w:val="0"/>
          <w:bCs/>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.卫生健康（类）行政事业单位医疗（款）行政单位医疗（项）</w:t>
      </w:r>
      <w:r>
        <w:rPr>
          <w:rFonts w:hint="eastAsia" w:ascii="仿宋" w:hAnsi="仿宋" w:eastAsia="仿宋"/>
          <w:b/>
          <w:sz w:val="32"/>
          <w:szCs w:val="32"/>
          <w:lang w:eastAsia="zh-CN"/>
        </w:rPr>
        <w:t>：</w:t>
      </w:r>
      <w:r>
        <w:rPr>
          <w:rFonts w:hint="eastAsia" w:ascii="仿宋" w:hAnsi="仿宋" w:eastAsia="仿宋"/>
          <w:b w:val="0"/>
          <w:bCs/>
          <w:sz w:val="32"/>
          <w:szCs w:val="32"/>
        </w:rPr>
        <w:t>支出决算为17.78万元，完成预算100.00%，决算数等于预算数。</w:t>
      </w:r>
    </w:p>
    <w:p w14:paraId="022EA7C5">
      <w:pPr>
        <w:spacing w:line="600" w:lineRule="exact"/>
        <w:ind w:firstLine="643" w:firstLineChars="200"/>
        <w:rPr>
          <w:rFonts w:hint="eastAsia" w:ascii="仿宋" w:hAnsi="仿宋" w:eastAsia="仿宋" w:cs="Times New Roman"/>
          <w:b w:val="0"/>
          <w:bCs/>
          <w:sz w:val="32"/>
          <w:szCs w:val="32"/>
        </w:rPr>
      </w:pPr>
      <w:r>
        <w:rPr>
          <w:rFonts w:hint="eastAsia" w:ascii="仿宋" w:hAnsi="仿宋" w:eastAsia="仿宋" w:cs="Times New Roman"/>
          <w:b/>
          <w:sz w:val="32"/>
          <w:szCs w:val="32"/>
          <w:lang w:val="en-US" w:eastAsia="zh-CN"/>
        </w:rPr>
        <w:t>8</w:t>
      </w:r>
      <w:r>
        <w:rPr>
          <w:rFonts w:hint="eastAsia" w:ascii="仿宋" w:hAnsi="仿宋" w:eastAsia="仿宋" w:cs="Times New Roman"/>
          <w:b/>
          <w:sz w:val="32"/>
          <w:szCs w:val="32"/>
        </w:rPr>
        <w:t>.卫生健康（类）行政事业单位医疗（款）公务员医疗补助（项）</w:t>
      </w:r>
      <w:r>
        <w:rPr>
          <w:rFonts w:hint="eastAsia" w:ascii="仿宋" w:hAnsi="仿宋" w:eastAsia="仿宋" w:cs="Times New Roman"/>
          <w:b/>
          <w:sz w:val="32"/>
          <w:szCs w:val="32"/>
          <w:lang w:eastAsia="zh-CN"/>
        </w:rPr>
        <w:t>：</w:t>
      </w:r>
      <w:r>
        <w:rPr>
          <w:rFonts w:hint="eastAsia" w:ascii="仿宋" w:hAnsi="仿宋" w:eastAsia="仿宋" w:cs="Times New Roman"/>
          <w:b w:val="0"/>
          <w:bCs/>
          <w:sz w:val="32"/>
          <w:szCs w:val="32"/>
        </w:rPr>
        <w:t>支出决算为3.36万元，完成预算100.00%，决算数等于预算数。</w:t>
      </w:r>
    </w:p>
    <w:p w14:paraId="31532ABC">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Times New Roman"/>
          <w:b w:val="0"/>
          <w:bCs/>
          <w:sz w:val="32"/>
          <w:szCs w:val="32"/>
        </w:rPr>
      </w:pPr>
      <w:r>
        <w:rPr>
          <w:rFonts w:hint="eastAsia" w:ascii="仿宋" w:hAnsi="仿宋" w:eastAsia="仿宋" w:cs="Times New Roman"/>
          <w:b/>
          <w:sz w:val="32"/>
          <w:szCs w:val="32"/>
          <w:lang w:val="en-US" w:eastAsia="zh-CN"/>
        </w:rPr>
        <w:t>9</w:t>
      </w:r>
      <w:r>
        <w:rPr>
          <w:rFonts w:hint="eastAsia" w:ascii="仿宋" w:hAnsi="仿宋" w:eastAsia="仿宋" w:cs="Times New Roman"/>
          <w:b/>
          <w:sz w:val="32"/>
          <w:szCs w:val="32"/>
        </w:rPr>
        <w:t>.农林水</w:t>
      </w:r>
      <w:r>
        <w:rPr>
          <w:rFonts w:hint="eastAsia" w:ascii="仿宋" w:hAnsi="仿宋" w:eastAsia="仿宋" w:cs="Times New Roman"/>
          <w:b/>
          <w:sz w:val="32"/>
          <w:szCs w:val="32"/>
          <w:lang w:val="en-US" w:eastAsia="zh-CN"/>
        </w:rPr>
        <w:t>支出</w:t>
      </w:r>
      <w:r>
        <w:rPr>
          <w:rFonts w:hint="eastAsia" w:ascii="仿宋" w:hAnsi="仿宋" w:eastAsia="仿宋" w:cs="Times New Roman"/>
          <w:b/>
          <w:sz w:val="32"/>
          <w:szCs w:val="32"/>
        </w:rPr>
        <w:t>（类）农业农村（款）行政运行（项）</w:t>
      </w:r>
      <w:r>
        <w:rPr>
          <w:rFonts w:hint="eastAsia" w:ascii="仿宋" w:hAnsi="仿宋" w:eastAsia="仿宋" w:cs="Times New Roman"/>
          <w:b/>
          <w:sz w:val="32"/>
          <w:szCs w:val="32"/>
          <w:lang w:eastAsia="zh-CN"/>
        </w:rPr>
        <w:t>：</w:t>
      </w:r>
      <w:r>
        <w:rPr>
          <w:rFonts w:hint="eastAsia" w:ascii="仿宋" w:hAnsi="仿宋" w:eastAsia="仿宋" w:cs="Times New Roman"/>
          <w:b w:val="0"/>
          <w:bCs/>
          <w:sz w:val="32"/>
          <w:szCs w:val="32"/>
        </w:rPr>
        <w:t>支出决算为2.80万元，完成预算100.00%，决算数等于预算数。</w:t>
      </w:r>
    </w:p>
    <w:p w14:paraId="3E9BE4C5">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Times New Roman"/>
          <w:b w:val="0"/>
          <w:bCs/>
          <w:sz w:val="32"/>
          <w:szCs w:val="32"/>
        </w:rPr>
      </w:pPr>
      <w:r>
        <w:rPr>
          <w:rFonts w:hint="eastAsia" w:ascii="仿宋" w:hAnsi="仿宋" w:eastAsia="仿宋" w:cs="Times New Roman"/>
          <w:b/>
          <w:sz w:val="32"/>
          <w:szCs w:val="32"/>
          <w:lang w:val="en-US" w:eastAsia="zh-CN"/>
        </w:rPr>
        <w:t>10</w:t>
      </w:r>
      <w:r>
        <w:rPr>
          <w:rFonts w:hint="eastAsia" w:ascii="仿宋" w:hAnsi="仿宋" w:eastAsia="仿宋" w:cs="Times New Roman"/>
          <w:b/>
          <w:sz w:val="32"/>
          <w:szCs w:val="32"/>
        </w:rPr>
        <w:t>.农林水支出（类）巩固脱贫攻坚成果衔接乡村振兴（款）一般行政管理事务（项）</w:t>
      </w:r>
      <w:r>
        <w:rPr>
          <w:rFonts w:hint="eastAsia" w:ascii="仿宋" w:hAnsi="仿宋" w:eastAsia="仿宋" w:cs="Times New Roman"/>
          <w:b/>
          <w:sz w:val="32"/>
          <w:szCs w:val="32"/>
          <w:lang w:eastAsia="zh-CN"/>
        </w:rPr>
        <w:t>：</w:t>
      </w:r>
      <w:r>
        <w:rPr>
          <w:rFonts w:hint="eastAsia" w:ascii="仿宋" w:hAnsi="仿宋" w:eastAsia="仿宋" w:cs="Times New Roman"/>
          <w:b w:val="0"/>
          <w:bCs/>
          <w:sz w:val="32"/>
          <w:szCs w:val="32"/>
        </w:rPr>
        <w:t>支出决算为6.45万元，完成预算100.00%，决算数等于预算数。</w:t>
      </w:r>
    </w:p>
    <w:p w14:paraId="6003B228">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Times New Roman"/>
          <w:b w:val="0"/>
          <w:bCs/>
          <w:sz w:val="32"/>
          <w:szCs w:val="32"/>
          <w:lang w:val="en-US" w:eastAsia="zh-CN"/>
        </w:rPr>
      </w:pPr>
      <w:r>
        <w:rPr>
          <w:rFonts w:hint="eastAsia" w:ascii="仿宋" w:hAnsi="仿宋" w:eastAsia="仿宋" w:cs="Times New Roman"/>
          <w:b/>
          <w:sz w:val="32"/>
          <w:szCs w:val="32"/>
          <w:lang w:val="en-US" w:eastAsia="zh-CN"/>
        </w:rPr>
        <w:t>11.农林水支出（类）巩固脱贫攻坚成果衔接乡村振兴（款）社会发展（项）：</w:t>
      </w:r>
      <w:r>
        <w:rPr>
          <w:rFonts w:hint="eastAsia" w:ascii="仿宋" w:hAnsi="仿宋" w:eastAsia="仿宋" w:cs="Times New Roman"/>
          <w:b w:val="0"/>
          <w:bCs/>
          <w:sz w:val="32"/>
          <w:szCs w:val="32"/>
          <w:lang w:val="en-US" w:eastAsia="zh-CN"/>
        </w:rPr>
        <w:t>支出决算为4.00万元，完成预算100.00%，决算数等于预算数。</w:t>
      </w:r>
    </w:p>
    <w:p w14:paraId="5FBE4A2B">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Times New Roman"/>
          <w:b w:val="0"/>
          <w:bCs/>
          <w:sz w:val="32"/>
          <w:szCs w:val="32"/>
          <w:lang w:val="en-US" w:eastAsia="zh-CN"/>
        </w:rPr>
      </w:pPr>
      <w:r>
        <w:rPr>
          <w:rFonts w:hint="eastAsia" w:ascii="仿宋" w:hAnsi="仿宋" w:eastAsia="仿宋" w:cs="Times New Roman"/>
          <w:b/>
          <w:sz w:val="32"/>
          <w:szCs w:val="32"/>
          <w:lang w:val="en-US" w:eastAsia="zh-CN"/>
        </w:rPr>
        <w:t>12.农林水支出（类）巩固脱贫攻坚成果衔接乡村振兴（款）其他巩固脱贫攻坚成果衔接乡村振兴支出（项）：</w:t>
      </w:r>
      <w:r>
        <w:rPr>
          <w:rFonts w:hint="eastAsia" w:ascii="仿宋" w:hAnsi="仿宋" w:eastAsia="仿宋" w:cs="Times New Roman"/>
          <w:b w:val="0"/>
          <w:bCs/>
          <w:sz w:val="32"/>
          <w:szCs w:val="32"/>
          <w:lang w:val="en-US" w:eastAsia="zh-CN"/>
        </w:rPr>
        <w:t>支出决算为16.34万元，完成预算100.00%，决算数等于预算数。</w:t>
      </w:r>
    </w:p>
    <w:p w14:paraId="138676AC">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kern w:val="2"/>
          <w:sz w:val="32"/>
          <w:szCs w:val="32"/>
          <w:lang w:val="en-US" w:eastAsia="zh-CN" w:bidi="ar-SA"/>
        </w:rPr>
        <w:t>13.农林水支出（类）农村综合改革（款）对村民委员会和村党支部的补助（项）：</w:t>
      </w:r>
      <w:r>
        <w:rPr>
          <w:rFonts w:hint="eastAsia" w:ascii="仿宋" w:hAnsi="仿宋" w:eastAsia="仿宋" w:cs="Times New Roman"/>
          <w:b w:val="0"/>
          <w:bCs/>
          <w:kern w:val="2"/>
          <w:sz w:val="32"/>
          <w:szCs w:val="32"/>
          <w:lang w:val="en-US" w:eastAsia="zh-CN" w:bidi="ar-SA"/>
        </w:rPr>
        <w:t>支出决算为143.92万元，完成预算100.00%，决算数等于预算数。</w:t>
      </w:r>
    </w:p>
    <w:p w14:paraId="3DFB7C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kern w:val="2"/>
          <w:sz w:val="32"/>
          <w:szCs w:val="32"/>
          <w:lang w:val="en-US" w:eastAsia="zh-CN" w:bidi="ar-SA"/>
        </w:rPr>
        <w:t>14.农林水支出（类）农村综合改革（款）农村综合改革示范试点补助（项）：</w:t>
      </w:r>
      <w:r>
        <w:rPr>
          <w:rFonts w:hint="eastAsia" w:ascii="仿宋" w:hAnsi="仿宋" w:eastAsia="仿宋" w:cs="Times New Roman"/>
          <w:b w:val="0"/>
          <w:bCs/>
          <w:kern w:val="2"/>
          <w:sz w:val="32"/>
          <w:szCs w:val="32"/>
          <w:lang w:val="en-US" w:eastAsia="zh-CN" w:bidi="ar-SA"/>
        </w:rPr>
        <w:t>支出决算为121.00万元，完成预算100.00%，决算数等于预算数。</w:t>
      </w:r>
    </w:p>
    <w:p w14:paraId="74F66ECC">
      <w:pPr>
        <w:pStyle w:val="20"/>
        <w:bidi w:val="0"/>
        <w:rPr>
          <w:rFonts w:hint="eastAsia"/>
          <w:lang w:val="en-US" w:eastAsia="zh-CN"/>
        </w:rPr>
      </w:pPr>
      <w:r>
        <w:rPr>
          <w:rFonts w:hint="eastAsia"/>
          <w:b/>
          <w:bCs/>
          <w:lang w:val="en-US" w:eastAsia="zh-CN"/>
        </w:rPr>
        <w:t>15.住房保障支出（类）住房改革支出（款）住房公积金（项）：</w:t>
      </w:r>
      <w:r>
        <w:rPr>
          <w:rFonts w:hint="eastAsia"/>
          <w:lang w:val="en-US" w:eastAsia="zh-CN"/>
        </w:rPr>
        <w:t>支出决算为56.53万元，完成预算100.00%，决算数等于预算数。</w:t>
      </w:r>
    </w:p>
    <w:p w14:paraId="37CAA28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0ABF1550">
      <w:pPr>
        <w:spacing w:line="600" w:lineRule="exact"/>
        <w:ind w:firstLine="640"/>
        <w:rPr>
          <w:rFonts w:ascii="仿宋" w:hAnsi="仿宋" w:eastAsia="仿宋"/>
          <w:b/>
          <w:sz w:val="32"/>
          <w:szCs w:val="32"/>
        </w:rPr>
      </w:pPr>
    </w:p>
    <w:p w14:paraId="7BE67EEE">
      <w:pPr>
        <w:tabs>
          <w:tab w:val="right" w:pos="8306"/>
        </w:tabs>
        <w:spacing w:line="600" w:lineRule="exact"/>
        <w:ind w:firstLine="640"/>
        <w:outlineLvl w:val="1"/>
        <w:rPr>
          <w:rStyle w:val="33"/>
        </w:rPr>
      </w:pPr>
      <w:bookmarkStart w:id="35" w:name="_Toc15396608"/>
      <w:bookmarkStart w:id="36" w:name="_Toc15377214"/>
      <w:bookmarkStart w:id="37" w:name="_Toc3219"/>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5"/>
      <w:bookmarkEnd w:id="36"/>
      <w:bookmarkEnd w:id="37"/>
      <w:r>
        <w:rPr>
          <w:rStyle w:val="33"/>
          <w:rFonts w:ascii="黑体" w:hAnsi="黑体" w:eastAsia="黑体"/>
          <w:b w:val="0"/>
        </w:rPr>
        <w:tab/>
      </w:r>
    </w:p>
    <w:p w14:paraId="3CDDB105">
      <w:pPr>
        <w:spacing w:line="600" w:lineRule="exact"/>
        <w:ind w:firstLine="645"/>
        <w:rPr>
          <w:rFonts w:ascii="仿宋" w:hAnsi="仿宋" w:eastAsia="仿宋"/>
          <w:b w:val="0"/>
          <w:bCs w:val="0"/>
          <w:sz w:val="32"/>
          <w:szCs w:val="32"/>
        </w:rPr>
      </w:pPr>
      <w:r>
        <w:rPr>
          <w:rFonts w:hint="eastAsia" w:ascii="仿宋" w:hAnsi="仿宋" w:eastAsia="仿宋"/>
          <w:b w:val="0"/>
          <w:bCs w:val="0"/>
          <w:sz w:val="32"/>
          <w:szCs w:val="32"/>
        </w:rPr>
        <w:t>2023年度一般公共预算财政拨款基本支出</w:t>
      </w:r>
      <w:r>
        <w:rPr>
          <w:rFonts w:ascii="仿宋" w:hAnsi="仿宋" w:eastAsia="仿宋"/>
          <w:b w:val="0"/>
          <w:bCs w:val="0"/>
          <w:sz w:val="32"/>
          <w:szCs w:val="32"/>
        </w:rPr>
        <w:t>1062.81</w:t>
      </w:r>
      <w:r>
        <w:rPr>
          <w:rFonts w:hint="eastAsia" w:ascii="仿宋" w:hAnsi="仿宋" w:eastAsia="仿宋"/>
          <w:b w:val="0"/>
          <w:bCs w:val="0"/>
          <w:sz w:val="32"/>
          <w:szCs w:val="32"/>
        </w:rPr>
        <w:t>万元，其中：</w:t>
      </w:r>
    </w:p>
    <w:p w14:paraId="21E1FBE0">
      <w:pPr>
        <w:spacing w:line="600" w:lineRule="exact"/>
        <w:ind w:firstLine="645"/>
        <w:rPr>
          <w:rFonts w:hint="eastAsia" w:ascii="仿宋" w:hAnsi="仿宋" w:eastAsia="仿宋"/>
          <w:sz w:val="32"/>
          <w:szCs w:val="32"/>
        </w:rPr>
      </w:pPr>
      <w:r>
        <w:rPr>
          <w:rFonts w:hint="eastAsia" w:ascii="仿宋" w:hAnsi="仿宋" w:eastAsia="仿宋"/>
          <w:b w:val="0"/>
          <w:bCs w:val="0"/>
          <w:sz w:val="32"/>
          <w:szCs w:val="32"/>
        </w:rPr>
        <w:t>人员经费</w:t>
      </w:r>
      <w:r>
        <w:rPr>
          <w:rFonts w:ascii="仿宋" w:hAnsi="仿宋" w:eastAsia="仿宋"/>
          <w:b w:val="0"/>
          <w:bCs w:val="0"/>
          <w:sz w:val="32"/>
          <w:szCs w:val="32"/>
        </w:rPr>
        <w:t>911.37</w:t>
      </w:r>
      <w:r>
        <w:rPr>
          <w:rFonts w:hint="eastAsia" w:ascii="仿宋" w:hAnsi="仿宋" w:eastAsia="仿宋"/>
          <w:b w:val="0"/>
          <w:bCs w:val="0"/>
          <w:sz w:val="32"/>
          <w:szCs w:val="32"/>
        </w:rPr>
        <w:t>万元，主要包括：基本工资、津贴补贴、奖金、伙食补助费、绩效工资、</w:t>
      </w:r>
      <w:r>
        <w:rPr>
          <w:rFonts w:hint="eastAsia" w:ascii="仿宋" w:hAnsi="仿宋" w:eastAsia="仿宋"/>
          <w:sz w:val="32"/>
          <w:szCs w:val="32"/>
        </w:rPr>
        <w:t>机关事业单位基本养老保险缴费、职业年金缴费、职工基本医疗保险缴费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其他社会保障缴费、其他工资福利支出、抚恤金、生活补助、住房公积金等。</w:t>
      </w:r>
    </w:p>
    <w:p w14:paraId="1346EC1B">
      <w:pPr>
        <w:spacing w:line="600" w:lineRule="exact"/>
        <w:ind w:firstLine="645"/>
        <w:rPr>
          <w:rFonts w:ascii="仿宋" w:hAnsi="仿宋" w:eastAsia="仿宋"/>
          <w:sz w:val="32"/>
          <w:szCs w:val="32"/>
        </w:rPr>
      </w:pPr>
      <w:r>
        <w:rPr>
          <w:rStyle w:val="40"/>
          <w:rFonts w:hint="eastAsia"/>
        </w:rPr>
        <w:t>公用经费</w:t>
      </w:r>
      <w:r>
        <w:rPr>
          <w:rStyle w:val="40"/>
        </w:rPr>
        <w:t>151.44</w:t>
      </w:r>
      <w:r>
        <w:rPr>
          <w:rStyle w:val="40"/>
          <w:rFonts w:hint="eastAsia"/>
        </w:rPr>
        <w:t>万元，主要包括：办公费、</w:t>
      </w:r>
      <w:r>
        <w:rPr>
          <w:rFonts w:hint="eastAsia" w:ascii="仿宋" w:hAnsi="仿宋" w:eastAsia="仿宋"/>
          <w:sz w:val="32"/>
          <w:szCs w:val="32"/>
        </w:rPr>
        <w:t>电费、邮电费、差旅费、公务接待费、工会经费、福利费、公务用车运行维护费、其他交通费等。</w:t>
      </w:r>
    </w:p>
    <w:p w14:paraId="21D7BD63">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3338E525">
      <w:pPr>
        <w:spacing w:line="600" w:lineRule="exact"/>
        <w:ind w:firstLine="640"/>
        <w:rPr>
          <w:rFonts w:ascii="仿宋" w:hAnsi="仿宋" w:eastAsia="仿宋"/>
          <w:b/>
          <w:sz w:val="32"/>
          <w:szCs w:val="32"/>
        </w:rPr>
      </w:pPr>
    </w:p>
    <w:p w14:paraId="7CFD501C">
      <w:pPr>
        <w:spacing w:line="600" w:lineRule="exact"/>
        <w:ind w:firstLine="640"/>
        <w:outlineLvl w:val="1"/>
        <w:rPr>
          <w:rStyle w:val="33"/>
          <w:rFonts w:ascii="黑体" w:hAnsi="黑体" w:eastAsia="黑体"/>
          <w:b w:val="0"/>
        </w:rPr>
      </w:pPr>
      <w:bookmarkStart w:id="38" w:name="_Toc15396609"/>
      <w:bookmarkStart w:id="39" w:name="_Toc15377215"/>
      <w:bookmarkStart w:id="40" w:name="_Toc26299"/>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38"/>
      <w:bookmarkEnd w:id="39"/>
      <w:bookmarkEnd w:id="40"/>
    </w:p>
    <w:p w14:paraId="28288926">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14:paraId="2AE30731">
      <w:pPr>
        <w:spacing w:line="600" w:lineRule="exact"/>
        <w:ind w:firstLine="640"/>
        <w:rPr>
          <w:rFonts w:ascii="仿宋" w:hAnsi="仿宋" w:eastAsia="仿宋"/>
          <w:b w:val="0"/>
          <w:bCs w:val="0"/>
          <w:sz w:val="32"/>
          <w:szCs w:val="32"/>
        </w:rPr>
      </w:pPr>
      <w:r>
        <w:rPr>
          <w:rFonts w:hint="eastAsia" w:ascii="仿宋" w:hAnsi="仿宋" w:eastAsia="仿宋"/>
          <w:b w:val="0"/>
          <w:bCs w:val="0"/>
          <w:sz w:val="32"/>
          <w:szCs w:val="32"/>
        </w:rPr>
        <w:t>2023年度“三公”经费财政拨款支出决算为</w:t>
      </w:r>
      <w:r>
        <w:rPr>
          <w:rFonts w:ascii="仿宋" w:hAnsi="仿宋" w:eastAsia="仿宋"/>
          <w:b w:val="0"/>
          <w:bCs w:val="0"/>
          <w:sz w:val="32"/>
          <w:szCs w:val="32"/>
        </w:rPr>
        <w:t>20</w:t>
      </w:r>
      <w:r>
        <w:rPr>
          <w:rFonts w:hint="eastAsia" w:ascii="仿宋" w:hAnsi="仿宋" w:eastAsia="仿宋"/>
          <w:b w:val="0"/>
          <w:bCs w:val="0"/>
          <w:sz w:val="32"/>
          <w:szCs w:val="32"/>
          <w:lang w:val="en-US" w:eastAsia="zh-CN"/>
        </w:rPr>
        <w:t>.00</w:t>
      </w:r>
      <w:r>
        <w:rPr>
          <w:rFonts w:hint="eastAsia" w:ascii="仿宋" w:hAnsi="仿宋" w:eastAsia="仿宋"/>
          <w:b w:val="0"/>
          <w:bCs w:val="0"/>
          <w:sz w:val="32"/>
          <w:szCs w:val="32"/>
        </w:rPr>
        <w:t>万元，完成预算</w:t>
      </w:r>
      <w:r>
        <w:rPr>
          <w:rFonts w:ascii="仿宋" w:hAnsi="仿宋" w:eastAsia="仿宋"/>
          <w:b w:val="0"/>
          <w:bCs w:val="0"/>
          <w:sz w:val="32"/>
          <w:szCs w:val="32"/>
        </w:rPr>
        <w:t>100</w:t>
      </w:r>
      <w:r>
        <w:rPr>
          <w:rFonts w:hint="eastAsia" w:ascii="仿宋" w:hAnsi="仿宋" w:eastAsia="仿宋"/>
          <w:b w:val="0"/>
          <w:bCs w:val="0"/>
          <w:sz w:val="32"/>
          <w:szCs w:val="32"/>
          <w:lang w:val="en-US" w:eastAsia="zh-CN"/>
        </w:rPr>
        <w:t>.00</w:t>
      </w:r>
      <w:r>
        <w:rPr>
          <w:rFonts w:ascii="仿宋" w:hAnsi="仿宋" w:eastAsia="仿宋"/>
          <w:b w:val="0"/>
          <w:bCs w:val="0"/>
          <w:sz w:val="32"/>
          <w:szCs w:val="32"/>
        </w:rPr>
        <w:t>%</w:t>
      </w:r>
      <w:r>
        <w:rPr>
          <w:rFonts w:hint="eastAsia" w:ascii="仿宋" w:hAnsi="仿宋" w:eastAsia="仿宋"/>
          <w:b w:val="0"/>
          <w:bCs w:val="0"/>
          <w:sz w:val="32"/>
          <w:szCs w:val="32"/>
        </w:rPr>
        <w:t>，较上年度减少54.21万元，下降73.05%。决算数与预算数持平的主要原因是2023年本单位压缩三公经费。</w:t>
      </w:r>
    </w:p>
    <w:p w14:paraId="325DB8E7">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F53170A">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14:paraId="28C648E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w:t>
      </w:r>
      <w:r>
        <w:rPr>
          <w:rFonts w:hint="eastAsia" w:ascii="仿宋" w:hAnsi="仿宋" w:eastAsia="仿宋"/>
          <w:b w:val="0"/>
          <w:bCs w:val="0"/>
          <w:sz w:val="32"/>
          <w:szCs w:val="32"/>
        </w:rPr>
        <w:t>支出决算</w:t>
      </w:r>
      <w:r>
        <w:rPr>
          <w:rFonts w:ascii="仿宋" w:hAnsi="仿宋" w:eastAsia="仿宋"/>
          <w:b w:val="0"/>
          <w:bCs w:val="0"/>
          <w:sz w:val="32"/>
          <w:szCs w:val="32"/>
        </w:rPr>
        <w:t>0</w:t>
      </w:r>
      <w:r>
        <w:rPr>
          <w:rFonts w:hint="eastAsia" w:ascii="仿宋" w:hAnsi="仿宋" w:eastAsia="仿宋"/>
          <w:b w:val="0"/>
          <w:bCs w:val="0"/>
          <w:sz w:val="32"/>
          <w:szCs w:val="32"/>
          <w:lang w:val="en-US" w:eastAsia="zh-CN"/>
        </w:rPr>
        <w:t>.00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lang w:val="en-US" w:eastAsia="zh-CN"/>
        </w:rPr>
        <w:t>.00</w:t>
      </w:r>
      <w:r>
        <w:rPr>
          <w:rFonts w:ascii="仿宋" w:hAnsi="仿宋" w:eastAsia="仿宋"/>
          <w:b w:val="0"/>
          <w:bCs w:val="0"/>
          <w:sz w:val="32"/>
          <w:szCs w:val="32"/>
        </w:rPr>
        <w:t>%</w:t>
      </w:r>
      <w:r>
        <w:rPr>
          <w:rFonts w:hint="eastAsia" w:ascii="仿宋" w:hAnsi="仿宋" w:eastAsia="仿宋"/>
          <w:b w:val="0"/>
          <w:bCs w:val="0"/>
          <w:sz w:val="32"/>
          <w:szCs w:val="32"/>
        </w:rPr>
        <w:t>；公务用车购置及运行维护费支出决算</w:t>
      </w:r>
      <w:r>
        <w:rPr>
          <w:rFonts w:ascii="仿宋" w:hAnsi="仿宋" w:eastAsia="仿宋"/>
          <w:b w:val="0"/>
          <w:bCs w:val="0"/>
          <w:sz w:val="32"/>
          <w:szCs w:val="32"/>
        </w:rPr>
        <w:t>5</w:t>
      </w:r>
      <w:r>
        <w:rPr>
          <w:rFonts w:hint="eastAsia" w:ascii="仿宋" w:hAnsi="仿宋" w:eastAsia="仿宋"/>
          <w:b w:val="0"/>
          <w:bCs w:val="0"/>
          <w:sz w:val="32"/>
          <w:szCs w:val="32"/>
          <w:lang w:val="en-US" w:eastAsia="zh-CN"/>
        </w:rPr>
        <w:t>.00</w:t>
      </w:r>
      <w:r>
        <w:rPr>
          <w:rFonts w:hint="eastAsia" w:ascii="仿宋" w:hAnsi="仿宋" w:eastAsia="仿宋"/>
          <w:b w:val="0"/>
          <w:bCs w:val="0"/>
          <w:sz w:val="32"/>
          <w:szCs w:val="32"/>
        </w:rPr>
        <w:t>万元，占</w:t>
      </w:r>
      <w:r>
        <w:rPr>
          <w:rFonts w:ascii="仿宋" w:hAnsi="仿宋" w:eastAsia="仿宋"/>
          <w:b w:val="0"/>
          <w:bCs w:val="0"/>
          <w:sz w:val="32"/>
          <w:szCs w:val="32"/>
        </w:rPr>
        <w:t>25</w:t>
      </w:r>
      <w:r>
        <w:rPr>
          <w:rFonts w:hint="eastAsia" w:ascii="仿宋" w:hAnsi="仿宋" w:eastAsia="仿宋"/>
          <w:b w:val="0"/>
          <w:bCs w:val="0"/>
          <w:sz w:val="32"/>
          <w:szCs w:val="32"/>
          <w:lang w:val="en-US" w:eastAsia="zh-CN"/>
        </w:rPr>
        <w:t>.00</w:t>
      </w:r>
      <w:r>
        <w:rPr>
          <w:rFonts w:ascii="仿宋" w:hAnsi="仿宋" w:eastAsia="仿宋"/>
          <w:b w:val="0"/>
          <w:bCs w:val="0"/>
          <w:sz w:val="32"/>
          <w:szCs w:val="32"/>
        </w:rPr>
        <w:t>%</w:t>
      </w:r>
      <w:r>
        <w:rPr>
          <w:rFonts w:hint="eastAsia" w:ascii="仿宋" w:hAnsi="仿宋" w:eastAsia="仿宋"/>
          <w:b w:val="0"/>
          <w:bCs w:val="0"/>
          <w:sz w:val="32"/>
          <w:szCs w:val="32"/>
        </w:rPr>
        <w:t>；公务接待费支</w:t>
      </w:r>
      <w:r>
        <w:rPr>
          <w:rFonts w:hint="eastAsia" w:ascii="仿宋" w:hAnsi="仿宋" w:eastAsia="仿宋"/>
          <w:sz w:val="32"/>
          <w:szCs w:val="32"/>
        </w:rPr>
        <w:t>出决算</w:t>
      </w:r>
      <w:r>
        <w:rPr>
          <w:rFonts w:ascii="仿宋" w:hAnsi="仿宋" w:eastAsia="仿宋"/>
          <w:b w:val="0"/>
          <w:bCs/>
          <w:sz w:val="32"/>
          <w:szCs w:val="32"/>
        </w:rPr>
        <w:t>15</w:t>
      </w:r>
      <w:r>
        <w:rPr>
          <w:rFonts w:hint="eastAsia" w:ascii="仿宋" w:hAnsi="仿宋" w:eastAsia="仿宋"/>
          <w:b w:val="0"/>
          <w:bCs/>
          <w:sz w:val="32"/>
          <w:szCs w:val="32"/>
          <w:lang w:val="en-US" w:eastAsia="zh-CN"/>
        </w:rPr>
        <w:t>.00</w:t>
      </w:r>
      <w:r>
        <w:rPr>
          <w:rFonts w:hint="eastAsia" w:ascii="仿宋" w:hAnsi="仿宋" w:eastAsia="仿宋"/>
          <w:b w:val="0"/>
          <w:bCs/>
          <w:sz w:val="32"/>
          <w:szCs w:val="32"/>
        </w:rPr>
        <w:t>万元，占</w:t>
      </w:r>
      <w:r>
        <w:rPr>
          <w:rFonts w:ascii="仿宋" w:hAnsi="仿宋" w:eastAsia="仿宋"/>
          <w:b w:val="0"/>
          <w:bCs/>
          <w:sz w:val="32"/>
          <w:szCs w:val="32"/>
        </w:rPr>
        <w:t>75</w:t>
      </w:r>
      <w:r>
        <w:rPr>
          <w:rFonts w:hint="eastAsia" w:ascii="仿宋" w:hAnsi="仿宋" w:eastAsia="仿宋"/>
          <w:b w:val="0"/>
          <w:bCs/>
          <w:sz w:val="32"/>
          <w:szCs w:val="32"/>
          <w:lang w:val="en-US" w:eastAsia="zh-CN"/>
        </w:rPr>
        <w:t>.00</w:t>
      </w:r>
      <w:r>
        <w:rPr>
          <w:rFonts w:ascii="仿宋" w:hAnsi="仿宋" w:eastAsia="仿宋"/>
          <w:b w:val="0"/>
          <w:bCs/>
          <w:sz w:val="32"/>
          <w:szCs w:val="32"/>
        </w:rPr>
        <w:t>%</w:t>
      </w:r>
      <w:r>
        <w:rPr>
          <w:rFonts w:hint="eastAsia" w:ascii="仿宋" w:hAnsi="仿宋" w:eastAsia="仿宋"/>
          <w:b w:val="0"/>
          <w:bCs/>
          <w:sz w:val="32"/>
          <w:szCs w:val="32"/>
        </w:rPr>
        <w:t>。具体情况如下</w:t>
      </w:r>
      <w:r>
        <w:rPr>
          <w:rFonts w:hint="eastAsia" w:ascii="仿宋" w:hAnsi="仿宋" w:eastAsia="仿宋"/>
          <w:sz w:val="32"/>
          <w:szCs w:val="32"/>
        </w:rPr>
        <w:t>：</w:t>
      </w:r>
    </w:p>
    <w:p w14:paraId="2445762E">
      <w:pPr>
        <w:spacing w:line="240" w:lineRule="auto"/>
        <w:ind w:firstLine="0"/>
        <w:jc w:val="center"/>
        <w:rPr>
          <w:rFonts w:hint="eastAsia" w:ascii="仿宋" w:hAnsi="仿宋" w:eastAsia="仿宋"/>
          <w:sz w:val="32"/>
          <w:szCs w:val="32"/>
        </w:rPr>
      </w:pPr>
      <w:r>
        <w:drawing>
          <wp:inline distT="0" distB="0" distL="114300" distR="114300">
            <wp:extent cx="4826000" cy="2828925"/>
            <wp:effectExtent l="4445" t="4445" r="8255" b="62230"/>
            <wp:docPr id="7" name="图表 1"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AEE70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46BAAC1">
      <w:pPr>
        <w:spacing w:line="600" w:lineRule="exact"/>
        <w:ind w:firstLine="640"/>
        <w:rPr>
          <w:rFonts w:ascii="仿宋_GB2312" w:eastAsia="仿宋_GB2312"/>
          <w:b/>
          <w:sz w:val="32"/>
          <w:szCs w:val="32"/>
        </w:rPr>
      </w:pPr>
      <w:bookmarkStart w:id="43" w:name="_Toc15396610"/>
      <w:bookmarkStart w:id="44"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val="0"/>
          <w:bCs/>
          <w:sz w:val="32"/>
          <w:szCs w:val="32"/>
        </w:rPr>
        <w:t>0</w:t>
      </w:r>
      <w:r>
        <w:rPr>
          <w:rFonts w:hint="eastAsia" w:ascii="仿宋" w:hAnsi="仿宋" w:eastAsia="仿宋"/>
          <w:b w:val="0"/>
          <w:bCs/>
          <w:sz w:val="32"/>
          <w:szCs w:val="32"/>
          <w:lang w:val="en-US" w:eastAsia="zh-CN"/>
        </w:rPr>
        <w:t>.00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val="0"/>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val="0"/>
          <w:bCs/>
          <w:sz w:val="32"/>
          <w:szCs w:val="32"/>
        </w:rPr>
        <w:t>0</w:t>
      </w:r>
      <w:r>
        <w:rPr>
          <w:rFonts w:hint="eastAsia" w:ascii="仿宋_GB2312" w:eastAsia="仿宋_GB2312"/>
          <w:b w:val="0"/>
          <w:bCs/>
          <w:sz w:val="32"/>
          <w:szCs w:val="32"/>
        </w:rPr>
        <w:t>次，出国（境）</w:t>
      </w:r>
      <w:r>
        <w:rPr>
          <w:rFonts w:ascii="仿宋_GB2312" w:eastAsia="仿宋_GB2312"/>
          <w:b w:val="0"/>
          <w:bCs/>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0.00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0.00</w:t>
      </w:r>
      <w:r>
        <w:rPr>
          <w:rFonts w:ascii="仿宋_GB2312" w:eastAsia="仿宋_GB2312"/>
          <w:sz w:val="32"/>
          <w:szCs w:val="32"/>
        </w:rPr>
        <w:t>%</w:t>
      </w:r>
      <w:r>
        <w:rPr>
          <w:rFonts w:hint="eastAsia" w:ascii="仿宋_GB2312" w:eastAsia="仿宋_GB2312"/>
          <w:sz w:val="32"/>
          <w:szCs w:val="32"/>
        </w:rPr>
        <w:t>。</w:t>
      </w:r>
    </w:p>
    <w:p w14:paraId="6289C2A8">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val="en-US" w:eastAsia="zh-CN"/>
        </w:rPr>
        <w:t>无</w:t>
      </w:r>
      <w:r>
        <w:rPr>
          <w:rFonts w:hint="eastAsia" w:ascii="仿宋_GB2312" w:eastAsia="仿宋_GB2312"/>
          <w:sz w:val="32"/>
          <w:szCs w:val="32"/>
        </w:rPr>
        <w:t>（团组名称、出访地点、取得成效）等。</w:t>
      </w:r>
    </w:p>
    <w:p w14:paraId="115C139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val="0"/>
          <w:bCs/>
          <w:sz w:val="32"/>
          <w:szCs w:val="32"/>
        </w:rPr>
        <w:t>5</w:t>
      </w:r>
      <w:r>
        <w:rPr>
          <w:rFonts w:hint="eastAsia" w:ascii="仿宋" w:hAnsi="仿宋" w:eastAsia="仿宋"/>
          <w:b w:val="0"/>
          <w:bCs/>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 w:val="0"/>
          <w:bCs w:val="0"/>
          <w:sz w:val="32"/>
          <w:szCs w:val="32"/>
        </w:rPr>
        <w:t>100</w:t>
      </w:r>
      <w:r>
        <w:rPr>
          <w:rStyle w:val="17"/>
          <w:rFonts w:hint="eastAsia" w:ascii="仿宋" w:hAnsi="仿宋" w:eastAsia="仿宋"/>
          <w:b w:val="0"/>
          <w:bCs w:val="0"/>
          <w:sz w:val="32"/>
          <w:szCs w:val="32"/>
          <w:lang w:val="en-US" w:eastAsia="zh-CN"/>
        </w:rPr>
        <w:t>.00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公务用车购置及运行维护费支出决算比2022年度减少54.10万元，下降91.54</w:t>
      </w:r>
      <w:r>
        <w:rPr>
          <w:rFonts w:ascii="仿宋_GB2312" w:eastAsia="仿宋_GB2312"/>
          <w:sz w:val="32"/>
          <w:szCs w:val="32"/>
        </w:rPr>
        <w:t>%</w:t>
      </w:r>
      <w:r>
        <w:rPr>
          <w:rFonts w:hint="eastAsia" w:ascii="仿宋_GB2312" w:eastAsia="仿宋_GB2312"/>
          <w:sz w:val="32"/>
          <w:szCs w:val="32"/>
        </w:rPr>
        <w:t>。主要原因是2023年本单位公务用车为混动，燃油费减少。</w:t>
      </w:r>
    </w:p>
    <w:p w14:paraId="760DB98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val="0"/>
          <w:bCs/>
          <w:sz w:val="32"/>
          <w:szCs w:val="32"/>
        </w:rPr>
        <w:t>0</w:t>
      </w:r>
      <w:r>
        <w:rPr>
          <w:rFonts w:hint="eastAsia" w:ascii="仿宋" w:hAnsi="仿宋" w:eastAsia="仿宋"/>
          <w:b w:val="0"/>
          <w:bCs/>
          <w:sz w:val="32"/>
          <w:szCs w:val="32"/>
          <w:lang w:val="en-US" w:eastAsia="zh-CN"/>
        </w:rPr>
        <w:t>.00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w:t>
      </w:r>
      <w:r>
        <w:rPr>
          <w:rFonts w:hint="eastAsia" w:ascii="仿宋_GB2312" w:eastAsia="仿宋_GB2312"/>
          <w:sz w:val="32"/>
          <w:szCs w:val="32"/>
          <w:highlight w:val="none"/>
        </w:rPr>
        <w:t>，单位共有公务用车</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辆、越野车</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辆、载客汽车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w:t>
      </w:r>
    </w:p>
    <w:p w14:paraId="6940245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val="0"/>
          <w:bCs/>
          <w:sz w:val="32"/>
          <w:szCs w:val="32"/>
        </w:rPr>
        <w:t>5</w:t>
      </w:r>
      <w:r>
        <w:rPr>
          <w:rFonts w:hint="eastAsia" w:ascii="仿宋" w:hAnsi="仿宋" w:eastAsia="仿宋"/>
          <w:b w:val="0"/>
          <w:bCs/>
          <w:sz w:val="32"/>
          <w:szCs w:val="32"/>
          <w:lang w:val="en-US" w:eastAsia="zh-CN"/>
        </w:rPr>
        <w:t>.00</w:t>
      </w:r>
      <w:r>
        <w:rPr>
          <w:rFonts w:hint="eastAsia" w:ascii="仿宋_GB2312" w:eastAsia="仿宋_GB2312"/>
          <w:sz w:val="32"/>
          <w:szCs w:val="32"/>
        </w:rPr>
        <w:t>万元。主要用于所需的公务用车燃料费、维修费、过路过桥费、保险费等支出。</w:t>
      </w:r>
    </w:p>
    <w:p w14:paraId="128F3342">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ascii="仿宋" w:hAnsi="仿宋" w:eastAsia="仿宋"/>
          <w:b w:val="0"/>
          <w:bCs/>
          <w:sz w:val="32"/>
          <w:szCs w:val="32"/>
          <w:highlight w:val="none"/>
        </w:rPr>
        <w:t>15</w:t>
      </w:r>
      <w:r>
        <w:rPr>
          <w:rFonts w:hint="eastAsia" w:ascii="仿宋" w:hAnsi="仿宋" w:eastAsia="仿宋"/>
          <w:b w:val="0"/>
          <w:bCs/>
          <w:sz w:val="32"/>
          <w:szCs w:val="32"/>
          <w:highlight w:val="none"/>
          <w:lang w:val="en-US" w:eastAsia="zh-CN"/>
        </w:rPr>
        <w:t>.00</w:t>
      </w:r>
      <w:r>
        <w:rPr>
          <w:rFonts w:hint="eastAsia" w:ascii="仿宋_GB2312" w:eastAsia="仿宋_GB2312"/>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100</w:t>
      </w:r>
      <w:r>
        <w:rPr>
          <w:rStyle w:val="17"/>
          <w:rFonts w:hint="eastAsia" w:ascii="仿宋" w:hAnsi="仿宋" w:eastAsia="仿宋"/>
          <w:b w:val="0"/>
          <w:bCs/>
          <w:sz w:val="32"/>
          <w:szCs w:val="32"/>
          <w:highlight w:val="none"/>
          <w:lang w:val="en-US" w:eastAsia="zh-CN"/>
        </w:rPr>
        <w:t>.00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公务接待费支出决算比2022年度减少0.11万元，下降</w:t>
      </w:r>
      <w:r>
        <w:rPr>
          <w:rFonts w:hint="eastAsia" w:ascii="仿宋_GB2312" w:eastAsia="仿宋_GB2312"/>
          <w:sz w:val="32"/>
          <w:szCs w:val="32"/>
          <w:highlight w:val="none"/>
          <w:lang w:val="en-US" w:eastAsia="zh-CN"/>
        </w:rPr>
        <w:t>0.73</w:t>
      </w:r>
      <w:r>
        <w:rPr>
          <w:rFonts w:ascii="仿宋_GB2312" w:eastAsia="仿宋_GB2312"/>
          <w:sz w:val="32"/>
          <w:szCs w:val="32"/>
          <w:highlight w:val="none"/>
        </w:rPr>
        <w:t>%</w:t>
      </w:r>
      <w:r>
        <w:rPr>
          <w:rFonts w:hint="eastAsia" w:ascii="仿宋_GB2312" w:eastAsia="仿宋_GB2312"/>
          <w:sz w:val="32"/>
          <w:szCs w:val="32"/>
          <w:highlight w:val="none"/>
        </w:rPr>
        <w:t>。主要原因是厉行节约压减三公经费。其中：</w:t>
      </w:r>
    </w:p>
    <w:p w14:paraId="4B8E1130">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w:t>
      </w:r>
      <w:r>
        <w:rPr>
          <w:rFonts w:hint="eastAsia" w:ascii="仿宋" w:hAnsi="仿宋" w:eastAsia="仿宋"/>
          <w:b w:val="0"/>
          <w:bCs/>
          <w:sz w:val="32"/>
          <w:szCs w:val="32"/>
          <w:highlight w:val="none"/>
        </w:rPr>
        <w:t>待支出</w:t>
      </w:r>
      <w:r>
        <w:rPr>
          <w:rFonts w:ascii="仿宋" w:hAnsi="仿宋" w:eastAsia="仿宋"/>
          <w:b w:val="0"/>
          <w:bCs/>
          <w:sz w:val="32"/>
          <w:szCs w:val="32"/>
          <w:highlight w:val="none"/>
        </w:rPr>
        <w:t>15</w:t>
      </w:r>
      <w:r>
        <w:rPr>
          <w:rFonts w:hint="eastAsia" w:ascii="仿宋" w:hAnsi="仿宋" w:eastAsia="仿宋"/>
          <w:b w:val="0"/>
          <w:bCs/>
          <w:sz w:val="32"/>
          <w:szCs w:val="32"/>
          <w:highlight w:val="none"/>
          <w:lang w:val="en-US" w:eastAsia="zh-CN"/>
        </w:rPr>
        <w:t>.00</w:t>
      </w:r>
      <w:r>
        <w:rPr>
          <w:rFonts w:hint="eastAsia" w:ascii="仿宋_GB2312" w:eastAsia="仿宋_GB2312"/>
          <w:b w:val="0"/>
          <w:bCs/>
          <w:sz w:val="32"/>
          <w:szCs w:val="32"/>
          <w:highlight w:val="none"/>
        </w:rPr>
        <w:t>万元，主要用于执行公务、开展业务活动开支的交通费、住宿费、用餐费等。国内公务接待143批次，1733人次（不包括陪同人员），共</w:t>
      </w:r>
      <w:r>
        <w:rPr>
          <w:rFonts w:hint="eastAsia" w:ascii="仿宋_GB2312" w:eastAsia="仿宋_GB2312"/>
          <w:sz w:val="32"/>
          <w:szCs w:val="32"/>
          <w:highlight w:val="none"/>
        </w:rPr>
        <w:t>计支出</w:t>
      </w:r>
      <w:r>
        <w:rPr>
          <w:rFonts w:hint="eastAsia" w:ascii="仿宋_GB2312" w:eastAsia="仿宋_GB2312"/>
          <w:sz w:val="32"/>
          <w:szCs w:val="32"/>
          <w:highlight w:val="none"/>
          <w:lang w:val="en-US" w:eastAsia="zh-CN"/>
        </w:rPr>
        <w:t>15.00</w:t>
      </w:r>
      <w:r>
        <w:rPr>
          <w:rFonts w:hint="eastAsia" w:ascii="仿宋_GB2312" w:eastAsia="仿宋_GB2312"/>
          <w:sz w:val="32"/>
          <w:szCs w:val="32"/>
          <w:highlight w:val="none"/>
        </w:rPr>
        <w:t>万元。</w:t>
      </w:r>
    </w:p>
    <w:p w14:paraId="151621A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val="0"/>
          <w:bCs/>
          <w:sz w:val="32"/>
          <w:szCs w:val="32"/>
        </w:rPr>
        <w:t>0</w:t>
      </w:r>
      <w:r>
        <w:rPr>
          <w:rFonts w:hint="eastAsia" w:ascii="仿宋" w:hAnsi="仿宋" w:eastAsia="仿宋"/>
          <w:b w:val="0"/>
          <w:bCs/>
          <w:sz w:val="32"/>
          <w:szCs w:val="32"/>
          <w:lang w:val="en-US" w:eastAsia="zh-CN"/>
        </w:rPr>
        <w:t>.00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0.00</w:t>
      </w:r>
      <w:r>
        <w:rPr>
          <w:rFonts w:hint="eastAsia" w:ascii="仿宋_GB2312" w:eastAsia="仿宋_GB2312"/>
          <w:sz w:val="32"/>
          <w:szCs w:val="32"/>
        </w:rPr>
        <w:t>万元。</w:t>
      </w:r>
    </w:p>
    <w:p w14:paraId="29ED87FE">
      <w:pPr>
        <w:spacing w:line="600" w:lineRule="exact"/>
        <w:ind w:firstLine="640"/>
        <w:outlineLvl w:val="9"/>
        <w:rPr>
          <w:rFonts w:ascii="黑体" w:eastAsia="黑体"/>
          <w:sz w:val="32"/>
          <w:szCs w:val="32"/>
        </w:rPr>
      </w:pPr>
    </w:p>
    <w:p w14:paraId="2AE6AFD4">
      <w:pPr>
        <w:spacing w:line="600" w:lineRule="exact"/>
        <w:ind w:firstLine="640"/>
        <w:outlineLvl w:val="1"/>
        <w:rPr>
          <w:rStyle w:val="33"/>
          <w:rFonts w:ascii="黑体" w:hAnsi="黑体" w:eastAsia="黑体"/>
        </w:rPr>
      </w:pPr>
      <w:bookmarkStart w:id="45" w:name="_Toc14076"/>
      <w:r>
        <w:rPr>
          <w:rFonts w:hint="eastAsia" w:ascii="黑体" w:eastAsia="黑体"/>
          <w:sz w:val="32"/>
          <w:szCs w:val="32"/>
        </w:rPr>
        <w:t>八、</w:t>
      </w:r>
      <w:r>
        <w:rPr>
          <w:rStyle w:val="33"/>
          <w:rFonts w:hint="eastAsia" w:ascii="黑体" w:hAnsi="黑体" w:eastAsia="黑体"/>
          <w:b w:val="0"/>
        </w:rPr>
        <w:t>政府性基金预算支出决算情况说明</w:t>
      </w:r>
      <w:bookmarkEnd w:id="43"/>
      <w:bookmarkEnd w:id="44"/>
      <w:bookmarkEnd w:id="45"/>
    </w:p>
    <w:p w14:paraId="5FCF7901">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val="0"/>
          <w:bCs/>
          <w:sz w:val="32"/>
          <w:szCs w:val="32"/>
        </w:rPr>
        <w:t>56.25</w:t>
      </w:r>
      <w:r>
        <w:rPr>
          <w:rFonts w:hint="eastAsia" w:ascii="仿宋_GB2312" w:eastAsia="仿宋_GB2312"/>
          <w:sz w:val="32"/>
          <w:szCs w:val="32"/>
        </w:rPr>
        <w:t>万元。</w:t>
      </w:r>
    </w:p>
    <w:p w14:paraId="3F0E231B">
      <w:pPr>
        <w:spacing w:line="600" w:lineRule="exact"/>
        <w:ind w:firstLine="640"/>
        <w:rPr>
          <w:rFonts w:ascii="仿宋_GB2312" w:eastAsia="仿宋_GB2312"/>
          <w:sz w:val="32"/>
          <w:szCs w:val="32"/>
        </w:rPr>
      </w:pPr>
    </w:p>
    <w:p w14:paraId="57D92743">
      <w:pPr>
        <w:numPr>
          <w:ilvl w:val="0"/>
          <w:numId w:val="3"/>
        </w:numPr>
        <w:spacing w:line="600" w:lineRule="exact"/>
        <w:ind w:firstLine="640"/>
        <w:outlineLvl w:val="1"/>
        <w:rPr>
          <w:rStyle w:val="33"/>
          <w:rFonts w:ascii="黑体" w:hAnsi="黑体" w:eastAsia="黑体"/>
          <w:b w:val="0"/>
        </w:rPr>
      </w:pPr>
      <w:bookmarkStart w:id="46" w:name="_Toc15377219"/>
      <w:bookmarkStart w:id="47" w:name="_Toc20025"/>
      <w:bookmarkStart w:id="48" w:name="_Toc15396611"/>
      <w:r>
        <w:rPr>
          <w:rStyle w:val="33"/>
          <w:rFonts w:hint="eastAsia" w:ascii="黑体" w:hAnsi="黑体" w:eastAsia="黑体"/>
          <w:b w:val="0"/>
        </w:rPr>
        <w:t>国有资本经营预算支出决算情况说明</w:t>
      </w:r>
      <w:bookmarkEnd w:id="46"/>
      <w:bookmarkEnd w:id="47"/>
      <w:bookmarkEnd w:id="48"/>
    </w:p>
    <w:p w14:paraId="3C9569BD">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val="0"/>
          <w:bCs/>
          <w:sz w:val="32"/>
          <w:szCs w:val="32"/>
        </w:rPr>
        <w:t>0</w:t>
      </w:r>
      <w:r>
        <w:rPr>
          <w:rFonts w:hint="eastAsia" w:ascii="仿宋" w:hAnsi="仿宋" w:eastAsia="仿宋"/>
          <w:b w:val="0"/>
          <w:bCs/>
          <w:sz w:val="32"/>
          <w:szCs w:val="32"/>
          <w:lang w:val="en-US" w:eastAsia="zh-CN"/>
        </w:rPr>
        <w:t>.00</w:t>
      </w:r>
      <w:r>
        <w:rPr>
          <w:rFonts w:hint="eastAsia" w:ascii="仿宋_GB2312" w:eastAsia="仿宋_GB2312"/>
          <w:sz w:val="32"/>
          <w:szCs w:val="32"/>
        </w:rPr>
        <w:t>万元。</w:t>
      </w:r>
    </w:p>
    <w:p w14:paraId="301CD316">
      <w:pPr>
        <w:spacing w:line="580" w:lineRule="exact"/>
        <w:jc w:val="center"/>
        <w:rPr>
          <w:rFonts w:ascii="方正小标宋简体" w:hAnsi="方正小标宋简体" w:eastAsia="方正小标宋简体" w:cs="方正小标宋简体"/>
          <w:sz w:val="44"/>
          <w:szCs w:val="44"/>
        </w:rPr>
      </w:pPr>
    </w:p>
    <w:p w14:paraId="102B8A4B">
      <w:pPr>
        <w:numPr>
          <w:ilvl w:val="0"/>
          <w:numId w:val="3"/>
        </w:numPr>
        <w:spacing w:line="600" w:lineRule="exact"/>
        <w:ind w:firstLine="640"/>
        <w:outlineLvl w:val="1"/>
        <w:rPr>
          <w:rStyle w:val="33"/>
          <w:rFonts w:ascii="黑体" w:hAnsi="黑体" w:eastAsia="黑体"/>
          <w:b w:val="0"/>
        </w:rPr>
      </w:pPr>
      <w:bookmarkStart w:id="49" w:name="_Toc17399"/>
      <w:bookmarkStart w:id="50" w:name="_Toc15396612"/>
      <w:bookmarkStart w:id="51" w:name="_Toc15377221"/>
      <w:r>
        <w:rPr>
          <w:rStyle w:val="33"/>
          <w:rFonts w:hint="eastAsia" w:ascii="黑体" w:hAnsi="黑体" w:eastAsia="黑体"/>
          <w:b w:val="0"/>
        </w:rPr>
        <w:t>其他重要事项的情况说明</w:t>
      </w:r>
      <w:bookmarkEnd w:id="49"/>
      <w:bookmarkEnd w:id="50"/>
      <w:bookmarkEnd w:id="51"/>
    </w:p>
    <w:p w14:paraId="34B3BCD7">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14:paraId="12BCE138">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峨边彝族自治县黑竹沟镇人民政府</w:t>
      </w:r>
      <w:r>
        <w:rPr>
          <w:rFonts w:hint="eastAsia" w:ascii="仿宋_GB2312" w:eastAsia="仿宋_GB2312"/>
          <w:sz w:val="32"/>
          <w:szCs w:val="32"/>
        </w:rPr>
        <w:t>机关运行经费支出</w:t>
      </w:r>
      <w:r>
        <w:rPr>
          <w:rFonts w:ascii="仿宋" w:hAnsi="仿宋" w:eastAsia="仿宋"/>
          <w:b w:val="0"/>
          <w:bCs/>
          <w:sz w:val="32"/>
          <w:szCs w:val="32"/>
        </w:rPr>
        <w:t>151.44</w:t>
      </w:r>
      <w:r>
        <w:rPr>
          <w:rFonts w:hint="eastAsia" w:ascii="仿宋_GB2312" w:eastAsia="仿宋_GB2312"/>
          <w:b w:val="0"/>
          <w:bCs/>
          <w:sz w:val="32"/>
          <w:szCs w:val="32"/>
        </w:rPr>
        <w:t>万元</w:t>
      </w:r>
      <w:r>
        <w:rPr>
          <w:rFonts w:hint="eastAsia" w:ascii="仿宋_GB2312" w:eastAsia="仿宋_GB2312"/>
          <w:sz w:val="32"/>
          <w:szCs w:val="32"/>
        </w:rPr>
        <w:t>，比2022年度减少38.79万元，下降20.39</w:t>
      </w:r>
      <w:r>
        <w:rPr>
          <w:rFonts w:ascii="仿宋_GB2312" w:eastAsia="仿宋_GB2312"/>
          <w:sz w:val="32"/>
          <w:szCs w:val="32"/>
        </w:rPr>
        <w:t>%</w:t>
      </w:r>
      <w:r>
        <w:rPr>
          <w:rFonts w:hint="eastAsia" w:ascii="仿宋_GB2312" w:eastAsia="仿宋_GB2312"/>
          <w:sz w:val="32"/>
          <w:szCs w:val="32"/>
        </w:rPr>
        <w:t>。主要原因是2023年本单位日常公用经费调档。</w:t>
      </w:r>
    </w:p>
    <w:p w14:paraId="4F39708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B4B74FB">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14:paraId="780DE34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峨边彝族自治县黑竹沟镇人民政府</w:t>
      </w:r>
      <w:r>
        <w:rPr>
          <w:rFonts w:hint="eastAsia" w:ascii="仿宋_GB2312" w:eastAsia="仿宋_GB2312"/>
          <w:sz w:val="32"/>
          <w:szCs w:val="32"/>
        </w:rPr>
        <w:t>政府采购支出总额</w:t>
      </w:r>
      <w:r>
        <w:rPr>
          <w:rFonts w:hint="eastAsia" w:ascii="仿宋" w:hAnsi="仿宋" w:eastAsia="仿宋"/>
          <w:b w:val="0"/>
          <w:bCs/>
          <w:sz w:val="32"/>
          <w:szCs w:val="32"/>
          <w:lang w:val="en-US" w:eastAsia="zh-CN"/>
        </w:rPr>
        <w:t>0.00</w:t>
      </w:r>
      <w:r>
        <w:rPr>
          <w:rFonts w:hint="eastAsia" w:ascii="仿宋_GB2312" w:eastAsia="仿宋_GB2312"/>
          <w:sz w:val="32"/>
          <w:szCs w:val="32"/>
        </w:rPr>
        <w:t>万元，其中：政府采购货物支出</w:t>
      </w:r>
      <w:r>
        <w:rPr>
          <w:rFonts w:hint="eastAsia" w:ascii="仿宋" w:hAnsi="仿宋" w:eastAsia="仿宋" w:cs="Times New Roman"/>
          <w:b w:val="0"/>
          <w:bCs/>
          <w:sz w:val="32"/>
          <w:szCs w:val="32"/>
          <w:lang w:val="en-US" w:eastAsia="zh-CN"/>
        </w:rPr>
        <w:t>0.00</w:t>
      </w:r>
      <w:r>
        <w:rPr>
          <w:rFonts w:hint="eastAsia" w:ascii="仿宋_GB2312" w:eastAsia="仿宋_GB2312"/>
          <w:sz w:val="32"/>
          <w:szCs w:val="32"/>
        </w:rPr>
        <w:t>万元、政府采购工程支出</w:t>
      </w:r>
      <w:r>
        <w:rPr>
          <w:rFonts w:hint="eastAsia" w:ascii="仿宋" w:hAnsi="仿宋" w:eastAsia="仿宋" w:cs="Times New Roman"/>
          <w:b w:val="0"/>
          <w:bCs/>
          <w:sz w:val="32"/>
          <w:szCs w:val="32"/>
          <w:lang w:val="en-US" w:eastAsia="zh-CN"/>
        </w:rPr>
        <w:t>0.00</w:t>
      </w:r>
      <w:r>
        <w:rPr>
          <w:rFonts w:hint="eastAsia" w:ascii="仿宋_GB2312" w:eastAsia="仿宋_GB2312"/>
          <w:sz w:val="32"/>
          <w:szCs w:val="32"/>
        </w:rPr>
        <w:t>万元、政府采购服务支出</w:t>
      </w:r>
      <w:r>
        <w:rPr>
          <w:rFonts w:hint="eastAsia" w:ascii="仿宋" w:hAnsi="仿宋" w:eastAsia="仿宋" w:cs="Times New Roman"/>
          <w:b w:val="0"/>
          <w:bCs/>
          <w:sz w:val="32"/>
          <w:szCs w:val="32"/>
          <w:lang w:val="en-US" w:eastAsia="zh-CN"/>
        </w:rPr>
        <w:t>0.00</w:t>
      </w:r>
      <w:r>
        <w:rPr>
          <w:rFonts w:hint="eastAsia" w:ascii="仿宋_GB2312" w:eastAsia="仿宋_GB2312"/>
          <w:sz w:val="32"/>
          <w:szCs w:val="32"/>
        </w:rPr>
        <w:t>万元。授予中小企业合同金额</w:t>
      </w:r>
      <w:r>
        <w:rPr>
          <w:rFonts w:hint="eastAsia" w:ascii="仿宋" w:hAnsi="仿宋" w:eastAsia="仿宋" w:cs="Times New Roman"/>
          <w:b w:val="0"/>
          <w:bCs/>
          <w:sz w:val="32"/>
          <w:szCs w:val="32"/>
          <w:lang w:val="en-US" w:eastAsia="zh-CN"/>
        </w:rPr>
        <w:t>0.00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lang w:val="en-US" w:eastAsia="zh-CN"/>
        </w:rPr>
        <w:t>.00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 w:hAnsi="仿宋" w:eastAsia="仿宋" w:cs="Times New Roman"/>
          <w:b w:val="0"/>
          <w:bCs/>
          <w:sz w:val="32"/>
          <w:szCs w:val="32"/>
          <w:lang w:val="en-US" w:eastAsia="zh-CN"/>
        </w:rPr>
        <w:t>0.00</w:t>
      </w:r>
      <w:r>
        <w:rPr>
          <w:rFonts w:hint="eastAsia" w:ascii="仿宋_GB2312" w:eastAsia="仿宋_GB2312"/>
          <w:sz w:val="32"/>
          <w:szCs w:val="32"/>
        </w:rPr>
        <w:t>万元，占政府采购支出总额的</w:t>
      </w:r>
      <w:r>
        <w:rPr>
          <w:rFonts w:ascii="仿宋_GB2312" w:eastAsia="仿宋_GB2312"/>
          <w:b w:val="0"/>
          <w:bCs/>
          <w:sz w:val="32"/>
          <w:szCs w:val="32"/>
        </w:rPr>
        <w:t>0</w:t>
      </w:r>
      <w:r>
        <w:rPr>
          <w:rFonts w:hint="eastAsia" w:ascii="仿宋_GB2312" w:eastAsia="仿宋_GB2312"/>
          <w:b w:val="0"/>
          <w:bCs/>
          <w:sz w:val="32"/>
          <w:szCs w:val="32"/>
          <w:lang w:val="en-US" w:eastAsia="zh-CN"/>
        </w:rPr>
        <w:t>.00</w:t>
      </w:r>
      <w:r>
        <w:rPr>
          <w:rFonts w:ascii="仿宋_GB2312" w:eastAsia="仿宋_GB2312"/>
          <w:sz w:val="32"/>
          <w:szCs w:val="32"/>
        </w:rPr>
        <w:t>%</w:t>
      </w:r>
      <w:r>
        <w:rPr>
          <w:rFonts w:hint="eastAsia" w:ascii="仿宋_GB2312" w:eastAsia="仿宋_GB2312"/>
          <w:sz w:val="32"/>
          <w:szCs w:val="32"/>
        </w:rPr>
        <w:t>。</w:t>
      </w:r>
    </w:p>
    <w:p w14:paraId="77D4B54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4FE6E60">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14:paraId="0F7BD079">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峨边彝族自治县黑竹沟镇人民政府</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辆，其他用车主要是用于保障人员下村、开会以及垃圾清运等。单价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val="0"/>
          <w:bCs/>
          <w:sz w:val="32"/>
          <w:szCs w:val="32"/>
        </w:rPr>
        <w:t>0</w:t>
      </w:r>
      <w:r>
        <w:rPr>
          <w:rFonts w:hint="eastAsia" w:ascii="仿宋_GB2312" w:eastAsia="仿宋_GB2312"/>
          <w:sz w:val="32"/>
          <w:szCs w:val="32"/>
        </w:rPr>
        <w:t>台（套）。</w:t>
      </w:r>
    </w:p>
    <w:p w14:paraId="73BE45DE">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19E2F9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B043653">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根据预算绩效管理要求，本单位在2023年度预算编制阶段，组织对乡镇农村人居环境整治考核奖补资金</w:t>
      </w:r>
      <w:r>
        <w:rPr>
          <w:rFonts w:hint="eastAsia" w:ascii="仿宋_GB2312" w:eastAsia="仿宋_GB2312"/>
          <w:sz w:val="32"/>
          <w:szCs w:val="32"/>
          <w:lang w:eastAsia="zh-CN"/>
        </w:rPr>
        <w:t>、乡镇安全管理相关经费、垃圾车运营维护费、县政府批示〔2022〕96号关于解决职工住宿楼维修改造资金的请示、村（社区）干部养老保险补助、意外伤害保险、2023年社区服务群众专项经费（上级）、基层组织和农村公共服务运行维护费、社区服务群众专项经费、2023年基层组织和农村公共服务运行维护费（上级）</w:t>
      </w:r>
      <w:r>
        <w:rPr>
          <w:rFonts w:hint="eastAsia" w:ascii="仿宋_GB2312" w:eastAsia="仿宋_GB2312"/>
          <w:sz w:val="32"/>
          <w:szCs w:val="32"/>
        </w:rPr>
        <w:t>等</w:t>
      </w:r>
      <w:r>
        <w:rPr>
          <w:rFonts w:hint="eastAsia" w:ascii="仿宋_GB2312" w:eastAsia="仿宋_GB2312"/>
          <w:sz w:val="32"/>
          <w:szCs w:val="32"/>
          <w:lang w:val="en-US" w:eastAsia="zh-CN"/>
        </w:rPr>
        <w:t>9</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9</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7C4868BC">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C6F6C77">
      <w:pPr>
        <w:numPr>
          <w:ilvl w:val="0"/>
          <w:numId w:val="4"/>
        </w:numPr>
        <w:spacing w:line="600" w:lineRule="exact"/>
        <w:ind w:firstLine="660" w:firstLineChars="150"/>
        <w:jc w:val="center"/>
        <w:outlineLvl w:val="0"/>
        <w:rPr>
          <w:rStyle w:val="32"/>
          <w:rFonts w:ascii="黑体" w:hAnsi="黑体" w:eastAsia="黑体"/>
          <w:b w:val="0"/>
        </w:rPr>
      </w:pPr>
      <w:bookmarkStart w:id="55" w:name="_Toc15377225"/>
      <w:bookmarkStart w:id="56" w:name="_Toc15396613"/>
      <w:bookmarkStart w:id="57" w:name="_Toc30220"/>
      <w:r>
        <w:rPr>
          <w:rFonts w:hint="eastAsia" w:ascii="黑体" w:hAnsi="黑体" w:eastAsia="黑体"/>
          <w:sz w:val="44"/>
          <w:szCs w:val="44"/>
        </w:rPr>
        <w:t>名</w:t>
      </w:r>
      <w:r>
        <w:rPr>
          <w:rStyle w:val="32"/>
          <w:rFonts w:hint="eastAsia" w:ascii="黑体" w:hAnsi="黑体" w:eastAsia="黑体"/>
          <w:b w:val="0"/>
        </w:rPr>
        <w:t>词解释</w:t>
      </w:r>
      <w:bookmarkEnd w:id="55"/>
      <w:bookmarkEnd w:id="56"/>
      <w:bookmarkEnd w:id="57"/>
    </w:p>
    <w:p w14:paraId="386BFF50">
      <w:pPr>
        <w:spacing w:line="600" w:lineRule="exact"/>
        <w:jc w:val="left"/>
        <w:rPr>
          <w:rFonts w:ascii="宋体"/>
          <w:b/>
          <w:sz w:val="44"/>
          <w:szCs w:val="44"/>
        </w:rPr>
      </w:pPr>
    </w:p>
    <w:p w14:paraId="69FB68F7">
      <w:pPr>
        <w:pStyle w:val="20"/>
        <w:bidi w:val="0"/>
      </w:pPr>
      <w:r>
        <w:t>1.</w:t>
      </w:r>
      <w:r>
        <w:rPr>
          <w:rFonts w:hint="eastAsia"/>
        </w:rPr>
        <w:t>财政拨款收入：指单位从同级财政部门取得的财政预算资金。</w:t>
      </w:r>
    </w:p>
    <w:p w14:paraId="62CA8DA0">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FC980D1">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r>
        <w:rPr>
          <w:rFonts w:hint="eastAsia" w:ascii="仿宋_GB2312" w:eastAsia="仿宋_GB2312"/>
          <w:color w:val="auto"/>
          <w:sz w:val="32"/>
          <w:szCs w:val="32"/>
          <w:lang w:eastAsia="zh-CN"/>
        </w:rPr>
        <w:t>。</w:t>
      </w:r>
    </w:p>
    <w:p w14:paraId="2F97C21B">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795245F1">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270ACC37">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307245CD">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C492C6B">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C3797F2">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9.</w:t>
      </w:r>
      <w:r>
        <w:rPr>
          <w:rFonts w:hint="eastAsia" w:ascii="仿宋_GB2312" w:eastAsia="仿宋_GB2312"/>
          <w:sz w:val="32"/>
          <w:szCs w:val="32"/>
        </w:rPr>
        <w:t>一般公共服务（类）政府办公厅（室）及相关机构事务（款）行政运行（项）</w:t>
      </w:r>
      <w:r>
        <w:rPr>
          <w:rFonts w:hint="eastAsia" w:ascii="仿宋_GB2312" w:eastAsia="仿宋_GB2312"/>
          <w:sz w:val="32"/>
          <w:szCs w:val="32"/>
          <w:lang w:eastAsia="zh-CN"/>
        </w:rPr>
        <w:t>：</w:t>
      </w:r>
      <w:r>
        <w:rPr>
          <w:rFonts w:hint="eastAsia" w:ascii="仿宋_GB2312" w:eastAsia="仿宋_GB2312"/>
          <w:sz w:val="32"/>
          <w:szCs w:val="32"/>
        </w:rPr>
        <w:t>指反映行政单位（包括实行公务员管理的事业单位）的基本支出。</w:t>
      </w:r>
    </w:p>
    <w:p w14:paraId="7852992B">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10.</w:t>
      </w:r>
      <w:r>
        <w:rPr>
          <w:rFonts w:hint="eastAsia" w:ascii="仿宋_GB2312" w:eastAsia="仿宋_GB2312"/>
          <w:sz w:val="32"/>
          <w:szCs w:val="32"/>
        </w:rPr>
        <w:t>一般公共服务（类）政府办公厅（室）及相关机构事务（款）事业运行（项）</w:t>
      </w:r>
      <w:r>
        <w:rPr>
          <w:rFonts w:hint="eastAsia" w:ascii="仿宋_GB2312" w:eastAsia="仿宋_GB2312"/>
          <w:sz w:val="32"/>
          <w:szCs w:val="32"/>
          <w:lang w:eastAsia="zh-CN"/>
        </w:rPr>
        <w:t>：</w:t>
      </w:r>
      <w:r>
        <w:rPr>
          <w:rFonts w:hint="eastAsia" w:ascii="仿宋_GB2312" w:eastAsia="仿宋_GB2312"/>
          <w:sz w:val="32"/>
          <w:szCs w:val="32"/>
        </w:rPr>
        <w:t>指事业单位的基本支出，不包括行政单位（包括实行公务员管理的事业单位）后勤服务中心、医务室等附属事业单位。</w:t>
      </w:r>
    </w:p>
    <w:p w14:paraId="270EBF5C">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11.</w:t>
      </w:r>
      <w:r>
        <w:rPr>
          <w:rFonts w:hint="eastAsia" w:ascii="仿宋_GB2312" w:eastAsia="仿宋_GB2312"/>
          <w:sz w:val="32"/>
          <w:szCs w:val="32"/>
        </w:rPr>
        <w:t>社会保障和就业支出（类）行政事业单位养老支出（款）机关事业单位基本养老保险缴费支出（项）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指部门实施养老保险制度由单位缴纳的养老保险费的支出。</w:t>
      </w:r>
    </w:p>
    <w:p w14:paraId="2F352E93">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2</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指部门实施养老保险制度由单位缴纳的职业年金的支出。</w:t>
      </w:r>
    </w:p>
    <w:p w14:paraId="736211BA">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3</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社会保障和就业（类）抚恤（款）死亡抚恤（项）</w:t>
      </w:r>
      <w:r>
        <w:rPr>
          <w:rFonts w:hint="eastAsia" w:ascii="仿宋_GB2312" w:eastAsia="仿宋_GB2312"/>
          <w:sz w:val="32"/>
          <w:szCs w:val="32"/>
          <w:lang w:eastAsia="zh-CN"/>
        </w:rPr>
        <w:t>：</w:t>
      </w:r>
      <w:r>
        <w:rPr>
          <w:rFonts w:hint="eastAsia" w:ascii="仿宋_GB2312" w:eastAsia="仿宋_GB2312"/>
          <w:sz w:val="32"/>
          <w:szCs w:val="32"/>
        </w:rPr>
        <w:t>指反映用于支付单位职工死亡抚恤金。</w:t>
      </w:r>
    </w:p>
    <w:p w14:paraId="7352075F">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4</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社会保障和就业（类）其他社会保障和就业支出（款）其他社会保障和就业支出（项）</w:t>
      </w:r>
      <w:r>
        <w:rPr>
          <w:rFonts w:hint="eastAsia" w:ascii="仿宋_GB2312" w:eastAsia="仿宋_GB2312"/>
          <w:sz w:val="32"/>
          <w:szCs w:val="32"/>
          <w:lang w:eastAsia="zh-CN"/>
        </w:rPr>
        <w:t>：</w:t>
      </w:r>
      <w:r>
        <w:rPr>
          <w:rFonts w:hint="eastAsia" w:ascii="仿宋_GB2312" w:eastAsia="仿宋_GB2312"/>
          <w:sz w:val="32"/>
          <w:szCs w:val="32"/>
        </w:rPr>
        <w:t>指反映除上述项目以外其他用于社会保障和就业方面的支出。</w:t>
      </w:r>
    </w:p>
    <w:p w14:paraId="1E57BB5E">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5</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指行政单位及参公管理事业单位用于缴纳单位基本医疗保险支出。</w:t>
      </w:r>
    </w:p>
    <w:p w14:paraId="4970C671">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6</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卫生健康（类）行政事业单位医疗（款）公务员医疗补助（项）</w:t>
      </w:r>
      <w:r>
        <w:rPr>
          <w:rFonts w:hint="eastAsia" w:ascii="仿宋_GB2312" w:eastAsia="仿宋_GB2312"/>
          <w:sz w:val="32"/>
          <w:szCs w:val="32"/>
          <w:lang w:eastAsia="zh-CN"/>
        </w:rPr>
        <w:t>：</w:t>
      </w:r>
      <w:r>
        <w:rPr>
          <w:rFonts w:hint="eastAsia" w:ascii="仿宋_GB2312" w:eastAsia="仿宋_GB2312"/>
          <w:sz w:val="32"/>
          <w:szCs w:val="32"/>
        </w:rPr>
        <w:t>指行政单位及参公管理事业单位用于缴纳单位公务员医疗补助支出。</w:t>
      </w:r>
    </w:p>
    <w:p w14:paraId="6C1D2315">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7</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农林水支出（类）农业农村（款）行政运行（项）</w:t>
      </w:r>
      <w:r>
        <w:rPr>
          <w:rFonts w:hint="eastAsia" w:ascii="仿宋_GB2312" w:eastAsia="仿宋_GB2312"/>
          <w:sz w:val="32"/>
          <w:szCs w:val="32"/>
          <w:lang w:eastAsia="zh-CN"/>
        </w:rPr>
        <w:t>：</w:t>
      </w:r>
      <w:r>
        <w:rPr>
          <w:rFonts w:hint="eastAsia" w:ascii="仿宋_GB2312" w:eastAsia="仿宋_GB2312"/>
          <w:sz w:val="32"/>
          <w:szCs w:val="32"/>
        </w:rPr>
        <w:t>反映行政单位</w:t>
      </w:r>
      <w:r>
        <w:rPr>
          <w:rFonts w:hint="eastAsia" w:ascii="仿宋_GB2312" w:eastAsia="仿宋_GB2312"/>
          <w:sz w:val="32"/>
          <w:szCs w:val="32"/>
          <w:lang w:eastAsia="zh-CN"/>
        </w:rPr>
        <w:t>（</w:t>
      </w:r>
      <w:r>
        <w:rPr>
          <w:rFonts w:hint="eastAsia" w:ascii="仿宋_GB2312" w:eastAsia="仿宋_GB2312"/>
          <w:sz w:val="32"/>
          <w:szCs w:val="32"/>
        </w:rPr>
        <w:t>包括实行公务员管理的事业单位</w:t>
      </w:r>
      <w:r>
        <w:rPr>
          <w:rFonts w:hint="eastAsia" w:ascii="仿宋_GB2312" w:eastAsia="仿宋_GB2312"/>
          <w:sz w:val="32"/>
          <w:szCs w:val="32"/>
          <w:lang w:eastAsia="zh-CN"/>
        </w:rPr>
        <w:t>）</w:t>
      </w:r>
      <w:r>
        <w:rPr>
          <w:rFonts w:hint="eastAsia" w:ascii="仿宋_GB2312" w:eastAsia="仿宋_GB2312"/>
          <w:sz w:val="32"/>
          <w:szCs w:val="32"/>
        </w:rPr>
        <w:t>的基本支出。</w:t>
      </w:r>
    </w:p>
    <w:p w14:paraId="7DC92FB5">
      <w:pPr>
        <w:keepNext w:val="0"/>
        <w:keepLines w:val="0"/>
        <w:pageBreakBefore w:val="0"/>
        <w:widowControl w:val="0"/>
        <w:numPr>
          <w:ilvl w:val="0"/>
          <w:numId w:val="0"/>
        </w:numPr>
        <w:suppressAutoHyphens/>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8</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农林水支出（类）巩固脱贫攻坚成果衔接乡村振兴（款）一般行政管理事务（项）</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val="en-US" w:eastAsia="zh-CN"/>
        </w:rPr>
        <w:t>指</w:t>
      </w:r>
      <w:r>
        <w:rPr>
          <w:rFonts w:hint="eastAsia" w:ascii="仿宋_GB2312" w:hAnsi="Times New Roman" w:eastAsia="仿宋_GB2312" w:cs="Times New Roman"/>
          <w:sz w:val="32"/>
          <w:szCs w:val="32"/>
        </w:rPr>
        <w:t>行政单位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包括实行公务员管理的事业单位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未单独 设置项级科目的其他项目支出。</w:t>
      </w:r>
    </w:p>
    <w:p w14:paraId="2D8B1233">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SA"/>
        </w:rPr>
        <w:t>19</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农林水支出（类）巩固脱贫攻坚成果衔接乡村振兴（款）社会发展（项）</w:t>
      </w:r>
      <w:r>
        <w:rPr>
          <w:rFonts w:hint="eastAsia" w:ascii="仿宋_GB2312" w:eastAsia="仿宋_GB2312"/>
          <w:sz w:val="32"/>
          <w:szCs w:val="32"/>
          <w:lang w:eastAsia="zh-CN"/>
        </w:rPr>
        <w:t>：</w:t>
      </w:r>
      <w:r>
        <w:rPr>
          <w:rFonts w:hint="eastAsia" w:ascii="仿宋_GB2312" w:eastAsia="仿宋_GB2312"/>
          <w:sz w:val="32"/>
          <w:szCs w:val="32"/>
          <w:lang w:val="en-US" w:eastAsia="zh-CN"/>
        </w:rPr>
        <w:t>指</w:t>
      </w:r>
      <w:r>
        <w:rPr>
          <w:rFonts w:hint="eastAsia" w:ascii="仿宋_GB2312" w:eastAsia="仿宋_GB2312"/>
          <w:sz w:val="32"/>
          <w:szCs w:val="32"/>
        </w:rPr>
        <w:t>反映用于农村欠发达地区中小学教育、文化、广播、电视、卫生健康等方面的项目支出。</w:t>
      </w:r>
    </w:p>
    <w:p w14:paraId="4E4200E2">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0</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农林水支出（类）巩固脱贫攻坚成果衔接乡村振兴（款）其他巩固脱贫攻坚成果衔接乡村振兴支出（项）</w:t>
      </w:r>
      <w:r>
        <w:rPr>
          <w:rFonts w:hint="eastAsia" w:ascii="仿宋_GB2312" w:eastAsia="仿宋_GB2312"/>
          <w:sz w:val="32"/>
          <w:szCs w:val="32"/>
          <w:lang w:eastAsia="zh-CN"/>
        </w:rPr>
        <w:t>：</w:t>
      </w:r>
      <w:r>
        <w:rPr>
          <w:rFonts w:hint="eastAsia" w:ascii="仿宋_GB2312" w:eastAsia="仿宋_GB2312"/>
          <w:sz w:val="32"/>
          <w:szCs w:val="32"/>
        </w:rPr>
        <w:t>指其他用于巩固</w:t>
      </w:r>
      <w:r>
        <w:rPr>
          <w:rFonts w:hint="eastAsia" w:ascii="仿宋_GB2312" w:eastAsia="仿宋_GB2312"/>
          <w:sz w:val="32"/>
          <w:szCs w:val="32"/>
          <w:lang w:eastAsia="zh-CN"/>
        </w:rPr>
        <w:t>拓展</w:t>
      </w:r>
      <w:bookmarkStart w:id="90" w:name="_GoBack"/>
      <w:bookmarkEnd w:id="90"/>
      <w:r>
        <w:rPr>
          <w:rFonts w:hint="eastAsia" w:ascii="仿宋_GB2312" w:eastAsia="仿宋_GB2312"/>
          <w:sz w:val="32"/>
          <w:szCs w:val="32"/>
        </w:rPr>
        <w:t>脱贫攻坚成果同乡村振兴有效衔接方面的支出。</w:t>
      </w:r>
    </w:p>
    <w:p w14:paraId="6F722560">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1</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农林水支出（类）农村综合改革（款）对村民委员会和村党支部的补助（项）</w:t>
      </w:r>
      <w:r>
        <w:rPr>
          <w:rFonts w:hint="eastAsia" w:ascii="仿宋_GB2312" w:eastAsia="仿宋_GB2312"/>
          <w:sz w:val="32"/>
          <w:szCs w:val="32"/>
          <w:lang w:eastAsia="zh-CN"/>
        </w:rPr>
        <w:t>：</w:t>
      </w:r>
      <w:r>
        <w:rPr>
          <w:rFonts w:hint="eastAsia" w:ascii="仿宋_GB2312" w:eastAsia="仿宋_GB2312"/>
          <w:sz w:val="32"/>
          <w:szCs w:val="32"/>
        </w:rPr>
        <w:t>指反映各级财政对村民委员会和村党支部的补助支出，以及支持建立县级基本财力保障机制安排的村级组织运转奖补资金。</w:t>
      </w:r>
    </w:p>
    <w:p w14:paraId="17AFEB65">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2</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农林水支出（类）农村综合改革（款）农村综合改革示范试点补助（项）</w:t>
      </w:r>
      <w:r>
        <w:rPr>
          <w:rFonts w:hint="eastAsia" w:ascii="仿宋_GB2312" w:eastAsia="仿宋_GB2312"/>
          <w:sz w:val="32"/>
          <w:szCs w:val="32"/>
          <w:lang w:eastAsia="zh-CN"/>
        </w:rPr>
        <w:t>：</w:t>
      </w:r>
      <w:r>
        <w:rPr>
          <w:rFonts w:hint="eastAsia" w:ascii="仿宋_GB2312" w:eastAsia="仿宋_GB2312"/>
          <w:sz w:val="32"/>
          <w:szCs w:val="32"/>
        </w:rPr>
        <w:t>指反映各级财政对农村综合改革示范试点、新型农业社会化服务体系建设等补助支出。</w:t>
      </w:r>
    </w:p>
    <w:p w14:paraId="2D5E6E02">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3</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指由单位及其在职职工按规定缴存的住房公积金支出。</w:t>
      </w:r>
    </w:p>
    <w:p w14:paraId="07B9EE9A">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4</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基本支出：指为保障机构正常运转、完成日常工作任务而发生的人员支出和公用支出。</w:t>
      </w:r>
    </w:p>
    <w:p w14:paraId="426F9EFB">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5</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项目支出：指在基本支出之外为完成特定行政任务和事业发展目标所发生的支出。</w:t>
      </w:r>
    </w:p>
    <w:p w14:paraId="03E98194">
      <w:pPr>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ascii="仿宋_GB2312" w:eastAsia="仿宋_GB2312"/>
          <w:sz w:val="32"/>
          <w:szCs w:val="32"/>
        </w:rPr>
      </w:pPr>
      <w:r>
        <w:rPr>
          <w:rFonts w:hint="default"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6</w:t>
      </w:r>
      <w:r>
        <w:rPr>
          <w:rFonts w:hint="default" w:ascii="仿宋_GB2312" w:hAnsi="Times New Roman" w:eastAsia="仿宋_GB2312" w:cs="Times New Roman"/>
          <w:kern w:val="2"/>
          <w:sz w:val="32"/>
          <w:szCs w:val="32"/>
          <w:lang w:val="en-US" w:eastAsia="zh-CN" w:bidi="ar-SA"/>
        </w:rPr>
        <w:t>.</w:t>
      </w:r>
      <w:r>
        <w:rPr>
          <w:rFonts w:hint="eastAsia" w:ascii="仿宋_GB2312" w:eastAsia="仿宋_GB2312"/>
          <w:sz w:val="32"/>
          <w:szCs w:val="32"/>
        </w:rPr>
        <w:t>经营支出：指事业单位在专业业务活动及其辅助活动之外开展非独立核算经营活动发生的支出。</w:t>
      </w:r>
    </w:p>
    <w:p w14:paraId="27D20711">
      <w:pPr>
        <w:pStyle w:val="30"/>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ascii="仿宋_GB2312" w:eastAsia="仿宋_GB2312"/>
          <w:color w:val="auto"/>
          <w:sz w:val="32"/>
          <w:szCs w:val="32"/>
        </w:rPr>
      </w:pPr>
      <w:r>
        <w:rPr>
          <w:rFonts w:hint="default" w:ascii="仿宋_GB2312" w:hAnsi="Calibri" w:eastAsia="仿宋_GB2312" w:cs="仿宋"/>
          <w:color w:val="auto"/>
          <w:sz w:val="32"/>
          <w:szCs w:val="32"/>
          <w:lang w:val="en-US" w:eastAsia="zh-CN" w:bidi="ar-SA"/>
        </w:rPr>
        <w:t>2</w:t>
      </w:r>
      <w:r>
        <w:rPr>
          <w:rFonts w:hint="eastAsia" w:ascii="仿宋_GB2312" w:eastAsia="仿宋_GB2312" w:cs="仿宋"/>
          <w:color w:val="auto"/>
          <w:sz w:val="32"/>
          <w:szCs w:val="32"/>
          <w:lang w:val="en-US" w:eastAsia="zh-CN" w:bidi="ar-SA"/>
        </w:rPr>
        <w:t>7</w:t>
      </w:r>
      <w:r>
        <w:rPr>
          <w:rFonts w:hint="default" w:ascii="仿宋_GB2312" w:hAnsi="Calibri" w:eastAsia="仿宋_GB2312" w:cs="仿宋"/>
          <w:color w:val="auto"/>
          <w:sz w:val="32"/>
          <w:szCs w:val="32"/>
          <w:lang w:val="en-US" w:eastAsia="zh-CN" w:bidi="ar-SA"/>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2E918E">
      <w:pPr>
        <w:pStyle w:val="30"/>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ascii="仿宋_GB2312" w:eastAsia="仿宋_GB2312" w:cs="黑体"/>
          <w:color w:val="auto"/>
          <w:sz w:val="32"/>
          <w:szCs w:val="32"/>
        </w:rPr>
      </w:pPr>
      <w:r>
        <w:rPr>
          <w:rFonts w:hint="default" w:ascii="仿宋_GB2312" w:hAnsi="Calibri" w:eastAsia="仿宋_GB2312" w:cs="黑体"/>
          <w:color w:val="auto"/>
          <w:sz w:val="32"/>
          <w:szCs w:val="32"/>
          <w:lang w:val="en-US" w:eastAsia="zh-CN" w:bidi="ar-SA"/>
        </w:rPr>
        <w:t>2</w:t>
      </w:r>
      <w:r>
        <w:rPr>
          <w:rFonts w:hint="eastAsia" w:ascii="仿宋_GB2312" w:eastAsia="仿宋_GB2312" w:cs="黑体"/>
          <w:color w:val="auto"/>
          <w:sz w:val="32"/>
          <w:szCs w:val="32"/>
          <w:lang w:val="en-US" w:eastAsia="zh-CN" w:bidi="ar-SA"/>
        </w:rPr>
        <w:t>8</w:t>
      </w:r>
      <w:r>
        <w:rPr>
          <w:rFonts w:hint="default" w:ascii="仿宋_GB2312" w:hAnsi="Calibri" w:eastAsia="仿宋_GB2312" w:cs="黑体"/>
          <w:color w:val="auto"/>
          <w:sz w:val="32"/>
          <w:szCs w:val="32"/>
          <w:lang w:val="en-US" w:eastAsia="zh-CN" w:bidi="ar-SA"/>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008940">
      <w:pPr>
        <w:spacing w:line="600" w:lineRule="exact"/>
        <w:jc w:val="center"/>
        <w:outlineLvl w:val="0"/>
        <w:rPr>
          <w:rStyle w:val="32"/>
          <w:rFonts w:ascii="黑体" w:hAnsi="黑体" w:eastAsia="黑体"/>
          <w:b w:val="0"/>
        </w:rPr>
      </w:pPr>
      <w:bookmarkStart w:id="58" w:name="_Toc15377226"/>
      <w:r>
        <w:rPr>
          <w:rFonts w:ascii="宋体"/>
          <w:b/>
          <w:sz w:val="44"/>
          <w:szCs w:val="44"/>
        </w:rPr>
        <w:br w:type="page"/>
      </w:r>
      <w:bookmarkStart w:id="59" w:name="_Toc5329"/>
      <w:bookmarkStart w:id="60" w:name="_Toc15396614"/>
      <w:r>
        <w:rPr>
          <w:rFonts w:hint="eastAsia" w:ascii="黑体" w:hAnsi="黑体" w:eastAsia="黑体"/>
          <w:sz w:val="44"/>
          <w:szCs w:val="44"/>
        </w:rPr>
        <w:t>第</w:t>
      </w:r>
      <w:r>
        <w:rPr>
          <w:rStyle w:val="32"/>
          <w:rFonts w:hint="eastAsia" w:ascii="黑体" w:hAnsi="黑体" w:eastAsia="黑体"/>
          <w:b w:val="0"/>
        </w:rPr>
        <w:t>四部分 附件</w:t>
      </w:r>
      <w:bookmarkEnd w:id="59"/>
      <w:bookmarkEnd w:id="60"/>
    </w:p>
    <w:p w14:paraId="741BFAB6">
      <w:pPr>
        <w:spacing w:line="572" w:lineRule="exact"/>
        <w:jc w:val="left"/>
        <w:outlineLvl w:val="9"/>
        <w:rPr>
          <w:rFonts w:ascii="仿宋_GB2312" w:hAnsi="仿宋_GB2312" w:eastAsia="仿宋_GB2312" w:cs="仿宋_GB2312"/>
          <w:sz w:val="32"/>
          <w:szCs w:val="32"/>
        </w:rPr>
      </w:pPr>
    </w:p>
    <w:p w14:paraId="623C1251">
      <w:pPr>
        <w:spacing w:line="600" w:lineRule="exact"/>
        <w:jc w:val="center"/>
        <w:outlineLvl w:val="1"/>
        <w:rPr>
          <w:rFonts w:ascii="黑体" w:hAnsi="黑体" w:eastAsia="黑体"/>
          <w:color w:val="FF0000"/>
          <w:sz w:val="44"/>
          <w:szCs w:val="44"/>
        </w:rPr>
      </w:pPr>
      <w:bookmarkStart w:id="61" w:name="_Toc3239"/>
      <w:bookmarkStart w:id="62" w:name="_Toc15396618"/>
      <w:r>
        <w:rPr>
          <w:rFonts w:hint="eastAsia"/>
          <w:sz w:val="32"/>
          <w:szCs w:val="32"/>
        </w:rPr>
        <w:t>部门预算项目支出绩效自评表（2023年度）</w:t>
      </w:r>
      <w:bookmarkEnd w:id="61"/>
    </w:p>
    <w:p w14:paraId="71E51D03">
      <w:pPr>
        <w:pStyle w:val="8"/>
        <w:spacing w:before="93"/>
      </w:pPr>
      <w:r>
        <w:drawing>
          <wp:inline distT="0" distB="0" distL="114300" distR="114300">
            <wp:extent cx="5268595" cy="7476490"/>
            <wp:effectExtent l="0" t="0" r="8255" b="1016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5268595" cy="7476490"/>
                    </a:xfrm>
                    <a:prstGeom prst="rect">
                      <a:avLst/>
                    </a:prstGeom>
                    <a:noFill/>
                    <a:ln>
                      <a:noFill/>
                    </a:ln>
                  </pic:spPr>
                </pic:pic>
              </a:graphicData>
            </a:graphic>
          </wp:inline>
        </w:drawing>
      </w:r>
    </w:p>
    <w:p w14:paraId="01C606A5">
      <w:pPr>
        <w:pStyle w:val="8"/>
        <w:spacing w:before="93"/>
      </w:pPr>
      <w:r>
        <w:drawing>
          <wp:inline distT="0" distB="0" distL="114300" distR="114300">
            <wp:extent cx="5272405" cy="6873240"/>
            <wp:effectExtent l="0" t="0" r="4445"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4"/>
                    <a:stretch>
                      <a:fillRect/>
                    </a:stretch>
                  </pic:blipFill>
                  <pic:spPr>
                    <a:xfrm>
                      <a:off x="0" y="0"/>
                      <a:ext cx="5272405" cy="6873240"/>
                    </a:xfrm>
                    <a:prstGeom prst="rect">
                      <a:avLst/>
                    </a:prstGeom>
                    <a:noFill/>
                    <a:ln>
                      <a:noFill/>
                    </a:ln>
                  </pic:spPr>
                </pic:pic>
              </a:graphicData>
            </a:graphic>
          </wp:inline>
        </w:drawing>
      </w:r>
    </w:p>
    <w:p w14:paraId="4D2AC3CA">
      <w:pPr>
        <w:pStyle w:val="8"/>
        <w:spacing w:before="93"/>
        <w:rPr>
          <w:rFonts w:hAnsi="Calibri" w:cs="仿宋"/>
          <w:sz w:val="32"/>
          <w:szCs w:val="32"/>
        </w:rPr>
      </w:pPr>
    </w:p>
    <w:p w14:paraId="4C9011AB">
      <w:pPr>
        <w:pStyle w:val="8"/>
        <w:spacing w:before="93"/>
        <w:rPr>
          <w:rFonts w:hAnsi="Calibri" w:cs="仿宋"/>
          <w:sz w:val="32"/>
          <w:szCs w:val="32"/>
        </w:rPr>
      </w:pPr>
    </w:p>
    <w:p w14:paraId="43490ABC">
      <w:pPr>
        <w:pStyle w:val="8"/>
        <w:spacing w:before="93"/>
        <w:rPr>
          <w:rFonts w:hAnsi="Calibri" w:cs="仿宋"/>
          <w:sz w:val="32"/>
          <w:szCs w:val="32"/>
        </w:rPr>
      </w:pPr>
    </w:p>
    <w:p w14:paraId="3FCDC8E5">
      <w:pPr>
        <w:pStyle w:val="8"/>
        <w:spacing w:before="93"/>
        <w:rPr>
          <w:rFonts w:hAnsi="Calibri" w:cs="仿宋"/>
          <w:sz w:val="32"/>
          <w:szCs w:val="32"/>
        </w:rPr>
      </w:pPr>
    </w:p>
    <w:p w14:paraId="1B40738C">
      <w:pPr>
        <w:pStyle w:val="8"/>
        <w:spacing w:before="93"/>
        <w:rPr>
          <w:rFonts w:hAnsi="Calibri" w:cs="仿宋"/>
          <w:sz w:val="32"/>
          <w:szCs w:val="32"/>
        </w:rPr>
      </w:pPr>
      <w:r>
        <w:drawing>
          <wp:inline distT="0" distB="0" distL="114300" distR="114300">
            <wp:extent cx="5269230" cy="7181850"/>
            <wp:effectExtent l="0" t="0" r="762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a:stretch>
                      <a:fillRect/>
                    </a:stretch>
                  </pic:blipFill>
                  <pic:spPr>
                    <a:xfrm>
                      <a:off x="0" y="0"/>
                      <a:ext cx="5269230" cy="7181850"/>
                    </a:xfrm>
                    <a:prstGeom prst="rect">
                      <a:avLst/>
                    </a:prstGeom>
                    <a:noFill/>
                    <a:ln>
                      <a:noFill/>
                    </a:ln>
                  </pic:spPr>
                </pic:pic>
              </a:graphicData>
            </a:graphic>
          </wp:inline>
        </w:drawing>
      </w:r>
    </w:p>
    <w:p w14:paraId="2B58FB77">
      <w:pPr>
        <w:pStyle w:val="8"/>
        <w:spacing w:before="93"/>
        <w:rPr>
          <w:rFonts w:hAnsi="Calibri" w:cs="仿宋"/>
          <w:sz w:val="32"/>
          <w:szCs w:val="32"/>
        </w:rPr>
      </w:pPr>
    </w:p>
    <w:p w14:paraId="05F4B41E">
      <w:pPr>
        <w:pStyle w:val="8"/>
        <w:spacing w:before="93"/>
        <w:rPr>
          <w:rFonts w:hAnsi="Calibri" w:cs="仿宋"/>
          <w:sz w:val="32"/>
          <w:szCs w:val="32"/>
        </w:rPr>
      </w:pPr>
    </w:p>
    <w:p w14:paraId="787478B3">
      <w:pPr>
        <w:pStyle w:val="8"/>
        <w:spacing w:before="93"/>
        <w:rPr>
          <w:rFonts w:hAnsi="Calibri" w:cs="仿宋"/>
          <w:sz w:val="32"/>
          <w:szCs w:val="32"/>
        </w:rPr>
      </w:pPr>
    </w:p>
    <w:p w14:paraId="1E5230B6">
      <w:pPr>
        <w:pStyle w:val="8"/>
        <w:spacing w:before="93"/>
        <w:rPr>
          <w:rFonts w:hAnsi="Calibri" w:cs="仿宋"/>
          <w:sz w:val="32"/>
          <w:szCs w:val="32"/>
        </w:rPr>
      </w:pPr>
      <w:r>
        <w:drawing>
          <wp:inline distT="0" distB="0" distL="114300" distR="114300">
            <wp:extent cx="5269230" cy="7123430"/>
            <wp:effectExtent l="0" t="0" r="7620" b="127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6"/>
                    <a:stretch>
                      <a:fillRect/>
                    </a:stretch>
                  </pic:blipFill>
                  <pic:spPr>
                    <a:xfrm>
                      <a:off x="0" y="0"/>
                      <a:ext cx="5269230" cy="7123430"/>
                    </a:xfrm>
                    <a:prstGeom prst="rect">
                      <a:avLst/>
                    </a:prstGeom>
                    <a:noFill/>
                    <a:ln>
                      <a:noFill/>
                    </a:ln>
                  </pic:spPr>
                </pic:pic>
              </a:graphicData>
            </a:graphic>
          </wp:inline>
        </w:drawing>
      </w:r>
    </w:p>
    <w:p w14:paraId="1B5EFCB7">
      <w:pPr>
        <w:pStyle w:val="8"/>
        <w:spacing w:before="93"/>
        <w:rPr>
          <w:rFonts w:hAnsi="Calibri" w:cs="仿宋"/>
          <w:sz w:val="32"/>
          <w:szCs w:val="32"/>
        </w:rPr>
      </w:pPr>
      <w:r>
        <w:drawing>
          <wp:inline distT="0" distB="0" distL="114300" distR="114300">
            <wp:extent cx="5269230" cy="7201535"/>
            <wp:effectExtent l="0" t="0" r="7620" b="1841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7"/>
                    <a:stretch>
                      <a:fillRect/>
                    </a:stretch>
                  </pic:blipFill>
                  <pic:spPr>
                    <a:xfrm>
                      <a:off x="0" y="0"/>
                      <a:ext cx="5269230" cy="7201535"/>
                    </a:xfrm>
                    <a:prstGeom prst="rect">
                      <a:avLst/>
                    </a:prstGeom>
                    <a:noFill/>
                    <a:ln>
                      <a:noFill/>
                    </a:ln>
                  </pic:spPr>
                </pic:pic>
              </a:graphicData>
            </a:graphic>
          </wp:inline>
        </w:drawing>
      </w:r>
    </w:p>
    <w:p w14:paraId="462CEA42">
      <w:pPr>
        <w:pStyle w:val="8"/>
        <w:spacing w:before="93"/>
        <w:rPr>
          <w:rFonts w:hAnsi="Calibri" w:cs="仿宋"/>
          <w:sz w:val="32"/>
          <w:szCs w:val="32"/>
        </w:rPr>
      </w:pPr>
    </w:p>
    <w:p w14:paraId="3146F963">
      <w:pPr>
        <w:pStyle w:val="8"/>
        <w:spacing w:before="93"/>
        <w:rPr>
          <w:rFonts w:hAnsi="Calibri" w:cs="仿宋"/>
          <w:sz w:val="32"/>
          <w:szCs w:val="32"/>
        </w:rPr>
      </w:pPr>
    </w:p>
    <w:p w14:paraId="223DE8E2">
      <w:pPr>
        <w:pStyle w:val="8"/>
        <w:spacing w:before="93"/>
        <w:rPr>
          <w:rFonts w:hAnsi="Calibri" w:cs="仿宋"/>
          <w:sz w:val="32"/>
          <w:szCs w:val="32"/>
        </w:rPr>
      </w:pPr>
    </w:p>
    <w:p w14:paraId="7B91AF8D">
      <w:pPr>
        <w:spacing w:line="600" w:lineRule="exact"/>
        <w:jc w:val="center"/>
        <w:outlineLvl w:val="0"/>
        <w:rPr>
          <w:rFonts w:ascii="仿宋" w:hAnsi="仿宋" w:eastAsia="仿宋"/>
        </w:rPr>
      </w:pPr>
      <w:bookmarkStart w:id="63" w:name="_Toc3874"/>
      <w:r>
        <w:rPr>
          <w:rFonts w:hint="eastAsia" w:ascii="黑体" w:hAnsi="黑体" w:eastAsia="黑体"/>
          <w:sz w:val="44"/>
          <w:szCs w:val="44"/>
        </w:rPr>
        <w:t>第</w:t>
      </w:r>
      <w:r>
        <w:rPr>
          <w:rStyle w:val="32"/>
          <w:rFonts w:hint="eastAsia" w:ascii="黑体" w:hAnsi="黑体" w:eastAsia="黑体"/>
          <w:b w:val="0"/>
        </w:rPr>
        <w:t>五部分 附表</w:t>
      </w:r>
      <w:bookmarkEnd w:id="58"/>
      <w:bookmarkEnd w:id="62"/>
      <w:bookmarkEnd w:id="63"/>
      <w:bookmarkStart w:id="64" w:name="_Toc15396619"/>
    </w:p>
    <w:p w14:paraId="200D1467">
      <w:pPr>
        <w:pStyle w:val="6"/>
        <w:rPr>
          <w:rFonts w:ascii="仿宋" w:hAnsi="仿宋" w:eastAsia="仿宋"/>
        </w:rPr>
      </w:pPr>
      <w:bookmarkStart w:id="65" w:name="_Toc22127"/>
      <w:r>
        <w:rPr>
          <w:rFonts w:hint="eastAsia" w:ascii="仿宋" w:hAnsi="仿宋" w:eastAsia="仿宋"/>
          <w:b w:val="0"/>
        </w:rPr>
        <w:t>一、收</w:t>
      </w:r>
      <w:r>
        <w:rPr>
          <w:rStyle w:val="33"/>
          <w:rFonts w:hint="eastAsia" w:ascii="仿宋" w:hAnsi="仿宋" w:eastAsia="仿宋"/>
          <w:b w:val="0"/>
          <w:bCs w:val="0"/>
        </w:rPr>
        <w:t>入支出决算总表</w:t>
      </w:r>
      <w:bookmarkEnd w:id="64"/>
      <w:bookmarkEnd w:id="65"/>
    </w:p>
    <w:p w14:paraId="38572B5D">
      <w:pPr>
        <w:pStyle w:val="6"/>
        <w:rPr>
          <w:rFonts w:ascii="仿宋" w:hAnsi="仿宋" w:eastAsia="仿宋"/>
        </w:rPr>
      </w:pPr>
      <w:bookmarkStart w:id="66" w:name="_Toc15396620"/>
      <w:bookmarkStart w:id="67" w:name="_Toc11837"/>
      <w:r>
        <w:rPr>
          <w:rFonts w:hint="eastAsia" w:ascii="仿宋" w:hAnsi="仿宋" w:eastAsia="仿宋"/>
          <w:b w:val="0"/>
        </w:rPr>
        <w:t>二、收</w:t>
      </w:r>
      <w:r>
        <w:rPr>
          <w:rStyle w:val="33"/>
          <w:rFonts w:hint="eastAsia" w:ascii="仿宋" w:hAnsi="仿宋" w:eastAsia="仿宋"/>
          <w:b w:val="0"/>
          <w:bCs w:val="0"/>
        </w:rPr>
        <w:t>入决算表</w:t>
      </w:r>
      <w:bookmarkEnd w:id="66"/>
      <w:bookmarkEnd w:id="67"/>
    </w:p>
    <w:p w14:paraId="1CCF3712">
      <w:pPr>
        <w:pStyle w:val="6"/>
        <w:rPr>
          <w:rFonts w:ascii="仿宋" w:hAnsi="仿宋" w:eastAsia="仿宋"/>
        </w:rPr>
      </w:pPr>
      <w:bookmarkStart w:id="68" w:name="_Toc4062"/>
      <w:bookmarkStart w:id="69"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68"/>
      <w:bookmarkEnd w:id="69"/>
    </w:p>
    <w:p w14:paraId="62DD8F69">
      <w:pPr>
        <w:pStyle w:val="6"/>
        <w:rPr>
          <w:rFonts w:ascii="仿宋" w:hAnsi="仿宋" w:eastAsia="仿宋"/>
          <w:b w:val="0"/>
        </w:rPr>
      </w:pPr>
      <w:bookmarkStart w:id="70" w:name="_Toc6473"/>
      <w:bookmarkStart w:id="71"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70"/>
      <w:bookmarkEnd w:id="71"/>
    </w:p>
    <w:p w14:paraId="08F273F2">
      <w:pPr>
        <w:pStyle w:val="6"/>
        <w:rPr>
          <w:rStyle w:val="33"/>
          <w:rFonts w:ascii="仿宋" w:hAnsi="仿宋" w:eastAsia="仿宋"/>
          <w:b w:val="0"/>
          <w:bCs w:val="0"/>
        </w:rPr>
      </w:pPr>
      <w:bookmarkStart w:id="72" w:name="_Toc30162"/>
      <w:bookmarkStart w:id="73"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72"/>
      <w:bookmarkEnd w:id="73"/>
      <w:bookmarkStart w:id="74" w:name="_Toc15396624"/>
    </w:p>
    <w:p w14:paraId="6CD95063">
      <w:pPr>
        <w:pStyle w:val="6"/>
        <w:rPr>
          <w:rFonts w:ascii="仿宋" w:hAnsi="仿宋" w:eastAsia="仿宋"/>
        </w:rPr>
      </w:pPr>
      <w:bookmarkStart w:id="75" w:name="_Toc10956"/>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74"/>
      <w:bookmarkEnd w:id="75"/>
    </w:p>
    <w:p w14:paraId="1A115F18">
      <w:pPr>
        <w:pStyle w:val="6"/>
        <w:rPr>
          <w:rFonts w:ascii="仿宋" w:hAnsi="仿宋" w:eastAsia="仿宋"/>
        </w:rPr>
      </w:pPr>
      <w:bookmarkStart w:id="76" w:name="_Toc15396625"/>
      <w:bookmarkStart w:id="77" w:name="_Toc32246"/>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76"/>
      <w:bookmarkEnd w:id="77"/>
    </w:p>
    <w:p w14:paraId="695FCE2D">
      <w:pPr>
        <w:pStyle w:val="6"/>
        <w:rPr>
          <w:rFonts w:ascii="仿宋" w:hAnsi="仿宋" w:eastAsia="仿宋"/>
        </w:rPr>
      </w:pPr>
      <w:bookmarkStart w:id="78" w:name="_Toc15396626"/>
      <w:bookmarkStart w:id="79" w:name="_Toc20007"/>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78"/>
      <w:bookmarkEnd w:id="79"/>
    </w:p>
    <w:p w14:paraId="4FBA1525">
      <w:pPr>
        <w:pStyle w:val="6"/>
        <w:rPr>
          <w:rFonts w:ascii="仿宋" w:hAnsi="仿宋" w:eastAsia="仿宋"/>
        </w:rPr>
      </w:pPr>
      <w:bookmarkStart w:id="80" w:name="_Toc15396627"/>
      <w:bookmarkStart w:id="81" w:name="_Toc30453"/>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80"/>
      <w:bookmarkEnd w:id="81"/>
    </w:p>
    <w:p w14:paraId="2C3E2E33">
      <w:pPr>
        <w:pStyle w:val="6"/>
        <w:rPr>
          <w:rFonts w:ascii="仿宋" w:hAnsi="仿宋" w:eastAsia="仿宋"/>
        </w:rPr>
      </w:pPr>
      <w:bookmarkStart w:id="82" w:name="_Toc15396628"/>
      <w:bookmarkStart w:id="83" w:name="_Toc12437"/>
      <w:r>
        <w:rPr>
          <w:rStyle w:val="33"/>
          <w:rFonts w:hint="eastAsia" w:ascii="仿宋" w:hAnsi="仿宋" w:eastAsia="仿宋"/>
          <w:b w:val="0"/>
          <w:bCs w:val="0"/>
        </w:rPr>
        <w:t>十、</w:t>
      </w:r>
      <w:bookmarkEnd w:id="82"/>
      <w:r>
        <w:rPr>
          <w:rFonts w:hint="eastAsia" w:ascii="仿宋" w:hAnsi="仿宋" w:eastAsia="仿宋"/>
          <w:b w:val="0"/>
        </w:rPr>
        <w:t>政</w:t>
      </w:r>
      <w:r>
        <w:rPr>
          <w:rStyle w:val="33"/>
          <w:rFonts w:hint="eastAsia" w:ascii="仿宋" w:hAnsi="仿宋" w:eastAsia="仿宋"/>
          <w:b w:val="0"/>
          <w:bCs w:val="0"/>
        </w:rPr>
        <w:t>府性基金预算财政拨款收入支出决算表</w:t>
      </w:r>
      <w:bookmarkEnd w:id="83"/>
    </w:p>
    <w:p w14:paraId="4270314A">
      <w:pPr>
        <w:pStyle w:val="6"/>
        <w:rPr>
          <w:rFonts w:ascii="仿宋" w:hAnsi="仿宋" w:eastAsia="仿宋"/>
        </w:rPr>
      </w:pPr>
      <w:bookmarkStart w:id="84" w:name="_Toc15396629"/>
      <w:bookmarkStart w:id="85" w:name="_Toc9995"/>
      <w:r>
        <w:rPr>
          <w:rStyle w:val="33"/>
          <w:rFonts w:hint="eastAsia" w:ascii="仿宋" w:hAnsi="仿宋" w:eastAsia="仿宋"/>
          <w:b w:val="0"/>
          <w:bCs w:val="0"/>
        </w:rPr>
        <w:t>十一、</w:t>
      </w:r>
      <w:bookmarkEnd w:id="84"/>
      <w:r>
        <w:rPr>
          <w:rFonts w:hint="eastAsia" w:ascii="仿宋" w:hAnsi="仿宋" w:eastAsia="仿宋"/>
          <w:b w:val="0"/>
        </w:rPr>
        <w:t>国</w:t>
      </w:r>
      <w:r>
        <w:rPr>
          <w:rStyle w:val="33"/>
          <w:rFonts w:hint="eastAsia" w:ascii="仿宋" w:hAnsi="仿宋" w:eastAsia="仿宋"/>
          <w:b w:val="0"/>
          <w:bCs w:val="0"/>
        </w:rPr>
        <w:t>有资本经营预算财政拨款收入支出决算表</w:t>
      </w:r>
      <w:bookmarkEnd w:id="85"/>
    </w:p>
    <w:p w14:paraId="067BEE45">
      <w:pPr>
        <w:pStyle w:val="6"/>
        <w:rPr>
          <w:rFonts w:ascii="仿宋" w:hAnsi="仿宋" w:eastAsia="仿宋"/>
        </w:rPr>
      </w:pPr>
      <w:bookmarkStart w:id="86" w:name="_Toc15396630"/>
      <w:bookmarkStart w:id="87" w:name="_Toc23387"/>
      <w:r>
        <w:rPr>
          <w:rStyle w:val="33"/>
          <w:rFonts w:hint="eastAsia" w:ascii="仿宋" w:hAnsi="仿宋" w:eastAsia="仿宋"/>
          <w:b w:val="0"/>
          <w:bCs w:val="0"/>
        </w:rPr>
        <w:t>十二、</w:t>
      </w:r>
      <w:bookmarkEnd w:id="86"/>
      <w:r>
        <w:rPr>
          <w:rStyle w:val="33"/>
          <w:rFonts w:hint="eastAsia" w:ascii="仿宋" w:hAnsi="仿宋" w:eastAsia="仿宋"/>
          <w:b w:val="0"/>
          <w:bCs w:val="0"/>
        </w:rPr>
        <w:t>国有资本经营预算财政拨款支出决算表</w:t>
      </w:r>
      <w:bookmarkEnd w:id="87"/>
    </w:p>
    <w:p w14:paraId="27C76E81">
      <w:pPr>
        <w:pStyle w:val="6"/>
        <w:rPr>
          <w:rFonts w:eastAsia="仿宋"/>
        </w:rPr>
      </w:pPr>
      <w:bookmarkStart w:id="88" w:name="_Toc15396631"/>
      <w:bookmarkStart w:id="89" w:name="_Toc12868"/>
      <w:r>
        <w:rPr>
          <w:rStyle w:val="33"/>
          <w:rFonts w:hint="eastAsia" w:ascii="仿宋" w:hAnsi="仿宋" w:eastAsia="仿宋"/>
          <w:b w:val="0"/>
          <w:bCs w:val="0"/>
        </w:rPr>
        <w:t>十三、</w:t>
      </w:r>
      <w:bookmarkEnd w:id="88"/>
      <w:r>
        <w:rPr>
          <w:rStyle w:val="33"/>
          <w:rFonts w:hint="eastAsia" w:ascii="仿宋" w:hAnsi="仿宋" w:eastAsia="仿宋"/>
          <w:b w:val="0"/>
          <w:bCs w:val="0"/>
        </w:rPr>
        <w:t>财政拨款“三公”经费支出决算表</w:t>
      </w:r>
      <w:bookmarkEnd w:id="8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C6353D-4138-4A1B-9886-3C325DB5CC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D330FA-C41A-4C91-833D-2199E48C776A}"/>
  </w:font>
  <w:font w:name="仿宋">
    <w:panose1 w:val="02010609060101010101"/>
    <w:charset w:val="86"/>
    <w:family w:val="modern"/>
    <w:pitch w:val="default"/>
    <w:sig w:usb0="800002BF" w:usb1="38CF7CFA" w:usb2="00000016" w:usb3="00000000" w:csb0="00040001" w:csb1="00000000"/>
    <w:embedRegular r:id="rId3" w:fontKey="{F4EEF2C5-3D8F-41C6-BE16-398CEF7B7EF0}"/>
  </w:font>
  <w:font w:name="Cambria">
    <w:panose1 w:val="02040503050406030204"/>
    <w:charset w:val="00"/>
    <w:family w:val="roman"/>
    <w:pitch w:val="default"/>
    <w:sig w:usb0="E00002FF" w:usb1="400004FF" w:usb2="00000000" w:usb3="00000000" w:csb0="2000019F" w:csb1="00000000"/>
    <w:embedRegular r:id="rId4" w:fontKey="{F5C5B005-A62A-422A-9DD5-49A2F235A49A}"/>
  </w:font>
  <w:font w:name="仿宋_GB2312">
    <w:panose1 w:val="02010609030101010101"/>
    <w:charset w:val="86"/>
    <w:family w:val="auto"/>
    <w:pitch w:val="default"/>
    <w:sig w:usb0="00000001" w:usb1="080E0000" w:usb2="00000000" w:usb3="00000000" w:csb0="00040000" w:csb1="00000000"/>
    <w:embedRegular r:id="rId5" w:fontKey="{28760BCC-BFE5-4E5F-ABA4-5926A02510B7}"/>
  </w:font>
  <w:font w:name="方正小标宋简体">
    <w:panose1 w:val="02000000000000000000"/>
    <w:charset w:val="86"/>
    <w:family w:val="script"/>
    <w:pitch w:val="default"/>
    <w:sig w:usb0="00000001" w:usb1="080E0000" w:usb2="00000000" w:usb3="00000000" w:csb0="00040000" w:csb1="00000000"/>
    <w:embedRegular r:id="rId6" w:fontKey="{D828A029-0224-4D91-8B20-9A258E89FC4D}"/>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7" w:fontKey="{80AEA589-532E-44E1-A8D5-55471E2A5B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0CEE72B">
        <w:pPr>
          <w:pStyle w:val="11"/>
          <w:jc w:val="center"/>
        </w:pPr>
        <w:r>
          <w:fldChar w:fldCharType="begin"/>
        </w:r>
        <w:r>
          <w:instrText xml:space="preserve">PAGE   \* MERGEFORMAT</w:instrText>
        </w:r>
        <w:r>
          <w:fldChar w:fldCharType="separate"/>
        </w:r>
        <w:r>
          <w:rPr>
            <w:lang w:val="zh-CN"/>
          </w:rPr>
          <w:t>15</w:t>
        </w:r>
        <w:r>
          <w:fldChar w:fldCharType="end"/>
        </w:r>
      </w:p>
    </w:sdtContent>
  </w:sdt>
  <w:p w14:paraId="7EB610F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2F1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AC7EE0"/>
    <w:rsid w:val="075F2A57"/>
    <w:rsid w:val="081B5E94"/>
    <w:rsid w:val="0A2032A3"/>
    <w:rsid w:val="0B8A37D8"/>
    <w:rsid w:val="0F5FFB2F"/>
    <w:rsid w:val="0FFFCF60"/>
    <w:rsid w:val="10C055FF"/>
    <w:rsid w:val="118107EC"/>
    <w:rsid w:val="11DD6519"/>
    <w:rsid w:val="16BB723D"/>
    <w:rsid w:val="18015F3F"/>
    <w:rsid w:val="1BE8440E"/>
    <w:rsid w:val="1C623275"/>
    <w:rsid w:val="1D155CEE"/>
    <w:rsid w:val="1DAA30B7"/>
    <w:rsid w:val="1FDBBF84"/>
    <w:rsid w:val="20F57F95"/>
    <w:rsid w:val="240371BF"/>
    <w:rsid w:val="25711CC6"/>
    <w:rsid w:val="25C741E6"/>
    <w:rsid w:val="26C7032E"/>
    <w:rsid w:val="276F80C0"/>
    <w:rsid w:val="27842671"/>
    <w:rsid w:val="29FD04D3"/>
    <w:rsid w:val="2A224397"/>
    <w:rsid w:val="2ABE7A3E"/>
    <w:rsid w:val="2AFF09B6"/>
    <w:rsid w:val="2CA234A8"/>
    <w:rsid w:val="2EFA178C"/>
    <w:rsid w:val="2EFDF86C"/>
    <w:rsid w:val="2F9D17E1"/>
    <w:rsid w:val="30B46D73"/>
    <w:rsid w:val="319F7F4E"/>
    <w:rsid w:val="356A28F1"/>
    <w:rsid w:val="357C035A"/>
    <w:rsid w:val="368E000D"/>
    <w:rsid w:val="383D272C"/>
    <w:rsid w:val="39AE70AB"/>
    <w:rsid w:val="3A4DCE41"/>
    <w:rsid w:val="3AE320C2"/>
    <w:rsid w:val="3BCB56FA"/>
    <w:rsid w:val="3C0C0783"/>
    <w:rsid w:val="3EBB55E2"/>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24E3F06"/>
    <w:rsid w:val="545F1D2A"/>
    <w:rsid w:val="55333C3E"/>
    <w:rsid w:val="563A7A06"/>
    <w:rsid w:val="5D576411"/>
    <w:rsid w:val="5E61540C"/>
    <w:rsid w:val="5E9F5267"/>
    <w:rsid w:val="5F67802D"/>
    <w:rsid w:val="5F7DC4F2"/>
    <w:rsid w:val="5FB36814"/>
    <w:rsid w:val="5FBB8E56"/>
    <w:rsid w:val="5FFB5535"/>
    <w:rsid w:val="600D446F"/>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widowControl w:val="0"/>
      <w:suppressAutoHyphens/>
      <w:snapToGrid w:val="0"/>
      <w:jc w:val="left"/>
    </w:pPr>
    <w:rPr>
      <w:rFonts w:ascii="Calibri" w:hAnsi="Calibri" w:eastAsia="宋体" w:cs="Times New Roman"/>
      <w:kern w:val="2"/>
      <w:sz w:val="18"/>
      <w:szCs w:val="18"/>
      <w:lang w:val="en-US" w:eastAsia="zh-CN" w:bidi="ar-SA"/>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注释"/>
    <w:basedOn w:val="1"/>
    <w:qFormat/>
    <w:uiPriority w:val="0"/>
    <w:pPr>
      <w:spacing w:line="600" w:lineRule="exact"/>
      <w:ind w:firstLine="640" w:firstLineChars="200"/>
    </w:pPr>
    <w:rPr>
      <w:rFonts w:hint="eastAsia" w:ascii="仿宋" w:hAnsi="仿宋" w:eastAsia="仿宋" w:cs="仿宋"/>
      <w:b/>
      <w:bCs/>
      <w:sz w:val="32"/>
      <w:szCs w:val="32"/>
    </w:rPr>
  </w:style>
  <w:style w:type="paragraph" w:customStyle="1" w:styleId="20">
    <w:name w:val="正文决算"/>
    <w:basedOn w:val="1"/>
    <w:link w:val="40"/>
    <w:qFormat/>
    <w:uiPriority w:val="0"/>
    <w:pPr>
      <w:spacing w:line="600" w:lineRule="exact"/>
      <w:ind w:firstLine="640" w:firstLineChars="200"/>
    </w:pPr>
    <w:rPr>
      <w:rFonts w:hint="eastAsia" w:ascii="仿宋" w:hAnsi="仿宋" w:eastAsia="仿宋" w:cs="仿宋"/>
      <w:sz w:val="32"/>
      <w:szCs w:val="32"/>
    </w:rPr>
  </w:style>
  <w:style w:type="paragraph" w:customStyle="1" w:styleId="21">
    <w:name w:val="目录第一"/>
    <w:basedOn w:val="1"/>
    <w:qFormat/>
    <w:uiPriority w:val="0"/>
    <w:pPr>
      <w:tabs>
        <w:tab w:val="right" w:leader="dot" w:pos="8296"/>
      </w:tabs>
      <w:adjustRightInd w:val="0"/>
      <w:snapToGrid w:val="0"/>
      <w:spacing w:line="440" w:lineRule="exact"/>
      <w:jc w:val="left"/>
    </w:pPr>
    <w:rPr>
      <w:rFonts w:hint="eastAsia" w:ascii="仿宋" w:hAnsi="仿宋" w:eastAsia="仿宋"/>
      <w:sz w:val="24"/>
      <w:szCs w:val="28"/>
    </w:rPr>
  </w:style>
  <w:style w:type="paragraph" w:customStyle="1" w:styleId="22">
    <w:name w:val="目录小二"/>
    <w:basedOn w:val="1"/>
    <w:qFormat/>
    <w:uiPriority w:val="0"/>
    <w:pPr>
      <w:tabs>
        <w:tab w:val="right" w:leader="dot" w:pos="8296"/>
      </w:tabs>
      <w:adjustRightInd w:val="0"/>
      <w:snapToGrid w:val="0"/>
      <w:spacing w:line="440" w:lineRule="exact"/>
      <w:ind w:left="420" w:leftChars="200"/>
      <w:jc w:val="left"/>
    </w:pPr>
    <w:rPr>
      <w:rFonts w:hint="eastAsia"/>
      <w:sz w:val="24"/>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6"/>
    <w:semiHidden/>
    <w:qFormat/>
    <w:uiPriority w:val="99"/>
    <w:rPr>
      <w:rFonts w:ascii="Times New Roman" w:hAnsi="Times New Roman"/>
      <w:sz w:val="18"/>
      <w:szCs w:val="18"/>
    </w:rPr>
  </w:style>
  <w:style w:type="character" w:customStyle="1" w:styleId="25">
    <w:name w:val="页眉 字符"/>
    <w:link w:val="12"/>
    <w:semiHidden/>
    <w:qFormat/>
    <w:locked/>
    <w:uiPriority w:val="99"/>
    <w:rPr>
      <w:sz w:val="18"/>
    </w:rPr>
  </w:style>
  <w:style w:type="character" w:customStyle="1" w:styleId="26">
    <w:name w:val="Footer Char"/>
    <w:basedOn w:val="16"/>
    <w:semiHidden/>
    <w:qFormat/>
    <w:uiPriority w:val="99"/>
    <w:rPr>
      <w:rFonts w:ascii="Times New Roman" w:hAnsi="Times New Roman"/>
      <w:sz w:val="18"/>
      <w:szCs w:val="18"/>
    </w:rPr>
  </w:style>
  <w:style w:type="character" w:customStyle="1" w:styleId="27">
    <w:name w:val="页脚 字符"/>
    <w:link w:val="11"/>
    <w:qFormat/>
    <w:locked/>
    <w:uiPriority w:val="99"/>
    <w:rPr>
      <w:sz w:val="18"/>
    </w:rPr>
  </w:style>
  <w:style w:type="character" w:customStyle="1" w:styleId="28">
    <w:name w:val="Body Text Char"/>
    <w:basedOn w:val="16"/>
    <w:semiHidden/>
    <w:qFormat/>
    <w:uiPriority w:val="99"/>
    <w:rPr>
      <w:rFonts w:ascii="Times New Roman" w:hAnsi="Times New Roman"/>
      <w:szCs w:val="24"/>
    </w:rPr>
  </w:style>
  <w:style w:type="character" w:customStyle="1" w:styleId="29">
    <w:name w:val="正文文本 字符"/>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6"/>
    <w:link w:val="5"/>
    <w:qFormat/>
    <w:uiPriority w:val="9"/>
    <w:rPr>
      <w:rFonts w:ascii="Times New Roman" w:hAnsi="Times New Roman"/>
      <w:b/>
      <w:bCs/>
      <w:kern w:val="44"/>
      <w:sz w:val="44"/>
      <w:szCs w:val="44"/>
    </w:rPr>
  </w:style>
  <w:style w:type="character" w:customStyle="1" w:styleId="33">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6"/>
    <w:link w:val="10"/>
    <w:semiHidden/>
    <w:qFormat/>
    <w:uiPriority w:val="99"/>
    <w:rPr>
      <w:rFonts w:ascii="Times New Roman" w:hAnsi="Times New Roman"/>
      <w:kern w:val="2"/>
      <w:sz w:val="18"/>
      <w:szCs w:val="18"/>
    </w:rPr>
  </w:style>
  <w:style w:type="character" w:customStyle="1" w:styleId="36">
    <w:name w:val="标题 3 字符"/>
    <w:basedOn w:val="16"/>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WPSOffice手动目录 1"/>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character" w:customStyle="1" w:styleId="40">
    <w:name w:val="正文决算 Char"/>
    <w:link w:val="20"/>
    <w:qFormat/>
    <w:uiPriority w:val="0"/>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chart" Target="charts/chart6.xml"/><Relationship Id="rId11" Type="http://schemas.openxmlformats.org/officeDocument/2006/relationships/image" Target="media/image1.png"/><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G:\&#29579;&#24635;&#36164;&#26009;\2024.10.10&#20915;&#31639;&#20844;&#24320;\2023&#24180;&#20915;&#31639;&#20844;&#24320;&#38468;&#22270;(&#27169;&#26495;)&#20165;&#20379;&#21442;&#3277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G:\&#29579;&#24635;&#36164;&#26009;\2024.10.1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9579;&#24635;&#36164;&#26009;\2024.10.10&#20915;&#31639;&#20844;&#24320;\&#22270;&#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G:\&#29579;&#24635;&#36164;&#26009;\2024.10.1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9579;&#24635;&#36164;&#26009;\2024.10.10&#20915;&#31639;&#20844;&#24320;\&#22270;&#3492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G:\&#29579;&#24635;&#36164;&#26009;\2024.10.1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1</a:t>
            </a:r>
            <a:r>
              <a:rPr lang="zh-CN"/>
              <a:t>：收、支决算总计变动情况图</a:t>
            </a:r>
            <a:endParaRPr lang="zh-CN"/>
          </a:p>
        </c:rich>
      </c:tx>
      <c:layout/>
      <c:overlay val="0"/>
    </c:title>
    <c:autoTitleDeleted val="0"/>
    <c:plotArea>
      <c:layout/>
      <c:barChart>
        <c:barDir val="col"/>
        <c:grouping val="clustered"/>
        <c:varyColors val="0"/>
        <c:ser>
          <c:idx val="0"/>
          <c:order val="0"/>
          <c:tx>
            <c:strRef>
              <c:f>'[2023年决算公开附图(模板)仅供参考.xlsx]收、支决算总计变动情况图1'!$C$13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dLbl>
              <c:idx val="1"/>
              <c:layout>
                <c:manualLayout>
                  <c:x val="0"/>
                  <c:y val="-0.01558711465188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'[2023年决算公开附图(模板)仅供参考.xlsx]收、支决算总计变动情况图1'!$B$14:$B$15</c:f>
              <c:strCache>
                <c:ptCount val="2"/>
                <c:pt idx="0">
                  <c:v>2022年</c:v>
                </c:pt>
                <c:pt idx="1">
                  <c:v>2023年</c:v>
                </c:pt>
              </c:strCache>
            </c:strRef>
          </c:cat>
          <c:val>
            <c:numRef>
              <c:f>'[2023年决算公开附图(模板)仅供参考.xlsx]收、支决算总计变动情况图1'!$C$14:$C$15</c:f>
              <c:numCache>
                <c:formatCode>#,##0.00</c:formatCode>
                <c:ptCount val="2"/>
                <c:pt idx="0">
                  <c:v>1501.17</c:v>
                </c:pt>
                <c:pt idx="1">
                  <c:v>1277.8</c:v>
                </c:pt>
              </c:numCache>
            </c:numRef>
          </c:val>
        </c:ser>
        <c:dLbls>
          <c:showLegendKey val="0"/>
          <c:showVal val="1"/>
          <c:showCatName val="0"/>
          <c:showSerName val="0"/>
          <c:showPercent val="0"/>
          <c:showBubbleSize val="0"/>
        </c:dLbls>
        <c:gapWidth val="150"/>
        <c:axId val="93512448"/>
        <c:axId val="93513984"/>
      </c:barChart>
      <c:catAx>
        <c:axId val="935124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93513984"/>
        <c:crosses val="autoZero"/>
        <c:auto val="1"/>
        <c:lblAlgn val="ctr"/>
        <c:lblOffset val="100"/>
        <c:noMultiLvlLbl val="0"/>
      </c:catAx>
      <c:valAx>
        <c:axId val="9351398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93512448"/>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111f63b3-06dd-422a-bd99-21da32489121}"/>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图2：收入决算结构图</a:t>
            </a:r>
          </a:p>
        </c:rich>
      </c:tx>
      <c:layout>
        <c:manualLayout>
          <c:xMode val="edge"/>
          <c:yMode val="edge"/>
          <c:x val="0.375334403424291"/>
          <c:y val="0.0176797440646573"/>
        </c:manualLayout>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explosion val="1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Pt>
            <c:idx val="3"/>
            <c:bubble3D val="0"/>
            <c:spPr>
              <a:solidFill>
                <a:schemeClr val="accent4"/>
              </a:solidFill>
              <a:ln w="19050">
                <a:solidFill>
                  <a:schemeClr val="lt1"/>
                </a:solidFill>
              </a:ln>
              <a:effectLst>
                <a:outerShdw blurRad="63500" algn="ctr" rotWithShape="0">
                  <a:schemeClr val="accent4">
                    <a:lumMod val="75000"/>
                    <a:alpha val="100000"/>
                  </a:schemeClr>
                </a:outerShdw>
              </a:effectLst>
            </c:spPr>
          </c:dPt>
          <c:dPt>
            <c:idx val="4"/>
            <c:bubble3D val="0"/>
            <c:spPr>
              <a:solidFill>
                <a:schemeClr val="accent5"/>
              </a:solidFill>
              <a:ln w="19050">
                <a:solidFill>
                  <a:schemeClr val="lt1"/>
                </a:solidFill>
              </a:ln>
              <a:effectLst>
                <a:outerShdw blurRad="63500" algn="ctr" rotWithShape="0">
                  <a:schemeClr val="accent5">
                    <a:lumMod val="75000"/>
                    <a:alpha val="100000"/>
                  </a:schemeClr>
                </a:outerShdw>
              </a:effectLst>
            </c:spPr>
          </c:dPt>
          <c:dPt>
            <c:idx val="5"/>
            <c:bubble3D val="0"/>
            <c:spPr>
              <a:solidFill>
                <a:schemeClr val="accent6"/>
              </a:solidFill>
              <a:ln w="19050">
                <a:solidFill>
                  <a:schemeClr val="lt1"/>
                </a:solidFill>
              </a:ln>
              <a:effectLst>
                <a:outerShdw blurRad="63500" sx="102000" sy="102000" algn="ctr" rotWithShape="0">
                  <a:schemeClr val="accent6">
                    <a:lumMod val="75000"/>
                    <a:alpha val="40000"/>
                  </a:schemeClr>
                </a:outerShdw>
              </a:effectLst>
            </c:spPr>
          </c:dPt>
          <c:dPt>
            <c:idx val="6"/>
            <c:bubble3D val="0"/>
            <c:spPr>
              <a:solidFill>
                <a:schemeClr val="accent1">
                  <a:lumMod val="60000"/>
                </a:schemeClr>
              </a:solidFill>
              <a:ln w="19050">
                <a:solidFill>
                  <a:schemeClr val="lt1"/>
                </a:solidFill>
              </a:ln>
              <a:effectLst>
                <a:outerShdw blurRad="63500" sx="102000" sy="102000" algn="ctr" rotWithShape="0">
                  <a:prstClr val="black">
                    <a:alpha val="40000"/>
                  </a:prstClr>
                </a:outerShdw>
              </a:effectLst>
            </c:spPr>
          </c:dPt>
          <c:dPt>
            <c:idx val="7"/>
            <c:bubble3D val="0"/>
            <c:spPr>
              <a:solidFill>
                <a:schemeClr val="accent2">
                  <a:lumMod val="60000"/>
                </a:schemeClr>
              </a:solidFill>
              <a:ln w="19050">
                <a:solidFill>
                  <a:schemeClr val="lt1"/>
                </a:solidFill>
              </a:ln>
              <a:effectLst>
                <a:outerShdw blurRad="63500" sx="102000" sy="102000" algn="ctr" rotWithShape="0">
                  <a:prstClr val="black">
                    <a:alpha val="40000"/>
                  </a:prstClr>
                </a:outerShdw>
              </a:effectLst>
            </c:spPr>
          </c:dPt>
          <c:dLbls>
            <c:dLbl>
              <c:idx val="1"/>
              <c:layout/>
              <c:dLblPos val="outEnd"/>
              <c:showLegendKey val="1"/>
              <c:showVal val="0"/>
              <c:showCatName val="0"/>
              <c:showSerName val="0"/>
              <c:showPercent val="1"/>
              <c:showBubbleSize val="1"/>
              <c:extLst>
                <c:ext xmlns:c15="http://schemas.microsoft.com/office/drawing/2012/chart" uri="{CE6537A1-D6FC-4f65-9D91-7224C49458BB}"/>
              </c:extLst>
            </c:dLbl>
            <c:dLbl>
              <c:idx val="2"/>
              <c:layout>
                <c:manualLayout>
                  <c:x val="0.243445692883895"/>
                  <c:y val="0.207105573328843"/>
                </c:manualLayout>
              </c:layout>
              <c:dLblPos val="bestFit"/>
              <c:showLegendKey val="1"/>
              <c:showVal val="0"/>
              <c:showCatName val="0"/>
              <c:showSerName val="0"/>
              <c:showPercent val="1"/>
              <c:showBubbleSize val="1"/>
              <c:extLst>
                <c:ext xmlns:c15="http://schemas.microsoft.com/office/drawing/2012/chart" uri="{CE6537A1-D6FC-4f65-9D91-7224C49458BB}">
                  <c15:layout/>
                </c:ext>
              </c:extLst>
            </c:dLbl>
            <c:dLbl>
              <c:idx val="3"/>
              <c:layout>
                <c:manualLayout>
                  <c:x val="0.244013967634689"/>
                  <c:y val="0.482162567712876"/>
                </c:manualLayout>
              </c:layout>
              <c:dLblPos val="bestFit"/>
              <c:showLegendKey val="1"/>
              <c:showVal val="0"/>
              <c:showCatName val="0"/>
              <c:showSerName val="0"/>
              <c:showPercent val="1"/>
              <c:showBubbleSize val="1"/>
              <c:extLst>
                <c:ext xmlns:c15="http://schemas.microsoft.com/office/drawing/2012/chart" uri="{CE6537A1-D6FC-4f65-9D91-7224C49458BB}">
                  <c15:layout/>
                </c:ext>
              </c:extLst>
            </c:dLbl>
            <c:dLbl>
              <c:idx val="4"/>
              <c:layout>
                <c:manualLayout>
                  <c:x val="0.244783306581059"/>
                  <c:y val="0.318235393163832"/>
                </c:manualLayout>
              </c:layout>
              <c:dLblPos val="bestFit"/>
              <c:showLegendKey val="1"/>
              <c:showVal val="0"/>
              <c:showCatName val="0"/>
              <c:showSerName val="0"/>
              <c:showPercent val="1"/>
              <c:showBubbleSize val="1"/>
              <c:extLst>
                <c:ext xmlns:c15="http://schemas.microsoft.com/office/drawing/2012/chart" uri="{CE6537A1-D6FC-4f65-9D91-7224C49458BB}">
                  <c15:layout/>
                </c:ext>
              </c:extLst>
            </c:dLbl>
            <c:dLbl>
              <c:idx val="5"/>
              <c:layout>
                <c:manualLayout>
                  <c:x val="0.34160606780685"/>
                  <c:y val="0.110977228415474"/>
                </c:manualLayout>
              </c:layout>
              <c:dLblPos val="bestFit"/>
              <c:showLegendKey val="1"/>
              <c:showVal val="0"/>
              <c:showCatName val="0"/>
              <c:showSerName val="0"/>
              <c:showPercent val="1"/>
              <c:showBubbleSize val="1"/>
              <c:extLst>
                <c:ext xmlns:c15="http://schemas.microsoft.com/office/drawing/2012/chart" uri="{CE6537A1-D6FC-4f65-9D91-7224C49458BB}">
                  <c15:layout>
                    <c:manualLayout>
                      <c:w val="0.123930453593947"/>
                      <c:h val="0.0943800878408773"/>
                    </c:manualLayout>
                  </c15:layout>
                </c:ext>
              </c:extLst>
            </c:dLbl>
            <c:dLbl>
              <c:idx val="6"/>
              <c:layout>
                <c:manualLayout>
                  <c:x val="0.23542001070091"/>
                  <c:y val="0.0328338104057922"/>
                </c:manualLayout>
              </c:layout>
              <c:dLblPos val="bestFit"/>
              <c:showLegendKey val="1"/>
              <c:showVal val="0"/>
              <c:showCatName val="0"/>
              <c:showSerName val="0"/>
              <c:showPercent val="1"/>
              <c:showBubbleSize val="1"/>
              <c:extLst>
                <c:ext xmlns:c15="http://schemas.microsoft.com/office/drawing/2012/chart" uri="{CE6537A1-D6FC-4f65-9D91-7224C49458BB}">
                  <c15:layout/>
                </c:ext>
              </c:extLst>
            </c:dLbl>
            <c:dLbl>
              <c:idx val="7"/>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[图表.xlsx]图2!$A$2:$A$9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[图表.xlsx]图2!$B$2:$B$9</c:f>
              <c:numCache>
                <c:formatCode>General</c:formatCode>
                <c:ptCount val="8"/>
                <c:pt idx="0">
                  <c:v>1221.55</c:v>
                </c:pt>
                <c:pt idx="1">
                  <c:v>56.25</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c2dca8b-c662-465f-9404-50034264841b}"/>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120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[图表.xlsx]图3!$A$2:$A$6</c:f>
              <c:strCache>
                <c:ptCount val="5"/>
                <c:pt idx="0">
                  <c:v>基本支出</c:v>
                </c:pt>
                <c:pt idx="1">
                  <c:v>项目支出</c:v>
                </c:pt>
                <c:pt idx="2">
                  <c:v>上缴上级支出</c:v>
                </c:pt>
                <c:pt idx="3">
                  <c:v>经营支出</c:v>
                </c:pt>
                <c:pt idx="4">
                  <c:v>对附属单位补助支出</c:v>
                </c:pt>
              </c:strCache>
            </c:strRef>
          </c:cat>
          <c:val>
            <c:numRef>
              <c:f>[图表.xlsx]图3!$B$2:$B$6</c:f>
              <c:numCache>
                <c:formatCode>General</c:formatCode>
                <c:ptCount val="5"/>
                <c:pt idx="0">
                  <c:v>1062.81</c:v>
                </c:pt>
                <c:pt idx="1">
                  <c:v>214.99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eab0a0-5458-44bb-93a4-f3d9ff5b82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[图表.xlsx]图4!$A$1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[图表.xlsx]图4!$A$2</c:f>
              <c:numCache>
                <c:formatCode>General</c:formatCode>
                <c:ptCount val="1"/>
                <c:pt idx="0">
                  <c:v>1277.8</c:v>
                </c:pt>
              </c:numCache>
            </c:numRef>
          </c:val>
        </c:ser>
        <c:ser>
          <c:idx val="1"/>
          <c:order val="1"/>
          <c:tx>
            <c:strRef>
              <c:f>[图表.xlsx]图4!$B$1</c:f>
              <c:strCache>
                <c:ptCount val="1"/>
                <c:pt idx="0">
                  <c:v>2022年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[图表.xlsx]图4!$B$2</c:f>
              <c:numCache>
                <c:formatCode>#,##0.00</c:formatCode>
                <c:ptCount val="1"/>
                <c:pt idx="0">
                  <c:v>1501.17</c:v>
                </c:pt>
              </c:numCache>
            </c:numRef>
          </c:val>
        </c:ser>
        <c:dLbls>
          <c:showLegendKey val="0"/>
          <c:showVal val="1"/>
          <c:showCatName val="0"/>
          <c:showSerName val="0"/>
          <c:showPercent val="0"/>
          <c:showBubbleSize val="0"/>
        </c:dLbls>
        <c:gapWidth val="246"/>
        <c:overlap val="-28"/>
        <c:axId val="920807006"/>
        <c:axId val="913647507"/>
      </c:barChart>
      <c:catAx>
        <c:axId val="92080700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647507"/>
        <c:crosses val="autoZero"/>
        <c:auto val="1"/>
        <c:lblAlgn val="ctr"/>
        <c:lblOffset val="100"/>
        <c:noMultiLvlLbl val="0"/>
      </c:catAx>
      <c:valAx>
        <c:axId val="9136475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08070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085409-82a3-406a-89cb-814abd0c60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[图表.xlsx]图5!$A$1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[图表.xlsx]图5!$A$2</c:f>
              <c:numCache>
                <c:formatCode>#,##0.00</c:formatCode>
                <c:ptCount val="1"/>
                <c:pt idx="0">
                  <c:v>1221.55</c:v>
                </c:pt>
              </c:numCache>
            </c:numRef>
          </c:val>
        </c:ser>
        <c:ser>
          <c:idx val="1"/>
          <c:order val="1"/>
          <c:tx>
            <c:strRef>
              <c:f>[图表.xlsx]图5!$B$1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[图表.xlsx]图5!$B$2</c:f>
              <c:numCache>
                <c:formatCode>General</c:formatCode>
                <c:ptCount val="1"/>
                <c:pt idx="0">
                  <c:v>1385.08</c:v>
                </c:pt>
              </c:numCache>
            </c:numRef>
          </c:val>
        </c:ser>
        <c:dLbls>
          <c:showLegendKey val="0"/>
          <c:showVal val="1"/>
          <c:showCatName val="0"/>
          <c:showSerName val="0"/>
          <c:showPercent val="0"/>
          <c:showBubbleSize val="0"/>
        </c:dLbls>
        <c:gapWidth val="246"/>
        <c:overlap val="-28"/>
        <c:axId val="253481892"/>
        <c:axId val="411859625"/>
      </c:barChart>
      <c:catAx>
        <c:axId val="25348189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859625"/>
        <c:crosses val="autoZero"/>
        <c:auto val="1"/>
        <c:lblAlgn val="ctr"/>
        <c:lblOffset val="100"/>
        <c:noMultiLvlLbl val="0"/>
      </c:catAx>
      <c:valAx>
        <c:axId val="41185962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4818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d2b27a-19de-4cca-992c-c7ceebb190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图7：“三公”经费财政拨款支出结构</a:t>
            </a:r>
          </a:p>
        </c:rich>
      </c:tx>
      <c:layout/>
      <c:overlay val="0"/>
      <c:spPr>
        <a:noFill/>
        <a:ln>
          <a:noFill/>
        </a:ln>
        <a:effectLst/>
      </c:spPr>
    </c:title>
    <c:autoTitleDeleted val="0"/>
    <c:plotArea>
      <c:layout/>
      <c:pieChart>
        <c:varyColors val="1"/>
        <c:ser>
          <c:idx val="0"/>
          <c:order val="0"/>
          <c:spPr>
            <a:effectLst>
              <a:outerShdw blurRad="63500" sx="102000" sy="102000" algn="ctr" rotWithShape="0">
                <a:prstClr val="black">
                  <a:alpha val="40000"/>
                </a:prstClr>
              </a:outerShdw>
            </a:effectLst>
          </c:spPr>
          <c:explosion val="0"/>
          <c:dPt>
            <c:idx val="0"/>
            <c:bubble3D val="0"/>
            <c:explosion val="10"/>
            <c:spPr>
              <a:solidFill>
                <a:schemeClr val="accent1"/>
              </a:solidFill>
              <a:ln w="19050">
                <a:solidFill>
                  <a:schemeClr val="lt1"/>
                </a:solidFill>
              </a:ln>
              <a:effectLst>
                <a:outerShdw blurRad="63500" algn="ctr" rotWithShape="0">
                  <a:schemeClr val="accent1">
                    <a:lumMod val="75000"/>
                    <a:alpha val="100000"/>
                  </a:schemeClr>
                </a:outerShdw>
              </a:effectLst>
            </c:spPr>
          </c:dPt>
          <c:dPt>
            <c:idx val="1"/>
            <c:bubble3D val="0"/>
            <c:spPr>
              <a:solidFill>
                <a:schemeClr val="accent2"/>
              </a:solidFill>
              <a:ln w="19050">
                <a:solidFill>
                  <a:schemeClr val="lt1"/>
                </a:solidFill>
              </a:ln>
              <a:effectLst>
                <a:outerShdw blurRad="63500" algn="ctr" rotWithShape="0">
                  <a:schemeClr val="accent2">
                    <a:lumMod val="75000"/>
                    <a:alpha val="100000"/>
                  </a:schemeClr>
                </a:outerShdw>
              </a:effectLst>
            </c:spPr>
          </c:dPt>
          <c:dPt>
            <c:idx val="2"/>
            <c:bubble3D val="0"/>
            <c:spPr>
              <a:solidFill>
                <a:schemeClr val="accent3"/>
              </a:solidFill>
              <a:ln w="19050">
                <a:solidFill>
                  <a:schemeClr val="lt1"/>
                </a:solidFill>
              </a:ln>
              <a:effectLst>
                <a:outerShdw blurRad="63500" algn="ctr" rotWithShape="0">
                  <a:schemeClr val="accent3">
                    <a:lumMod val="75000"/>
                    <a:alpha val="100000"/>
                  </a:schemeClr>
                </a:outerShdw>
              </a:effectLst>
            </c:spPr>
          </c:dPt>
          <c:dLbls>
            <c:dLbl>
              <c:idx val="0"/>
              <c:layout/>
              <c:numFmt formatCode="General" sourceLinked="1"/>
              <c:spPr>
                <a:solidFill>
                  <a:schemeClr val="bg1"/>
                </a:solidFill>
                <a:ln w="12700">
                  <a:solidFill>
                    <a:schemeClr val="accent1"/>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98026229899467"/>
                  <c:y val="0.2109490740741"/>
                </c:manualLayout>
              </c:layout>
              <c:numFmt formatCode="General" sourceLinked="1"/>
              <c:spPr>
                <a:solidFill>
                  <a:schemeClr val="bg1"/>
                </a:solidFill>
                <a:ln w="12700">
                  <a:solidFill>
                    <a:schemeClr val="accent2"/>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2"/>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88157980626848"/>
                  <c:y val="0.252546296296281"/>
                </c:manualLayout>
              </c:layout>
              <c:numFmt formatCode="General" sourceLinked="1"/>
              <c:spPr>
                <a:solidFill>
                  <a:schemeClr val="bg1"/>
                </a:solidFill>
                <a:ln w="12700">
                  <a:solidFill>
                    <a:schemeClr val="accent3"/>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accent3"/>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solidFill>
                <a:schemeClr val="bg1"/>
              </a:solidFill>
              <a:ln w="12700">
                <a:solidFill>
                  <a:srgbClr val="000000">
                    <a:lumMod val="25000"/>
                    <a:lumOff val="75000"/>
                  </a:srgbClr>
                </a:solidFill>
              </a:ln>
              <a:effectLst/>
            </c:spPr>
            <c:txPr>
              <a:bodyPr rot="0" spcFirstLastPara="0" vertOverflow="clip" horzOverflow="clip" vert="horz" wrap="square" lIns="36576" tIns="18288" rIns="36576" bIns="18288" anchor="ctr" anchorCtr="1" forceAA="0">
                <a:spAutoFit/>
              </a:bodyPr>
              <a:lstStyle/>
              <a:p>
                <a:pPr>
                  <a:defRPr lang="zh-CN" sz="1000" b="1" i="0" u="none" strike="noStrike" kern="1200" baseline="0">
                    <a:solidFill>
                      <a:schemeClr val="dk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[图表.xlsx]图7!$A$1:$A$3</c:f>
              <c:strCache>
                <c:ptCount val="3"/>
                <c:pt idx="0">
                  <c:v>因公出国（境）费支出</c:v>
                </c:pt>
                <c:pt idx="1">
                  <c:v>公务用车购置及运行维护费支出</c:v>
                </c:pt>
                <c:pt idx="2">
                  <c:v>公务接待费支出</c:v>
                </c:pt>
              </c:strCache>
            </c:strRef>
          </c:cat>
          <c:val>
            <c:numRef>
              <c:f>[图表.xlsx]图7!$B$1:$B$3</c:f>
              <c:numCache>
                <c:formatCode>General</c:formatCode>
                <c:ptCount val="3"/>
                <c:pt idx="0">
                  <c:v>0</c:v>
                </c:pt>
                <c:pt idx="1">
                  <c:v>5</c:v>
                </c:pt>
                <c:pt idx="2">
                  <c:v>15</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35657894736842"/>
          <c:y val="0.518518518518518"/>
          <c:w val="0.333289473684211"/>
          <c:h val="0.372916666666667"/>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c6b0e84-140c-4fc0-a795-779c7d8afc3e}"/>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sz="120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44546A"/>
    </a:dk2>
    <a:lt2>
      <a:srgbClr val="E7E6E6"/>
    </a:lt2>
    <a:accent1>
      <a:srgbClr val="FF7F33"/>
    </a:accent1>
    <a:accent2>
      <a:srgbClr val="F0423E"/>
    </a:accent2>
    <a:accent3>
      <a:srgbClr val="6FBDFF"/>
    </a:accent3>
    <a:accent4>
      <a:srgbClr val="4F80FF"/>
    </a:accent4>
    <a:accent5>
      <a:srgbClr val="FFC619"/>
    </a:accent5>
    <a:accent6>
      <a:srgbClr val="918AEA"/>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2">
    <a:dk1>
      <a:srgbClr val="000000"/>
    </a:dk1>
    <a:lt1>
      <a:srgbClr val="FFFFFF"/>
    </a:lt1>
    <a:dk2>
      <a:srgbClr val="44546A"/>
    </a:dk2>
    <a:lt2>
      <a:srgbClr val="E7E6E6"/>
    </a:lt2>
    <a:accent1>
      <a:srgbClr val="41BFFF"/>
    </a:accent1>
    <a:accent2>
      <a:srgbClr val="FE9343"/>
    </a:accent2>
    <a:accent3>
      <a:srgbClr val="789BFD"/>
    </a:accent3>
    <a:accent4>
      <a:srgbClr val="A958E2"/>
    </a:accent4>
    <a:accent5>
      <a:srgbClr val="FE7F5B"/>
    </a:accent5>
    <a:accent6>
      <a:srgbClr val="FE5366"/>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6">
    <a:dk1>
      <a:srgbClr val="000000"/>
    </a:dk1>
    <a:lt1>
      <a:srgbClr val="FFFFFF"/>
    </a:lt1>
    <a:dk2>
      <a:srgbClr val="44546A"/>
    </a:dk2>
    <a:lt2>
      <a:srgbClr val="E7E6E6"/>
    </a:lt2>
    <a:accent1>
      <a:srgbClr val="FF7F33"/>
    </a:accent1>
    <a:accent2>
      <a:srgbClr val="F0423E"/>
    </a:accent2>
    <a:accent3>
      <a:srgbClr val="6FBDFF"/>
    </a:accent3>
    <a:accent4>
      <a:srgbClr val="4F80FF"/>
    </a:accent4>
    <a:accent5>
      <a:srgbClr val="FFC619"/>
    </a:accent5>
    <a:accent6>
      <a:srgbClr val="918AEA"/>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7277</Words>
  <Characters>8089</Characters>
  <Lines>1</Lines>
  <Paragraphs>1</Paragraphs>
  <TotalTime>0</TotalTime>
  <ScaleCrop>false</ScaleCrop>
  <LinksUpToDate>false</LinksUpToDate>
  <CharactersWithSpaces>8191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2024-10-31T08:06:59Z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1C3E22F6752B4ADF872CEBCC12481DE9_13</vt:lpwstr>
  </property>
</Properties>
</file>