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rPr>
          <w:rFonts w:hint="default" w:ascii="方正黑体_GBK" w:hAnsi="宋体" w:eastAsia="方正黑体_GBK"/>
          <w:sz w:val="33"/>
          <w:szCs w:val="33"/>
          <w:lang w:val="en-US" w:eastAsia="zh-CN"/>
        </w:rPr>
      </w:pPr>
      <w:r>
        <w:rPr>
          <w:rFonts w:hint="eastAsia" w:ascii="方正黑体_GBK" w:hAnsi="宋体" w:eastAsia="方正黑体_GBK"/>
          <w:sz w:val="33"/>
          <w:szCs w:val="33"/>
          <w:lang w:val="zh-CN"/>
        </w:rPr>
        <w:t>附</w:t>
      </w:r>
      <w:r>
        <w:rPr>
          <w:rFonts w:hint="eastAsia" w:ascii="方正黑体_GBK" w:hAnsi="宋体" w:eastAsia="方正黑体_GBK"/>
          <w:sz w:val="33"/>
          <w:szCs w:val="33"/>
          <w:lang w:val="en-US" w:eastAsia="zh-CN"/>
        </w:rPr>
        <w:t>5-2</w:t>
      </w:r>
    </w:p>
    <w:p>
      <w:pPr>
        <w:widowControl/>
        <w:spacing w:line="580" w:lineRule="exact"/>
        <w:ind w:firstLine="883" w:firstLineChars="200"/>
        <w:contextualSpacing/>
        <w:jc w:val="center"/>
        <w:rPr>
          <w:rFonts w:ascii="宋体"/>
          <w:b/>
          <w:sz w:val="44"/>
          <w:szCs w:val="44"/>
          <w:shd w:val="clear" w:color="auto" w:fill="FFFFFF"/>
        </w:rPr>
      </w:pPr>
    </w:p>
    <w:p>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县</w:t>
      </w:r>
      <w:r>
        <w:rPr>
          <w:rFonts w:hint="eastAsia" w:ascii="方正小标宋简体" w:hAnsi="宋体" w:eastAsia="方正小标宋简体"/>
          <w:sz w:val="44"/>
          <w:szCs w:val="44"/>
          <w:shd w:val="clear" w:color="auto" w:fill="FFFFFF"/>
        </w:rPr>
        <w:t>级部门整体绩效自评报告范本</w:t>
      </w:r>
    </w:p>
    <w:p>
      <w:pPr>
        <w:widowControl/>
        <w:spacing w:line="580" w:lineRule="exact"/>
        <w:contextualSpacing/>
        <w:jc w:val="center"/>
        <w:rPr>
          <w:rFonts w:ascii="方正小标宋简体" w:eastAsia="方正小标宋简体"/>
          <w:sz w:val="44"/>
          <w:szCs w:val="44"/>
          <w:shd w:val="clear" w:color="auto" w:fill="FFFFFF"/>
        </w:rPr>
      </w:pPr>
      <w:r>
        <w:rPr>
          <w:rFonts w:hint="eastAsia" w:ascii="仿宋_GB2312" w:hAnsi="宋体" w:eastAsia="仿宋_GB2312"/>
          <w:szCs w:val="32"/>
          <w:shd w:val="clear" w:color="auto" w:fill="FFFFFF"/>
        </w:rPr>
        <w:t>（报告范围包括机关和下属单位）</w:t>
      </w:r>
    </w:p>
    <w:p>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黑竹沟镇</w:t>
      </w:r>
      <w:r>
        <w:rPr>
          <w:rFonts w:hint="eastAsia" w:ascii="仿宋_GB2312" w:hAnsi="宋体" w:eastAsia="仿宋_GB2312" w:cs="宋体"/>
          <w:color w:val="000000"/>
          <w:kern w:val="0"/>
          <w:szCs w:val="32"/>
          <w:shd w:val="clear" w:color="auto" w:fill="FFFFFF"/>
          <w:lang w:val="zh-CN"/>
        </w:rPr>
        <w:t>人民政府属行政单位，内设六办一所四中心。</w:t>
      </w:r>
      <w:r>
        <w:rPr>
          <w:rFonts w:hint="eastAsia" w:ascii="仿宋_GB2312" w:hAnsi="宋体" w:eastAsia="仿宋_GB2312" w:cs="宋体"/>
          <w:color w:val="000000"/>
          <w:kern w:val="0"/>
          <w:szCs w:val="32"/>
          <w:shd w:val="clear" w:color="auto" w:fill="FFFFFF"/>
          <w:lang w:val="en-US" w:eastAsia="zh-CN"/>
        </w:rPr>
        <w:t>分别是</w:t>
      </w:r>
      <w:r>
        <w:rPr>
          <w:rFonts w:hint="eastAsia" w:ascii="仿宋_GB2312" w:hAnsi="宋体" w:eastAsia="仿宋_GB2312" w:cs="宋体"/>
          <w:color w:val="000000"/>
          <w:kern w:val="0"/>
          <w:szCs w:val="32"/>
          <w:shd w:val="clear" w:color="auto" w:fill="FFFFFF"/>
          <w:lang w:val="zh-CN"/>
        </w:rPr>
        <w:t>党政办、党建办公室、社会事务办公室、规划建设管理办公室、乡村振兴办公室、综合执法办公室、财政所、便民服务中心、农业综合服务中心、综治中心、文化旅游服务中心。</w:t>
      </w:r>
    </w:p>
    <w:p>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落实国家政策，严格依法行政，发挥经济管理职能，加强政策引导，制定发展规划，服务市场主体和营造发展环境，搞好市场监管，大力促进社会事业发展，发展镇村经济、文化和社会事业，提供公共服务，维护社会稳定，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构建社会主义和谐社会。黑竹沟镇总编制43名，其中：行政编制23名，工勤编制0名，事业编制20名。在职人员总数36名，其中：行政19名，工勤0名，事业17名。</w:t>
      </w:r>
    </w:p>
    <w:p>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lang w:eastAsia="zh-CN"/>
        </w:rPr>
        <w:t>（一）坚持以党建为引领，</w:t>
      </w:r>
      <w:r>
        <w:rPr>
          <w:rFonts w:hint="eastAsia" w:ascii="方正楷体_GBK" w:hAnsi="方正楷体_GBK" w:eastAsia="方正楷体_GBK" w:cs="方正楷体_GBK"/>
          <w:sz w:val="32"/>
          <w:szCs w:val="32"/>
          <w:lang w:val="en-US" w:eastAsia="zh-CN"/>
        </w:rPr>
        <w:t>加强</w:t>
      </w:r>
      <w:r>
        <w:rPr>
          <w:rFonts w:hint="eastAsia" w:ascii="方正楷体_GBK" w:hAnsi="方正楷体_GBK" w:eastAsia="方正楷体_GBK" w:cs="方正楷体_GBK"/>
          <w:sz w:val="32"/>
          <w:szCs w:val="32"/>
          <w:lang w:eastAsia="zh-CN"/>
        </w:rPr>
        <w:t>基层党组织建设。</w:t>
      </w:r>
      <w:r>
        <w:rPr>
          <w:rFonts w:hint="eastAsia" w:ascii="仿宋_GB2312" w:hAnsi="仿宋_GB2312" w:eastAsia="仿宋_GB2312" w:cs="仿宋_GB2312"/>
          <w:b/>
          <w:bCs/>
          <w:sz w:val="32"/>
          <w:szCs w:val="32"/>
          <w:lang w:val="en-US" w:eastAsia="zh-CN"/>
        </w:rPr>
        <w:t>一是扎实开展主题教育。</w:t>
      </w:r>
      <w:r>
        <w:rPr>
          <w:rFonts w:hint="eastAsia" w:ascii="仿宋_GB2312" w:hAnsi="宋体" w:eastAsia="仿宋_GB2312" w:cs="宋体"/>
          <w:color w:val="000000"/>
          <w:kern w:val="0"/>
          <w:szCs w:val="32"/>
          <w:shd w:val="clear" w:color="auto" w:fill="FFFFFF"/>
          <w:lang w:val="en-US" w:eastAsia="zh-CN"/>
        </w:rPr>
        <w:t>组织11个党支部制定学习计划，通过集中学习、个人自学、送教上门等形式，组织全镇278名（含流动党员9名）党员全覆盖参与理论学习，并组织开展研讨3次。</w:t>
      </w:r>
      <w:r>
        <w:rPr>
          <w:rFonts w:hint="eastAsia" w:ascii="仿宋_GB2312" w:hAnsi="仿宋_GB2312" w:eastAsia="仿宋_GB2312" w:cs="仿宋_GB2312"/>
          <w:b/>
          <w:bCs/>
          <w:sz w:val="32"/>
          <w:szCs w:val="32"/>
          <w:lang w:val="en-US" w:eastAsia="zh-CN"/>
        </w:rPr>
        <w:t>二是切实加强党组织建设。</w:t>
      </w:r>
      <w:r>
        <w:rPr>
          <w:rFonts w:hint="eastAsia" w:ascii="仿宋_GB2312" w:hAnsi="仿宋_GB2312" w:eastAsia="仿宋_GB2312" w:cs="仿宋_GB2312"/>
          <w:sz w:val="32"/>
          <w:szCs w:val="32"/>
          <w:lang w:val="en-US" w:eastAsia="zh-CN"/>
        </w:rPr>
        <w:t>严格落实“三会一课”、组织生活会等制度，组织开展庆祝建党节活动，走访慰问困难党员、老党员18名；组织镇村干部赴浙江柯岩街道、乐山茅桥镇开展支部结队帮扶活动；培养入党积极分子22名，发展党员4名，转正3名。</w:t>
      </w:r>
      <w:r>
        <w:rPr>
          <w:rFonts w:hint="eastAsia" w:ascii="仿宋_GB2312" w:hAnsi="仿宋_GB2312" w:eastAsia="仿宋_GB2312" w:cs="仿宋_GB2312"/>
          <w:b/>
          <w:bCs/>
          <w:sz w:val="32"/>
          <w:szCs w:val="32"/>
          <w:lang w:val="en-US" w:eastAsia="zh-CN"/>
        </w:rPr>
        <w:t>三是切实加大培训力度。</w:t>
      </w:r>
      <w:r>
        <w:rPr>
          <w:rFonts w:hint="eastAsia" w:ascii="仿宋_GB2312" w:hAnsi="仿宋_GB2312" w:eastAsia="仿宋_GB2312" w:cs="仿宋_GB2312"/>
          <w:sz w:val="32"/>
          <w:szCs w:val="32"/>
          <w:lang w:val="en-US" w:eastAsia="zh-CN"/>
        </w:rPr>
        <w:t>全覆盖开展党员教育培训，及时更新完善五类人员和“农村家庭能人”信息台账，结合本镇实际开展“农村家庭能人”种植业、电商推广、厨艺技能等方面的培训，组织乡村组干部参与县级以上培训学习27人次。</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扎实开展西河村党组织软弱涣散整顿工作，顺利通过县级审验。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i w:val="0"/>
          <w:iCs w:val="0"/>
          <w:caps w:val="0"/>
          <w:color w:val="000000"/>
          <w:spacing w:val="8"/>
          <w:sz w:val="31"/>
          <w:szCs w:val="31"/>
          <w:shd w:val="clear" w:fill="FFFFFF"/>
          <w:lang w:eastAsia="zh-CN"/>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坚持以安全为底线，确保人民生命</w:t>
      </w:r>
      <w:r>
        <w:rPr>
          <w:rFonts w:hint="eastAsia" w:ascii="楷体_GB2312" w:hAnsi="楷体_GB2312" w:eastAsia="楷体_GB2312" w:cs="楷体_GB2312"/>
          <w:sz w:val="32"/>
          <w:szCs w:val="32"/>
        </w:rPr>
        <w:t>至上。</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lang w:val="en-US" w:eastAsia="zh-CN"/>
        </w:rPr>
        <w:t>安全生产大排查</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rPr>
        <w:t>镇党委、政府坚持人民至上、生命至上，按照“坚定信心、同舟共济、科学防治、精准施策”的总要求，</w:t>
      </w:r>
      <w:r>
        <w:rPr>
          <w:rFonts w:hint="eastAsia" w:ascii="Times New Roman" w:hAnsi="Times New Roman" w:eastAsia="仿宋_GB2312" w:cs="Times New Roman"/>
          <w:sz w:val="32"/>
          <w:szCs w:val="32"/>
          <w:lang w:val="en-US" w:eastAsia="zh-CN"/>
        </w:rPr>
        <w:t>优先从体制机制入手，调整完善黑竹沟镇安委会、安委办成员及工作职责，在原有基础上新增农业安全领域、商贸安全领域、舆情舆论安全领域工作人员及相应职责等。通过分析研判，全镇事故高发领域共12处，为此，镇安委会开展安全隐患大排查大整治工作，发现并整治隐患问题20处。此外，为从基础上提升道路交通安全水平，牵头在西河3号大桥新增震荡标线80米，有效整治原哈曲乡到黑竹沟场镇车辆车速过快问题，牵头在场镇新画车位67个，有效规范场镇车辆停放秩序问题。</w:t>
      </w:r>
      <w:r>
        <w:rPr>
          <w:rFonts w:hint="eastAsia" w:ascii="仿宋_GB2312" w:hAnsi="仿宋_GB2312" w:eastAsia="仿宋_GB2312" w:cs="仿宋_GB2312"/>
          <w:b/>
          <w:bCs/>
          <w:sz w:val="32"/>
          <w:szCs w:val="32"/>
          <w:lang w:val="en-US" w:eastAsia="zh-CN"/>
        </w:rPr>
        <w:t>二是应急物资有保障。</w:t>
      </w:r>
      <w:r>
        <w:rPr>
          <w:rFonts w:hint="eastAsia" w:ascii="仿宋_GB2312" w:eastAsia="仿宋_GB2312" w:cs="Times New Roman"/>
          <w:color w:val="auto"/>
          <w:kern w:val="2"/>
          <w:sz w:val="32"/>
          <w:szCs w:val="32"/>
          <w:lang w:val="en-US" w:eastAsia="zh-CN" w:bidi="ar-SA"/>
        </w:rPr>
        <w:t>首先编制《黑竹沟镇</w:t>
      </w:r>
      <w:r>
        <w:rPr>
          <w:rFonts w:ascii="仿宋_GB2312" w:hAnsi="宋体" w:eastAsia="仿宋_GB2312" w:cs="仿宋_GB2312"/>
          <w:i w:val="0"/>
          <w:iCs w:val="0"/>
          <w:caps w:val="0"/>
          <w:color w:val="000000"/>
          <w:spacing w:val="8"/>
          <w:sz w:val="31"/>
          <w:szCs w:val="31"/>
          <w:shd w:val="clear" w:fill="FFFFFF"/>
        </w:rPr>
        <w:t>突发公共事件总体应急预案</w:t>
      </w:r>
      <w:r>
        <w:rPr>
          <w:rFonts w:hint="eastAsia" w:ascii="仿宋_GB2312" w:eastAsia="仿宋_GB2312" w:cs="Times New Roman"/>
          <w:color w:val="auto"/>
          <w:kern w:val="2"/>
          <w:sz w:val="32"/>
          <w:szCs w:val="32"/>
          <w:lang w:val="en-US" w:eastAsia="zh-CN" w:bidi="ar-SA"/>
        </w:rPr>
        <w:t>》，完善全镇地震、地灾、防汛、森林防灭火、安全生产等各类突发事件专项应急预案，开展突发自然灾害应急综合实战演练1次，清点并维护各类应急物资，与辖区内1个机械持有人员签订租赁合作协议，与1家商超签订储备物资协议，确保战时调得出用得上，物资有保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olor w:val="0D0D0D"/>
          <w:spacing w:val="0"/>
          <w:w w:val="100"/>
          <w:sz w:val="32"/>
          <w:szCs w:val="32"/>
          <w:vertAlign w:val="baseline"/>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）从严从实提效，作风建设展现新气象</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i w:val="0"/>
          <w:iCs w:val="0"/>
          <w:color w:val="0D0D0D"/>
          <w:spacing w:val="0"/>
          <w:w w:val="100"/>
          <w:sz w:val="32"/>
          <w:szCs w:val="32"/>
          <w:vertAlign w:val="baseline"/>
        </w:rPr>
        <w:t>深入推进党风廉政建设。</w:t>
      </w:r>
      <w:r>
        <w:rPr>
          <w:rFonts w:hint="eastAsia" w:ascii="仿宋_GB2312" w:hAnsi="仿宋_GB2312" w:eastAsia="仿宋_GB2312" w:cs="仿宋_GB2312"/>
          <w:b w:val="0"/>
          <w:bCs w:val="0"/>
          <w:i w:val="0"/>
          <w:iCs w:val="0"/>
          <w:color w:val="0D0D0D"/>
          <w:spacing w:val="0"/>
          <w:w w:val="100"/>
          <w:sz w:val="32"/>
          <w:szCs w:val="32"/>
          <w:vertAlign w:val="baseline"/>
        </w:rPr>
        <w:t>坚决贯彻落实党的二十大，中央、省市县和上级纪委重要会议精神，召开党风廉政建设专题会2次，组织乡村组干部开展警示教育学习4次。紧盯农村饮水、特困人员救助、合作社等专项治理开展监督检查6次。</w:t>
      </w:r>
      <w:r>
        <w:rPr>
          <w:rFonts w:hint="eastAsia" w:ascii="仿宋_GB2312" w:hAnsi="仿宋_GB2312" w:eastAsia="仿宋_GB2312" w:cs="仿宋_GB2312"/>
          <w:b/>
          <w:bCs/>
          <w:i w:val="0"/>
          <w:iCs w:val="0"/>
          <w:color w:val="0D0D0D"/>
          <w:spacing w:val="0"/>
          <w:w w:val="100"/>
          <w:sz w:val="32"/>
          <w:szCs w:val="32"/>
          <w:vertAlign w:val="baseline"/>
          <w:lang w:eastAsia="zh-CN"/>
        </w:rPr>
        <w:t>二是</w:t>
      </w:r>
      <w:r>
        <w:rPr>
          <w:rFonts w:hint="eastAsia" w:ascii="仿宋_GB2312" w:hAnsi="仿宋_GB2312" w:eastAsia="仿宋_GB2312" w:cs="仿宋_GB2312"/>
          <w:b/>
          <w:bCs/>
          <w:i w:val="0"/>
          <w:iCs w:val="0"/>
          <w:color w:val="0D0D0D"/>
          <w:spacing w:val="0"/>
          <w:w w:val="100"/>
          <w:sz w:val="32"/>
          <w:szCs w:val="32"/>
          <w:vertAlign w:val="baseline"/>
        </w:rPr>
        <w:t>坚决查办违纪违法案件。</w:t>
      </w:r>
      <w:r>
        <w:rPr>
          <w:rFonts w:hint="eastAsia" w:ascii="仿宋_GB2312" w:hAnsi="仿宋_GB2312" w:eastAsia="仿宋_GB2312" w:cs="仿宋_GB2312"/>
          <w:b w:val="0"/>
          <w:bCs w:val="0"/>
          <w:i w:val="0"/>
          <w:iCs w:val="0"/>
          <w:color w:val="0D0D0D"/>
          <w:spacing w:val="0"/>
          <w:w w:val="100"/>
          <w:sz w:val="32"/>
          <w:szCs w:val="32"/>
          <w:vertAlign w:val="baseline"/>
        </w:rPr>
        <w:t>2023年在县纪委、市纪委参与专案办理2件，挽回经济损失800余万元；参与第二协作组办理违纪违法案2件。乡纪委自办案2件，给予党纪处分4人、组织处理1人；在县纪委参与监督检查4次发现问题7个，移送问题线索1件。</w:t>
      </w:r>
      <w:r>
        <w:rPr>
          <w:rFonts w:hint="eastAsia" w:ascii="仿宋_GB2312" w:hAnsi="仿宋_GB2312" w:eastAsia="仿宋_GB2312" w:cs="仿宋_GB2312"/>
          <w:b/>
          <w:bCs/>
          <w:i w:val="0"/>
          <w:iCs w:val="0"/>
          <w:color w:val="0D0D0D"/>
          <w:spacing w:val="0"/>
          <w:w w:val="100"/>
          <w:sz w:val="32"/>
          <w:szCs w:val="32"/>
          <w:vertAlign w:val="baseline"/>
          <w:lang w:eastAsia="zh-CN"/>
        </w:rPr>
        <w:t>三是</w:t>
      </w:r>
      <w:r>
        <w:rPr>
          <w:rFonts w:hint="eastAsia" w:ascii="仿宋_GB2312" w:hAnsi="仿宋_GB2312" w:eastAsia="仿宋_GB2312" w:cs="仿宋_GB2312"/>
          <w:b/>
          <w:bCs/>
          <w:i w:val="0"/>
          <w:iCs w:val="0"/>
          <w:color w:val="0D0D0D"/>
          <w:spacing w:val="0"/>
          <w:w w:val="100"/>
          <w:sz w:val="32"/>
          <w:szCs w:val="32"/>
          <w:vertAlign w:val="baseline"/>
        </w:rPr>
        <w:t>不断深化党风廉政宣传。</w:t>
      </w:r>
      <w:r>
        <w:rPr>
          <w:rFonts w:hint="eastAsia" w:ascii="仿宋_GB2312" w:hAnsi="仿宋_GB2312" w:eastAsia="仿宋_GB2312" w:cs="仿宋_GB2312"/>
          <w:b w:val="0"/>
          <w:bCs w:val="0"/>
          <w:i w:val="0"/>
          <w:iCs w:val="0"/>
          <w:color w:val="0D0D0D"/>
          <w:spacing w:val="0"/>
          <w:w w:val="100"/>
          <w:sz w:val="32"/>
          <w:szCs w:val="32"/>
          <w:vertAlign w:val="baseline"/>
        </w:rPr>
        <w:t>利用微信、短信在重要节日向党员干部发送廉洁提示信息4次，及时回应群众诉求，办理心连心热线5件。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olor w:val="0D0D0D"/>
          <w:spacing w:val="0"/>
          <w:w w:val="100"/>
          <w:sz w:val="32"/>
          <w:szCs w:val="32"/>
          <w:vertAlign w:val="baseline"/>
          <w:lang w:eastAsia="zh-CN"/>
        </w:rPr>
      </w:pPr>
      <w:r>
        <w:rPr>
          <w:rFonts w:hint="eastAsia" w:ascii="楷体_GB2312" w:hAnsi="楷体_GB2312" w:eastAsia="楷体_GB2312" w:cs="楷体_GB2312"/>
          <w:sz w:val="32"/>
          <w:szCs w:val="32"/>
          <w:lang w:eastAsia="zh-CN"/>
        </w:rPr>
        <w:t>（四）坚持以民生为基础，提高彝区群众幸福感</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b/>
          <w:bCs/>
          <w:sz w:val="32"/>
          <w:szCs w:val="32"/>
          <w:lang w:val="en-US" w:eastAsia="zh-CN"/>
        </w:rPr>
        <w:t>一是</w:t>
      </w:r>
      <w:r>
        <w:rPr>
          <w:rFonts w:hint="eastAsia" w:ascii="仿宋_GB2312" w:hAnsi="仿宋_GB2312" w:eastAsia="仿宋_GB2312" w:cs="仿宋_GB2312"/>
          <w:b/>
          <w:bCs/>
          <w:color w:val="auto"/>
          <w:sz w:val="32"/>
          <w:szCs w:val="32"/>
          <w:lang w:val="en-US" w:eastAsia="zh-CN"/>
        </w:rPr>
        <w:t>守好粮食安全底线。</w:t>
      </w:r>
      <w:r>
        <w:rPr>
          <w:rFonts w:hint="eastAsia" w:ascii="仿宋_GB2312" w:hAnsi="仿宋_GB2312" w:eastAsia="仿宋_GB2312" w:cs="仿宋_GB2312"/>
          <w:sz w:val="32"/>
          <w:szCs w:val="32"/>
          <w:lang w:val="en-US" w:eastAsia="zh-CN"/>
        </w:rPr>
        <w:t>完成粮食种植5451.13亩，</w:t>
      </w:r>
      <w:r>
        <w:rPr>
          <w:rFonts w:hint="default" w:ascii="仿宋_GB2312" w:hAnsi="仿宋_GB2312" w:eastAsia="仿宋_GB2312" w:cs="仿宋_GB2312"/>
          <w:sz w:val="32"/>
          <w:szCs w:val="32"/>
          <w:lang w:val="en-US" w:eastAsia="zh-CN"/>
        </w:rPr>
        <w:t>完成率</w:t>
      </w:r>
      <w:r>
        <w:rPr>
          <w:rFonts w:hint="eastAsia" w:ascii="仿宋_GB2312" w:hAnsi="仿宋_GB2312" w:eastAsia="仿宋_GB2312" w:cs="仿宋_GB2312"/>
          <w:sz w:val="32"/>
          <w:szCs w:val="32"/>
          <w:lang w:val="en-US" w:eastAsia="zh-CN"/>
        </w:rPr>
        <w:t>102.85</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玉米承保</w:t>
      </w:r>
      <w:r>
        <w:rPr>
          <w:rFonts w:hint="eastAsia" w:ascii="仿宋_GB2312" w:hAnsi="仿宋_GB2312" w:eastAsia="仿宋_GB2312" w:cs="仿宋_GB2312"/>
          <w:sz w:val="32"/>
          <w:szCs w:val="32"/>
          <w:lang w:val="en-US" w:eastAsia="zh-CN"/>
        </w:rPr>
        <w:t>2679.3</w:t>
      </w:r>
      <w:r>
        <w:rPr>
          <w:rFonts w:hint="default" w:ascii="仿宋_GB2312" w:hAnsi="仿宋_GB2312" w:eastAsia="仿宋_GB2312" w:cs="仿宋_GB2312"/>
          <w:sz w:val="32"/>
          <w:szCs w:val="32"/>
          <w:lang w:val="en-US" w:eastAsia="zh-CN"/>
        </w:rPr>
        <w:t>亩</w:t>
      </w:r>
      <w:r>
        <w:rPr>
          <w:rFonts w:hint="eastAsia" w:ascii="仿宋_GB2312" w:hAnsi="仿宋_GB2312" w:eastAsia="仿宋_GB2312" w:cs="仿宋_GB2312"/>
          <w:sz w:val="32"/>
          <w:szCs w:val="32"/>
          <w:lang w:val="en-US" w:eastAsia="zh-CN"/>
        </w:rPr>
        <w:t>；生猪出栏13562头，母猪存栏1330头；完成种植保险1754.47亩；</w:t>
      </w:r>
      <w:r>
        <w:rPr>
          <w:rFonts w:hint="default" w:ascii="仿宋_GB2312" w:hAnsi="仿宋_GB2312" w:eastAsia="仿宋_GB2312" w:cs="仿宋_GB2312"/>
          <w:sz w:val="32"/>
          <w:szCs w:val="32"/>
          <w:lang w:val="en-US" w:eastAsia="zh-CN"/>
        </w:rPr>
        <w:t>种粮农户一次性补贴</w:t>
      </w:r>
      <w:r>
        <w:rPr>
          <w:rFonts w:hint="eastAsia" w:ascii="仿宋_GB2312" w:hAnsi="仿宋_GB2312" w:eastAsia="仿宋_GB2312" w:cs="仿宋_GB2312"/>
          <w:sz w:val="32"/>
          <w:szCs w:val="32"/>
          <w:lang w:val="en-US" w:eastAsia="zh-CN"/>
        </w:rPr>
        <w:t>面积955.03</w:t>
      </w:r>
      <w:r>
        <w:rPr>
          <w:rFonts w:hint="default" w:ascii="仿宋_GB2312" w:hAnsi="仿宋_GB2312" w:eastAsia="仿宋_GB2312" w:cs="仿宋_GB2312"/>
          <w:sz w:val="32"/>
          <w:szCs w:val="32"/>
          <w:lang w:val="en-US" w:eastAsia="zh-CN"/>
        </w:rPr>
        <w:t>亩；</w:t>
      </w:r>
      <w:r>
        <w:rPr>
          <w:rFonts w:hint="eastAsia" w:ascii="仿宋_GB2312" w:hAnsi="仿宋_GB2312" w:eastAsia="仿宋_GB2312" w:cs="仿宋_GB2312"/>
          <w:sz w:val="32"/>
          <w:szCs w:val="32"/>
          <w:lang w:val="en-US" w:eastAsia="zh-CN"/>
        </w:rPr>
        <w:t>耕地地力</w:t>
      </w:r>
      <w:r>
        <w:rPr>
          <w:rFonts w:hint="default" w:ascii="仿宋_GB2312" w:hAnsi="仿宋_GB2312" w:eastAsia="仿宋_GB2312" w:cs="仿宋_GB2312"/>
          <w:sz w:val="32"/>
          <w:szCs w:val="32"/>
          <w:lang w:val="en-US" w:eastAsia="zh-CN"/>
        </w:rPr>
        <w:t>补贴，涉及</w:t>
      </w:r>
      <w:r>
        <w:rPr>
          <w:rFonts w:hint="eastAsia" w:ascii="仿宋_GB2312" w:hAnsi="仿宋_GB2312" w:eastAsia="仿宋_GB2312" w:cs="仿宋_GB2312"/>
          <w:sz w:val="32"/>
          <w:szCs w:val="32"/>
          <w:lang w:val="en-US" w:eastAsia="zh-CN"/>
        </w:rPr>
        <w:t>679</w:t>
      </w:r>
      <w:r>
        <w:rPr>
          <w:rFonts w:hint="default" w:ascii="仿宋_GB2312" w:hAnsi="仿宋_GB2312" w:eastAsia="仿宋_GB2312" w:cs="仿宋_GB2312"/>
          <w:sz w:val="32"/>
          <w:szCs w:val="32"/>
          <w:lang w:val="en-US" w:eastAsia="zh-CN"/>
        </w:rPr>
        <w:t>户</w:t>
      </w:r>
      <w:r>
        <w:rPr>
          <w:rFonts w:hint="eastAsia" w:ascii="仿宋_GB2312" w:hAnsi="仿宋_GB2312" w:eastAsia="仿宋_GB2312" w:cs="仿宋_GB2312"/>
          <w:sz w:val="32"/>
          <w:szCs w:val="32"/>
          <w:lang w:val="en-US" w:eastAsia="zh-CN"/>
        </w:rPr>
        <w:t>1104.62</w:t>
      </w:r>
      <w:r>
        <w:rPr>
          <w:rFonts w:hint="default" w:ascii="仿宋_GB2312" w:hAnsi="仿宋_GB2312" w:eastAsia="仿宋_GB2312" w:cs="仿宋_GB2312"/>
          <w:sz w:val="32"/>
          <w:szCs w:val="32"/>
          <w:lang w:val="en-US" w:eastAsia="zh-CN"/>
        </w:rPr>
        <w:t>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二是持续巩固脱贫成果。</w:t>
      </w:r>
      <w:r>
        <w:rPr>
          <w:rFonts w:hint="eastAsia" w:ascii="仿宋_GB2312" w:hAnsi="仿宋_GB2312" w:eastAsia="仿宋_GB2312" w:cs="仿宋_GB2312"/>
          <w:sz w:val="32"/>
          <w:szCs w:val="32"/>
          <w:lang w:val="en-US" w:eastAsia="zh-CN"/>
        </w:rPr>
        <w:t>扎实开展防止返贫监测帮扶集中排查，及时纳入监测户10户37人，</w:t>
      </w:r>
      <w:r>
        <w:rPr>
          <w:rFonts w:hint="default" w:ascii="仿宋_GB2312" w:hAnsi="仿宋_GB2312" w:eastAsia="仿宋_GB2312" w:cs="仿宋_GB2312"/>
          <w:sz w:val="32"/>
          <w:szCs w:val="32"/>
          <w:lang w:val="en-US" w:eastAsia="zh-CN"/>
        </w:rPr>
        <w:t>消除风险</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户</w:t>
      </w:r>
      <w:r>
        <w:rPr>
          <w:rFonts w:hint="eastAsia" w:ascii="仿宋_GB2312" w:hAnsi="仿宋_GB2312" w:eastAsia="仿宋_GB2312" w:cs="仿宋_GB2312"/>
          <w:sz w:val="32"/>
          <w:szCs w:val="32"/>
          <w:lang w:val="en-US" w:eastAsia="zh-CN"/>
        </w:rPr>
        <w:t>13</w:t>
      </w:r>
      <w:r>
        <w:rPr>
          <w:rFonts w:hint="default"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en-US" w:eastAsia="zh-CN"/>
        </w:rPr>
        <w:t>。100%完成全镇农户收入佐证收集。</w:t>
      </w:r>
      <w:r>
        <w:rPr>
          <w:rFonts w:hint="eastAsia" w:ascii="仿宋_GB2312" w:hAnsi="仿宋_GB2312" w:eastAsia="仿宋_GB2312" w:cs="仿宋_GB2312"/>
          <w:b/>
          <w:bCs/>
          <w:sz w:val="32"/>
          <w:szCs w:val="32"/>
          <w:lang w:val="en-US" w:eastAsia="zh-CN"/>
        </w:rPr>
        <w:t>三是全力促进旅游富民。</w:t>
      </w:r>
      <w:r>
        <w:rPr>
          <w:rFonts w:hint="eastAsia" w:ascii="仿宋_GB2312" w:hAnsi="仿宋_GB2312" w:eastAsia="仿宋_GB2312" w:cs="仿宋_GB2312"/>
          <w:sz w:val="32"/>
          <w:szCs w:val="32"/>
          <w:lang w:val="en-US" w:eastAsia="zh-CN"/>
        </w:rPr>
        <w:t>对全镇商户、民宿户开展旅游服务培训85人次；在法定节假日设立旅游服务台，免费为游客提供咨询、道路指引、安全提醒等服务；圆满完成2023年首届职工春晚活动黑竹沟片区节目，牵头筹办2023年黑竹沟镇首届火把节活动，协助县文体旅局在古井村顺利开展彝历新年歌会。</w:t>
      </w:r>
      <w:r>
        <w:rPr>
          <w:rFonts w:hint="eastAsia" w:ascii="仿宋_GB2312" w:hAnsi="仿宋_GB2312" w:eastAsia="仿宋_GB2312" w:cs="仿宋_GB2312"/>
          <w:b/>
          <w:bCs/>
          <w:sz w:val="32"/>
          <w:szCs w:val="32"/>
          <w:lang w:val="en-US" w:eastAsia="zh-CN"/>
        </w:rPr>
        <w:t>四是聚力推进五经普工作。</w:t>
      </w:r>
      <w:r>
        <w:rPr>
          <w:rFonts w:hint="eastAsia" w:ascii="仿宋_GB2312" w:hAnsi="仿宋_GB2312" w:eastAsia="仿宋_GB2312" w:cs="仿宋_GB2312"/>
          <w:sz w:val="32"/>
          <w:szCs w:val="32"/>
          <w:lang w:val="en-US" w:eastAsia="zh-CN"/>
        </w:rPr>
        <w:t>共完成单位核实录入134个，个体户清查并录入460个，其中有证个体户210个，无证个体户250个，全面完成摸排录入。</w:t>
      </w:r>
      <w:r>
        <w:rPr>
          <w:rFonts w:hint="eastAsia" w:ascii="仿宋_GB2312" w:hAnsi="仿宋_GB2312" w:eastAsia="仿宋_GB2312" w:cs="仿宋_GB2312"/>
          <w:b/>
          <w:bCs/>
          <w:sz w:val="32"/>
          <w:szCs w:val="32"/>
          <w:lang w:val="en-US" w:eastAsia="zh-CN"/>
        </w:rPr>
        <w:t>五是加快项目资金拨付。</w:t>
      </w:r>
      <w:r>
        <w:rPr>
          <w:rFonts w:hint="eastAsia" w:ascii="仿宋_GB2312" w:hAnsi="仿宋_GB2312" w:eastAsia="仿宋_GB2312" w:cs="仿宋_GB2312"/>
          <w:sz w:val="32"/>
          <w:szCs w:val="32"/>
          <w:lang w:val="en-US" w:eastAsia="zh-CN"/>
        </w:rPr>
        <w:t>黑竹沟镇2023年5个项目已完成资金拨付率为93%，其中四个项目已审计完成，一个项目准备审计中。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）以人为本惠民生，社会事业开创新局面。</w:t>
      </w:r>
      <w:r>
        <w:rPr>
          <w:rFonts w:hint="eastAsia" w:ascii="仿宋_GB2312" w:hAnsi="仿宋_GB2312" w:eastAsia="仿宋_GB2312" w:cs="仿宋_GB2312"/>
          <w:b/>
          <w:bCs/>
          <w:sz w:val="32"/>
          <w:szCs w:val="32"/>
        </w:rPr>
        <w:t>一是人民群众群众获得感更加充实。</w:t>
      </w:r>
      <w:r>
        <w:rPr>
          <w:rFonts w:hint="eastAsia" w:ascii="Times New Roman" w:hAnsi="Times New Roman" w:eastAsia="仿宋_GB2312" w:cs="Times New Roman"/>
          <w:b w:val="0"/>
          <w:bCs w:val="0"/>
          <w:kern w:val="2"/>
          <w:sz w:val="32"/>
          <w:szCs w:val="32"/>
          <w:lang w:val="en-US" w:eastAsia="zh-CN" w:bidi="ar-SA"/>
        </w:rPr>
        <w:t>积极推进便民服务中心规范化、标准化建设，完善各项规章制度，优化服务流程，提高服务质量和效率。创建省级便民服务中心，打造了一个高效、便捷、贴心、具有我镇特色旅游服务的平台，并获得上级领导的高度评价。</w:t>
      </w:r>
      <w:r>
        <w:rPr>
          <w:rFonts w:hint="eastAsia" w:ascii="仿宋_GB2312" w:hAnsi="仿宋_GB2312" w:eastAsia="仿宋_GB2312" w:cs="仿宋_GB2312"/>
          <w:b/>
          <w:bCs/>
          <w:sz w:val="32"/>
          <w:szCs w:val="32"/>
        </w:rPr>
        <w:t>二是人民群众幸福感更有保障。</w:t>
      </w:r>
      <w:r>
        <w:rPr>
          <w:rFonts w:hint="eastAsia" w:ascii="Times New Roman" w:hAnsi="Times New Roman" w:eastAsia="仿宋_GB2312" w:cs="Times New Roman"/>
          <w:b w:val="0"/>
          <w:bCs w:val="0"/>
          <w:kern w:val="2"/>
          <w:sz w:val="32"/>
          <w:szCs w:val="32"/>
          <w:lang w:val="en-US" w:eastAsia="zh-CN" w:bidi="ar-SA"/>
        </w:rPr>
        <w:t>认真贯彻落实国家民政政策，积极开展社会救助、社会福利、优抚安置等工作。通过加强与相关部门的协调配合，提高了工作效率，保障了群众的基本生活权益。全镇现有低保户216户，其中城镇低保13户，农村低保203户，2023年总计发放资金213.262万元；五保户4人，其中分散户1户，集中户3户，2023年共计发放3.6339万元；高龄老人63人，2023年共计发放0.21万元；在册残疾人112人，其中重度残疾32人，2023年共计发放两项13.299万元。</w:t>
      </w:r>
      <w:r>
        <w:rPr>
          <w:rFonts w:hint="eastAsia" w:ascii="Times New Roman" w:hAnsi="Times New Roman" w:eastAsia="仿宋_GB2312" w:cs="Times New Roman"/>
          <w:b/>
          <w:bCs/>
          <w:kern w:val="2"/>
          <w:sz w:val="32"/>
          <w:szCs w:val="32"/>
          <w:lang w:val="en-US" w:eastAsia="zh-CN" w:bidi="ar-SA"/>
        </w:rPr>
        <w:t>三是残疾</w:t>
      </w:r>
      <w:r>
        <w:rPr>
          <w:rFonts w:hint="eastAsia" w:ascii="仿宋_GB2312" w:hAnsi="仿宋_GB2312" w:eastAsia="仿宋_GB2312" w:cs="仿宋_GB2312"/>
          <w:b/>
          <w:bCs/>
          <w:sz w:val="32"/>
          <w:szCs w:val="32"/>
        </w:rPr>
        <w:t>群众</w:t>
      </w:r>
      <w:r>
        <w:rPr>
          <w:rFonts w:hint="eastAsia" w:ascii="仿宋_GB2312" w:hAnsi="仿宋_GB2312" w:eastAsia="仿宋_GB2312" w:cs="仿宋_GB2312"/>
          <w:b/>
          <w:bCs/>
          <w:sz w:val="32"/>
          <w:szCs w:val="32"/>
          <w:lang w:eastAsia="zh-CN"/>
        </w:rPr>
        <w:t>生活</w:t>
      </w:r>
      <w:r>
        <w:rPr>
          <w:rFonts w:hint="eastAsia" w:ascii="仿宋_GB2312" w:hAnsi="仿宋_GB2312" w:eastAsia="仿宋_GB2312" w:cs="仿宋_GB2312"/>
          <w:b/>
          <w:bCs/>
          <w:sz w:val="32"/>
          <w:szCs w:val="32"/>
        </w:rPr>
        <w:t>更有保障</w:t>
      </w:r>
      <w:r>
        <w:rPr>
          <w:rFonts w:hint="eastAsia" w:ascii="仿宋_GB2312" w:hAnsi="仿宋_GB2312" w:eastAsia="仿宋_GB2312" w:cs="仿宋_GB2312"/>
          <w:b/>
          <w:bCs/>
          <w:sz w:val="32"/>
          <w:szCs w:val="32"/>
          <w:lang w:eastAsia="zh-CN"/>
        </w:rPr>
        <w:t>。</w:t>
      </w:r>
      <w:r>
        <w:rPr>
          <w:rFonts w:hint="eastAsia" w:ascii="Times New Roman" w:hAnsi="Times New Roman" w:eastAsia="仿宋_GB2312" w:cs="Times New Roman"/>
          <w:b w:val="0"/>
          <w:bCs w:val="0"/>
          <w:kern w:val="2"/>
          <w:sz w:val="32"/>
          <w:szCs w:val="32"/>
          <w:lang w:val="en-US" w:eastAsia="zh-CN" w:bidi="ar-SA"/>
        </w:rPr>
        <w:t>积极开展残联工作，认真落实残疾人保障政策，努力提高残疾人的生活质量和幸福感。通过开展职业培训、康复训练等活动，帮助残疾人增强自我发展能力，更好地融入社会。2023年我镇残疾人112人，其中重度残疾32人；各级人士慰问3次，共涉及60位残疾人；残疾人职业培训1次，涉及30人。</w:t>
      </w:r>
      <w:r>
        <w:rPr>
          <w:rFonts w:hint="eastAsia" w:ascii="Times New Roman" w:hAnsi="Times New Roman" w:eastAsia="仿宋_GB2312" w:cs="Times New Roman"/>
          <w:b/>
          <w:bCs/>
          <w:kern w:val="2"/>
          <w:sz w:val="32"/>
          <w:szCs w:val="32"/>
          <w:lang w:val="en-US" w:eastAsia="zh-CN" w:bidi="ar-SA"/>
        </w:rPr>
        <w:t>四是</w:t>
      </w:r>
      <w:r>
        <w:rPr>
          <w:rFonts w:hint="eastAsia" w:ascii="楷体_GB2312" w:hAnsi="楷体_GB2312" w:eastAsia="楷体_GB2312" w:cs="楷体_GB2312"/>
          <w:b/>
          <w:bCs/>
          <w:kern w:val="2"/>
          <w:sz w:val="32"/>
          <w:szCs w:val="32"/>
          <w:lang w:val="en-US" w:eastAsia="zh-CN" w:bidi="ar-SA"/>
        </w:rPr>
        <w:t>劳动保障有底气。</w:t>
      </w:r>
      <w:r>
        <w:rPr>
          <w:rFonts w:hint="eastAsia" w:ascii="Times New Roman" w:hAnsi="Times New Roman" w:eastAsia="仿宋_GB2312" w:cs="Times New Roman"/>
          <w:b w:val="0"/>
          <w:bCs w:val="0"/>
          <w:kern w:val="2"/>
          <w:sz w:val="32"/>
          <w:szCs w:val="32"/>
          <w:lang w:val="en-US" w:eastAsia="zh-CN" w:bidi="ar-SA"/>
        </w:rPr>
        <w:t>积极推进各项政策的落实，加强与相关部门的沟通协调，努力为群众提供全面、细致的服务。同时，通过开展职业培训、创业扶持等活动，促进就业增长和劳动力素质提升。2023年我镇劳务输出527人，共举办4期职业培训班，涉及161人；全年开发公益性岗位136个；全镇参与养老保险缴费1914人，领取养老金372人；2023年我镇医疗保险参保5567人，参保率、受益面大幅提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）全力开展五清行动，生态文明取得新成效。</w:t>
      </w:r>
      <w:r>
        <w:rPr>
          <w:rFonts w:hint="eastAsia" w:ascii="仿宋_GB2312" w:hAnsi="仿宋_GB2312" w:eastAsia="仿宋_GB2312" w:cs="仿宋_GB2312"/>
          <w:b/>
          <w:bCs/>
          <w:sz w:val="32"/>
          <w:szCs w:val="32"/>
        </w:rPr>
        <w:t>一是全力抓好上级环保督察</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color w:val="auto"/>
          <w:sz w:val="32"/>
          <w:szCs w:val="32"/>
          <w:lang w:val="en-US" w:eastAsia="zh-CN"/>
        </w:rPr>
        <w:t>邀请县级考核组到会指导，开展全体动员卫生整治，</w:t>
      </w:r>
      <w:r>
        <w:rPr>
          <w:rFonts w:hint="eastAsia" w:ascii="仿宋_GB2312" w:hAnsi="仿宋_GB2312" w:eastAsia="仿宋_GB2312" w:cs="仿宋_GB2312"/>
          <w:sz w:val="32"/>
          <w:szCs w:val="32"/>
          <w:lang w:val="en-US" w:eastAsia="zh-CN"/>
        </w:rPr>
        <w:t>制定印发《黑竹沟镇农村人居环境整治行动常态长效工作实施方案和考核方案》，每周例会通报沿线村（社区）环境整治情况，对整治不力的村（社区）予以通报和限期整改，每月开展2次人居环境专项考核，对排名靠后三位的村大会检讨发言，末位村颁“最脏村庄”旗帜，有效的约束和激励了各村社区你追我赶的比拼模式，使黑竹沟镇的人居环境卫生逐步向好。</w:t>
      </w:r>
      <w:r>
        <w:rPr>
          <w:rFonts w:hint="eastAsia" w:ascii="仿宋_GB2312" w:hAnsi="仿宋_GB2312" w:eastAsia="仿宋_GB2312" w:cs="仿宋_GB2312"/>
          <w:b/>
          <w:bCs/>
          <w:sz w:val="32"/>
          <w:szCs w:val="32"/>
        </w:rPr>
        <w:t>二是生态机制更加完善。</w:t>
      </w:r>
      <w:r>
        <w:rPr>
          <w:rFonts w:hint="eastAsia" w:ascii="仿宋_GB2312" w:hAnsi="仿宋_GB2312" w:eastAsia="仿宋_GB2312" w:cs="仿宋_GB2312"/>
          <w:sz w:val="32"/>
          <w:szCs w:val="32"/>
        </w:rPr>
        <w:t>持续实施退耕还林、天然林保护、封山育林等工程，持之以恒加强“河（湖）长制”、“林长制”、“路长制”和森林防灭火工作任务落实，努力营造“森林防火、人人有责”的浓厚氛围。我镇成立专项森林防灭火巡查队伍，由镇镇林业站牵头，联合派出所，对辖区内各林地尤其是进山主入口进行常态化巡逻检查，同时通过发放宣传单、流动宣传小喇叭、微信群、LED屏让政策广而告之，大大的提高了“森林防灭火”的群众知晓率；黑竹沟的天更蓝、山更绿、水更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方正楷体_GBK" w:hAnsi="方正楷体_GBK" w:eastAsia="方正楷体_GBK" w:cs="方正楷体_GBK"/>
          <w:sz w:val="32"/>
          <w:szCs w:val="32"/>
          <w:lang w:val="en-US" w:eastAsia="zh-CN"/>
        </w:rPr>
        <w:t>（七）改进宣传宣讲方式，</w:t>
      </w:r>
      <w:r>
        <w:rPr>
          <w:rFonts w:hint="eastAsia" w:ascii="楷体_GB2312" w:hAnsi="楷体_GB2312" w:eastAsia="楷体_GB2312" w:cs="楷体_GB2312"/>
          <w:sz w:val="32"/>
          <w:szCs w:val="32"/>
          <w:lang w:val="en-US" w:eastAsia="zh-CN"/>
        </w:rPr>
        <w:t>建好理论宣讲平台</w:t>
      </w:r>
      <w:r>
        <w:rPr>
          <w:rFonts w:hint="eastAsia" w:ascii="方正楷体_GBK" w:hAnsi="方正楷体_GBK" w:eastAsia="方正楷体_GBK" w:cs="方正楷体_GBK"/>
          <w:sz w:val="32"/>
          <w:szCs w:val="32"/>
          <w:lang w:val="en-US" w:eastAsia="zh-CN"/>
        </w:rPr>
        <w:t>。</w:t>
      </w:r>
      <w:r>
        <w:rPr>
          <w:rFonts w:hint="eastAsia" w:ascii="Times New Roman" w:hAnsi="Times New Roman" w:eastAsia="仿宋_GB2312" w:cs="Times New Roman"/>
          <w:b/>
          <w:bCs/>
          <w:sz w:val="32"/>
          <w:szCs w:val="32"/>
          <w:lang w:val="en-US" w:eastAsia="zh-CN"/>
        </w:rPr>
        <w:t>一是重组片区宣讲小分队。</w:t>
      </w:r>
      <w:r>
        <w:rPr>
          <w:rFonts w:hint="eastAsia" w:ascii="Times New Roman" w:hAnsi="Times New Roman" w:eastAsia="仿宋_GB2312" w:cs="Times New Roman"/>
          <w:sz w:val="32"/>
          <w:szCs w:val="32"/>
          <w:lang w:val="en-US" w:eastAsia="zh-CN"/>
        </w:rPr>
        <w:t>通过推荐、综合衡量、岗前培训，将原来基本为党政班子成员的小分队讲师换成老党员、乡村能人、种养大户、农村经纪人、民宿农家乐经营者等，统一管理。目前登记造册的“德古”彝汉双语讲堂片区小分队讲师10名，乡镇分队讲师62名，力争锻造一批懂政策、知民心、会讲理的理论宣讲队伍。</w:t>
      </w:r>
      <w:r>
        <w:rPr>
          <w:rFonts w:hint="eastAsia" w:ascii="Times New Roman" w:hAnsi="Times New Roman" w:eastAsia="仿宋_GB2312" w:cs="Times New Roman"/>
          <w:b/>
          <w:bCs/>
          <w:sz w:val="32"/>
          <w:szCs w:val="32"/>
          <w:lang w:val="en-US" w:eastAsia="zh-CN"/>
        </w:rPr>
        <w:t>二是定期清理宣传标语。</w:t>
      </w:r>
      <w:r>
        <w:rPr>
          <w:rFonts w:hint="eastAsia" w:ascii="Times New Roman" w:hAnsi="Times New Roman" w:eastAsia="仿宋_GB2312" w:cs="Times New Roman"/>
          <w:sz w:val="32"/>
          <w:szCs w:val="32"/>
          <w:lang w:val="en-US" w:eastAsia="zh-CN"/>
        </w:rPr>
        <w:t>加强户外广告、宣传标语等牌匾标识的管理，对黑竹沟场镇到及黑竹沟景区内户外广告、宣传标语等牌匾标识清理8横幅3标语。开展黑竹沟场镇至黑竹沟景区路段围墙、挡墙等混凝土建筑美化提升研究工作。</w:t>
      </w:r>
      <w:r>
        <w:rPr>
          <w:rFonts w:hint="eastAsia" w:ascii="Times New Roman" w:hAnsi="Times New Roman" w:eastAsia="仿宋_GB2312" w:cs="Times New Roman"/>
          <w:b/>
          <w:bCs/>
          <w:sz w:val="32"/>
          <w:szCs w:val="32"/>
          <w:lang w:val="en-US" w:eastAsia="zh-CN"/>
        </w:rPr>
        <w:t>三是丰富宣传宣讲形式。</w:t>
      </w:r>
      <w:r>
        <w:rPr>
          <w:rFonts w:hint="eastAsia" w:ascii="Times New Roman" w:hAnsi="Times New Roman" w:eastAsia="仿宋_GB2312" w:cs="Times New Roman"/>
          <w:sz w:val="32"/>
          <w:szCs w:val="32"/>
          <w:lang w:val="en-US" w:eastAsia="zh-CN"/>
        </w:rPr>
        <w:t>不断丰富宣讲形式，利用周例会、青年讲堂等，分管领导走向讲台，宣讲党建党史、民政政策、环境整治、禁毒防诈骗等专题内容6次。利用党员活动室、文化广场、农家书屋等场所，定期开展集中理论宣讲活动4次。</w:t>
      </w:r>
    </w:p>
    <w:p>
      <w:pPr>
        <w:widowControl/>
        <w:numPr>
          <w:ilvl w:val="0"/>
          <w:numId w:val="0"/>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楷体_GB2312" w:eastAsia="楷体_GB2312" w:cs="楷体_GB2312"/>
          <w:sz w:val="32"/>
          <w:szCs w:val="32"/>
          <w:lang w:val="en-US" w:eastAsia="zh-CN"/>
        </w:rPr>
        <w:t>（八）坚持以摘帽为目标，筑牢全民禁毒防线。</w:t>
      </w:r>
      <w:r>
        <w:rPr>
          <w:rFonts w:hint="eastAsia" w:ascii="仿宋_GB2312" w:hAnsi="仿宋_GB2312" w:eastAsia="仿宋_GB2312" w:cs="仿宋_GB2312"/>
          <w:b/>
          <w:bCs/>
          <w:sz w:val="32"/>
          <w:szCs w:val="32"/>
          <w:lang w:val="en-US" w:eastAsia="zh-CN"/>
        </w:rPr>
        <w:t>一是聚焦机制抓落实。</w:t>
      </w:r>
      <w:r>
        <w:rPr>
          <w:rFonts w:hint="eastAsia" w:ascii="仿宋_GB2312" w:hAnsi="仿宋_GB2312" w:eastAsia="仿宋_GB2312" w:cs="仿宋_GB2312"/>
          <w:b w:val="0"/>
          <w:bCs w:val="0"/>
          <w:color w:val="auto"/>
          <w:sz w:val="32"/>
          <w:szCs w:val="32"/>
          <w:lang w:val="en-US" w:eastAsia="zh-CN"/>
        </w:rPr>
        <w:t>研究制定《黑竹沟镇禁毒工作重点整治实施方案》《黑竹沟镇禁毒工作（2023-2024年）两年规划》等，</w:t>
      </w:r>
      <w:r>
        <w:rPr>
          <w:rFonts w:hint="eastAsia" w:ascii="仿宋" w:hAnsi="仿宋" w:eastAsia="仿宋"/>
          <w:color w:val="auto"/>
          <w:sz w:val="32"/>
          <w:szCs w:val="32"/>
          <w:lang w:val="en-US" w:eastAsia="zh-CN"/>
        </w:rPr>
        <w:t>2次</w:t>
      </w:r>
      <w:r>
        <w:rPr>
          <w:rFonts w:hint="eastAsia" w:ascii="仿宋_GB2312" w:hAnsi="仿宋_GB2312" w:eastAsia="仿宋_GB2312" w:cs="仿宋_GB2312"/>
          <w:sz w:val="32"/>
          <w:szCs w:val="32"/>
          <w:lang w:val="en-US" w:eastAsia="zh-CN"/>
        </w:rPr>
        <w:t>深入黑竹沟镇小学和中学开展禁毒、反邪教等政策宣传教育，为全镇800余名教师</w:t>
      </w:r>
      <w:r>
        <w:rPr>
          <w:rFonts w:hint="eastAsia" w:ascii="仿宋_GB2312" w:hAnsi="仿宋_GB2312" w:eastAsia="仿宋_GB2312" w:cs="仿宋_GB2312"/>
          <w:b w:val="0"/>
          <w:bCs w:val="0"/>
          <w:color w:val="auto"/>
          <w:sz w:val="32"/>
          <w:szCs w:val="32"/>
          <w:lang w:eastAsia="zh-CN"/>
        </w:rPr>
        <w:t>讲述了毒品和邪教给人们生活、身心带来的危害。每月开展原植物铲除摸排，共铲除</w:t>
      </w:r>
      <w:r>
        <w:rPr>
          <w:rFonts w:hint="eastAsia" w:ascii="仿宋_GB2312" w:hAnsi="仿宋_GB2312" w:eastAsia="仿宋_GB2312" w:cs="仿宋_GB2312"/>
          <w:b w:val="0"/>
          <w:bCs w:val="0"/>
          <w:color w:val="auto"/>
          <w:sz w:val="32"/>
          <w:szCs w:val="32"/>
          <w:lang w:val="en-US" w:eastAsia="zh-CN"/>
        </w:rPr>
        <w:t>15株，组织各村对32处高危易制毒场所现场巡查。</w:t>
      </w:r>
      <w:r>
        <w:rPr>
          <w:rFonts w:hint="eastAsia" w:ascii="仿宋_GB2312" w:hAnsi="仿宋_GB2312" w:eastAsia="仿宋_GB2312" w:cs="仿宋_GB2312"/>
          <w:b/>
          <w:bCs/>
          <w:sz w:val="32"/>
          <w:szCs w:val="32"/>
          <w:lang w:val="en-US" w:eastAsia="zh-CN"/>
        </w:rPr>
        <w:t>二是聚焦预防抓教育。</w:t>
      </w:r>
      <w:r>
        <w:rPr>
          <w:rFonts w:hint="eastAsia" w:ascii="仿宋_GB2312" w:hAnsi="仿宋_GB2312" w:eastAsia="仿宋_GB2312" w:cs="仿宋_GB2312"/>
          <w:sz w:val="32"/>
          <w:szCs w:val="32"/>
          <w:lang w:val="en-US" w:eastAsia="zh-CN"/>
        </w:rPr>
        <w:t>扎实开展禁毒宣传“六进”行动，完成“禁毒警示屋、禁毒大道、禁毒广场”三个阵地建设，设立每月21日为禁毒宣传日，发放禁毒倡议书6000余份，实现禁毒宣传全覆盖。</w:t>
      </w:r>
      <w:r>
        <w:rPr>
          <w:rFonts w:hint="eastAsia" w:ascii="仿宋_GB2312" w:hAnsi="仿宋_GB2312" w:eastAsia="仿宋_GB2312" w:cs="仿宋_GB2312"/>
          <w:b/>
          <w:bCs/>
          <w:sz w:val="32"/>
          <w:szCs w:val="32"/>
          <w:lang w:val="en-US" w:eastAsia="zh-CN"/>
        </w:rPr>
        <w:t>三是聚焦重点抓治理。</w:t>
      </w:r>
      <w:r>
        <w:rPr>
          <w:rFonts w:hint="eastAsia" w:ascii="仿宋_GB2312" w:hAnsi="仿宋_GB2312" w:eastAsia="仿宋_GB2312" w:cs="仿宋_GB2312"/>
          <w:b w:val="0"/>
          <w:bCs w:val="0"/>
          <w:color w:val="auto"/>
          <w:sz w:val="32"/>
          <w:szCs w:val="32"/>
          <w:lang w:val="en-US" w:eastAsia="zh-CN"/>
        </w:rPr>
        <w:t>对56名在册吸毒人员建立“五包一”责任台账，常态化走访，了解动态；7各村1个社区建立禁毒宣传专栏，</w:t>
      </w:r>
      <w:r>
        <w:rPr>
          <w:rFonts w:hint="eastAsia" w:ascii="仿宋" w:hAnsi="仿宋" w:eastAsia="仿宋" w:cs="楷体"/>
          <w:kern w:val="0"/>
          <w:sz w:val="32"/>
          <w:szCs w:val="32"/>
          <w:lang w:eastAsia="zh-CN"/>
        </w:rPr>
        <w:t>邀请“</w:t>
      </w:r>
      <w:r>
        <w:rPr>
          <w:rFonts w:hint="eastAsia" w:ascii="仿宋" w:hAnsi="仿宋" w:eastAsia="仿宋"/>
          <w:sz w:val="32"/>
          <w:szCs w:val="32"/>
        </w:rPr>
        <w:t>徳古</w:t>
      </w:r>
      <w:r>
        <w:rPr>
          <w:rFonts w:hint="eastAsia" w:ascii="仿宋" w:hAnsi="仿宋" w:eastAsia="仿宋" w:cs="楷体"/>
          <w:kern w:val="0"/>
          <w:sz w:val="32"/>
          <w:szCs w:val="32"/>
          <w:lang w:eastAsia="zh-CN"/>
        </w:rPr>
        <w:t>”</w:t>
      </w:r>
      <w:r>
        <w:rPr>
          <w:rFonts w:hint="eastAsia" w:ascii="仿宋" w:hAnsi="仿宋" w:eastAsia="仿宋"/>
          <w:sz w:val="32"/>
          <w:szCs w:val="32"/>
          <w:lang w:eastAsia="zh-CN"/>
        </w:rPr>
        <w:t>双语宣讲队开展禁毒宣讲</w:t>
      </w:r>
      <w:r>
        <w:rPr>
          <w:rFonts w:hint="eastAsia" w:ascii="仿宋" w:hAnsi="仿宋" w:eastAsia="仿宋"/>
          <w:sz w:val="32"/>
          <w:szCs w:val="32"/>
        </w:rPr>
        <w:t>10次</w:t>
      </w:r>
      <w:r>
        <w:rPr>
          <w:rFonts w:hint="eastAsia" w:ascii="Times New Roman" w:hAnsi="Times New Roman" w:eastAsia="仿宋_GB2312" w:cs="Times New Roman"/>
          <w:b w:val="0"/>
          <w:bCs w:val="0"/>
          <w:color w:val="000000"/>
          <w:kern w:val="2"/>
          <w:sz w:val="32"/>
          <w:szCs w:val="32"/>
          <w:lang w:val="en-US" w:eastAsia="zh-CN" w:bidi="ar-SA"/>
        </w:rPr>
        <w:t>，制作宣传展板8块，制作横幅标语16条，彝历新年前，联合派出所</w:t>
      </w:r>
      <w:r>
        <w:rPr>
          <w:rFonts w:hint="eastAsia" w:ascii="仿宋" w:hAnsi="仿宋" w:eastAsia="仿宋" w:cs="楷体"/>
          <w:kern w:val="0"/>
          <w:sz w:val="32"/>
          <w:szCs w:val="32"/>
          <w:lang w:val="en-US" w:eastAsia="zh-CN"/>
        </w:rPr>
        <w:t>对场镇3家KTV、4家烧烤店、2家茶楼开展夜间禁毒突击检查及宣传教育行动，现场发放宣传资料100余份</w:t>
      </w:r>
      <w:r>
        <w:rPr>
          <w:rFonts w:hint="eastAsia" w:ascii="Times New Roman" w:hAnsi="Times New Roman" w:eastAsia="仿宋_GB2312" w:cs="Times New Roman"/>
          <w:b w:val="0"/>
          <w:bCs w:val="0"/>
          <w:color w:val="000000"/>
          <w:kern w:val="2"/>
          <w:sz w:val="32"/>
          <w:szCs w:val="32"/>
          <w:lang w:val="en-US" w:eastAsia="zh-CN" w:bidi="ar-SA"/>
        </w:rPr>
        <w:t>。</w:t>
      </w: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楷体_GB2312" w:hAnsi="宋体" w:eastAsia="楷体_GB2312" w:cs="宋体"/>
          <w:b w:val="0"/>
          <w:bCs w:val="0"/>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w:t>
      </w:r>
      <w:r>
        <w:rPr>
          <w:rFonts w:hint="eastAsia" w:ascii="楷体_GB2312" w:hAnsi="宋体" w:eastAsia="楷体_GB2312" w:cs="宋体"/>
          <w:b w:val="0"/>
          <w:bCs w:val="0"/>
          <w:color w:val="000000"/>
          <w:kern w:val="0"/>
          <w:szCs w:val="32"/>
          <w:shd w:val="clear" w:color="auto" w:fill="FFFFFF"/>
          <w:lang w:val="zh-CN"/>
        </w:rPr>
        <w:t>金收入情况。</w:t>
      </w:r>
    </w:p>
    <w:p>
      <w:pPr>
        <w:widowControl/>
        <w:adjustRightInd w:val="0"/>
        <w:snapToGrid w:val="0"/>
        <w:spacing w:line="580" w:lineRule="exact"/>
        <w:ind w:firstLine="800" w:firstLineChars="250"/>
        <w:contextualSpacing/>
        <w:jc w:val="left"/>
        <w:rPr>
          <w:lang w:val="zh-CN"/>
        </w:rPr>
      </w:pPr>
      <w:r>
        <w:rPr>
          <w:rFonts w:hint="eastAsia" w:ascii="仿宋" w:hAnsi="仿宋" w:eastAsia="仿宋" w:cs="宋体"/>
          <w:szCs w:val="32"/>
        </w:rPr>
        <w:t>202</w:t>
      </w:r>
      <w:r>
        <w:rPr>
          <w:rFonts w:hint="eastAsia" w:ascii="仿宋" w:hAnsi="仿宋" w:eastAsia="仿宋" w:cs="宋体"/>
          <w:szCs w:val="32"/>
          <w:lang w:val="en-US" w:eastAsia="zh-CN"/>
        </w:rPr>
        <w:t>3</w:t>
      </w:r>
      <w:r>
        <w:rPr>
          <w:rFonts w:hint="eastAsia" w:ascii="仿宋" w:hAnsi="仿宋" w:eastAsia="仿宋" w:cs="宋体"/>
          <w:szCs w:val="32"/>
        </w:rPr>
        <w:t>年度部门收入总额</w:t>
      </w:r>
      <w:r>
        <w:rPr>
          <w:rFonts w:hint="eastAsia" w:ascii="仿宋" w:hAnsi="仿宋" w:eastAsia="仿宋" w:cs="宋体"/>
          <w:szCs w:val="32"/>
          <w:lang w:val="en-US" w:eastAsia="zh-CN"/>
        </w:rPr>
        <w:t>1277.80</w:t>
      </w:r>
      <w:r>
        <w:rPr>
          <w:rFonts w:hint="eastAsia" w:ascii="仿宋" w:hAnsi="仿宋" w:eastAsia="仿宋" w:cs="宋体"/>
          <w:szCs w:val="32"/>
        </w:rPr>
        <w:t>万元</w:t>
      </w:r>
    </w:p>
    <w:p>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b w:val="0"/>
          <w:bCs w:val="0"/>
          <w:color w:val="000000"/>
          <w:kern w:val="0"/>
          <w:szCs w:val="32"/>
          <w:shd w:val="clear" w:color="auto" w:fill="FFFFFF"/>
          <w:lang w:val="zh-CN"/>
        </w:rPr>
        <w:t>部门财政资金支出情况</w:t>
      </w:r>
      <w:r>
        <w:rPr>
          <w:rFonts w:hint="eastAsia" w:ascii="楷体_GB2312" w:hAnsi="宋体" w:eastAsia="楷体_GB2312" w:cs="宋体"/>
          <w:color w:val="000000"/>
          <w:kern w:val="0"/>
          <w:szCs w:val="32"/>
          <w:shd w:val="clear" w:color="auto" w:fill="FFFFFF"/>
          <w:lang w:val="zh-CN"/>
        </w:rPr>
        <w:t>。</w:t>
      </w:r>
    </w:p>
    <w:p>
      <w:pPr>
        <w:widowControl/>
        <w:adjustRightInd w:val="0"/>
        <w:snapToGrid w:val="0"/>
        <w:spacing w:line="580" w:lineRule="exact"/>
        <w:ind w:firstLine="800" w:firstLineChars="250"/>
        <w:contextualSpacing/>
        <w:jc w:val="left"/>
        <w:rPr>
          <w:lang w:val="zh-CN"/>
        </w:rPr>
      </w:pPr>
      <w:r>
        <w:rPr>
          <w:rFonts w:hint="eastAsia" w:ascii="仿宋" w:hAnsi="仿宋" w:eastAsia="仿宋" w:cs="宋体"/>
          <w:szCs w:val="32"/>
        </w:rPr>
        <w:t>202</w:t>
      </w:r>
      <w:r>
        <w:rPr>
          <w:rFonts w:hint="eastAsia" w:ascii="仿宋" w:hAnsi="仿宋" w:eastAsia="仿宋" w:cs="宋体"/>
          <w:szCs w:val="32"/>
          <w:lang w:val="en-US" w:eastAsia="zh-CN"/>
        </w:rPr>
        <w:t>3</w:t>
      </w:r>
      <w:r>
        <w:rPr>
          <w:rFonts w:hint="eastAsia" w:ascii="仿宋" w:hAnsi="仿宋" w:eastAsia="仿宋" w:cs="宋体"/>
          <w:szCs w:val="32"/>
        </w:rPr>
        <w:t>年度部门支出总额</w:t>
      </w:r>
      <w:r>
        <w:rPr>
          <w:rFonts w:hint="eastAsia" w:ascii="仿宋" w:hAnsi="仿宋" w:eastAsia="仿宋" w:cs="宋体"/>
          <w:szCs w:val="32"/>
          <w:lang w:val="en-US" w:eastAsia="zh-CN"/>
        </w:rPr>
        <w:t>1277.80</w:t>
      </w:r>
      <w:r>
        <w:rPr>
          <w:rFonts w:hint="eastAsia" w:ascii="仿宋" w:hAnsi="仿宋" w:eastAsia="仿宋" w:cs="宋体"/>
          <w:szCs w:val="32"/>
        </w:rPr>
        <w:t>万元</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（三）部门财政资金结转结余情况。</w:t>
      </w:r>
      <w:bookmarkStart w:id="0" w:name="_GoBack"/>
      <w:bookmarkEnd w:id="0"/>
    </w:p>
    <w:p>
      <w:pPr>
        <w:pStyle w:val="8"/>
        <w:ind w:firstLine="640" w:firstLineChars="200"/>
        <w:jc w:val="both"/>
        <w:rPr>
          <w:rFonts w:hint="eastAsia" w:ascii="仿宋_GB2312" w:hAnsi="宋体" w:eastAsia="仿宋_GB2312" w:cs="宋体"/>
          <w:b w:val="0"/>
          <w:color w:val="000000"/>
          <w:kern w:val="0"/>
          <w:sz w:val="32"/>
          <w:szCs w:val="32"/>
          <w:shd w:val="clear" w:color="auto" w:fill="FFFFFF"/>
          <w:lang w:val="zh-CN" w:eastAsia="zh-CN" w:bidi="ar-SA"/>
        </w:rPr>
      </w:pPr>
      <w:r>
        <w:rPr>
          <w:rFonts w:hint="eastAsia" w:ascii="仿宋_GB2312" w:hAnsi="宋体" w:eastAsia="仿宋_GB2312" w:cs="宋体"/>
          <w:b w:val="0"/>
          <w:color w:val="000000"/>
          <w:kern w:val="0"/>
          <w:sz w:val="32"/>
          <w:szCs w:val="32"/>
          <w:shd w:val="clear" w:color="auto" w:fill="FFFFFF"/>
          <w:lang w:val="zh-CN" w:eastAsia="zh-CN" w:bidi="ar-SA"/>
        </w:rPr>
        <w:t>无结转结余。</w:t>
      </w: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预算管理方面，编制内在职人员控制率小于100%，支出总额控制在预算总额以内。制度执行总体较为有效，但仍需进一步强化，资金使用管理需进一步加强。单位内部控制制度需进一步健全，内控制度执行还需进一步规范。</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pPr>
        <w:widowControl/>
        <w:adjustRightInd w:val="0"/>
        <w:snapToGrid w:val="0"/>
        <w:spacing w:line="580" w:lineRule="exact"/>
        <w:ind w:firstLine="640" w:firstLineChars="200"/>
        <w:contextualSpacing/>
        <w:jc w:val="both"/>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黑竹沟镇人民政府绩效目标按要求向社会公开，部门整体绩效自评情况和自行组织的评价情况向社会公开，及时整改了绩效管理发现问题，向财政部门反馈结果应用情况。资金主要投入在2023年基层组织和农村公共服务运行维护费</w:t>
      </w:r>
      <w:r>
        <w:rPr>
          <w:rFonts w:hint="eastAsia" w:ascii="仿宋_GB2312" w:hAnsi="宋体" w:eastAsia="仿宋_GB2312" w:cs="宋体"/>
          <w:color w:val="000000"/>
          <w:kern w:val="0"/>
          <w:szCs w:val="32"/>
          <w:shd w:val="clear" w:color="auto" w:fill="FFFFFF"/>
          <w:lang w:val="en-US" w:eastAsia="zh-CN"/>
        </w:rPr>
        <w:t>120万元，解决职工住宿楼维修改造16.343214万元，垃圾车运营维护费4万元，乡镇安全管理相关经费6.4463万元，乡镇农村人居环境整治考核奖补资金56.25万元</w:t>
      </w:r>
      <w:r>
        <w:rPr>
          <w:rFonts w:hint="eastAsia" w:ascii="仿宋_GB2312" w:hAnsi="宋体" w:eastAsia="仿宋_GB2312" w:cs="宋体"/>
          <w:color w:val="000000"/>
          <w:kern w:val="0"/>
          <w:szCs w:val="32"/>
          <w:shd w:val="clear" w:color="auto" w:fill="FFFFFF"/>
          <w:lang w:val="zh-CN"/>
        </w:rPr>
        <w:t>。通过统计分析获取了人民群众对生态环境的健康度、居住生活的舒适度、工作出行的便捷度、居住生活的安全度各方面的良好评价。</w:t>
      </w:r>
    </w:p>
    <w:p>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结果应用情况。</w:t>
      </w:r>
    </w:p>
    <w:p>
      <w:pPr>
        <w:widowControl/>
        <w:numPr>
          <w:ilvl w:val="0"/>
          <w:numId w:val="0"/>
        </w:numPr>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本单位按照财政局下达的预算指标，严格执行预算内开支，保障了单位正常运转。本部门的预决算编制均按照县财政局下达的相关文件指标进行了编制，按时完成经、编制工作，决算报表和说明均在峨边彝族自治县政府门户网站公开。绩效目标也按照有关文件如实进行了填报。</w:t>
      </w: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pPr>
        <w:widowControl/>
        <w:adjustRightInd w:val="0"/>
        <w:snapToGrid w:val="0"/>
        <w:spacing w:line="580" w:lineRule="exact"/>
        <w:ind w:firstLine="640" w:firstLineChars="200"/>
        <w:contextualSpacing/>
        <w:jc w:val="left"/>
        <w:rPr>
          <w:lang w:val="zh-CN"/>
        </w:rPr>
      </w:pPr>
      <w:r>
        <w:rPr>
          <w:rFonts w:hint="eastAsia" w:ascii="仿宋_GB2312" w:hAnsi="仿宋_GB2312" w:eastAsia="仿宋_GB2312" w:cs="仿宋_GB2312"/>
          <w:color w:val="000000"/>
          <w:kern w:val="0"/>
          <w:szCs w:val="32"/>
          <w:shd w:val="clear" w:color="auto" w:fill="FFFFFF"/>
          <w:lang w:val="zh-CN"/>
        </w:rPr>
        <w:t>根据《峨边彝族自治县财政局 关于开展202</w:t>
      </w:r>
      <w:r>
        <w:rPr>
          <w:rFonts w:hint="eastAsia" w:ascii="仿宋_GB2312" w:hAnsi="仿宋_GB2312" w:eastAsia="仿宋_GB2312" w:cs="仿宋_GB2312"/>
          <w:color w:val="000000"/>
          <w:kern w:val="0"/>
          <w:szCs w:val="32"/>
          <w:shd w:val="clear" w:color="auto" w:fill="FFFFFF"/>
          <w:lang w:val="en-US" w:eastAsia="zh-CN"/>
        </w:rPr>
        <w:t>3</w:t>
      </w:r>
      <w:r>
        <w:rPr>
          <w:rFonts w:hint="eastAsia" w:ascii="仿宋_GB2312" w:hAnsi="仿宋_GB2312" w:eastAsia="仿宋_GB2312" w:cs="仿宋_GB2312"/>
          <w:color w:val="000000"/>
          <w:kern w:val="0"/>
          <w:szCs w:val="32"/>
          <w:shd w:val="clear" w:color="auto" w:fill="FFFFFF"/>
          <w:lang w:val="zh-CN"/>
        </w:rPr>
        <w:t>年度部门整体、项目支出预算绩效评价工作的通知》文件精神，黑竹沟镇人民政府认真组织开展了部门整体支出绩效评价工作，绩效评价得分： 98 分。</w:t>
      </w:r>
    </w:p>
    <w:p>
      <w:pPr>
        <w:widowControl/>
        <w:numPr>
          <w:ilvl w:val="0"/>
          <w:numId w:val="3"/>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财务人员业务水平还需进一步加强等问题。</w:t>
      </w:r>
    </w:p>
    <w:p>
      <w:pPr>
        <w:widowControl/>
        <w:numPr>
          <w:ilvl w:val="0"/>
          <w:numId w:val="3"/>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1、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8"/>
        <w:numPr>
          <w:ilvl w:val="0"/>
          <w:numId w:val="0"/>
        </w:numPr>
        <w:ind w:leftChars="200"/>
        <w:jc w:val="both"/>
        <w:rPr>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16"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1EC70"/>
    <w:multiLevelType w:val="singleLevel"/>
    <w:tmpl w:val="BAC1EC70"/>
    <w:lvl w:ilvl="0" w:tentative="0">
      <w:start w:val="2"/>
      <w:numFmt w:val="chineseCounting"/>
      <w:suff w:val="nothing"/>
      <w:lvlText w:val="（%1）"/>
      <w:lvlJc w:val="left"/>
      <w:rPr>
        <w:rFonts w:hint="eastAsia"/>
      </w:rPr>
    </w:lvl>
  </w:abstractNum>
  <w:abstractNum w:abstractNumId="1">
    <w:nsid w:val="C0CCE6D5"/>
    <w:multiLevelType w:val="singleLevel"/>
    <w:tmpl w:val="C0CCE6D5"/>
    <w:lvl w:ilvl="0" w:tentative="0">
      <w:start w:val="2"/>
      <w:numFmt w:val="chineseCounting"/>
      <w:suff w:val="nothing"/>
      <w:lvlText w:val="（%1）"/>
      <w:lvlJc w:val="left"/>
      <w:rPr>
        <w:rFonts w:hint="eastAsia"/>
      </w:rPr>
    </w:lvl>
  </w:abstractNum>
  <w:abstractNum w:abstractNumId="2">
    <w:nsid w:val="C7CF0DA8"/>
    <w:multiLevelType w:val="singleLevel"/>
    <w:tmpl w:val="C7CF0DA8"/>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TQ0M2YyYzU0OTAyYzM2OTQ0MzM3ZTM5ZDM3ZGFkY2E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17B51CDD"/>
    <w:rsid w:val="18D17537"/>
    <w:rsid w:val="19927F78"/>
    <w:rsid w:val="21AE59D8"/>
    <w:rsid w:val="26FB1F37"/>
    <w:rsid w:val="286F56EA"/>
    <w:rsid w:val="2D527252"/>
    <w:rsid w:val="329102D6"/>
    <w:rsid w:val="361B66A7"/>
    <w:rsid w:val="386A2C85"/>
    <w:rsid w:val="3A9520B3"/>
    <w:rsid w:val="3C5059FC"/>
    <w:rsid w:val="3DE562B7"/>
    <w:rsid w:val="3E6507EA"/>
    <w:rsid w:val="44406DA5"/>
    <w:rsid w:val="47550EBA"/>
    <w:rsid w:val="4F807071"/>
    <w:rsid w:val="50BB3388"/>
    <w:rsid w:val="52BD4541"/>
    <w:rsid w:val="5CA71859"/>
    <w:rsid w:val="6636451A"/>
    <w:rsid w:val="6AB37396"/>
    <w:rsid w:val="6BE94116"/>
    <w:rsid w:val="6E833176"/>
    <w:rsid w:val="78916378"/>
    <w:rsid w:val="7BC20073"/>
    <w:rsid w:val="7C631402"/>
    <w:rsid w:val="7D495995"/>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rPr>
      <w:rFonts w:ascii="Times New Roman" w:hAnsi="Times New Roman"/>
      <w:szCs w:val="21"/>
    </w:rPr>
  </w:style>
  <w:style w:type="paragraph" w:styleId="3">
    <w:name w:val="Document Map"/>
    <w:basedOn w:val="1"/>
    <w:link w:val="13"/>
    <w:qFormat/>
    <w:uiPriority w:val="99"/>
    <w:rPr>
      <w:rFonts w:ascii="宋体"/>
      <w:sz w:val="18"/>
      <w:szCs w:val="18"/>
    </w:rPr>
  </w:style>
  <w:style w:type="paragraph" w:styleId="4">
    <w:name w:val="Balloon Text"/>
    <w:basedOn w:val="1"/>
    <w:link w:val="14"/>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locked/>
    <w:uiPriority w:val="0"/>
    <w:pPr>
      <w:spacing w:before="100" w:beforeAutospacing="1" w:after="100" w:afterAutospacing="1"/>
      <w:jc w:val="left"/>
    </w:pPr>
    <w:rPr>
      <w:rFonts w:cs="Times New Roman"/>
      <w:kern w:val="0"/>
      <w:sz w:val="24"/>
    </w:rPr>
  </w:style>
  <w:style w:type="paragraph" w:styleId="8">
    <w:name w:val="Title"/>
    <w:basedOn w:val="1"/>
    <w:next w:val="1"/>
    <w:qFormat/>
    <w:locked/>
    <w:uiPriority w:val="10"/>
    <w:pPr>
      <w:spacing w:before="240" w:beforeLines="0" w:beforeAutospacing="0" w:after="60" w:afterLines="0" w:afterAutospacing="0"/>
      <w:jc w:val="center"/>
      <w:outlineLvl w:val="0"/>
    </w:pPr>
    <w:rPr>
      <w:rFonts w:ascii="Arial" w:hAnsi="Arial"/>
      <w:b/>
      <w:sz w:val="32"/>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customStyle="1" w:styleId="13">
    <w:name w:val="文档结构图 Char"/>
    <w:link w:val="3"/>
    <w:qFormat/>
    <w:locked/>
    <w:uiPriority w:val="99"/>
    <w:rPr>
      <w:rFonts w:ascii="宋体" w:cs="Times New Roman"/>
      <w:kern w:val="2"/>
      <w:sz w:val="18"/>
      <w:szCs w:val="18"/>
    </w:rPr>
  </w:style>
  <w:style w:type="character" w:customStyle="1" w:styleId="14">
    <w:name w:val="批注框文本 Char"/>
    <w:link w:val="4"/>
    <w:semiHidden/>
    <w:qFormat/>
    <w:locked/>
    <w:uiPriority w:val="99"/>
    <w:rPr>
      <w:rFonts w:cs="Times New Roman"/>
      <w:sz w:val="2"/>
    </w:rPr>
  </w:style>
  <w:style w:type="character" w:customStyle="1" w:styleId="15">
    <w:name w:val="页脚 Char"/>
    <w:link w:val="5"/>
    <w:qFormat/>
    <w:locked/>
    <w:uiPriority w:val="99"/>
    <w:rPr>
      <w:rFonts w:cs="Times New Roman"/>
      <w:kern w:val="2"/>
      <w:sz w:val="18"/>
      <w:szCs w:val="18"/>
    </w:rPr>
  </w:style>
  <w:style w:type="character" w:customStyle="1" w:styleId="16">
    <w:name w:val="页眉 Char"/>
    <w:link w:val="6"/>
    <w:semiHidden/>
    <w:qFormat/>
    <w:locked/>
    <w:uiPriority w:val="99"/>
    <w:rPr>
      <w:rFonts w:cs="Times New Roman"/>
      <w:sz w:val="18"/>
      <w:szCs w:val="18"/>
    </w:rPr>
  </w:style>
  <w:style w:type="paragraph" w:customStyle="1" w:styleId="17">
    <w:name w:val="四号正文"/>
    <w:basedOn w:val="1"/>
    <w:link w:val="18"/>
    <w:qFormat/>
    <w:uiPriority w:val="99"/>
    <w:pPr>
      <w:spacing w:line="360" w:lineRule="auto"/>
    </w:pPr>
    <w:rPr>
      <w:rFonts w:ascii="??" w:hAnsi="??" w:cs="宋体"/>
      <w:color w:val="000000"/>
      <w:kern w:val="0"/>
      <w:sz w:val="28"/>
      <w:szCs w:val="21"/>
    </w:rPr>
  </w:style>
  <w:style w:type="character" w:customStyle="1" w:styleId="18">
    <w:name w:val="四号正文 Char"/>
    <w:link w:val="17"/>
    <w:qFormat/>
    <w:locked/>
    <w:uiPriority w:val="99"/>
    <w:rPr>
      <w:rFonts w:ascii="??" w:hAnsi="??" w:eastAsia="宋体" w:cs="宋体"/>
      <w:color w:val="000000"/>
      <w:sz w:val="21"/>
      <w:szCs w:val="21"/>
      <w:lang w:val="en-US" w:eastAsia="zh-CN" w:bidi="ar-SA"/>
    </w:rPr>
  </w:style>
  <w:style w:type="paragraph" w:customStyle="1" w:styleId="19">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2</Pages>
  <Words>63</Words>
  <Characters>361</Characters>
  <Lines>3</Lines>
  <Paragraphs>1</Paragraphs>
  <TotalTime>0</TotalTime>
  <ScaleCrop>false</ScaleCrop>
  <LinksUpToDate>false</LinksUpToDate>
  <CharactersWithSpaces>423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AC</cp:lastModifiedBy>
  <cp:lastPrinted>2023-06-14T09:44:00Z</cp:lastPrinted>
  <dcterms:modified xsi:type="dcterms:W3CDTF">2024-07-22T01:27:43Z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53B7F86B27C64309879EEE75FFE498EF</vt:lpwstr>
  </property>
</Properties>
</file>