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按照省、市、县对</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镇机构改革的统一要求，</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机关领导机构设党委、人大、政府，不设政协机构，设</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人民武装部，为</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党委的军事部门和</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人民政府的兵役工作机构，受镇党委、政府和县人民武装部双重领导。</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行政机关的机构调整与设置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综合设置行政机构，不搞上下对口一事一职，根据工作需要配备专、兼职干部，人员编制在镇行政编制总数内统筹考虑。</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设二个综合办事机构，即：党政办公室：当好党委、政府的参谋，负责人大、党务（组织、宣传、纪检、统战）、武装、文书档案、人事、财政、精神文明建设、群众来信来访接待等工作，承办群团组织的日常事务和机关后勤工作（对外挂信访和群众工作室牌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社会事务办公室：负责民政救灾、救济、优抚、计生、农业、林业、水利、农机、国土、科技、统计、</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企、社会治安综合治理、维护社会稳定、交通、安全生产、教育、卫生、劳动保障和司法民事调解等工作（对外挂计划生育办公室、安全生产办公室牌子）。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不设行政执法机构，使用行政编制的地方税务所、工商所和使用政法专项编制的公安派出所、司法所等派出机构按规定设置。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事业机构的调整与设置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按照科学合理、集中规范的原则，在整合现有</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事业机构的基础上，综合设置</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直属事业单位，对应</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镇机关综合办事机构个数，依据我县实情，</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设置2个乡镇直属事业单位，即：</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农业技术服务中心：农经、农技、林业、水土保持等综合性的农业技术服务机构，其经费来源渠道不变。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社会事业服务中心：镇劳动保障、计划生育服务站（计生服务站对外挂牌）文化、广播电视、教育、卫生防疫、公共卫生体系建设等。</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撤销2003年</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事业单位机构改革时，保留的农经站、农技站、林业站、水利站、农机站、文化站、广播电视站、劳动保障服务所等牌子。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政府举办的镇农村中小学、镇卫生院、兽防站实行县办县管体制，</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不再保留也不再新设经费自筹事业单位。</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黑竹沟镇党委的职能：宣传和执行党的路线、方针、政策和执行党中央、上级组织和本组织的决议，发挥党组织的战斗堡垒和党员的先锋模范作用。支持和协助行政负责人完成本单位所担负的任务；组织党员认真学习马克思列宁主义、毛泽东思想、邓小平理论和党的路线、方针、政策以及决议，学习科学、文化和业务知识；对党员进行严格管理，督促党员履行义务，保障党员的权利不受侵犯；对党员进行监督，严格执行党的纪律，加强党风廉政建设，坚决同腐败现象作斗争；做好机关工作人员的思想政治工作，推进机关社会主义精神文明建设。了解、反映群众意见，维护群众的正当利益，帮助群众解决实际困难；对入党积极分子进行教育。培养和考察，做好发展党员工作；协助党组管理机关党组织和群众组织的干部，配合干部人事部门对机关行政领导干部进行考核和民主评议；对机关行政干部的任免、调动和奖惩提出意见和建议；领导机关工会、共青团、妇联等群众组织，支持这些组织依照各自的章程独立负责地开展工作；按照党组织的隶属关系，领导直属单位党的工作。</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黑竹沟镇政府职能：宣传落实好党的路线、方针、政策和国家的法律、法规、稳定农村基本经济制度，坚持依法行政，推进政务公开，加强对村民委员会的指导，提高、培养村民委员会自治能力；科学制定发展规划，营造农村经济发展环境，加强农村市场监督，培育、提高市场功能，搞活市场流通，推广农业技术，完善农业社会化服务体系，引导农民发展现代农业，调整产业结构，加强农村劳动力技能培训，引导农村劳动力转移和就业，不断提高社会主义新农村建设水平；要坚持“立党为公，执政为民”，紧紧围绕实现和维护群众利益开展工作、突出解决人民群众最关心、最直接、最现实的利益问题。要加强和巩固农村基层政权建设和民主法制建设，加强社会治安综合治理，加强对突发事件的预警和管理，建立健全各种应急机制，加强民事纠纷调解，化解农村社会矛盾，开展农村扶贫和社会救助，切实保障农民合法权益，维护农村社会稳定；加强民政、教育、科技、文化、卫生、计划生育、安全生产、劳动保障和镇村规划等社会管理，加强社会主义精神文明建设，做好防灾减灾工作、加强环境保护，努力改善农村人居环境，不断提高农村人口素质和农民生活质量；进一步发展和完善农业社会服务体系，引导各类协会和农村专业合作经济组织发展并充分发挥其作用，发展农村社会公益事业和集体公益事业，加强农村基础设施建设，增加公益产品，提供政策、科技、市场信息和社会救济、救助服务，及时向上级党委、政府反映社情民意，进一步密切党和政府与人民群众的关系。</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黑竹沟镇事业单位主要承担公益性职能：计划生育技术服务、宣传咨询、人员培训和药具发放；农林牧业生产中关键技术和新品种、新农具的引进、实验、示范；农作物和林木病虫害、动物疫病及农业灾害的监测、预报放治和处置；农作物苗情监测和农牧产品生产过程中的质量安全检查、监测和强制性检验；农业资源、林业资源、农业生态环境和农业投入品使用监测；农业公共信息和培训教育服务；小型水利工程及病害水库的整治；水资源管理和防汛抗旱技术服务；水土保持的预防及水土流失的治理；农机安全检查和事故的预防、报告及处理；镇村机耕道德规划、建设；承担农村低保、农村医疗救助、农村医疗合作保险的组织实施及初步审核；城镇登记失业人员和农村劳动力转移就业人员的社会化管理服务；广播电视“村村通”工程的建设、运行、维护和节目的安全播出；制订年度农村公益性文化项目实施计划；开展多种形式的文娱体育活动和宣传教育活动。</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行政机关人员编制和领导职数</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领导职数按省、市有关规定</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设党委书记1名，</w:t>
      </w:r>
      <w:r>
        <w:rPr>
          <w:rFonts w:hint="eastAsia" w:ascii="仿宋_GB2312" w:hAnsi="仿宋_GB2312" w:eastAsia="仿宋_GB2312" w:cs="仿宋_GB2312"/>
          <w:color w:val="000000"/>
          <w:kern w:val="0"/>
          <w:szCs w:val="32"/>
          <w:shd w:val="clear" w:color="auto" w:fill="FFFFFF"/>
          <w:lang w:val="zh-CN" w:eastAsia="zh-CN"/>
        </w:rPr>
        <w:t>人大主席</w:t>
      </w:r>
      <w:r>
        <w:rPr>
          <w:rFonts w:hint="eastAsia" w:ascii="仿宋_GB2312" w:hAnsi="仿宋_GB2312" w:eastAsia="仿宋_GB2312" w:cs="仿宋_GB2312"/>
          <w:color w:val="000000"/>
          <w:kern w:val="0"/>
          <w:szCs w:val="32"/>
          <w:shd w:val="clear" w:color="auto" w:fill="FFFFFF"/>
          <w:lang w:val="en-US" w:eastAsia="zh-CN"/>
        </w:rPr>
        <w:t>1名，镇</w:t>
      </w:r>
      <w:r>
        <w:rPr>
          <w:rFonts w:hint="eastAsia" w:ascii="仿宋_GB2312" w:hAnsi="仿宋_GB2312" w:eastAsia="仿宋_GB2312" w:cs="仿宋_GB2312"/>
          <w:color w:val="000000"/>
          <w:kern w:val="0"/>
          <w:szCs w:val="32"/>
          <w:shd w:val="clear" w:color="auto" w:fill="FFFFFF"/>
          <w:lang w:val="zh-CN"/>
        </w:rPr>
        <w:t>长（兼副书记）</w:t>
      </w: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rPr>
        <w:t>名，专职副书记1名，副</w:t>
      </w:r>
      <w:r>
        <w:rPr>
          <w:rFonts w:hint="eastAsia" w:ascii="仿宋_GB2312" w:hAnsi="仿宋_GB2312" w:eastAsia="仿宋_GB2312" w:cs="仿宋_GB2312"/>
          <w:color w:val="000000"/>
          <w:kern w:val="0"/>
          <w:szCs w:val="32"/>
          <w:shd w:val="clear" w:color="auto" w:fill="FFFFFF"/>
          <w:lang w:val="en-US" w:eastAsia="zh-CN"/>
        </w:rPr>
        <w:t>镇</w:t>
      </w:r>
      <w:r>
        <w:rPr>
          <w:rFonts w:hint="eastAsia" w:ascii="仿宋_GB2312" w:hAnsi="仿宋_GB2312" w:eastAsia="仿宋_GB2312" w:cs="仿宋_GB2312"/>
          <w:color w:val="000000"/>
          <w:kern w:val="0"/>
          <w:szCs w:val="32"/>
          <w:shd w:val="clear" w:color="auto" w:fill="FFFFFF"/>
          <w:lang w:val="zh-CN"/>
        </w:rPr>
        <w:t>长</w:t>
      </w:r>
      <w:r>
        <w:rPr>
          <w:rFonts w:hint="eastAsia" w:ascii="仿宋_GB2312" w:hAnsi="仿宋_GB2312" w:eastAsia="仿宋_GB2312" w:cs="仿宋_GB2312"/>
          <w:color w:val="000000"/>
          <w:kern w:val="0"/>
          <w:szCs w:val="32"/>
          <w:shd w:val="clear" w:color="auto" w:fill="FFFFFF"/>
          <w:lang w:val="en-US" w:eastAsia="zh-CN"/>
        </w:rPr>
        <w:t>3</w:t>
      </w:r>
      <w:r>
        <w:rPr>
          <w:rFonts w:hint="eastAsia" w:ascii="仿宋_GB2312" w:hAnsi="仿宋_GB2312" w:eastAsia="仿宋_GB2312" w:cs="仿宋_GB2312"/>
          <w:color w:val="000000"/>
          <w:kern w:val="0"/>
          <w:szCs w:val="32"/>
          <w:shd w:val="clear" w:color="auto" w:fill="FFFFFF"/>
          <w:lang w:val="zh-CN"/>
        </w:rPr>
        <w:t>名（</w:t>
      </w:r>
      <w:r>
        <w:rPr>
          <w:rFonts w:hint="eastAsia" w:ascii="仿宋_GB2312" w:hAnsi="仿宋_GB2312" w:eastAsia="仿宋_GB2312" w:cs="仿宋_GB2312"/>
          <w:color w:val="000000"/>
          <w:kern w:val="0"/>
          <w:szCs w:val="32"/>
          <w:shd w:val="clear" w:color="auto" w:fill="FFFFFF"/>
          <w:lang w:val="zh-CN" w:eastAsia="zh-CN"/>
        </w:rPr>
        <w:t>其中</w:t>
      </w:r>
      <w:r>
        <w:rPr>
          <w:rFonts w:hint="eastAsia" w:ascii="仿宋_GB2312" w:hAnsi="仿宋_GB2312" w:eastAsia="仿宋_GB2312" w:cs="仿宋_GB2312"/>
          <w:color w:val="000000"/>
          <w:kern w:val="0"/>
          <w:szCs w:val="32"/>
          <w:shd w:val="clear" w:color="auto" w:fill="FFFFFF"/>
          <w:lang w:val="en-US" w:eastAsia="zh-CN"/>
        </w:rPr>
        <w:t>1名兼任</w:t>
      </w:r>
      <w:r>
        <w:rPr>
          <w:rFonts w:hint="eastAsia" w:ascii="仿宋_GB2312" w:hAnsi="仿宋_GB2312" w:eastAsia="仿宋_GB2312" w:cs="仿宋_GB2312"/>
          <w:color w:val="000000"/>
          <w:kern w:val="0"/>
          <w:szCs w:val="32"/>
          <w:shd w:val="clear" w:color="auto" w:fill="FFFFFF"/>
          <w:lang w:val="zh-CN"/>
        </w:rPr>
        <w:t>人武部长），纪委书记1名，组织委员</w:t>
      </w:r>
      <w:r>
        <w:rPr>
          <w:rFonts w:hint="eastAsia" w:ascii="仿宋_GB2312" w:hAnsi="仿宋_GB2312" w:eastAsia="仿宋_GB2312" w:cs="仿宋_GB2312"/>
          <w:color w:val="000000"/>
          <w:kern w:val="0"/>
          <w:szCs w:val="32"/>
          <w:shd w:val="clear" w:color="auto" w:fill="FFFFFF"/>
          <w:lang w:val="en-US" w:eastAsia="zh-CN"/>
        </w:rPr>
        <w:t>1名（兼任统战委员）</w:t>
      </w:r>
      <w:r>
        <w:rPr>
          <w:rFonts w:hint="eastAsia" w:ascii="仿宋_GB2312" w:hAnsi="仿宋_GB2312" w:eastAsia="仿宋_GB2312" w:cs="仿宋_GB2312"/>
          <w:color w:val="000000"/>
          <w:kern w:val="0"/>
          <w:szCs w:val="32"/>
          <w:shd w:val="clear" w:color="auto" w:fill="FFFFFF"/>
          <w:lang w:val="zh-CN"/>
        </w:rPr>
        <w:t>，宣传委员</w:t>
      </w:r>
      <w:r>
        <w:rPr>
          <w:rFonts w:hint="eastAsia" w:ascii="仿宋_GB2312" w:hAnsi="仿宋_GB2312" w:eastAsia="仿宋_GB2312" w:cs="仿宋_GB2312"/>
          <w:color w:val="000000"/>
          <w:kern w:val="0"/>
          <w:szCs w:val="32"/>
          <w:shd w:val="clear" w:color="auto" w:fill="FFFFFF"/>
          <w:lang w:val="en-US" w:eastAsia="zh-CN"/>
        </w:rPr>
        <w:t>1名（兼任人大副主席）</w:t>
      </w:r>
      <w:r>
        <w:rPr>
          <w:rFonts w:hint="eastAsia" w:ascii="仿宋_GB2312" w:hAnsi="仿宋_GB2312" w:eastAsia="仿宋_GB2312" w:cs="仿宋_GB2312"/>
          <w:color w:val="000000"/>
          <w:kern w:val="0"/>
          <w:szCs w:val="32"/>
          <w:shd w:val="clear" w:color="auto" w:fill="FFFFFF"/>
          <w:lang w:val="zh-CN"/>
        </w:rPr>
        <w:t>，政法委员</w:t>
      </w:r>
      <w:r>
        <w:rPr>
          <w:rFonts w:hint="eastAsia" w:ascii="仿宋_GB2312" w:hAnsi="仿宋_GB2312" w:eastAsia="仿宋_GB2312" w:cs="仿宋_GB2312"/>
          <w:color w:val="000000"/>
          <w:kern w:val="0"/>
          <w:szCs w:val="32"/>
          <w:shd w:val="clear" w:color="auto" w:fill="FFFFFF"/>
          <w:lang w:val="en-US" w:eastAsia="zh-CN"/>
        </w:rPr>
        <w:t>1名。设中层7名。</w:t>
      </w:r>
      <w:r>
        <w:rPr>
          <w:rFonts w:hint="eastAsia" w:ascii="仿宋_GB2312" w:hAnsi="仿宋_GB2312" w:eastAsia="仿宋_GB2312" w:cs="仿宋_GB2312"/>
          <w:color w:val="000000"/>
          <w:kern w:val="0"/>
          <w:szCs w:val="32"/>
          <w:shd w:val="clear" w:color="auto" w:fill="FFFFFF"/>
          <w:lang w:val="zh-CN"/>
        </w:rPr>
        <w:t>重新核定</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行政编制</w:t>
      </w:r>
      <w:r>
        <w:rPr>
          <w:rFonts w:hint="eastAsia" w:ascii="仿宋_GB2312" w:hAnsi="仿宋_GB2312" w:eastAsia="仿宋_GB2312" w:cs="仿宋_GB2312"/>
          <w:color w:val="000000"/>
          <w:kern w:val="0"/>
          <w:szCs w:val="32"/>
          <w:shd w:val="clear" w:color="auto" w:fill="FFFFFF"/>
          <w:lang w:val="en-US" w:eastAsia="zh-CN"/>
        </w:rPr>
        <w:t>23</w:t>
      </w:r>
      <w:r>
        <w:rPr>
          <w:rFonts w:hint="eastAsia" w:ascii="仿宋_GB2312" w:hAnsi="仿宋_GB2312" w:eastAsia="仿宋_GB2312" w:cs="仿宋_GB2312"/>
          <w:color w:val="000000"/>
          <w:kern w:val="0"/>
          <w:szCs w:val="32"/>
          <w:shd w:val="clear" w:color="auto" w:fill="FFFFFF"/>
          <w:lang w:val="zh-CN"/>
        </w:rPr>
        <w:t>名，核定机关工勤编制</w:t>
      </w:r>
      <w:r>
        <w:rPr>
          <w:rFonts w:hint="eastAsia" w:ascii="仿宋_GB2312" w:hAnsi="仿宋_GB2312" w:eastAsia="仿宋_GB2312" w:cs="仿宋_GB2312"/>
          <w:color w:val="000000"/>
          <w:kern w:val="0"/>
          <w:szCs w:val="32"/>
          <w:shd w:val="clear" w:color="auto" w:fill="FFFFFF"/>
          <w:lang w:val="en-US" w:eastAsia="zh-CN"/>
        </w:rPr>
        <w:t>4</w:t>
      </w:r>
      <w:r>
        <w:rPr>
          <w:rFonts w:hint="eastAsia" w:ascii="仿宋_GB2312" w:hAnsi="仿宋_GB2312" w:eastAsia="仿宋_GB2312" w:cs="仿宋_GB2312"/>
          <w:color w:val="000000"/>
          <w:kern w:val="0"/>
          <w:szCs w:val="32"/>
          <w:shd w:val="clear" w:color="auto" w:fill="FFFFFF"/>
          <w:lang w:val="zh-CN"/>
        </w:rPr>
        <w:t>名。</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事业机构和人员编制</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eastAsia="zh-CN"/>
        </w:rPr>
        <w:t>黑竹沟镇</w:t>
      </w:r>
      <w:r>
        <w:rPr>
          <w:rFonts w:hint="eastAsia" w:ascii="仿宋_GB2312" w:hAnsi="仿宋_GB2312" w:eastAsia="仿宋_GB2312" w:cs="仿宋_GB2312"/>
          <w:color w:val="000000"/>
          <w:kern w:val="0"/>
          <w:szCs w:val="32"/>
          <w:shd w:val="clear" w:color="auto" w:fill="FFFFFF"/>
          <w:lang w:val="zh-CN"/>
        </w:rPr>
        <w:t>设2个直属事业单位</w:t>
      </w:r>
      <w:r>
        <w:rPr>
          <w:rFonts w:hint="eastAsia" w:ascii="仿宋_GB2312" w:hAnsi="仿宋_GB2312" w:eastAsia="仿宋_GB2312" w:cs="仿宋_GB2312"/>
          <w:color w:val="000000"/>
          <w:kern w:val="0"/>
          <w:szCs w:val="32"/>
          <w:shd w:val="clear" w:color="auto" w:fill="FFFFFF"/>
          <w:lang w:val="zh-CN" w:eastAsia="zh-CN"/>
        </w:rPr>
        <w:t>，</w:t>
      </w:r>
      <w:r>
        <w:rPr>
          <w:rFonts w:hint="eastAsia" w:ascii="仿宋_GB2312" w:hAnsi="仿宋_GB2312" w:eastAsia="仿宋_GB2312" w:cs="仿宋_GB2312"/>
          <w:color w:val="000000"/>
          <w:kern w:val="0"/>
          <w:szCs w:val="32"/>
          <w:shd w:val="clear" w:color="auto" w:fill="FFFFFF"/>
          <w:lang w:val="zh-CN"/>
        </w:rPr>
        <w:t>核定为</w:t>
      </w:r>
      <w:r>
        <w:rPr>
          <w:rFonts w:hint="eastAsia" w:ascii="仿宋_GB2312" w:hAnsi="仿宋_GB2312" w:eastAsia="仿宋_GB2312" w:cs="仿宋_GB2312"/>
          <w:color w:val="000000"/>
          <w:kern w:val="0"/>
          <w:szCs w:val="32"/>
          <w:shd w:val="clear" w:color="auto" w:fill="FFFFFF"/>
          <w:lang w:val="en-US" w:eastAsia="zh-CN"/>
        </w:rPr>
        <w:t>26</w:t>
      </w:r>
      <w:r>
        <w:rPr>
          <w:rFonts w:hint="eastAsia" w:ascii="仿宋_GB2312" w:hAnsi="仿宋_GB2312" w:eastAsia="仿宋_GB2312" w:cs="仿宋_GB2312"/>
          <w:color w:val="000000"/>
          <w:kern w:val="0"/>
          <w:szCs w:val="32"/>
          <w:shd w:val="clear" w:color="auto" w:fill="FFFFFF"/>
          <w:lang w:val="zh-CN"/>
        </w:rPr>
        <w:t>名；</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县级主管部门派驻</w:t>
      </w:r>
      <w:r>
        <w:rPr>
          <w:rFonts w:hint="eastAsia" w:ascii="仿宋_GB2312" w:hAnsi="仿宋_GB2312" w:eastAsia="仿宋_GB2312" w:cs="仿宋_GB2312"/>
          <w:color w:val="000000"/>
          <w:kern w:val="0"/>
          <w:szCs w:val="32"/>
          <w:shd w:val="clear" w:color="auto" w:fill="FFFFFF"/>
          <w:lang w:val="zh-CN" w:eastAsia="zh-CN"/>
        </w:rPr>
        <w:t>镇</w:t>
      </w:r>
      <w:r>
        <w:rPr>
          <w:rFonts w:hint="eastAsia" w:ascii="仿宋_GB2312" w:hAnsi="仿宋_GB2312" w:eastAsia="仿宋_GB2312" w:cs="仿宋_GB2312"/>
          <w:color w:val="000000"/>
          <w:kern w:val="0"/>
          <w:szCs w:val="32"/>
          <w:shd w:val="clear" w:color="auto" w:fill="FFFFFF"/>
          <w:lang w:val="zh-CN"/>
        </w:rPr>
        <w:t>事业单位1个畜牧兽医站，核定事业编制</w:t>
      </w: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rPr>
        <w:t>名。</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rPr>
        <w:t>) 强化党建引领，夯实工作基础。 一是严格落实 “三会 一课” 、组织生活会等基本制度，督促各村召开党建月会、主题 党日等活动，结合活动收集解决群众困难诉求；二是完成乡村两 级换届回头看和班子运行调研工作。组建 8 个工作小组，对全镇 7 个村 1 个社区班子进行综合分析研判，为积极推动黑竹沟镇经 济社会各项事业平稳快速发展提供坚强的战斗力；三是开展支部 联建活动，党建优势互学互补，增强党支部活力。 黑竹沟镇 1</w:t>
      </w:r>
      <w:r>
        <w:rPr>
          <w:rFonts w:hint="eastAsia" w:ascii="仿宋_GB2312" w:hAnsi="仿宋_GB2312" w:eastAsia="仿宋_GB2312" w:cs="仿宋_GB2312"/>
          <w:color w:val="000000"/>
          <w:kern w:val="0"/>
          <w:szCs w:val="32"/>
          <w:shd w:val="clear" w:color="auto" w:fill="FFFFFF"/>
          <w:lang w:val="en-US" w:eastAsia="zh-CN"/>
        </w:rPr>
        <w:t>0</w:t>
      </w:r>
      <w:r>
        <w:rPr>
          <w:rFonts w:hint="eastAsia" w:ascii="仿宋_GB2312" w:hAnsi="仿宋_GB2312" w:eastAsia="仿宋_GB2312" w:cs="仿宋_GB2312"/>
          <w:color w:val="000000"/>
          <w:kern w:val="0"/>
          <w:szCs w:val="32"/>
          <w:shd w:val="clear" w:color="auto" w:fill="FFFFFF"/>
          <w:lang w:val="zh-CN"/>
        </w:rPr>
        <w:t>余名镇村干部赴茅桥镇开展支部联建活动，双方交流基层党建、 乡村治理、产业发展、干部管理等方面的工作心得。进一步发挥 党建引领作用和党员先锋模范作用，建强党组织堡垒，促进乡村 发展，为乡村振兴注入更多动力。四是开展全覆盖村组干部培训。 为夯实村组干部理论基础，增强党性修养，丰富知识储备，完善 知识结构，进一步提升履职能力，组织全镇 72 名村组干部参加了 省市县镇培训。五是按照市两项改革 “后半篇”文章专项领导小 组办公室《关于在全市乡村国土空间规划编制工作中加强党建引 领的通知》和县委《中共峨边彝族自治县委关于在县域内 4 个片 区建立联合党委的通知》要求，完成黑竹沟彝文化旅游片区联合 党委挂牌仪式。</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(２) 围绕有效衔接，巩固拓展脱贫攻坚成果。 一是常态化  开展动态监测工作，确保群众“0”返贫。按照防致贫返贫工作机  制，结合县上反馈的风险信息，组织镇村干部、驻村工作队和帮  扶干部全覆盖入户排查会审研判，对照相关指标，将“一超六有” 和 “两不愁三保障”存在短板弱项，依靠自身力量难以解决的农  户纳入防致贫返贫监测对象。今年以来，全镇共开展全覆盖排查  12 次，集中排查 2 次，纳入监测户 14 户 54 人；二是及时调整动  态增减工作，确保政策落地落细。镇村干部、驻村工作队和帮扶  干部上半年入户排查动态增减情况 3 次，按照动态增减程序，2022  年全镇动态新增 27 人，动态减少 27 人， 内部迁移 1 人；三是按  照要求，积极开展集中排查工作。镇党委高度重视，组织镇村干部和驻村工作队 61 人对全镇 205 脱贫户、20 户监测户、1059 户 进行入户排查，为存在问题的农户针对性制定帮扶措施指明了方 向。未雨绸缪，政策先行，措施先行，补齐补强各项短板弱项， 将各类问题扼杀在萌芽状态， 乡三有、村五有、户一超六有均达 标。全镇高质量通过了党政班子领导干部推进乡村振兴实绩考核 和省第三方评估相关工作。</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3</w:t>
      </w:r>
      <w:r>
        <w:rPr>
          <w:rFonts w:hint="eastAsia" w:ascii="仿宋_GB2312" w:hAnsi="仿宋_GB2312" w:eastAsia="仿宋_GB2312" w:cs="仿宋_GB2312"/>
          <w:color w:val="000000"/>
          <w:kern w:val="0"/>
          <w:szCs w:val="32"/>
          <w:shd w:val="clear" w:color="auto" w:fill="FFFFFF"/>
          <w:lang w:val="zh-CN"/>
        </w:rPr>
        <w:t>) 坚持人民至上，加强疫情科学精准防控。镇党委、政 府坚持人民至上、生命至上，按照 “坚定信心、同舟共济、科学 防治、精准施策”的总要求，镇党委书记、镇长以身作则，靠前 指挥，切实履行第一责任职责，做到守责、担责、尽责。一是扎 实做好境外返回、 中高风险地区返乡及上级大数据推送人员排查 管控等常态化工作。2022 年 1 月至 2022 年 11 月共计上报返乡人 数 2140 人，其中 412 人来自重点地区，有 102 人实施了集中隔离 管控措施，86 人实施了居家隔离管控措施，剩余人员均实施三天 两检和三天三检管控措施。数据反馈方面， 自 7 月开始反馈数据 至今已核实红黄码、时空伴随者、重点区域人员、次密切接触者 共计 392 人，并在核实情况后做了相应的管控措施。截至 11 月 28 日共计完成全程疫苗接种人数为 2634 人，接种率排名全县第 三，其中 60 岁以上人群疫苗接种率排名全县第二；二是面对全国 新冠肺炎疫情严峻形势，全镇上下团结一心，做到了常态化开展 全民核酸检测工作，不定期开展防疫政策宣传、防控卡点排查、 物资调配保障、外出返镇人员居家隔离严格管控等方面上用心用力，建立镇、村、组三级联防联控网，织密群防群治战疫防线； 三是主动扛起疫情防控政治责任，加强管理，细化防控措施，根 据上级疫情防控指挥部工作提示，及时发布中、高风险地区信息， 广泛发动党员干部、人大代表、志愿服务者等力量参与疫情防控， 党员干部全部下沉一线，带头开展疫情防控工作，履职尽责，坚 守岗位； 四是全镇防疫物资调配满足全镇各村 (社区) 和企事业 单位防控需要，保障了人民生命财产安全。疫情防控形势稳定后， 立即落实常态化疫情防控措施，有序恢复群众生产生活。对学校、 敬老院等重点场所；银行、商超、 医院、集贸市场等特殊场所， 加强日常巡查监管，发现问题立即整改。2022 年在实现新冠疫情 “零发生”的基础上，经济社会取得健康有序发展。</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4</w:t>
      </w:r>
      <w:r>
        <w:rPr>
          <w:rFonts w:hint="eastAsia" w:ascii="仿宋_GB2312" w:hAnsi="仿宋_GB2312" w:eastAsia="仿宋_GB2312" w:cs="仿宋_GB2312"/>
          <w:color w:val="000000"/>
          <w:kern w:val="0"/>
          <w:szCs w:val="32"/>
          <w:shd w:val="clear" w:color="auto" w:fill="FFFFFF"/>
          <w:lang w:val="zh-CN"/>
        </w:rPr>
        <w:t>) 项目建设稳步推进，高质量发展跃上新台阶。镇政府 严格贯彻落实 “降成本、优环境”政策要求，坚持 “项目为王” 的发展理念，  “亲清”的政商环境优化工作思路，全镇项目建设 稳步推进，综合实力全面提升。2022 年全镇共促成巴溪村三组人 行便桥新建工程、 巴溪村三组衣勒峨防洪堡坎建设项目、黑竹沟 镇底底古路路面整治工程、解放村彝家新寨集中区外墙堡坎修建 项目、马杵千村安全饮水巩固提升工程、依乌村产业园区产业道 路硬化工程、2021 年度水毁恢复工程等 7 个项目落地，积极推动 欣润养殖场产业道路建设，全镇 2022 年各类项目施工已基本完成。 产业项目方面：涉及全镇 6 个村，总投资金额达 484 万元，依乌 村产业园区产业道路硬化工程完工后将带动依乌村集体经济发展，有效解决果园施肥、运输难题； 乡村振兴方面：新建马杵千村蓄 水池，总投资：45 万元；水利项目方面：共涉及官料河流域 2 个 村 ( 巴溪村、解放村)共 3 个防洪堤(堡坎)建设，总投资：176.6 万元；东西协作资金使用方面：利用东西协作资金 350 万元投入 峨边彝族自治县文化旅游发展投资有限公司用于发展壮大全镇村 集体经济。</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5</w:t>
      </w:r>
      <w:r>
        <w:rPr>
          <w:rFonts w:hint="eastAsia" w:ascii="仿宋_GB2312" w:hAnsi="仿宋_GB2312" w:eastAsia="仿宋_GB2312" w:cs="仿宋_GB2312"/>
          <w:color w:val="000000"/>
          <w:kern w:val="0"/>
          <w:szCs w:val="32"/>
          <w:shd w:val="clear" w:color="auto" w:fill="FFFFFF"/>
          <w:lang w:val="zh-CN"/>
        </w:rPr>
        <w:t>) 以人为本惠民生，社会事业开创新局面。 一是人民群 众群众获得感更加充实。镇党委政府将巩固拓展脱贫攻坚成果同 乡村振兴有效衔接作为政治任务和第一民生工程来抓，严格落实 “四个不摘”要求，确保“两不愁四保障”等返贫风险点早发现、 早干预、早帮扶，确保全面小康路上 “ 一个不少、一户不落”； 二是人民群众幸福感更有保障。 一是社保、 医保进一步提质，养 老保险参保总人数 2256 人， 医疗保险参保总人数 5515 人，参保 率、受益面大幅提升；三是防返贫监测进一步升级，全镇现有低 保户 223 户，其中城镇低保 13 户，农村低保 210 户，2022 年总 计发放资金 1618045 元；特困人员 4 人，2022 年共计发放 27456 元；高龄老人 50 人，2022 年共计发放 18810 元，残疾人 233 人， 2022 年共计发放 19.57 万元；四是人民群众安全感更可持续。始 终坚持人民至上、生命至上，严格做好新冠肺炎疫情常态化防控， 外防输入， 内防扩散，确保 “零感染”。纵深推进扫黑除恶专项 斗争，统筹抓好信访维稳、安全生产、社会综合治理等各项工作， 全镇信访形势平稳，特别是做好了党的二十大等重要敏感时期、重大会议期间维稳工作，未发生重大安全事故。深入开展安全生 产大整治行动，安全生产形势平稳。认真做好防汛抗旱减灾工作， 最大限度减轻灾害损失。</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6</w:t>
      </w:r>
      <w:r>
        <w:rPr>
          <w:rFonts w:hint="eastAsia" w:ascii="仿宋_GB2312" w:hAnsi="仿宋_GB2312" w:eastAsia="仿宋_GB2312" w:cs="仿宋_GB2312"/>
          <w:color w:val="000000"/>
          <w:kern w:val="0"/>
          <w:szCs w:val="32"/>
          <w:shd w:val="clear" w:color="auto" w:fill="FFFFFF"/>
          <w:lang w:val="zh-CN"/>
        </w:rPr>
        <w:t>) 全力开展五清行动，生态文明取得新成效。 一是全力 抓好上级环保督察及“回头看”和群众反映强烈的环保问题整改， 全力打好污染防治“战役”，目前，全镇公益林管护面积 49132.35 亩，全镇空气负氧离子达到 2500 个/立方厘米以上，2022 年被四 川省气象学会和重庆市气象学会评为“巴蜀气候宜居宜游乡镇”； 二是生态机制更加完善。持续实施退耕还林、天然林保护、封山 育林等工程，持之以恒加强“河 (湖) 长制”、“林长制”、“路 长制”和森林防灭火工作任务落实，努力营造 “森林防火、人人 有责”的浓厚氛围。我镇成立专项森林防灭火巡查队伍， 由镇镇 林业站牵头，联合派出所，对辖区内各林地尤其是进山主入口进 行常态化巡逻检查，同时通过发放宣传单、流动宣传小喇叭、微 信群、LED 屏让政策广而告之，大大的提高了 “森林防灭火”的 群众知晓率；黑竹沟的天更蓝、 山更绿、水更清。</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w:t>
      </w:r>
      <w:r>
        <w:rPr>
          <w:rFonts w:hint="eastAsia" w:ascii="仿宋_GB2312" w:hAnsi="仿宋_GB2312" w:eastAsia="仿宋_GB2312" w:cs="仿宋_GB2312"/>
          <w:color w:val="000000"/>
          <w:kern w:val="0"/>
          <w:szCs w:val="32"/>
          <w:shd w:val="clear" w:color="auto" w:fill="FFFFFF"/>
          <w:lang w:val="en-US" w:eastAsia="zh-CN"/>
        </w:rPr>
        <w:t>7</w:t>
      </w:r>
      <w:r>
        <w:rPr>
          <w:rFonts w:hint="eastAsia" w:ascii="仿宋_GB2312" w:hAnsi="仿宋_GB2312" w:eastAsia="仿宋_GB2312" w:cs="仿宋_GB2312"/>
          <w:color w:val="000000"/>
          <w:kern w:val="0"/>
          <w:szCs w:val="32"/>
          <w:shd w:val="clear" w:color="auto" w:fill="FFFFFF"/>
          <w:lang w:val="zh-CN"/>
        </w:rPr>
        <w:t>) 从严从实提效，作风建设展现新气象。坚决把党的政 治建设放在首位，坚决整治干部 “怕、慢、假、庸、散”等作风 顽疾，特别是大力整治怕作为、慢作为、不作为等作风顽疾，严 格落实便民服务 “延时、错时、预约制”，优化办事流程，提高 办事效率。认真落实党风廉政建设 “两个责任”。一是强化廉政 教育，巩固思想防线。结合每周例会、党政班子会、党员干部大会传达学习各类违规违纪典型案例 2 次；召开干部警示教育大会 4 次，集中观看警示教育片 2 次， 以身边的事例提醒广大党员干 部要挺纪在前，守住底线、不踩红线，今年共查处案件 2 件，其 中一名镇机关干部因履职不力被处以党内警告处分；二是严格履 行好镇纪委的监督责任，强化主责意识，不折不扣地落实党的路 线方针政策；紧跟党委的步伐，使广大党员干部坚持道德“高线”， 严守纪律 “底线”，今年共开展监督检查 8 次，查出问题 17 件， 均已整改完成；三是自觉接受多方监督。 自觉接受法律监督、 民 主监督、社会监督和舆论监督，办理人大代表建议 5 件，办结率 达 100%；收到上级反馈群众诉求 58 件，书面登记受理 58 件，办结率 100%。</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同时，武装工作扎实有效，征兵、国防动员、 民兵预备役建 设、人民防空、优抚安置和“双拥”共建等工作都取得新的成绩， 今年，我镇共输送优质兵源 3 人，其中大学生 3 人，超额完成区 武装部交付的任务。普法教育扎实推进退役军人服务工作，维护 军人军属合法权益。市场与质量监督、司法、 民族宗教、粮食、 统计调查、档案、妇女儿童、老龄、残联等工作都有了新的提升。</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hint="eastAsia" w:ascii="黑体" w:hAnsi="黑体" w:eastAsia="黑体" w:cs="宋体"/>
          <w:color w:val="000000"/>
          <w:kern w:val="0"/>
          <w:szCs w:val="32"/>
          <w:shd w:val="clear" w:color="auto" w:fill="FFFFFF"/>
        </w:rPr>
      </w:pPr>
      <w:r>
        <w:rPr>
          <w:rFonts w:hint="eastAsia" w:ascii="仿宋" w:hAnsi="仿宋" w:eastAsia="仿宋" w:cs="宋体"/>
          <w:color w:val="000000"/>
          <w:kern w:val="0"/>
          <w:szCs w:val="32"/>
          <w:shd w:val="clear" w:color="auto" w:fill="FFFFFF"/>
          <w:lang w:val="zh-CN"/>
        </w:rPr>
        <w:t>我镇2022年完成了如下：川农财[2022]108号－2022年农村公益事业一事一议财政奖补－第二批（黑竹沟镇解放村3组入户路建设项目）</w:t>
      </w:r>
      <w:r>
        <w:rPr>
          <w:rFonts w:hint="eastAsia" w:ascii="仿宋" w:hAnsi="仿宋" w:eastAsia="仿宋" w:cs="宋体"/>
          <w:color w:val="000000"/>
          <w:kern w:val="0"/>
          <w:szCs w:val="32"/>
          <w:shd w:val="clear" w:color="auto" w:fill="FFFFFF"/>
          <w:lang w:val="en-US" w:eastAsia="zh-CN"/>
        </w:rPr>
        <w:t>12.83万元（2022年未实施），农村综合改革资金 川财农[2020]0182号，四川省财政厅关于提前下达2021年中央农村综合改革转移支付的通知（解放村人行吊桥及解放、巴溪村环境卫生整治项目）71.5万元，</w:t>
      </w:r>
      <w:r>
        <w:rPr>
          <w:rFonts w:hint="eastAsia" w:ascii="仿宋" w:hAnsi="仿宋" w:eastAsia="仿宋" w:cs="宋体"/>
          <w:color w:val="000000"/>
          <w:kern w:val="0"/>
          <w:szCs w:val="32"/>
          <w:shd w:val="clear" w:color="auto" w:fill="FFFFFF"/>
          <w:lang w:val="zh-CN"/>
        </w:rPr>
        <w:t>（实际已支出项目进度款</w:t>
      </w:r>
      <w:r>
        <w:rPr>
          <w:rFonts w:hint="eastAsia" w:ascii="仿宋" w:hAnsi="仿宋" w:eastAsia="仿宋" w:cs="宋体"/>
          <w:color w:val="000000"/>
          <w:kern w:val="0"/>
          <w:szCs w:val="32"/>
          <w:shd w:val="clear" w:color="auto" w:fill="FFFFFF"/>
          <w:lang w:val="en-US" w:eastAsia="zh-CN"/>
        </w:rPr>
        <w:t>40万元，</w:t>
      </w:r>
      <w:r>
        <w:rPr>
          <w:rFonts w:hint="eastAsia" w:ascii="仿宋" w:hAnsi="仿宋" w:eastAsia="仿宋" w:cs="宋体"/>
          <w:color w:val="000000"/>
          <w:kern w:val="0"/>
          <w:szCs w:val="32"/>
          <w:shd w:val="clear" w:color="auto" w:fill="FFFFFF"/>
          <w:lang w:val="zh-CN"/>
        </w:rPr>
        <w:t>剩余</w:t>
      </w:r>
      <w:r>
        <w:rPr>
          <w:rFonts w:hint="eastAsia" w:ascii="仿宋" w:hAnsi="仿宋" w:eastAsia="仿宋" w:cs="宋体"/>
          <w:color w:val="000000"/>
          <w:kern w:val="0"/>
          <w:szCs w:val="32"/>
          <w:shd w:val="clear" w:color="auto" w:fill="FFFFFF"/>
          <w:lang w:val="en-US" w:eastAsia="zh-CN"/>
        </w:rPr>
        <w:t>31.5</w:t>
      </w:r>
      <w:r>
        <w:rPr>
          <w:rFonts w:hint="eastAsia" w:ascii="仿宋" w:hAnsi="仿宋" w:eastAsia="仿宋" w:cs="宋体"/>
          <w:color w:val="000000"/>
          <w:kern w:val="0"/>
          <w:szCs w:val="32"/>
          <w:shd w:val="clear" w:color="auto" w:fill="FFFFFF"/>
          <w:lang w:val="zh-CN"/>
        </w:rPr>
        <w:t>万元还未支付）、峨边彝族自治县“积分超市”工作经费</w:t>
      </w:r>
      <w:r>
        <w:rPr>
          <w:rFonts w:hint="eastAsia" w:ascii="仿宋" w:hAnsi="仿宋" w:eastAsia="仿宋" w:cs="宋体"/>
          <w:color w:val="000000"/>
          <w:kern w:val="0"/>
          <w:szCs w:val="32"/>
          <w:shd w:val="clear" w:color="auto" w:fill="FFFFFF"/>
          <w:lang w:val="en-US" w:eastAsia="zh-CN"/>
        </w:rPr>
        <w:t>16</w:t>
      </w:r>
      <w:r>
        <w:rPr>
          <w:rFonts w:hint="eastAsia" w:ascii="仿宋" w:hAnsi="仿宋" w:eastAsia="仿宋" w:cs="宋体"/>
          <w:color w:val="000000"/>
          <w:kern w:val="0"/>
          <w:szCs w:val="32"/>
          <w:shd w:val="clear" w:color="auto" w:fill="FFFFFF"/>
          <w:lang w:val="zh-CN"/>
        </w:rPr>
        <w:t>万元和乡镇城乡环境治理管理中队公益性岗位补贴</w:t>
      </w:r>
      <w:r>
        <w:rPr>
          <w:rFonts w:hint="eastAsia" w:ascii="仿宋" w:hAnsi="仿宋" w:eastAsia="仿宋" w:cs="宋体"/>
          <w:color w:val="000000"/>
          <w:kern w:val="0"/>
          <w:szCs w:val="32"/>
          <w:shd w:val="clear" w:color="auto" w:fill="FFFFFF"/>
          <w:lang w:val="en-US" w:eastAsia="zh-CN"/>
        </w:rPr>
        <w:t>12.8</w:t>
      </w:r>
      <w:r>
        <w:rPr>
          <w:rFonts w:hint="eastAsia" w:ascii="仿宋" w:hAnsi="仿宋" w:eastAsia="仿宋" w:cs="宋体"/>
          <w:color w:val="000000"/>
          <w:kern w:val="0"/>
          <w:szCs w:val="32"/>
          <w:shd w:val="clear" w:color="auto" w:fill="FFFFFF"/>
          <w:lang w:val="zh-CN"/>
        </w:rPr>
        <w:t>万元这</w:t>
      </w:r>
      <w:r>
        <w:rPr>
          <w:rFonts w:hint="eastAsia" w:ascii="仿宋" w:hAnsi="仿宋" w:eastAsia="仿宋" w:cs="宋体"/>
          <w:color w:val="000000"/>
          <w:kern w:val="0"/>
          <w:szCs w:val="32"/>
          <w:shd w:val="clear" w:color="auto" w:fill="FFFFFF"/>
          <w:lang w:val="en-US" w:eastAsia="zh-CN"/>
        </w:rPr>
        <w:t>2</w:t>
      </w:r>
      <w:r>
        <w:rPr>
          <w:rFonts w:hint="eastAsia" w:ascii="仿宋" w:hAnsi="仿宋" w:eastAsia="仿宋" w:cs="宋体"/>
          <w:color w:val="000000"/>
          <w:kern w:val="0"/>
          <w:szCs w:val="32"/>
          <w:shd w:val="clear" w:color="auto" w:fill="FFFFFF"/>
          <w:lang w:val="zh-CN"/>
        </w:rPr>
        <w:t>个项目，已按实际拨付完毕。</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800" w:firstLineChars="250"/>
        <w:contextualSpacing/>
        <w:jc w:val="left"/>
        <w:rPr>
          <w:rFonts w:ascii="仿宋" w:hAnsi="仿宋" w:eastAsia="仿宋" w:cs="宋体"/>
          <w:color w:val="000000"/>
          <w:kern w:val="0"/>
          <w:szCs w:val="32"/>
          <w:shd w:val="clear" w:color="auto" w:fill="FFFFFF"/>
          <w:lang w:val="zh-CN"/>
        </w:rPr>
      </w:pPr>
      <w:r>
        <w:rPr>
          <w:rFonts w:hint="eastAsia" w:ascii="仿宋" w:hAnsi="仿宋" w:eastAsia="仿宋" w:cs="宋体"/>
          <w:szCs w:val="32"/>
        </w:rPr>
        <w:t>2022年度部门收入总额</w:t>
      </w:r>
      <w:r>
        <w:rPr>
          <w:rFonts w:hint="eastAsia" w:ascii="仿宋" w:hAnsi="仿宋" w:eastAsia="仿宋" w:cs="宋体"/>
          <w:szCs w:val="32"/>
          <w:lang w:val="en-US" w:eastAsia="zh-CN"/>
        </w:rPr>
        <w:t>15,01.17</w:t>
      </w:r>
      <w:r>
        <w:rPr>
          <w:rFonts w:hint="eastAsia" w:ascii="仿宋" w:hAnsi="仿宋" w:eastAsia="仿宋" w:cs="宋体"/>
          <w:szCs w:val="32"/>
        </w:rPr>
        <w:t>万元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（二）部门财政资金支出情况。</w:t>
      </w:r>
    </w:p>
    <w:p>
      <w:pPr>
        <w:widowControl/>
        <w:adjustRightInd w:val="0"/>
        <w:snapToGrid w:val="0"/>
        <w:spacing w:line="580" w:lineRule="exact"/>
        <w:ind w:firstLine="800" w:firstLineChars="250"/>
        <w:contextualSpacing/>
        <w:jc w:val="left"/>
        <w:rPr>
          <w:rFonts w:ascii="楷体_GB2312" w:hAnsi="宋体" w:eastAsia="楷体_GB2312" w:cs="宋体"/>
          <w:color w:val="000000"/>
          <w:kern w:val="0"/>
          <w:szCs w:val="32"/>
          <w:shd w:val="clear" w:color="auto" w:fill="FFFFFF"/>
          <w:lang w:val="zh-CN"/>
        </w:rPr>
      </w:pPr>
      <w:r>
        <w:rPr>
          <w:rFonts w:hint="eastAsia" w:ascii="仿宋" w:hAnsi="仿宋" w:eastAsia="仿宋" w:cs="宋体"/>
          <w:szCs w:val="32"/>
        </w:rPr>
        <w:t>2022年度部门支出总额</w:t>
      </w:r>
      <w:r>
        <w:rPr>
          <w:rFonts w:hint="eastAsia" w:ascii="仿宋" w:hAnsi="仿宋" w:eastAsia="仿宋" w:cs="宋体"/>
          <w:szCs w:val="32"/>
          <w:lang w:val="en-US" w:eastAsia="zh-CN"/>
        </w:rPr>
        <w:t>15,01.17</w:t>
      </w:r>
      <w:r>
        <w:rPr>
          <w:rFonts w:hint="eastAsia" w:ascii="仿宋" w:hAnsi="仿宋" w:eastAsia="仿宋" w:cs="宋体"/>
          <w:szCs w:val="32"/>
        </w:rPr>
        <w:t>万元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widowControl/>
        <w:adjustRightInd w:val="0"/>
        <w:snapToGrid w:val="0"/>
        <w:spacing w:line="580" w:lineRule="exact"/>
        <w:ind w:firstLine="800" w:firstLineChars="250"/>
        <w:contextualSpacing/>
        <w:jc w:val="left"/>
        <w:rPr>
          <w:rFonts w:ascii="仿宋" w:hAnsi="仿宋" w:eastAsia="仿宋"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 xml:space="preserve"> </w:t>
      </w:r>
      <w:r>
        <w:rPr>
          <w:rFonts w:hint="eastAsia" w:ascii="仿宋" w:hAnsi="仿宋" w:eastAsia="仿宋" w:cs="宋体"/>
          <w:szCs w:val="32"/>
        </w:rPr>
        <w:t>无结转结余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预算管理方面，编制内在职人员控制率小于100%，支出总额控制在预算总额以内。制度执行总体较为有效，但仍需进一步强化，资金使用管理需进一步加强。单位内部控制制度需进一步健全，内控制度执行还需进一步规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黑竹沟镇人民政府绩效目标按要求向社会公开，部门整体绩效自评情况和自行组织的评价情况向社会公开，及时整改了绩效管理发现问题，向财政部门反馈结果应用情况。资金主要投入在</w:t>
      </w:r>
      <w:r>
        <w:rPr>
          <w:rFonts w:hint="eastAsia" w:ascii="仿宋" w:hAnsi="仿宋" w:eastAsia="仿宋" w:cs="宋体"/>
          <w:color w:val="000000"/>
          <w:kern w:val="0"/>
          <w:szCs w:val="32"/>
          <w:shd w:val="clear" w:color="auto" w:fill="FFFFFF"/>
          <w:lang w:val="en-US" w:eastAsia="zh-CN"/>
        </w:rPr>
        <w:t>解放村人行吊桥及解放、巴溪村环境卫生整治项目40万元，</w:t>
      </w:r>
      <w:r>
        <w:rPr>
          <w:rFonts w:hint="eastAsia" w:ascii="仿宋" w:hAnsi="仿宋" w:eastAsia="仿宋" w:cs="宋体"/>
          <w:color w:val="000000"/>
          <w:kern w:val="0"/>
          <w:szCs w:val="32"/>
          <w:shd w:val="clear" w:color="auto" w:fill="FFFFFF"/>
          <w:lang w:val="zh-CN"/>
        </w:rPr>
        <w:t>峨边彝族自治县“积分超市”工作经费</w:t>
      </w:r>
      <w:r>
        <w:rPr>
          <w:rFonts w:hint="eastAsia" w:ascii="仿宋" w:hAnsi="仿宋" w:eastAsia="仿宋" w:cs="宋体"/>
          <w:color w:val="000000"/>
          <w:kern w:val="0"/>
          <w:szCs w:val="32"/>
          <w:shd w:val="clear" w:color="auto" w:fill="FFFFFF"/>
          <w:lang w:val="en-US" w:eastAsia="zh-CN"/>
        </w:rPr>
        <w:t>16</w:t>
      </w:r>
      <w:r>
        <w:rPr>
          <w:rFonts w:hint="eastAsia" w:ascii="仿宋" w:hAnsi="仿宋" w:eastAsia="仿宋" w:cs="宋体"/>
          <w:color w:val="000000"/>
          <w:kern w:val="0"/>
          <w:szCs w:val="32"/>
          <w:shd w:val="clear" w:color="auto" w:fill="FFFFFF"/>
          <w:lang w:val="zh-CN"/>
        </w:rPr>
        <w:t>万元和乡镇城乡环境治理管理中队公益性岗位补贴</w:t>
      </w:r>
      <w:r>
        <w:rPr>
          <w:rFonts w:hint="eastAsia" w:ascii="仿宋" w:hAnsi="仿宋" w:eastAsia="仿宋" w:cs="宋体"/>
          <w:color w:val="000000"/>
          <w:kern w:val="0"/>
          <w:szCs w:val="32"/>
          <w:shd w:val="clear" w:color="auto" w:fill="FFFFFF"/>
          <w:lang w:val="en-US" w:eastAsia="zh-CN"/>
        </w:rPr>
        <w:t>12.8</w:t>
      </w:r>
      <w:r>
        <w:rPr>
          <w:rFonts w:hint="eastAsia" w:ascii="仿宋" w:hAnsi="仿宋" w:eastAsia="仿宋" w:cs="宋体"/>
          <w:color w:val="000000"/>
          <w:kern w:val="0"/>
          <w:szCs w:val="32"/>
          <w:shd w:val="clear" w:color="auto" w:fill="FFFFFF"/>
          <w:lang w:val="zh-CN"/>
        </w:rPr>
        <w:t>万元</w:t>
      </w:r>
      <w:r>
        <w:rPr>
          <w:rFonts w:hint="eastAsia" w:ascii="仿宋_GB2312" w:hAnsi="仿宋_GB2312" w:eastAsia="仿宋_GB2312" w:cs="仿宋_GB2312"/>
          <w:color w:val="000000"/>
          <w:kern w:val="0"/>
          <w:szCs w:val="32"/>
          <w:shd w:val="clear" w:color="auto" w:fill="FFFFFF"/>
          <w:lang w:val="zh-CN"/>
        </w:rPr>
        <w:t>。通过统计分析获取了人民群众对生态环境的健康度、居住生活的舒适度、工作出行的便捷度、居住生活的安全度各方面的良好评价。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2.100万以上项目：无</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编制工作，决算报表和说明均在峨边彝族自治县政府门户网站公开。绩效目标也按照有关文件如实进行了填报。</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根据《峨边彝族自治县财政局 关于开展2022年度部门整体、项目支出预算绩效评价工作的通知》文件精神，黑竹沟镇人民政府认真组织开展了部门整体支出绩效评价工作，绩效评价得分： 98 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财务人员业务水平还需进一步加强等问题。</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加强财务管理，严格财务审核。加强单位财务管理，健全单位财务管理制度体系，规范单位财务行为。在费用报账支付时，按照预算规定的费用项目和用途进行资金使用审核、列报支付、财务核算，杜绝超支现象的发生。</w:t>
      </w:r>
      <w:bookmarkStart w:id="0" w:name="_GoBack"/>
      <w:bookmarkEnd w:id="0"/>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984AC3-64F4-4579-8D93-12FD414D482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embedRegular r:id="rId2" w:fontKey="{5B75A271-D8FA-40CF-92D0-83B9AA48F80E}"/>
  </w:font>
  <w:font w:name="方正小标宋简体">
    <w:panose1 w:val="03000509000000000000"/>
    <w:charset w:val="86"/>
    <w:family w:val="script"/>
    <w:pitch w:val="default"/>
    <w:sig w:usb0="00000001" w:usb1="080E0000" w:usb2="00000000" w:usb3="00000000" w:csb0="00040000" w:csb1="00000000"/>
    <w:embedRegular r:id="rId3" w:fontKey="{392DE000-CE85-4311-B989-B5F67639CC73}"/>
  </w:font>
  <w:font w:name="仿宋_GB2312">
    <w:panose1 w:val="02010609030101010101"/>
    <w:charset w:val="86"/>
    <w:family w:val="modern"/>
    <w:pitch w:val="default"/>
    <w:sig w:usb0="00000001" w:usb1="080E0000" w:usb2="00000000" w:usb3="00000000" w:csb0="00040000" w:csb1="00000000"/>
    <w:embedRegular r:id="rId4" w:fontKey="{5919EF3A-AD7B-428F-A8A2-51E67017EE74}"/>
  </w:font>
  <w:font w:name="方正仿宋_GBK">
    <w:panose1 w:val="02000000000000000000"/>
    <w:charset w:val="86"/>
    <w:family w:val="auto"/>
    <w:pitch w:val="default"/>
    <w:sig w:usb0="A00002BF" w:usb1="38CF7CFA" w:usb2="00082016" w:usb3="00000000" w:csb0="00040001" w:csb1="00000000"/>
    <w:embedRegular r:id="rId5" w:fontKey="{57EE6E00-30FD-4B6D-8D0F-F771FE00BAFA}"/>
  </w:font>
  <w:font w:name="楷体_GB2312">
    <w:panose1 w:val="02010609030101010101"/>
    <w:charset w:val="86"/>
    <w:family w:val="modern"/>
    <w:pitch w:val="default"/>
    <w:sig w:usb0="00000001" w:usb1="080E0000" w:usb2="00000000" w:usb3="00000000" w:csb0="00040000" w:csb1="00000000"/>
    <w:embedRegular r:id="rId6" w:fontKey="{C9AC4830-D119-432D-97F7-4B3C5EC971EB}"/>
  </w:font>
  <w:font w:name="仿宋">
    <w:panose1 w:val="02010609060101010101"/>
    <w:charset w:val="86"/>
    <w:family w:val="auto"/>
    <w:pitch w:val="default"/>
    <w:sig w:usb0="800002BF" w:usb1="38CF7CFA" w:usb2="00000016" w:usb3="00000000" w:csb0="00040001" w:csb1="00000000"/>
    <w:embedRegular r:id="rId7" w:fontKey="{6CDBA88E-CE1B-4218-8D7D-9DF0C014AED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N2MwZDhkNmI2N2VmOTZkYmFkOGVlYmEyNmZkY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2E643FAD"/>
    <w:rsid w:val="329102D6"/>
    <w:rsid w:val="33E47EBF"/>
    <w:rsid w:val="3A9520B3"/>
    <w:rsid w:val="3DE562B7"/>
    <w:rsid w:val="3E6507EA"/>
    <w:rsid w:val="41D659E7"/>
    <w:rsid w:val="47550EBA"/>
    <w:rsid w:val="50BB3388"/>
    <w:rsid w:val="63040E32"/>
    <w:rsid w:val="6636451A"/>
    <w:rsid w:val="67FD13B0"/>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spacing w:before="240" w:beforeLines="0" w:beforeAutospacing="0" w:after="60" w:afterLines="0" w:afterAutospacing="0"/>
      <w:jc w:val="center"/>
      <w:outlineLvl w:val="0"/>
    </w:pPr>
    <w:rPr>
      <w:rFonts w:ascii="Arial" w:hAnsi="Arial"/>
      <w:b/>
      <w:sz w:val="32"/>
    </w:rPr>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TotalTime>
  <ScaleCrop>false</ScaleCrop>
  <LinksUpToDate>false</LinksUpToDate>
  <CharactersWithSpaces>423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晓玲打印室</cp:lastModifiedBy>
  <cp:lastPrinted>2022-03-15T02:17:00Z</cp:lastPrinted>
  <dcterms:modified xsi:type="dcterms:W3CDTF">2023-06-20T08:39:05Z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9CDC24827C984251AF8689ABFE3E88DB_13</vt:lpwstr>
  </property>
</Properties>
</file>