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21389">
      <w:pPr>
        <w:rPr>
          <w:rFonts w:ascii="Times New Roman" w:hAnsi="Times New Roman"/>
          <w:color w:val="auto"/>
        </w:rPr>
      </w:pPr>
      <w:bookmarkStart w:id="0" w:name="_Toc15396475"/>
      <w:bookmarkStart w:id="1" w:name="_Toc15377193"/>
      <w:bookmarkStart w:id="2" w:name="_Toc15396597"/>
      <w:bookmarkStart w:id="3" w:name="_Toc15377425"/>
      <w:bookmarkStart w:id="4" w:name="_Toc15306267"/>
      <w:bookmarkStart w:id="5" w:name="_Toc15378441"/>
    </w:p>
    <w:bookmarkEnd w:id="0"/>
    <w:bookmarkEnd w:id="1"/>
    <w:bookmarkEnd w:id="2"/>
    <w:bookmarkEnd w:id="3"/>
    <w:bookmarkEnd w:id="4"/>
    <w:bookmarkEnd w:id="5"/>
    <w:p w14:paraId="524FE76C">
      <w:pPr>
        <w:pStyle w:val="5"/>
        <w:jc w:val="both"/>
        <w:rPr>
          <w:rFonts w:hint="eastAsia" w:ascii="Times New Roman" w:hAnsi="Times New Roman" w:eastAsia="方正小标宋简体" w:cs="Times New Roman"/>
          <w:color w:val="auto"/>
          <w:kern w:val="2"/>
          <w:sz w:val="44"/>
          <w:szCs w:val="44"/>
          <w:highlight w:val="none"/>
          <w:lang w:val="en-US" w:eastAsia="zh-CN" w:bidi="ar-SA"/>
        </w:rPr>
      </w:pPr>
    </w:p>
    <w:p w14:paraId="69A5DBA6">
      <w:pPr>
        <w:adjustRightInd w:val="0"/>
        <w:snapToGrid w:val="0"/>
        <w:spacing w:line="360" w:lineRule="auto"/>
        <w:jc w:val="center"/>
        <w:outlineLvl w:val="0"/>
        <w:rPr>
          <w:rFonts w:ascii="Times New Roman" w:hAnsi="Times New Roman" w:eastAsia="方正小标宋简体" w:cs="方正小标宋简体"/>
          <w:color w:val="auto"/>
          <w:sz w:val="72"/>
          <w:szCs w:val="72"/>
        </w:rPr>
      </w:pPr>
      <w:r>
        <w:rPr>
          <w:rFonts w:hint="eastAsia" w:ascii="Times New Roman" w:hAnsi="Times New Roman" w:eastAsia="方正小标宋简体" w:cs="方正小标宋简体"/>
          <w:color w:val="auto"/>
          <w:sz w:val="72"/>
          <w:szCs w:val="72"/>
        </w:rPr>
        <w:t>202</w:t>
      </w:r>
      <w:r>
        <w:rPr>
          <w:rFonts w:hint="eastAsia" w:ascii="Times New Roman" w:hAnsi="Times New Roman" w:eastAsia="方正小标宋简体" w:cs="方正小标宋简体"/>
          <w:color w:val="auto"/>
          <w:sz w:val="72"/>
          <w:szCs w:val="72"/>
          <w:lang w:val="en-US" w:eastAsia="zh-CN"/>
        </w:rPr>
        <w:t>4</w:t>
      </w:r>
      <w:r>
        <w:rPr>
          <w:rFonts w:hint="eastAsia" w:ascii="Times New Roman" w:hAnsi="Times New Roman" w:eastAsia="方正小标宋简体" w:cs="方正小标宋简体"/>
          <w:color w:val="auto"/>
          <w:sz w:val="72"/>
          <w:szCs w:val="72"/>
        </w:rPr>
        <w:t>年度</w:t>
      </w:r>
    </w:p>
    <w:p w14:paraId="2EB0D7EB">
      <w:pPr>
        <w:adjustRightInd w:val="0"/>
        <w:snapToGrid w:val="0"/>
        <w:spacing w:line="360" w:lineRule="auto"/>
        <w:jc w:val="center"/>
        <w:outlineLvl w:val="0"/>
        <w:rPr>
          <w:rFonts w:hint="eastAsia" w:ascii="Times New Roman" w:hAnsi="Times New Roman" w:eastAsia="方正小标宋简体" w:cs="方正小标宋简体"/>
          <w:color w:val="auto"/>
          <w:sz w:val="72"/>
          <w:szCs w:val="72"/>
          <w:lang w:val="en-US" w:eastAsia="zh-CN"/>
        </w:rPr>
      </w:pPr>
      <w:bookmarkStart w:id="6" w:name="_Toc15377194"/>
      <w:bookmarkStart w:id="7" w:name="_Toc15377426"/>
      <w:bookmarkStart w:id="8" w:name="_Toc15378442"/>
      <w:bookmarkStart w:id="9" w:name="_Toc15396598"/>
      <w:bookmarkStart w:id="10" w:name="_Toc15396476"/>
      <w:r>
        <w:rPr>
          <w:rFonts w:hint="eastAsia" w:ascii="Times New Roman" w:hAnsi="Times New Roman" w:eastAsia="方正小标宋简体" w:cs="方正小标宋简体"/>
          <w:color w:val="auto"/>
          <w:sz w:val="72"/>
          <w:szCs w:val="72"/>
        </w:rPr>
        <w:t>四川省</w:t>
      </w:r>
      <w:bookmarkStart w:id="11" w:name="_Toc15306268"/>
      <w:r>
        <w:rPr>
          <w:rFonts w:hint="eastAsia" w:ascii="Times New Roman" w:hAnsi="Times New Roman" w:eastAsia="方正小标宋简体" w:cs="方正小标宋简体"/>
          <w:color w:val="auto"/>
          <w:sz w:val="72"/>
          <w:szCs w:val="72"/>
          <w:lang w:val="en-US" w:eastAsia="zh-CN"/>
        </w:rPr>
        <w:t>峨边县供销社</w:t>
      </w:r>
    </w:p>
    <w:p w14:paraId="097C8EA5">
      <w:pPr>
        <w:adjustRightInd w:val="0"/>
        <w:snapToGrid w:val="0"/>
        <w:spacing w:line="360" w:lineRule="auto"/>
        <w:jc w:val="center"/>
        <w:outlineLvl w:val="0"/>
        <w:rPr>
          <w:rFonts w:ascii="Times New Roman" w:hAnsi="Times New Roman" w:eastAsia="方正小标宋简体" w:cs="方正小标宋简体"/>
          <w:color w:val="auto"/>
          <w:sz w:val="72"/>
          <w:szCs w:val="72"/>
        </w:rPr>
      </w:pPr>
      <w:r>
        <w:rPr>
          <w:rFonts w:hint="eastAsia" w:ascii="Times New Roman" w:hAnsi="Times New Roman" w:eastAsia="方正小标宋简体" w:cs="方正小标宋简体"/>
          <w:color w:val="auto"/>
          <w:sz w:val="72"/>
          <w:szCs w:val="72"/>
        </w:rPr>
        <w:t>部门决算</w:t>
      </w:r>
      <w:bookmarkEnd w:id="6"/>
      <w:bookmarkEnd w:id="7"/>
      <w:bookmarkEnd w:id="8"/>
      <w:bookmarkEnd w:id="9"/>
      <w:bookmarkEnd w:id="10"/>
      <w:bookmarkEnd w:id="11"/>
    </w:p>
    <w:p w14:paraId="7FDED1F1">
      <w:pPr>
        <w:pStyle w:val="5"/>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32812A7B">
      <w:pPr>
        <w:widowControl/>
        <w:jc w:val="center"/>
        <w:rPr>
          <w:rFonts w:ascii="Times New Roman" w:hAnsi="Times New Roman" w:eastAsia="黑体" w:cstheme="minorBidi"/>
          <w:color w:val="auto"/>
          <w:sz w:val="28"/>
          <w:szCs w:val="28"/>
          <w:highlight w:val="none"/>
        </w:rPr>
      </w:pPr>
    </w:p>
    <w:p w14:paraId="63A794FA">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日</w:t>
      </w:r>
    </w:p>
    <w:p w14:paraId="22780595">
      <w:pPr>
        <w:rPr>
          <w:rFonts w:ascii="Times New Roman" w:hAnsi="Times New Roman"/>
          <w:color w:val="auto"/>
          <w:highlight w:val="none"/>
        </w:rPr>
      </w:pPr>
    </w:p>
    <w:p w14:paraId="20823C0F">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w:t>
      </w:r>
    </w:p>
    <w:p w14:paraId="6E4BA6A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Times New Roman" w:hAnsi="Times New Roman" w:eastAsia="仿宋_GB2312" w:cs="仿宋_GB2312"/>
          <w:color w:val="auto"/>
          <w:sz w:val="32"/>
          <w:szCs w:val="32"/>
          <w:highlight w:val="none"/>
          <w:lang w:val="en-US" w:eastAsia="zh-CN"/>
        </w:rPr>
        <w:t>....................................................................4</w:t>
      </w:r>
    </w:p>
    <w:p w14:paraId="44D641F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Times New Roman" w:hAnsi="Times New Roman" w:eastAsia="仿宋_GB2312" w:cs="仿宋_GB2312"/>
          <w:color w:val="auto"/>
          <w:sz w:val="32"/>
          <w:szCs w:val="32"/>
          <w:highlight w:val="none"/>
          <w:lang w:val="en-US" w:eastAsia="zh-CN"/>
        </w:rPr>
        <w:t>....................................................................4</w:t>
      </w:r>
    </w:p>
    <w:p w14:paraId="7DB9DF6B">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.................................5</w:t>
      </w:r>
    </w:p>
    <w:p w14:paraId="6BE17F0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仿宋_GB2312" w:cs="仿宋_GB2312"/>
          <w:color w:val="auto"/>
          <w:sz w:val="32"/>
          <w:szCs w:val="32"/>
          <w:highlight w:val="none"/>
          <w:lang w:val="en-US" w:eastAsia="zh-CN"/>
        </w:rPr>
        <w:t>....................................5</w:t>
      </w:r>
    </w:p>
    <w:p w14:paraId="31AA8F6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lang w:val="en-US" w:eastAsia="zh-CN"/>
        </w:rPr>
        <w:t>....................................................6</w:t>
      </w:r>
    </w:p>
    <w:p w14:paraId="6260259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仿宋_GB2312" w:cs="仿宋_GB2312"/>
          <w:color w:val="auto"/>
          <w:sz w:val="32"/>
          <w:szCs w:val="32"/>
          <w:highlight w:val="none"/>
          <w:lang w:val="en-US" w:eastAsia="zh-CN"/>
        </w:rPr>
        <w:t>....................................................6</w:t>
      </w:r>
    </w:p>
    <w:p w14:paraId="46C6780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lang w:val="en-US" w:eastAsia="zh-CN"/>
        </w:rPr>
        <w:t>....................6</w:t>
      </w:r>
    </w:p>
    <w:p w14:paraId="4772ED1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lang w:val="en-US" w:eastAsia="zh-CN"/>
        </w:rPr>
        <w:t>............7</w:t>
      </w:r>
    </w:p>
    <w:p w14:paraId="6B91054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Times New Roman" w:hAnsi="Times New Roman" w:eastAsia="仿宋_GB2312" w:cs="仿宋_GB2312"/>
          <w:color w:val="auto"/>
          <w:sz w:val="32"/>
          <w:szCs w:val="32"/>
          <w:highlight w:val="none"/>
          <w:lang w:val="en-US" w:eastAsia="zh-CN"/>
        </w:rPr>
        <w:t>....10</w:t>
      </w:r>
    </w:p>
    <w:p w14:paraId="55EAC3E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Times New Roman" w:hAnsi="Times New Roman" w:eastAsia="仿宋_GB2312" w:cs="仿宋_GB2312"/>
          <w:color w:val="auto"/>
          <w:sz w:val="32"/>
          <w:szCs w:val="32"/>
          <w:highlight w:val="none"/>
          <w:lang w:val="en-US" w:eastAsia="zh-CN"/>
        </w:rPr>
        <w:t>............10</w:t>
      </w:r>
    </w:p>
    <w:p w14:paraId="46F7F4F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Times New Roman" w:hAnsi="Times New Roman" w:eastAsia="仿宋_GB2312" w:cs="仿宋_GB2312"/>
          <w:color w:val="auto"/>
          <w:sz w:val="32"/>
          <w:szCs w:val="32"/>
          <w:highlight w:val="none"/>
          <w:lang w:val="en-US" w:eastAsia="zh-CN"/>
        </w:rPr>
        <w:t>.......................12</w:t>
      </w:r>
    </w:p>
    <w:p w14:paraId="04A21EA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Times New Roman" w:hAnsi="Times New Roman" w:eastAsia="仿宋_GB2312" w:cs="仿宋_GB2312"/>
          <w:color w:val="auto"/>
          <w:sz w:val="32"/>
          <w:szCs w:val="32"/>
          <w:highlight w:val="none"/>
          <w:lang w:val="en-US" w:eastAsia="zh-CN"/>
        </w:rPr>
        <w:t>...................12</w:t>
      </w:r>
    </w:p>
    <w:p w14:paraId="33E5F11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Times New Roman" w:hAnsi="Times New Roman" w:eastAsia="仿宋_GB2312" w:cs="仿宋_GB2312"/>
          <w:color w:val="auto"/>
          <w:sz w:val="32"/>
          <w:szCs w:val="32"/>
          <w:highlight w:val="none"/>
          <w:lang w:val="en-US" w:eastAsia="zh-CN"/>
        </w:rPr>
        <w:t>.......................................13</w:t>
      </w:r>
    </w:p>
    <w:p w14:paraId="574E27A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.................................................................15</w:t>
      </w:r>
    </w:p>
    <w:p w14:paraId="5F91BAED">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.........................................................................19</w:t>
      </w:r>
    </w:p>
    <w:p w14:paraId="57F2B43F">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.........................................................................30</w:t>
      </w:r>
    </w:p>
    <w:p w14:paraId="35A3D4B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7A4157F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217561E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51A2990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6631AF87">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39672AF5">
      <w:pPr>
        <w:pStyle w:val="14"/>
        <w:keepNext w:val="0"/>
        <w:keepLines w:val="0"/>
        <w:pageBreakBefore w:val="0"/>
        <w:widowControl w:val="0"/>
        <w:kinsoku/>
        <w:wordWrap/>
        <w:overflowPunct/>
        <w:topLinePunct w:val="0"/>
        <w:autoSpaceDE/>
        <w:autoSpaceDN/>
        <w:bidi w:val="0"/>
        <w:adjustRightInd w:val="0"/>
        <w:snapToGrid w:val="0"/>
        <w:spacing w:line="560" w:lineRule="exact"/>
        <w:ind w:left="638" w:leftChars="304" w:firstLine="0" w:firstLineChars="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4EA16BF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55B93B8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2CC4542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6661505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297E3BE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357B3F0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30</w:t>
      </w:r>
    </w:p>
    <w:p w14:paraId="7C7D08E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Times New Roman" w:hAnsi="Times New Roman" w:eastAsia="仿宋_GB2312" w:cs="仿宋_GB2312"/>
          <w:color w:val="auto"/>
          <w:sz w:val="32"/>
          <w:szCs w:val="32"/>
          <w:highlight w:val="none"/>
          <w:lang w:val="en-US" w:eastAsia="zh-CN"/>
        </w:rPr>
        <w:t>.....................</w:t>
      </w:r>
      <w:r>
        <w:rPr>
          <w:rFonts w:hint="eastAsia" w:eastAsia="仿宋_GB2312" w:cs="仿宋_GB2312"/>
          <w:color w:val="auto"/>
          <w:sz w:val="32"/>
          <w:szCs w:val="32"/>
          <w:highlight w:val="none"/>
          <w:lang w:val="en-US" w:eastAsia="zh-CN"/>
        </w:rPr>
        <w:t>30</w:t>
      </w:r>
    </w:p>
    <w:p w14:paraId="57E8FA0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03C6FDE8">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1D684B44">
      <w:pPr>
        <w:ind w:firstLine="880" w:firstLineChars="200"/>
        <w:jc w:val="center"/>
        <w:rPr>
          <w:rFonts w:hint="eastAsia"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 w:val="0"/>
          <w:bCs/>
          <w:color w:val="auto"/>
          <w:kern w:val="44"/>
          <w:sz w:val="44"/>
          <w:szCs w:val="44"/>
          <w:highlight w:val="none"/>
          <w:lang w:val="en-US" w:eastAsia="zh-CN" w:bidi="ar-SA"/>
        </w:rPr>
        <w:t>第一部分  部门概况</w:t>
      </w:r>
      <w:bookmarkEnd w:id="12"/>
      <w:bookmarkEnd w:id="13"/>
    </w:p>
    <w:p w14:paraId="66759408">
      <w:pPr>
        <w:rPr>
          <w:color w:val="auto"/>
        </w:rPr>
      </w:pPr>
    </w:p>
    <w:p w14:paraId="3C30E01A">
      <w:pPr>
        <w:ind w:firstLine="640" w:firstLineChars="20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一、部门职责</w:t>
      </w:r>
    </w:p>
    <w:p w14:paraId="1573A657">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负责全县系统发展战略和发展规划的研究制订；指导全县系统社有企业改革发展工作；指导全县系统基层社、农民专业合作社、农村电子商务、综合服务平台、农资商品储备制度、专业（行业）协会和合作经济联合组织建设；负责县本级系统社有资产管理工作，落实县社理事会在企业中的出资人代表职责，监督指导社有企业经营活动；负责全县系统项目管理工作；指导全县系统财会和审计工作；负责招商引资及重点投资项目建设工作；负责县本级统计工作，指导全县系统统计工作；承办全县系统经济绩效考核工作；负责县本级并指导全县系统整顿规范市场经济秩序工作。负责县本级并指导全县系统安全生产、环境保护和信访稳定工作，完成领导交办的其他工作。</w:t>
      </w:r>
    </w:p>
    <w:p w14:paraId="22DDACBB">
      <w:pPr>
        <w:ind w:firstLine="640" w:firstLineChars="200"/>
        <w:rPr>
          <w:rFonts w:hint="eastAsia" w:ascii="黑体" w:hAnsi="黑体" w:eastAsia="黑体" w:cs="黑体"/>
          <w:color w:val="auto"/>
          <w:kern w:val="2"/>
          <w:sz w:val="32"/>
          <w:szCs w:val="32"/>
          <w:highlight w:val="none"/>
          <w:lang w:val="en-US" w:eastAsia="zh-CN" w:bidi="ar-SA"/>
        </w:rPr>
      </w:pPr>
      <w:bookmarkStart w:id="14" w:name="_Toc15377200"/>
      <w:bookmarkStart w:id="15" w:name="_Toc15396601"/>
      <w:r>
        <w:rPr>
          <w:rFonts w:hint="eastAsia" w:ascii="黑体" w:hAnsi="黑体" w:eastAsia="黑体" w:cs="黑体"/>
          <w:color w:val="auto"/>
          <w:kern w:val="2"/>
          <w:sz w:val="32"/>
          <w:szCs w:val="32"/>
          <w:highlight w:val="none"/>
          <w:lang w:val="en-US" w:eastAsia="zh-CN" w:bidi="ar-SA"/>
        </w:rPr>
        <w:t>二、机构设置</w:t>
      </w:r>
      <w:bookmarkEnd w:id="14"/>
      <w:bookmarkEnd w:id="15"/>
    </w:p>
    <w:p w14:paraId="60EBDB53">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县供销社下属二级预算单位0个，其中行政单位0个，参照公务员法管理的事业单位0个，其他事业单位0个。</w:t>
      </w:r>
    </w:p>
    <w:p w14:paraId="3405BF1E">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纳入县供销社2024年度部门决算编制范围的二级预算单位包括：无。</w:t>
      </w:r>
    </w:p>
    <w:p w14:paraId="20D8FF68">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7388BA71">
      <w:pPr>
        <w:pStyle w:val="2"/>
        <w:jc w:val="center"/>
        <w:rPr>
          <w:rFonts w:hint="eastAsia" w:ascii="Times New Roman" w:hAnsi="Times New Roman" w:eastAsia="方正小标宋简体" w:cs="方正小标宋简体"/>
          <w:b w:val="0"/>
          <w:color w:val="auto"/>
          <w:highlight w:val="none"/>
        </w:rPr>
      </w:pPr>
      <w:bookmarkStart w:id="16" w:name="_Toc15396602"/>
      <w:bookmarkStart w:id="17"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3C4BF662">
      <w:pPr>
        <w:rPr>
          <w:rFonts w:ascii="Times New Roman" w:hAnsi="Times New Roman"/>
          <w:color w:val="auto"/>
          <w:highlight w:val="none"/>
        </w:rPr>
      </w:pPr>
    </w:p>
    <w:p w14:paraId="28B43C3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3"/>
      <w:bookmarkStart w:id="19"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p>
    <w:p w14:paraId="3732F5B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lang w:val="en-US" w:eastAsia="zh-CN"/>
        </w:rPr>
        <w:t>2552.88</w:t>
      </w:r>
      <w:r>
        <w:rPr>
          <w:rFonts w:hint="eastAsia" w:ascii="Times New Roman" w:hAnsi="Times New Roman" w:eastAsia="仿宋_GB2312" w:cs="仿宋_GB2312"/>
          <w:color w:val="auto"/>
          <w:sz w:val="32"/>
          <w:szCs w:val="32"/>
          <w:highlight w:val="none"/>
        </w:rPr>
        <w:t>万元。</w:t>
      </w:r>
      <w:r>
        <w:rPr>
          <w:rFonts w:hint="eastAsia" w:ascii="Times New Roman" w:hAnsi="Times New Roman" w:eastAsia="仿宋_GB2312" w:cs="仿宋_GB2312"/>
          <w:color w:val="auto"/>
          <w:sz w:val="32"/>
          <w:szCs w:val="32"/>
          <w:highlight w:val="none"/>
          <w:lang w:val="en-US" w:eastAsia="zh-CN"/>
        </w:rPr>
        <w:t>与2023年度相比，收、支总计各减少4701.12万元，减少64.81％。主要变动原因是职能职责减少，项目减少。</w:t>
      </w:r>
    </w:p>
    <w:p w14:paraId="2F4BE8A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drawing>
          <wp:anchor distT="0" distB="0" distL="114300" distR="114300" simplePos="0" relativeHeight="251660288" behindDoc="0" locked="0" layoutInCell="1" allowOverlap="1">
            <wp:simplePos x="0" y="0"/>
            <wp:positionH relativeFrom="column">
              <wp:posOffset>704215</wp:posOffset>
            </wp:positionH>
            <wp:positionV relativeFrom="paragraph">
              <wp:posOffset>179705</wp:posOffset>
            </wp:positionV>
            <wp:extent cx="4041140" cy="2300605"/>
            <wp:effectExtent l="4445" t="4445" r="12065" b="1905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2361AE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14:paraId="5DE275D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ascii="Times New Roman" w:hAnsi="Times New Roman" w:eastAsia="仿宋_GB2312" w:cs="仿宋_GB2312"/>
          <w:color w:val="auto"/>
          <w:sz w:val="32"/>
          <w:szCs w:val="32"/>
          <w:highlight w:val="none"/>
          <w:lang w:val="en-US" w:eastAsia="zh-CN"/>
        </w:rPr>
        <w:t>2551.9</w:t>
      </w:r>
      <w:r>
        <w:rPr>
          <w:rFonts w:hint="eastAsia" w:ascii="Times New Roman" w:hAnsi="Times New Roman" w:eastAsia="仿宋_GB2312" w:cs="仿宋_GB2312"/>
          <w:color w:val="auto"/>
          <w:sz w:val="32"/>
          <w:szCs w:val="32"/>
        </w:rPr>
        <w:t>万元，其中：一般公共预算财政拨款收入</w:t>
      </w:r>
      <w:r>
        <w:rPr>
          <w:rFonts w:hint="eastAsia" w:ascii="Times New Roman" w:hAnsi="Times New Roman" w:eastAsia="仿宋_GB2312" w:cs="仿宋_GB2312"/>
          <w:color w:val="auto"/>
          <w:sz w:val="32"/>
          <w:szCs w:val="32"/>
          <w:highlight w:val="none"/>
          <w:lang w:val="en-US" w:eastAsia="zh-CN"/>
        </w:rPr>
        <w:t>2387.84</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93.57</w:t>
      </w:r>
      <w:r>
        <w:rPr>
          <w:rFonts w:hint="eastAsia" w:ascii="Times New Roman" w:hAnsi="Times New Roman" w:eastAsia="仿宋_GB2312" w:cs="仿宋_GB2312"/>
          <w:color w:val="auto"/>
          <w:sz w:val="32"/>
          <w:szCs w:val="32"/>
          <w:highlight w:val="none"/>
          <w:lang w:eastAsia="zh-CN"/>
        </w:rPr>
        <w:t>%；国有资本经营预算财政拨款收入</w:t>
      </w:r>
      <w:r>
        <w:rPr>
          <w:rFonts w:hint="eastAsia" w:ascii="Times New Roman" w:hAnsi="Times New Roman" w:eastAsia="仿宋_GB2312" w:cs="仿宋_GB2312"/>
          <w:color w:val="auto"/>
          <w:sz w:val="32"/>
          <w:szCs w:val="32"/>
          <w:highlight w:val="none"/>
          <w:lang w:val="en-US" w:eastAsia="zh-CN"/>
        </w:rPr>
        <w:t>164.07</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6.43</w:t>
      </w:r>
      <w:r>
        <w:rPr>
          <w:rFonts w:hint="eastAsia" w:ascii="Times New Roman" w:hAnsi="Times New Roman" w:eastAsia="仿宋_GB2312" w:cs="仿宋_GB2312"/>
          <w:color w:val="auto"/>
          <w:sz w:val="32"/>
          <w:szCs w:val="32"/>
          <w:highlight w:val="none"/>
          <w:lang w:eastAsia="zh-CN"/>
        </w:rPr>
        <w:t>%。</w:t>
      </w:r>
    </w:p>
    <w:p w14:paraId="1944920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02BFA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2"/>
      <w:bookmarkEnd w:id="23"/>
    </w:p>
    <w:p w14:paraId="15586D6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ascii="Times New Roman" w:hAnsi="Times New Roman" w:eastAsia="仿宋_GB2312" w:cs="仿宋_GB2312"/>
          <w:color w:val="auto"/>
          <w:sz w:val="32"/>
          <w:szCs w:val="32"/>
          <w:highlight w:val="none"/>
          <w:lang w:val="en-US" w:eastAsia="zh-CN"/>
        </w:rPr>
        <w:t>2551.9</w:t>
      </w:r>
      <w:r>
        <w:rPr>
          <w:rFonts w:hint="eastAsia" w:ascii="Times New Roman" w:hAnsi="Times New Roman" w:eastAsia="仿宋_GB2312" w:cs="仿宋_GB2312"/>
          <w:color w:val="auto"/>
          <w:sz w:val="32"/>
          <w:szCs w:val="32"/>
          <w:highlight w:val="none"/>
          <w:lang w:eastAsia="zh-CN"/>
        </w:rPr>
        <w:t>万元，其中：基本支出</w:t>
      </w:r>
      <w:r>
        <w:rPr>
          <w:rFonts w:hint="eastAsia" w:ascii="Times New Roman" w:hAnsi="Times New Roman" w:eastAsia="仿宋_GB2312" w:cs="仿宋_GB2312"/>
          <w:color w:val="auto"/>
          <w:sz w:val="32"/>
          <w:szCs w:val="32"/>
          <w:highlight w:val="none"/>
          <w:lang w:val="en-US" w:eastAsia="zh-CN"/>
        </w:rPr>
        <w:t>329.11</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12.9</w:t>
      </w:r>
      <w:r>
        <w:rPr>
          <w:rFonts w:hint="eastAsia" w:ascii="Times New Roman" w:hAnsi="Times New Roman" w:eastAsia="仿宋_GB2312" w:cs="仿宋_GB2312"/>
          <w:color w:val="auto"/>
          <w:sz w:val="32"/>
          <w:szCs w:val="32"/>
          <w:highlight w:val="none"/>
          <w:lang w:eastAsia="zh-CN"/>
        </w:rPr>
        <w:t>%；项目支出</w:t>
      </w:r>
      <w:r>
        <w:rPr>
          <w:rFonts w:hint="eastAsia" w:ascii="Times New Roman" w:hAnsi="Times New Roman" w:eastAsia="仿宋_GB2312" w:cs="仿宋_GB2312"/>
          <w:color w:val="auto"/>
          <w:sz w:val="32"/>
          <w:szCs w:val="32"/>
          <w:highlight w:val="none"/>
          <w:lang w:val="en-US" w:eastAsia="zh-CN"/>
        </w:rPr>
        <w:t>2222.79</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color w:val="auto"/>
          <w:sz w:val="32"/>
          <w:szCs w:val="32"/>
          <w:highlight w:val="none"/>
          <w:lang w:val="en-US" w:eastAsia="zh-CN"/>
        </w:rPr>
        <w:t>87.1</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w:t>
      </w:r>
    </w:p>
    <w:p w14:paraId="5B9C750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EB1BE6">
      <w:pPr>
        <w:spacing w:line="600" w:lineRule="exact"/>
        <w:ind w:firstLine="640" w:firstLineChars="200"/>
        <w:outlineLvl w:val="1"/>
        <w:rPr>
          <w:rStyle w:val="29"/>
          <w:rFonts w:ascii="Times New Roman" w:hAnsi="Times New Roman" w:eastAsia="黑体"/>
          <w:b w:val="0"/>
          <w:color w:val="auto"/>
          <w:highlight w:val="none"/>
        </w:rPr>
      </w:pPr>
      <w:bookmarkStart w:id="24" w:name="_Toc15377208"/>
      <w:bookmarkStart w:id="25"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4"/>
      <w:bookmarkEnd w:id="25"/>
    </w:p>
    <w:p w14:paraId="0ACD6244">
      <w:p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bidi="ar-SA"/>
        </w:rPr>
      </w:pPr>
      <w:bookmarkStart w:id="26" w:name="_Toc15377209"/>
      <w:bookmarkStart w:id="27" w:name="_Toc15396607"/>
      <w:r>
        <w:rPr>
          <w:rFonts w:hint="eastAsia" w:ascii="Times New Roman" w:hAnsi="Times New Roman" w:eastAsia="仿宋_GB2312" w:cs="仿宋_GB2312"/>
          <w:color w:val="auto"/>
          <w:kern w:val="2"/>
          <w:sz w:val="32"/>
          <w:szCs w:val="32"/>
          <w:highlight w:val="none"/>
          <w:lang w:val="en-US" w:eastAsia="zh-CN" w:bidi="ar-SA"/>
        </w:rPr>
        <w:t>2024年度财政拨款收、支总计均为2552.88万元。与2023年度相比，财政拨款收、支总计各减少4701.12万元，减少64.81%。主要变动原因是职能职责减少，项目减少。</w:t>
      </w:r>
    </w:p>
    <w:p w14:paraId="3C6F3DC2">
      <w:pPr>
        <w:pStyle w:val="10"/>
        <w:rPr>
          <w:rFonts w:hint="eastAsia" w:ascii="Times New Roman" w:hAnsi="Times New Roman"/>
          <w:color w:val="auto"/>
          <w:lang w:val="en-US" w:eastAsia="zh-CN"/>
        </w:rPr>
      </w:pPr>
      <w:r>
        <w:rPr>
          <w:rFonts w:hint="eastAsia" w:ascii="Times New Roman" w:hAnsi="Times New Roman" w:eastAsia="仿宋_GB2312" w:cs="仿宋_GB2312"/>
          <w:color w:val="auto"/>
          <w:sz w:val="32"/>
          <w:szCs w:val="32"/>
          <w:highlight w:val="none"/>
          <w:lang w:val="en-US" w:eastAsia="zh-CN"/>
        </w:rPr>
        <w:drawing>
          <wp:anchor distT="0" distB="0" distL="114300" distR="114300" simplePos="0" relativeHeight="251661312" behindDoc="0" locked="0" layoutInCell="1" allowOverlap="1">
            <wp:simplePos x="0" y="0"/>
            <wp:positionH relativeFrom="column">
              <wp:posOffset>575945</wp:posOffset>
            </wp:positionH>
            <wp:positionV relativeFrom="paragraph">
              <wp:posOffset>147320</wp:posOffset>
            </wp:positionV>
            <wp:extent cx="4041140" cy="2300605"/>
            <wp:effectExtent l="4445" t="4445" r="12065" b="1905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E9E3CD2">
      <w:pPr>
        <w:spacing w:line="600" w:lineRule="exact"/>
        <w:ind w:firstLine="640" w:firstLineChars="200"/>
        <w:outlineLvl w:val="1"/>
        <w:rPr>
          <w:rStyle w:val="29"/>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6"/>
      <w:bookmarkEnd w:id="27"/>
    </w:p>
    <w:p w14:paraId="223873C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554706BC">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bookmarkStart w:id="29" w:name="_Toc15377211"/>
      <w:r>
        <w:rPr>
          <w:rFonts w:hint="eastAsia" w:ascii="Times New Roman" w:hAnsi="Times New Roman" w:eastAsia="仿宋_GB2312" w:cs="仿宋_GB2312"/>
          <w:color w:val="auto"/>
          <w:kern w:val="2"/>
          <w:sz w:val="32"/>
          <w:szCs w:val="32"/>
          <w:highlight w:val="none"/>
          <w:lang w:val="en-US" w:eastAsia="zh-CN" w:bidi="ar-SA"/>
        </w:rPr>
        <w:t>2024年度一般公共预算财政拨款支出2387.84万元，占本年支出合计的93.57%。与2023年度相比，一般公共预算财政拨款支出减少3637.73万元，减少60.37%。主要变动原因是职能职责减少，项目减少。</w:t>
      </w:r>
    </w:p>
    <w:p w14:paraId="2CE2AAA0">
      <w:p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534670</wp:posOffset>
            </wp:positionH>
            <wp:positionV relativeFrom="paragraph">
              <wp:posOffset>118745</wp:posOffset>
            </wp:positionV>
            <wp:extent cx="4154170" cy="2732405"/>
            <wp:effectExtent l="4445" t="5080" r="13335" b="571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10DA6FC">
      <w:pPr>
        <w:spacing w:line="600" w:lineRule="exact"/>
        <w:outlineLvl w:val="2"/>
        <w:rPr>
          <w:rFonts w:hint="eastAsia" w:ascii="Times New Roman" w:hAnsi="Times New Roman" w:eastAsia="仿宋_GB2312" w:cs="仿宋_GB2312"/>
          <w:color w:val="auto"/>
          <w:kern w:val="2"/>
          <w:sz w:val="32"/>
          <w:szCs w:val="32"/>
          <w:highlight w:val="none"/>
          <w:lang w:val="en-US" w:eastAsia="zh-CN" w:bidi="ar-SA"/>
        </w:rPr>
      </w:pPr>
    </w:p>
    <w:p w14:paraId="6F3B722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34169F77">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color w:val="auto"/>
          <w:sz w:val="32"/>
          <w:szCs w:val="32"/>
          <w:highlight w:val="none"/>
          <w:lang w:val="en-US" w:eastAsia="zh-CN"/>
        </w:rPr>
        <w:t>2387.84</w:t>
      </w:r>
      <w:r>
        <w:rPr>
          <w:rFonts w:hint="eastAsia" w:ascii="Times New Roman" w:hAnsi="Times New Roman" w:eastAsia="仿宋_GB2312" w:cs="仿宋_GB2312"/>
          <w:color w:val="auto"/>
          <w:kern w:val="2"/>
          <w:sz w:val="32"/>
          <w:szCs w:val="32"/>
          <w:highlight w:val="none"/>
          <w:lang w:val="en-US" w:eastAsia="zh-CN" w:bidi="ar-SA"/>
        </w:rPr>
        <w:t>万元，主要用于以下方面：一般公共服务支出106.8万元，占4.47%；节能环保支出727.22万元，占30.46%；商业服务业等支出285.81万元，占11.97%；农林水支出1072.76万元，占44.93%；社会保障和就业支出38.55万元，占1.61%；卫生健康支出5.41万元，占0.23%；住房保障支出13.44万元，占0.56%；灾害防治及应急管理支出137.84万元，占5.77%。</w:t>
      </w:r>
    </w:p>
    <w:p w14:paraId="40EB34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115570</wp:posOffset>
            </wp:positionH>
            <wp:positionV relativeFrom="paragraph">
              <wp:posOffset>43815</wp:posOffset>
            </wp:positionV>
            <wp:extent cx="5256530" cy="2988310"/>
            <wp:effectExtent l="5080" t="4445" r="15240" b="17145"/>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325ACC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p>
    <w:p w14:paraId="6A376341">
      <w:pPr>
        <w:pStyle w:val="3"/>
        <w:rPr>
          <w:rFonts w:hint="eastAsia" w:ascii="Times New Roman" w:hAnsi="Times New Roman" w:eastAsia="楷体_GB2312" w:cs="楷体_GB2312"/>
          <w:b/>
          <w:color w:val="auto"/>
          <w:sz w:val="32"/>
          <w:szCs w:val="32"/>
          <w:highlight w:val="none"/>
        </w:rPr>
      </w:pPr>
    </w:p>
    <w:p w14:paraId="6E6F9FEC">
      <w:pPr>
        <w:rPr>
          <w:rFonts w:hint="eastAsia" w:ascii="Times New Roman" w:hAnsi="Times New Roman"/>
          <w:color w:val="auto"/>
        </w:rPr>
      </w:pPr>
    </w:p>
    <w:p w14:paraId="7FD70EC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CD93E4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AC4BE9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3F2CFD5B">
      <w:pPr>
        <w:spacing w:line="600" w:lineRule="exact"/>
        <w:ind w:firstLine="643" w:firstLineChars="200"/>
        <w:outlineLvl w:val="2"/>
        <w:rPr>
          <w:rFonts w:hint="eastAsia" w:ascii="Times New Roman" w:hAnsi="Times New Roman" w:eastAsia="楷体_GB2312" w:cs="楷体_GB2312"/>
          <w:b/>
          <w:color w:val="auto"/>
          <w:sz w:val="32"/>
          <w:szCs w:val="32"/>
          <w:highlight w:val="none"/>
          <w:lang w:eastAsia="zh-CN"/>
        </w:rPr>
      </w:pPr>
    </w:p>
    <w:p w14:paraId="62C9A3C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30E5EB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444"/>
      <w:bookmarkStart w:id="32" w:name="_Toc15378460"/>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Times New Roman" w:hAnsi="Times New Roman" w:eastAsia="仿宋_GB2312" w:cs="仿宋_GB2312"/>
          <w:color w:val="auto"/>
          <w:sz w:val="32"/>
          <w:szCs w:val="32"/>
          <w:highlight w:val="none"/>
          <w:lang w:val="en-US" w:eastAsia="zh-CN"/>
        </w:rPr>
        <w:t>2387.84</w:t>
      </w:r>
      <w:r>
        <w:rPr>
          <w:rFonts w:hint="eastAsia" w:ascii="Times New Roman" w:hAnsi="Times New Roman" w:eastAsia="仿宋_GB2312" w:cs="仿宋_GB2312"/>
          <w:color w:val="auto"/>
          <w:sz w:val="32"/>
          <w:szCs w:val="32"/>
          <w:highlight w:val="none"/>
          <w:lang w:eastAsia="zh-CN"/>
        </w:rPr>
        <w:t>万元</w:t>
      </w:r>
      <w:r>
        <w:rPr>
          <w:rFonts w:hint="eastAsia" w:ascii="Times New Roman" w:hAnsi="Times New Roman" w:eastAsia="仿宋_GB2312" w:cs="仿宋_GB2312"/>
          <w:color w:val="auto"/>
          <w:kern w:val="2"/>
          <w:sz w:val="32"/>
          <w:szCs w:val="32"/>
          <w:highlight w:val="none"/>
          <w:lang w:val="en-US" w:eastAsia="zh-CN" w:bidi="ar-SA"/>
        </w:rPr>
        <w:t>，完成预算100%。其中：</w:t>
      </w:r>
      <w:bookmarkEnd w:id="31"/>
      <w:bookmarkEnd w:id="32"/>
      <w:bookmarkEnd w:id="33"/>
    </w:p>
    <w:p w14:paraId="6E77EE7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1.一般公共服务支出（类）政府办公厅（室）及相关机构事务（款）机关服务（项）：支出决算为106.8万元，完成预算100％。</w:t>
      </w:r>
    </w:p>
    <w:p w14:paraId="765EA0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2.社会保障和就业支出（类）行政事业单位养老支出（款）机关事业单位基本养老保险缴费支出（项）：支出决算为18.25万元，完成预算100%。</w:t>
      </w:r>
    </w:p>
    <w:p w14:paraId="5D90FC2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3.社会保障和就业支出（类）行政事业单位养老支出（款）机关事业单位职业年金缴费支出（项）：支出决算为8.18万元，完成预算100%。</w:t>
      </w:r>
    </w:p>
    <w:p w14:paraId="27BF6B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4.社会保障和就业支出（类）抚恤（款）死亡抚恤（项）：支出决算为7.68万元，完成预算100%。</w:t>
      </w:r>
    </w:p>
    <w:p w14:paraId="7DB2754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5.社会保障和就业支出（类）其他社会保障和就业支出（款）其他社会保障和就业支出（项）：支出决算为4.44万元，完成预算100%。</w:t>
      </w:r>
    </w:p>
    <w:p w14:paraId="64BCAE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6.卫生健康支出（类）行政事业单位医疗（款）行政单位医疗（项）：支出决算为5.41万元，完成预算100%。</w:t>
      </w:r>
    </w:p>
    <w:p w14:paraId="0AD628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7.节能环保支出（类）森林保护修复（款）社会保险补助（项）：支出决算为447.22万元，完成预算100%。</w:t>
      </w:r>
    </w:p>
    <w:p w14:paraId="1202EE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8.节能环保支出（类）森林保护修复（款）其他森林保护修复支出（项）: 支出决算为280万元，完成预算100%。</w:t>
      </w:r>
    </w:p>
    <w:p w14:paraId="3B078023">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9.农林水支出（类）林业和草原（款）森林资源培育（项）: 支出决算为1070万元，完成预算100%。</w:t>
      </w:r>
    </w:p>
    <w:p w14:paraId="64D1CDE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10.农林水支出（类）巩固脱贫攻坚成果衔接乡村振兴（款）其他巩固脱贫攻坚成果衔接乡村振兴支出（项）: 支出决算为2.76万元，完成预算100%。</w:t>
      </w:r>
    </w:p>
    <w:p w14:paraId="021DA2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11.商业服务业等支出（类）商业事务流通（款）行政运行（项）: 支出决算为267.2万元，完成预算100%。</w:t>
      </w:r>
    </w:p>
    <w:p w14:paraId="173F094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12.商业服务业等支出（类）商业事务流通（款）事业运行（项）: 支出决算为2.64万元，完成预算100%。</w:t>
      </w:r>
    </w:p>
    <w:p w14:paraId="248831D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13.商业服务业等支出（类）商业事务流通（款）其他商业流通事务支出（项）: 支出决算为15.97万元，完成预算100%。</w:t>
      </w:r>
    </w:p>
    <w:p w14:paraId="7F79972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14.住房保障支出（类）住房改革支出（款）住房公积金（项）：支出决算为13.44万元，完成预算100%。</w:t>
      </w:r>
    </w:p>
    <w:p w14:paraId="43595C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15.灾害防治及应急管理支出（类）自然灾害防治（款）地质灾害防治（项）：支出决算为137.84万元，完成预算100%。</w:t>
      </w:r>
    </w:p>
    <w:p w14:paraId="7A5AFB51">
      <w:pPr>
        <w:tabs>
          <w:tab w:val="right" w:pos="8306"/>
        </w:tabs>
        <w:spacing w:line="600" w:lineRule="exact"/>
        <w:ind w:firstLine="640"/>
        <w:outlineLvl w:val="1"/>
        <w:rPr>
          <w:rStyle w:val="29"/>
          <w:rFonts w:ascii="Times New Roman" w:hAnsi="Times New Roman"/>
          <w:color w:val="auto"/>
          <w:highlight w:val="none"/>
        </w:rPr>
      </w:pPr>
      <w:bookmarkStart w:id="34" w:name="_Toc15396608"/>
      <w:bookmarkStart w:id="3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4"/>
      <w:bookmarkEnd w:id="35"/>
      <w:r>
        <w:rPr>
          <w:rStyle w:val="29"/>
          <w:rFonts w:ascii="Times New Roman" w:hAnsi="Times New Roman" w:eastAsia="黑体"/>
          <w:b w:val="0"/>
          <w:color w:val="auto"/>
          <w:highlight w:val="none"/>
        </w:rPr>
        <w:tab/>
      </w:r>
    </w:p>
    <w:p w14:paraId="103088D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Times New Roman" w:hAnsi="Times New Roman" w:eastAsia="仿宋_GB2312" w:cs="仿宋_GB2312"/>
          <w:color w:val="auto"/>
          <w:sz w:val="32"/>
          <w:szCs w:val="32"/>
          <w:highlight w:val="none"/>
          <w:lang w:val="en-US" w:eastAsia="zh-CN"/>
        </w:rPr>
        <w:t>329.11</w:t>
      </w:r>
      <w:r>
        <w:rPr>
          <w:rFonts w:hint="eastAsia" w:ascii="Times New Roman" w:hAnsi="Times New Roman" w:eastAsia="仿宋_GB2312" w:cs="仿宋_GB2312"/>
          <w:color w:val="auto"/>
          <w:kern w:val="2"/>
          <w:sz w:val="32"/>
          <w:szCs w:val="32"/>
          <w:highlight w:val="none"/>
          <w:lang w:val="en-US" w:eastAsia="zh-CN" w:bidi="ar-SA"/>
        </w:rPr>
        <w:t>万元，其中：</w:t>
      </w:r>
    </w:p>
    <w:p w14:paraId="0B60F4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Times New Roman" w:hAnsi="Times New Roman" w:eastAsia="仿宋_GB2312" w:cs="仿宋_GB2312"/>
          <w:color w:val="auto"/>
          <w:sz w:val="32"/>
          <w:szCs w:val="32"/>
          <w:highlight w:val="none"/>
          <w:lang w:val="en-US" w:eastAsia="zh-CN"/>
        </w:rPr>
        <w:t>187.68</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伙食补助费、机关事业单位基本养老保险缴费、职业年金缴费、职工基本医疗保险缴费、其他社会保障缴费、住房公积金、生活补助、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xml:space="preserve">    公用经费</w:t>
      </w:r>
      <w:r>
        <w:rPr>
          <w:rFonts w:hint="eastAsia" w:ascii="Times New Roman" w:hAnsi="Times New Roman" w:eastAsia="仿宋_GB2312" w:cs="仿宋_GB2312"/>
          <w:color w:val="auto"/>
          <w:sz w:val="32"/>
          <w:szCs w:val="32"/>
          <w:highlight w:val="none"/>
          <w:lang w:val="en-US" w:eastAsia="zh-CN"/>
        </w:rPr>
        <w:t>141.43</w:t>
      </w:r>
      <w:r>
        <w:rPr>
          <w:rFonts w:hint="eastAsia" w:ascii="Times New Roman" w:hAnsi="Times New Roman" w:eastAsia="仿宋_GB2312" w:cs="仿宋_GB2312"/>
          <w:color w:val="auto"/>
          <w:kern w:val="2"/>
          <w:sz w:val="32"/>
          <w:szCs w:val="32"/>
          <w:highlight w:val="none"/>
          <w:lang w:val="en-US" w:eastAsia="zh-CN" w:bidi="ar-SA"/>
        </w:rPr>
        <w:t>万元，主要包括：办公费、印刷费、水费、电费、邮电费、差旅费、其他交通费用等。</w:t>
      </w:r>
    </w:p>
    <w:p w14:paraId="7AB3F720">
      <w:pPr>
        <w:spacing w:line="600" w:lineRule="exact"/>
        <w:ind w:firstLine="640"/>
        <w:outlineLvl w:val="1"/>
        <w:rPr>
          <w:rStyle w:val="29"/>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6"/>
      <w:bookmarkEnd w:id="37"/>
    </w:p>
    <w:p w14:paraId="501F39E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494BAB4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Times New Roman" w:hAnsi="Times New Roman" w:eastAsia="仿宋_GB2312" w:cs="仿宋_GB2312"/>
          <w:color w:val="auto"/>
          <w:sz w:val="32"/>
          <w:szCs w:val="32"/>
          <w:highlight w:val="none"/>
          <w:lang w:val="en-US" w:eastAsia="zh-CN"/>
        </w:rPr>
        <w:t>109.07</w:t>
      </w:r>
      <w:r>
        <w:rPr>
          <w:rFonts w:hint="eastAsia" w:ascii="Times New Roman" w:hAnsi="Times New Roman" w:eastAsia="仿宋_GB2312" w:cs="仿宋_GB2312"/>
          <w:color w:val="auto"/>
          <w:kern w:val="2"/>
          <w:sz w:val="32"/>
          <w:szCs w:val="32"/>
          <w:highlight w:val="none"/>
          <w:lang w:val="en-US" w:eastAsia="zh-CN" w:bidi="ar-SA"/>
        </w:rPr>
        <w:t>万元，完成预算100%，较上年度减少582.66万元，减少84.23%。决算数与预算数持平。</w:t>
      </w:r>
    </w:p>
    <w:p w14:paraId="73DBB9B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49EC61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，占0%；公务用车购置及运行维护费支出决算</w:t>
      </w:r>
      <w:r>
        <w:rPr>
          <w:rFonts w:hint="eastAsia" w:ascii="Times New Roman" w:hAnsi="Times New Roman" w:eastAsia="仿宋_GB2312" w:cs="仿宋_GB2312"/>
          <w:color w:val="auto"/>
          <w:sz w:val="32"/>
          <w:szCs w:val="32"/>
          <w:highlight w:val="none"/>
          <w:lang w:val="en-US" w:eastAsia="zh-CN"/>
        </w:rPr>
        <w:t>108.81</w:t>
      </w:r>
      <w:r>
        <w:rPr>
          <w:rFonts w:hint="eastAsia" w:ascii="Times New Roman" w:hAnsi="Times New Roman" w:eastAsia="仿宋_GB2312" w:cs="仿宋_GB2312"/>
          <w:color w:val="auto"/>
          <w:kern w:val="2"/>
          <w:sz w:val="32"/>
          <w:szCs w:val="32"/>
          <w:highlight w:val="none"/>
          <w:lang w:val="en-US" w:eastAsia="zh-CN" w:bidi="ar-SA"/>
        </w:rPr>
        <w:t>万元，占99.76%；公务接待费支出决算</w:t>
      </w:r>
      <w:r>
        <w:rPr>
          <w:rFonts w:hint="eastAsia" w:ascii="Times New Roman" w:hAnsi="Times New Roman" w:eastAsia="仿宋_GB2312" w:cs="仿宋_GB2312"/>
          <w:color w:val="auto"/>
          <w:sz w:val="32"/>
          <w:szCs w:val="32"/>
          <w:highlight w:val="none"/>
          <w:lang w:val="en-US" w:eastAsia="zh-CN"/>
        </w:rPr>
        <w:t>0.26</w:t>
      </w:r>
      <w:r>
        <w:rPr>
          <w:rFonts w:hint="eastAsia" w:ascii="Times New Roman" w:hAnsi="Times New Roman" w:eastAsia="仿宋_GB2312" w:cs="仿宋_GB2312"/>
          <w:color w:val="auto"/>
          <w:kern w:val="2"/>
          <w:sz w:val="32"/>
          <w:szCs w:val="32"/>
          <w:highlight w:val="none"/>
          <w:lang w:val="en-US" w:eastAsia="zh-CN" w:bidi="ar-SA"/>
        </w:rPr>
        <w:t>万元，占0.24%。具体情况如下：</w:t>
      </w:r>
    </w:p>
    <w:p w14:paraId="1E52D34E">
      <w:pPr>
        <w:pStyle w:val="10"/>
        <w:rPr>
          <w:rFonts w:hint="eastAsia" w:ascii="Times New Roman" w:hAnsi="Times New Roman" w:eastAsia="仿宋_GB2312" w:cs="仿宋_GB2312"/>
          <w:color w:val="auto"/>
          <w:kern w:val="2"/>
          <w:sz w:val="32"/>
          <w:szCs w:val="32"/>
          <w:highlight w:val="none"/>
          <w:lang w:val="en-US" w:eastAsia="zh-CN" w:bidi="ar-SA"/>
        </w:rPr>
      </w:pPr>
    </w:p>
    <w:p w14:paraId="13566B52">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38735</wp:posOffset>
            </wp:positionH>
            <wp:positionV relativeFrom="paragraph">
              <wp:posOffset>100330</wp:posOffset>
            </wp:positionV>
            <wp:extent cx="5122545" cy="2987675"/>
            <wp:effectExtent l="4445" t="4445" r="16510" b="1778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11BCB06">
      <w:pPr>
        <w:pStyle w:val="10"/>
        <w:rPr>
          <w:rFonts w:hint="eastAsia" w:ascii="Times New Roman" w:hAnsi="Times New Roman" w:eastAsia="仿宋_GB2312" w:cs="仿宋_GB2312"/>
          <w:color w:val="auto"/>
          <w:kern w:val="2"/>
          <w:sz w:val="32"/>
          <w:szCs w:val="32"/>
          <w:highlight w:val="none"/>
          <w:lang w:val="en-US" w:eastAsia="zh-CN" w:bidi="ar-SA"/>
        </w:rPr>
      </w:pPr>
    </w:p>
    <w:p w14:paraId="52D70568">
      <w:pPr>
        <w:rPr>
          <w:rFonts w:hint="eastAsia" w:ascii="Times New Roman" w:hAnsi="Times New Roman" w:eastAsia="仿宋_GB2312" w:cs="仿宋_GB2312"/>
          <w:color w:val="auto"/>
          <w:kern w:val="2"/>
          <w:sz w:val="32"/>
          <w:szCs w:val="32"/>
          <w:highlight w:val="none"/>
          <w:lang w:val="en-US" w:eastAsia="zh-CN" w:bidi="ar-SA"/>
        </w:rPr>
      </w:pPr>
    </w:p>
    <w:p w14:paraId="10F64943">
      <w:pPr>
        <w:pStyle w:val="10"/>
        <w:rPr>
          <w:rFonts w:hint="eastAsia" w:ascii="Times New Roman" w:hAnsi="Times New Roman" w:eastAsia="仿宋_GB2312" w:cs="仿宋_GB2312"/>
          <w:color w:val="auto"/>
          <w:kern w:val="2"/>
          <w:sz w:val="32"/>
          <w:szCs w:val="32"/>
          <w:highlight w:val="none"/>
          <w:lang w:val="en-US" w:eastAsia="zh-CN" w:bidi="ar-SA"/>
        </w:rPr>
      </w:pPr>
    </w:p>
    <w:p w14:paraId="10374E05">
      <w:pPr>
        <w:rPr>
          <w:rFonts w:hint="eastAsia" w:ascii="Times New Roman" w:hAnsi="Times New Roman" w:eastAsia="仿宋_GB2312" w:cs="仿宋_GB2312"/>
          <w:color w:val="auto"/>
          <w:kern w:val="2"/>
          <w:sz w:val="32"/>
          <w:szCs w:val="32"/>
          <w:highlight w:val="none"/>
          <w:lang w:val="en-US" w:eastAsia="zh-CN" w:bidi="ar-SA"/>
        </w:rPr>
      </w:pPr>
    </w:p>
    <w:p w14:paraId="253F3A69">
      <w:pPr>
        <w:pStyle w:val="10"/>
        <w:rPr>
          <w:rFonts w:hint="eastAsia" w:ascii="Times New Roman" w:hAnsi="Times New Roman" w:eastAsia="仿宋_GB2312" w:cs="仿宋_GB2312"/>
          <w:color w:val="auto"/>
          <w:kern w:val="2"/>
          <w:sz w:val="32"/>
          <w:szCs w:val="32"/>
          <w:highlight w:val="none"/>
          <w:lang w:val="en-US" w:eastAsia="zh-CN" w:bidi="ar-SA"/>
        </w:rPr>
      </w:pPr>
    </w:p>
    <w:p w14:paraId="41A5B596">
      <w:pPr>
        <w:rPr>
          <w:rFonts w:hint="eastAsia" w:ascii="Times New Roman" w:hAnsi="Times New Roman"/>
          <w:color w:val="auto"/>
          <w:lang w:val="en-US" w:eastAsia="zh-CN"/>
        </w:rPr>
      </w:pPr>
    </w:p>
    <w:p w14:paraId="3A578E5F">
      <w:pPr>
        <w:pStyle w:val="10"/>
        <w:rPr>
          <w:rFonts w:hint="eastAsia" w:ascii="Times New Roman" w:hAnsi="Times New Roman" w:eastAsia="仿宋_GB2312" w:cs="仿宋_GB2312"/>
          <w:color w:val="auto"/>
          <w:kern w:val="2"/>
          <w:sz w:val="32"/>
          <w:szCs w:val="32"/>
          <w:highlight w:val="none"/>
          <w:lang w:val="en-US" w:eastAsia="zh-CN" w:bidi="ar-SA"/>
        </w:rPr>
      </w:pPr>
    </w:p>
    <w:p w14:paraId="12B1D8D0">
      <w:pPr>
        <w:rPr>
          <w:rFonts w:hint="eastAsia" w:ascii="Times New Roman" w:hAnsi="Times New Roman"/>
          <w:color w:val="auto"/>
          <w:lang w:val="en-US" w:eastAsia="zh-CN"/>
        </w:rPr>
      </w:pPr>
    </w:p>
    <w:p w14:paraId="2C30699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2BB6992C">
      <w:pPr>
        <w:spacing w:line="600" w:lineRule="exact"/>
        <w:rPr>
          <w:rFonts w:hint="eastAsia" w:ascii="Times New Roman" w:hAnsi="Times New Roman" w:eastAsia="仿宋_GB2312" w:cs="仿宋_GB2312"/>
          <w:b/>
          <w:bCs/>
          <w:color w:val="auto"/>
          <w:kern w:val="2"/>
          <w:sz w:val="32"/>
          <w:szCs w:val="32"/>
          <w:highlight w:val="none"/>
          <w:lang w:val="en-US" w:eastAsia="zh-CN" w:bidi="ar-SA"/>
        </w:rPr>
      </w:pPr>
    </w:p>
    <w:p w14:paraId="052293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1.因公出国（境）经费支出0万元，完成预算0%。</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ascii="Times New Roman" w:hAnsi="Times New Roman"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Times New Roman" w:hAnsi="Times New Roman" w:eastAsia="仿宋_GB2312" w:cs="仿宋_GB2312"/>
          <w:color w:val="auto"/>
          <w:sz w:val="32"/>
          <w:szCs w:val="32"/>
        </w:rPr>
        <w:t>0</w:t>
      </w:r>
      <w:r>
        <w:rPr>
          <w:rFonts w:hint="eastAsia" w:ascii="Times New Roman" w:hAnsi="Times New Roman" w:eastAsia="仿宋_GB2312" w:cs="仿宋_GB2312"/>
          <w:color w:val="auto"/>
          <w:kern w:val="2"/>
          <w:sz w:val="32"/>
          <w:szCs w:val="32"/>
          <w:highlight w:val="none"/>
          <w:lang w:val="en-US" w:eastAsia="zh-CN" w:bidi="ar-SA"/>
        </w:rPr>
        <w:t>人。</w:t>
      </w:r>
    </w:p>
    <w:p w14:paraId="479F98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2.公务用车购置及运行维护费支出108.81万元，完成预算100%。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公务用车购置及运行维护费支出决算比2023年度减少581.47万元，减少84.24%。主要原因是职能职责减少，不再负责全县公务用车购置。</w:t>
      </w:r>
    </w:p>
    <w:p w14:paraId="20494F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。全年按规定更新购置公务用车0辆，其中：轿车0辆、金额0万元，越野车0辆、金额0万元，载客汽车0辆、金额0万元。截至2024年12月31日，单位共有公务用车0辆，其中：轿车0辆、越野车0辆、载客汽车0辆。</w:t>
      </w:r>
    </w:p>
    <w:p w14:paraId="66B2AB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ascii="Times New Roman" w:hAnsi="Times New Roman" w:eastAsia="仿宋_GB2312" w:cs="仿宋_GB2312"/>
          <w:color w:val="auto"/>
          <w:sz w:val="32"/>
          <w:szCs w:val="32"/>
          <w:highlight w:val="none"/>
          <w:lang w:val="en-US" w:eastAsia="zh-CN"/>
        </w:rPr>
        <w:t>108.81</w:t>
      </w:r>
      <w:r>
        <w:rPr>
          <w:rFonts w:hint="eastAsia" w:ascii="Times New Roman" w:hAnsi="Times New Roman" w:eastAsia="仿宋_GB2312" w:cs="仿宋_GB2312"/>
          <w:color w:val="auto"/>
          <w:kern w:val="2"/>
          <w:sz w:val="32"/>
          <w:szCs w:val="32"/>
          <w:highlight w:val="none"/>
          <w:lang w:val="en-US" w:eastAsia="zh-CN" w:bidi="ar-SA"/>
        </w:rPr>
        <w:t>万元。主要用于公务集体出行、应急抢险、调研走访、下乡帮扶等所需的公务用车燃料费、维修费、过路过桥费、保险费等支出。</w:t>
      </w:r>
    </w:p>
    <w:p w14:paraId="212525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Times New Roman" w:hAnsi="Times New Roman" w:eastAsia="仿宋_GB2312" w:cs="仿宋_GB2312"/>
          <w:color w:val="auto"/>
          <w:sz w:val="32"/>
          <w:szCs w:val="32"/>
          <w:highlight w:val="none"/>
          <w:lang w:val="en-US" w:eastAsia="zh-CN"/>
        </w:rPr>
        <w:t>0.26</w:t>
      </w:r>
      <w:r>
        <w:rPr>
          <w:rFonts w:hint="eastAsia" w:ascii="Times New Roman" w:hAnsi="Times New Roman" w:eastAsia="仿宋_GB2312" w:cs="仿宋_GB2312"/>
          <w:b/>
          <w:bCs/>
          <w:color w:val="auto"/>
          <w:kern w:val="2"/>
          <w:sz w:val="32"/>
          <w:szCs w:val="32"/>
          <w:highlight w:val="none"/>
          <w:lang w:val="en-US" w:eastAsia="zh-CN" w:bidi="ar-SA"/>
        </w:rPr>
        <w:t>万元，完成预算100%。</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公务接待费支出决算比2023年度减少1.16万元，减少81.69%。主要原因是业务量增加接待减少。其中：</w:t>
      </w:r>
    </w:p>
    <w:p w14:paraId="3D7910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0.26万元。主要用于市供销社、市国资局、市机关事务局到我县调研和指导工作产生的餐费等。国内公务接待5批次，30人次（不包括陪同人员），共计支出0.26万元，具体内容包括市供销社到我县调研和指导工作。</w:t>
      </w:r>
    </w:p>
    <w:p w14:paraId="49E8E1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。外事接待</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人次（不包括陪同人员），共计支出0万元。</w:t>
      </w:r>
    </w:p>
    <w:p w14:paraId="1A37B079">
      <w:pPr>
        <w:spacing w:line="600" w:lineRule="exact"/>
        <w:ind w:firstLine="640"/>
        <w:outlineLvl w:val="1"/>
        <w:rPr>
          <w:rStyle w:val="29"/>
          <w:rFonts w:ascii="Times New Roman" w:hAnsi="Times New Roman" w:eastAsia="黑体"/>
          <w:color w:val="auto"/>
          <w:highlight w:val="none"/>
        </w:rPr>
      </w:pPr>
      <w:bookmarkStart w:id="40" w:name="_Toc15396610"/>
      <w:bookmarkStart w:id="41" w:name="_Toc15377218"/>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0"/>
      <w:bookmarkEnd w:id="41"/>
    </w:p>
    <w:p w14:paraId="39FFF81D">
      <w:pPr>
        <w:spacing w:line="600" w:lineRule="exact"/>
        <w:ind w:firstLine="640"/>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ascii="Times New Roman" w:hAnsi="Times New Roman" w:eastAsia="仿宋_GB2312" w:cs="仿宋_GB2312"/>
          <w:color w:val="auto"/>
          <w:sz w:val="32"/>
          <w:szCs w:val="32"/>
          <w:lang w:val="en-US" w:eastAsia="zh-CN"/>
        </w:rPr>
        <w:t>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。与2023年度相比，政府性基金预算财政拨款支出减少626.77万元，减少100</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。主要变动原因是职能职责减少。</w:t>
      </w:r>
    </w:p>
    <w:p w14:paraId="01B8F213">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2" w:name="_Toc15396611"/>
      <w:bookmarkStart w:id="43"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2"/>
      <w:bookmarkEnd w:id="43"/>
    </w:p>
    <w:p w14:paraId="16D078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Times New Roman" w:hAnsi="Times New Roman" w:eastAsia="仿宋_GB2312" w:cs="仿宋_GB2312"/>
          <w:color w:val="auto"/>
          <w:sz w:val="32"/>
          <w:szCs w:val="32"/>
          <w:highlight w:val="none"/>
          <w:lang w:val="en-US" w:eastAsia="zh-CN"/>
        </w:rPr>
        <w:t>164.07</w:t>
      </w:r>
      <w:r>
        <w:rPr>
          <w:rFonts w:hint="eastAsia" w:ascii="Times New Roman" w:hAnsi="Times New Roman" w:eastAsia="仿宋_GB2312" w:cs="仿宋_GB2312"/>
          <w:color w:val="auto"/>
          <w:sz w:val="32"/>
          <w:szCs w:val="32"/>
          <w:lang w:eastAsia="zh-CN"/>
        </w:rPr>
        <w:t>万元</w:t>
      </w:r>
      <w:r>
        <w:rPr>
          <w:rFonts w:hint="eastAsia" w:ascii="Times New Roman" w:hAnsi="Times New Roman" w:eastAsia="仿宋_GB2312" w:cs="仿宋_GB2312"/>
          <w:color w:val="auto"/>
          <w:kern w:val="2"/>
          <w:sz w:val="32"/>
          <w:szCs w:val="32"/>
          <w:highlight w:val="none"/>
          <w:lang w:val="en-US" w:eastAsia="zh-CN" w:bidi="ar-SA"/>
        </w:rPr>
        <w:t>，占本年支出合计的</w:t>
      </w:r>
      <w:r>
        <w:rPr>
          <w:rFonts w:hint="eastAsia" w:ascii="Times New Roman" w:hAnsi="Times New Roman" w:eastAsia="仿宋_GB2312" w:cs="仿宋_GB2312"/>
          <w:color w:val="auto"/>
          <w:sz w:val="32"/>
          <w:szCs w:val="32"/>
          <w:highlight w:val="none"/>
          <w:lang w:val="en-US" w:eastAsia="zh-CN"/>
        </w:rPr>
        <w:t>6.43</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%。与2023年度相比，国有资本经营预算财政拨款支出减少436.62万元，减少72.69%。主要变动原因是职能职责减少。</w:t>
      </w:r>
    </w:p>
    <w:p w14:paraId="19C4A991">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4" w:name="_Toc15377221"/>
      <w:bookmarkStart w:id="45"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4"/>
      <w:bookmarkEnd w:id="45"/>
    </w:p>
    <w:p w14:paraId="19D0BD39">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（一）机关运行经费支出情况</w:t>
      </w:r>
    </w:p>
    <w:p w14:paraId="43196062">
      <w:pPr>
        <w:spacing w:line="600" w:lineRule="exact"/>
        <w:ind w:firstLine="64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2024年度，峨边彝族自治县供销合作社联合社机关运行经费支出141.43万元，比2023年度减少424.86万元，减少75.03%。主要原因是业务量减少及职能减少。</w:t>
      </w:r>
    </w:p>
    <w:p w14:paraId="7FAC2751">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p>
    <w:p w14:paraId="31E8B2F1">
      <w:pPr>
        <w:spacing w:line="600" w:lineRule="exact"/>
        <w:ind w:firstLine="64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2024年度，峨边彝族自治县供销合作社联合社政府采购支出总额11.56万元，其中：政府采购货物支出0万元、政府采购工程支出0万元、政府采购服务支出11.56万元。主要用于公务用车保险的购置。授予中小企业合同金额0万元，占政府采购支出总额的0%，其中：授予小微企业合同金额0万元，占政府采购支出总额的0%。</w:t>
      </w:r>
    </w:p>
    <w:p w14:paraId="09B86A03">
      <w:pPr>
        <w:spacing w:line="600" w:lineRule="exact"/>
        <w:ind w:firstLine="640"/>
        <w:rPr>
          <w:rFonts w:hint="eastAsia" w:ascii="Times New Roman" w:hAnsi="Times New Roman" w:eastAsia="楷体_GB2312" w:cs="楷体_GB2312"/>
          <w:b/>
          <w:color w:val="auto"/>
          <w:sz w:val="32"/>
          <w:szCs w:val="32"/>
          <w:highlight w:val="none"/>
          <w:lang w:val="en-US" w:eastAsia="zh-CN"/>
        </w:rPr>
      </w:pPr>
      <w:r>
        <w:rPr>
          <w:rFonts w:hint="eastAsia" w:ascii="Times New Roman" w:hAnsi="Times New Roman" w:eastAsia="楷体_GB2312" w:cs="楷体_GB2312"/>
          <w:b/>
          <w:color w:val="auto"/>
          <w:sz w:val="32"/>
          <w:szCs w:val="32"/>
          <w:highlight w:val="none"/>
          <w:lang w:val="en-US" w:eastAsia="zh-CN"/>
        </w:rPr>
        <w:t>（三）国有资产占有使用情况</w:t>
      </w:r>
    </w:p>
    <w:p w14:paraId="77A1692C">
      <w:pPr>
        <w:spacing w:line="600" w:lineRule="exact"/>
        <w:ind w:firstLine="64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截至2024年12月31日，峨边彝族自治县供销合作社联合社共有车辆0辆，其中：主要领导干部用车0辆、机要通信用车0辆、应急保障用车0辆、其他用车0辆，单价100万元以上设备（不含车辆）0台（套）。</w:t>
      </w:r>
    </w:p>
    <w:p w14:paraId="0CCFC840">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0EE843F">
      <w:pPr>
        <w:spacing w:line="600" w:lineRule="exact"/>
        <w:ind w:firstLine="64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根据预算绩效管理要求，本单位在2024年度预算编制阶段，组织对2024年深化供销综合改革资金项目开展了预算事前绩效评估，对该项目编制了绩效目标，预算执行过程中，选取该项目开展绩效监控，组织对该项目开展绩效自评，绩效自评表详见第四部分附件。</w:t>
      </w:r>
    </w:p>
    <w:p w14:paraId="26802D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3113ED">
      <w:pPr>
        <w:pStyle w:val="10"/>
        <w:rPr>
          <w:rFonts w:hint="eastAsia" w:ascii="Times New Roman" w:hAnsi="Times New Roman" w:eastAsia="仿宋_GB2312" w:cs="仿宋_GB2312"/>
          <w:color w:val="auto"/>
          <w:kern w:val="2"/>
          <w:sz w:val="32"/>
          <w:szCs w:val="32"/>
          <w:highlight w:val="none"/>
          <w:lang w:val="en-US" w:eastAsia="zh-CN" w:bidi="ar-SA"/>
        </w:rPr>
      </w:pPr>
    </w:p>
    <w:p w14:paraId="611D0036">
      <w:pPr>
        <w:rPr>
          <w:rFonts w:hint="eastAsia" w:ascii="Times New Roman" w:hAnsi="Times New Roman"/>
          <w:color w:val="auto"/>
          <w:lang w:val="en-US" w:eastAsia="zh-CN"/>
        </w:rPr>
      </w:pPr>
    </w:p>
    <w:p w14:paraId="16600F6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6" w:name="_Toc15396613"/>
      <w:bookmarkStart w:id="47" w:name="_Toc15377225"/>
    </w:p>
    <w:p w14:paraId="0159D84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26C10F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F7F332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FBE064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56CCF2F">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4D181D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8B6E7E6">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68B893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39B50B8">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36877F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CEAFC1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3E44FD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62561E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928AC9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2DAB4A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2A1A46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520BF3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31565DB">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ascii="Times New Roman" w:hAnsi="Times New Roman"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6"/>
      <w:bookmarkEnd w:id="47"/>
    </w:p>
    <w:p w14:paraId="4F6DA322">
      <w:pPr>
        <w:spacing w:line="600" w:lineRule="exact"/>
        <w:jc w:val="left"/>
        <w:rPr>
          <w:rFonts w:ascii="Times New Roman" w:hAnsi="Times New Roman"/>
          <w:b/>
          <w:color w:val="auto"/>
          <w:sz w:val="44"/>
          <w:szCs w:val="44"/>
          <w:highlight w:val="none"/>
        </w:rPr>
      </w:pPr>
    </w:p>
    <w:p w14:paraId="154D8534">
      <w:pPr>
        <w:pStyle w:val="26"/>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1.财政拨款收入：指单位从同级财政部门取得的财政预算资金。</w:t>
      </w:r>
    </w:p>
    <w:p w14:paraId="14155A39">
      <w:pPr>
        <w:pStyle w:val="26"/>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2.事业收入：指事业单位开展专业业务活动及辅助活动取得的收入。</w:t>
      </w:r>
    </w:p>
    <w:p w14:paraId="6B750520">
      <w:pPr>
        <w:pStyle w:val="26"/>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3.经营收入：指事业单位在专业业务活动及其辅助活动之外开展非独立核算经营活动取得的收入。</w:t>
      </w:r>
    </w:p>
    <w:p w14:paraId="40B0F7A7">
      <w:pPr>
        <w:pStyle w:val="26"/>
        <w:keepNext w:val="0"/>
        <w:keepLines w:val="0"/>
        <w:pageBreakBefore w:val="0"/>
        <w:kinsoku/>
        <w:wordWrap/>
        <w:overflowPunct/>
        <w:topLinePunct w:val="0"/>
        <w:bidi w:val="0"/>
        <w:spacing w:line="600" w:lineRule="exact"/>
        <w:ind w:left="638" w:leftChars="304" w:firstLine="0" w:firstLineChars="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4.其他收入：指单位取得的除上述收入以外的各项收入。5.</w:t>
      </w:r>
      <w:r>
        <w:rPr>
          <w:rFonts w:hint="eastAsia" w:ascii="Times New Roman" w:hAnsi="Times New Roman" w:eastAsia="仿宋_GB2312" w:cs="仿宋_GB2312"/>
          <w:b w:val="0"/>
          <w:bCs w:val="0"/>
          <w:color w:val="auto"/>
          <w:sz w:val="32"/>
          <w:szCs w:val="32"/>
          <w:highlight w:val="none"/>
          <w:lang w:eastAsia="zh-CN"/>
        </w:rPr>
        <w:t>使用非财政拨款结余</w:t>
      </w:r>
      <w:r>
        <w:rPr>
          <w:rFonts w:hint="eastAsia" w:ascii="Times New Roman" w:hAnsi="Times New Roman" w:eastAsia="仿宋_GB2312" w:cs="仿宋_GB2312"/>
          <w:b w:val="0"/>
          <w:bCs w:val="0"/>
          <w:color w:val="auto"/>
          <w:sz w:val="32"/>
          <w:szCs w:val="32"/>
          <w:highlight w:val="none"/>
        </w:rPr>
        <w:t>：指事业单位</w:t>
      </w:r>
      <w:r>
        <w:rPr>
          <w:rFonts w:hint="eastAsia" w:ascii="Times New Roman" w:hAnsi="Times New Roman" w:eastAsia="仿宋_GB2312" w:cs="仿宋_GB2312"/>
          <w:b w:val="0"/>
          <w:bCs w:val="0"/>
          <w:color w:val="auto"/>
          <w:sz w:val="32"/>
          <w:szCs w:val="32"/>
          <w:highlight w:val="none"/>
          <w:lang w:eastAsia="zh-CN"/>
        </w:rPr>
        <w:t>使用以前年度积累的非财政拨款结余弥补当年收支差额的金额。</w:t>
      </w:r>
      <w:r>
        <w:rPr>
          <w:rFonts w:hint="eastAsia" w:ascii="Times New Roman" w:hAnsi="Times New Roman" w:eastAsia="仿宋_GB2312" w:cs="仿宋_GB2312"/>
          <w:b w:val="0"/>
          <w:bCs w:val="0"/>
          <w:color w:val="auto"/>
          <w:sz w:val="32"/>
          <w:szCs w:val="32"/>
          <w:highlight w:val="none"/>
        </w:rPr>
        <w:t xml:space="preserve"> </w:t>
      </w:r>
    </w:p>
    <w:p w14:paraId="29958EAF">
      <w:pPr>
        <w:pStyle w:val="26"/>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 xml:space="preserve">6.年初结转和结余：指以前年度尚未完成、结转到本年按有关规定继续使用的资金。 </w:t>
      </w:r>
    </w:p>
    <w:p w14:paraId="1596598F">
      <w:pPr>
        <w:pStyle w:val="26"/>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7.结余分配：指事业单位按照会计制度规定</w:t>
      </w:r>
      <w:r>
        <w:rPr>
          <w:rFonts w:hint="eastAsia" w:ascii="Times New Roman" w:hAnsi="Times New Roman" w:eastAsia="仿宋_GB2312" w:cs="仿宋_GB2312"/>
          <w:b w:val="0"/>
          <w:bCs w:val="0"/>
          <w:color w:val="auto"/>
          <w:sz w:val="32"/>
          <w:szCs w:val="32"/>
          <w:highlight w:val="none"/>
          <w:lang w:eastAsia="zh-CN"/>
        </w:rPr>
        <w:t>缴纳的所得税、提取的专用结余以及转入非财政拨款结余的金额</w:t>
      </w:r>
      <w:r>
        <w:rPr>
          <w:rFonts w:hint="eastAsia" w:ascii="Times New Roman" w:hAnsi="Times New Roman" w:eastAsia="仿宋_GB2312" w:cs="仿宋_GB2312"/>
          <w:b w:val="0"/>
          <w:bCs w:val="0"/>
          <w:color w:val="auto"/>
          <w:sz w:val="32"/>
          <w:szCs w:val="32"/>
          <w:highlight w:val="none"/>
        </w:rPr>
        <w:t>等。</w:t>
      </w:r>
    </w:p>
    <w:p w14:paraId="186FD07F">
      <w:pPr>
        <w:pStyle w:val="26"/>
        <w:keepNext w:val="0"/>
        <w:keepLines w:val="0"/>
        <w:pageBreakBefore w:val="0"/>
        <w:kinsoku/>
        <w:wordWrap/>
        <w:overflowPunct/>
        <w:topLinePunct w:val="0"/>
        <w:bidi w:val="0"/>
        <w:spacing w:line="6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8</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年末结转和结余：指单位按有关规定结转到下年或以后年度继续使用的资金。</w:t>
      </w:r>
    </w:p>
    <w:p w14:paraId="413D4DF7">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9.一般公共服务支出（类）政府办公厅（室）及相关机构事务（款）机关服务（项）：反映为行政单位（包括实行公务员管理的事业单位）提供后勤服务的各类后勤服务中心、医务室等附属事业单位的支出。</w:t>
      </w:r>
    </w:p>
    <w:p w14:paraId="418450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10.社会保障和就业支出（类）行政事业单位养老支出（款）机关事业单位基本养老保险缴费支出（项）：反映机关事业单位实施养老保险制度由单位缴纳的基本养老保险费支出。</w:t>
      </w:r>
    </w:p>
    <w:p w14:paraId="40C386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11.社会保障和就业支出（类）行政事业单位养老支出（款）机关事业单位职业年金缴费支出（项）：反映机关事业单位实施养老保险制度由单位实际缴纳的职业年金支出（含职业年金补记支出）。</w:t>
      </w:r>
    </w:p>
    <w:p w14:paraId="050E05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12.社会保障和就业支出（类）抚恤（款）死亡抚恤（项）：反映按规定用于烈士和牺牲、病故人员家属的一次性和定期抚恤金、丧葬补助费以及烈士褒扬金。</w:t>
      </w:r>
    </w:p>
    <w:p w14:paraId="23E802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13.社会保障和就业支出（类）其他社会保障和就业支出（款）其他社会保障和就业支出（项）：反映其他用于社会保障和就业方面的支出。</w:t>
      </w:r>
    </w:p>
    <w:p w14:paraId="502E2B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1AD0E7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15.节能环保支出（类）森林保护修复（款）社会保险补助（项）：反映专项用于实施单位承担的政策性社会性支出补助。</w:t>
      </w:r>
    </w:p>
    <w:p w14:paraId="626CEB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16.节能环保支出（类）森林保护修复（款）其他森林保护修复支出（项）: 反映其他用于森林保护修复方面的支出。</w:t>
      </w:r>
    </w:p>
    <w:p w14:paraId="7B5E531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17.农林水支出（类）林业和草原（款）森林资源培育（项）: 反映育苗（种）、造林、抚育、退化林修复、义务植树以及生物质能源建设等方面的支出。</w:t>
      </w:r>
    </w:p>
    <w:p w14:paraId="545D0C47">
      <w:p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18.农林水支出（类）巩固脱贫攻坚成果衔接乡村振兴（款）其他巩固脱贫攻坚成果衔接乡村振兴支出（项）: 反映其他用于巩固拓展脱贫攻坚成果同乡村振兴有效衔接方面的支出。</w:t>
      </w:r>
    </w:p>
    <w:p w14:paraId="2CD7E706">
      <w:pPr>
        <w:spacing w:line="600" w:lineRule="exact"/>
        <w:ind w:firstLine="640"/>
        <w:rPr>
          <w:rFonts w:hint="default" w:ascii="Times New Roman" w:hAnsi="Times New Roman"/>
          <w:color w:val="auto"/>
          <w:lang w:val="en-US" w:eastAsia="zh-CN"/>
        </w:rPr>
      </w:pPr>
      <w:r>
        <w:rPr>
          <w:rFonts w:hint="eastAsia" w:ascii="Times New Roman" w:hAnsi="Times New Roman" w:eastAsia="仿宋_GB2312" w:cs="仿宋_GB2312"/>
          <w:color w:val="auto"/>
          <w:kern w:val="2"/>
          <w:sz w:val="32"/>
          <w:szCs w:val="32"/>
          <w:highlight w:val="none"/>
          <w:lang w:val="en-US" w:eastAsia="zh-CN" w:bidi="ar-SA"/>
        </w:rPr>
        <w:t>19.商业服务业等支出（类）商业事务流通（款）行政运行（项）: 反映行政单位（包括实行公务员管理的事业单位）的基本支出。</w:t>
      </w:r>
    </w:p>
    <w:p w14:paraId="2AFA41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20.商业服务业等支出（类）商业事务流通（款）事业运行（项）: 反映事业单位的基本支出，不包括行政单位（包括实行公务员管理的事业单位）后勤服务中心、医务室等附属事业单位。</w:t>
      </w:r>
    </w:p>
    <w:p w14:paraId="59FD1AC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21.商业服务业等支出（类）商业事务流通（款）其他商业流通事务支出（项）: 反映其他用于商业流通事务方面的支出。</w:t>
      </w:r>
    </w:p>
    <w:p w14:paraId="2A7BFA51">
      <w:pPr>
        <w:spacing w:line="600" w:lineRule="exact"/>
        <w:ind w:firstLine="640" w:firstLineChars="200"/>
        <w:rPr>
          <w:rFonts w:hint="default" w:ascii="Times New Roman" w:hAnsi="Times New Roman"/>
          <w:color w:val="auto"/>
          <w:lang w:val="en-US" w:eastAsia="zh-CN"/>
        </w:rPr>
      </w:pPr>
      <w:r>
        <w:rPr>
          <w:rFonts w:hint="eastAsia" w:ascii="Times New Roman" w:hAnsi="Times New Roman" w:eastAsia="仿宋_GB2312" w:cs="仿宋_GB2312"/>
          <w:color w:val="auto"/>
          <w:kern w:val="2"/>
          <w:sz w:val="32"/>
          <w:szCs w:val="32"/>
          <w:highlight w:val="none"/>
          <w:lang w:val="en-US" w:eastAsia="zh-CN" w:bidi="ar-SA"/>
        </w:rPr>
        <w:t>22.住房保障支出（类）住房改革支出（款）住房公积金（项）：反映行政事业单位按人力资源和社会保障部、财政部规定的基本工资和津贴补贴以及规定比例为职工缴纳的住房公积金。</w:t>
      </w:r>
    </w:p>
    <w:p w14:paraId="430A6912">
      <w:pPr>
        <w:spacing w:line="600" w:lineRule="exact"/>
        <w:ind w:firstLine="640"/>
        <w:rPr>
          <w:rFonts w:hint="default" w:ascii="Times New Roman" w:hAnsi="Times New Roman"/>
          <w:color w:val="auto"/>
          <w:lang w:val="en-US" w:eastAsia="zh-CN"/>
        </w:rPr>
      </w:pPr>
      <w:r>
        <w:rPr>
          <w:rFonts w:hint="eastAsia" w:ascii="Times New Roman" w:hAnsi="Times New Roman" w:eastAsia="仿宋_GB2312" w:cs="仿宋_GB2312"/>
          <w:color w:val="auto"/>
          <w:kern w:val="2"/>
          <w:sz w:val="32"/>
          <w:szCs w:val="32"/>
          <w:highlight w:val="none"/>
          <w:lang w:val="en-US" w:eastAsia="zh-CN" w:bidi="ar-SA"/>
        </w:rPr>
        <w:t>23.灾害防治及应急管理支出（类）自然灾害防治（款）地质灾害防治（项）：反映防治地质灾害方面的支出。</w:t>
      </w:r>
    </w:p>
    <w:p w14:paraId="2DBF9DAA">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24.基本支出：指为保障机构正常运转、完成日常工作任务而发生的人员支出和公用支出。</w:t>
      </w:r>
    </w:p>
    <w:p w14:paraId="10734E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25.项目支出：指在基本支出之外为完成特定行政任务和事业发展目标所发生的支出。 </w:t>
      </w:r>
    </w:p>
    <w:p w14:paraId="3204336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26.经营支出：指事业单位在专业业务活动及其辅助活动之外开展非独立核算经营活动发生的支出。</w:t>
      </w:r>
    </w:p>
    <w:p w14:paraId="4B0726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63CE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2C3D53">
      <w:pPr>
        <w:spacing w:line="600" w:lineRule="exact"/>
        <w:jc w:val="center"/>
        <w:rPr>
          <w:rFonts w:hint="eastAsia" w:ascii="Times New Roman" w:hAnsi="Times New Roman" w:eastAsia="黑体"/>
          <w:color w:val="auto"/>
          <w:sz w:val="44"/>
          <w:szCs w:val="44"/>
          <w:highlight w:val="none"/>
        </w:rPr>
      </w:pPr>
      <w:bookmarkStart w:id="48"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9"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9"/>
    </w:p>
    <w:p w14:paraId="1004594F">
      <w:pPr>
        <w:spacing w:line="600" w:lineRule="exact"/>
        <w:jc w:val="center"/>
        <w:rPr>
          <w:rFonts w:hint="eastAsia" w:ascii="Times New Roman" w:hAnsi="Times New Roman" w:eastAsia="黑体"/>
          <w:color w:val="auto"/>
          <w:sz w:val="44"/>
          <w:szCs w:val="44"/>
          <w:highlight w:val="none"/>
        </w:rPr>
      </w:pPr>
    </w:p>
    <w:p w14:paraId="3ECD1DA6">
      <w:pPr>
        <w:pStyle w:val="10"/>
        <w:rPr>
          <w:rFonts w:hint="default" w:ascii="Times New Roman" w:hAnsi="Times New Roman" w:eastAsia="黑体"/>
          <w:color w:val="auto"/>
          <w:sz w:val="32"/>
          <w:szCs w:val="32"/>
          <w:highlight w:val="none"/>
          <w:lang w:val="en-US" w:eastAsia="zh-CN"/>
        </w:rPr>
      </w:pPr>
      <w:r>
        <w:rPr>
          <w:rFonts w:hint="eastAsia" w:ascii="Times New Roman" w:hAnsi="Times New Roman" w:eastAsia="黑体"/>
          <w:color w:val="auto"/>
          <w:sz w:val="32"/>
          <w:szCs w:val="32"/>
          <w:highlight w:val="none"/>
          <w:lang w:val="en-US" w:eastAsia="zh-CN"/>
        </w:rPr>
        <w:t>附件1</w:t>
      </w:r>
    </w:p>
    <w:p w14:paraId="73994775">
      <w:pPr>
        <w:spacing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峨边县供销合作社联合社</w:t>
      </w:r>
    </w:p>
    <w:p w14:paraId="60689456">
      <w:pPr>
        <w:spacing w:line="600" w:lineRule="exact"/>
        <w:jc w:val="center"/>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2024年度部门预算绩效自评报告</w:t>
      </w:r>
    </w:p>
    <w:p w14:paraId="3A29F4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2ED2DDB">
      <w:pPr>
        <w:spacing w:line="600" w:lineRule="exact"/>
        <w:ind w:firstLine="64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一、部门基本情况</w:t>
      </w:r>
    </w:p>
    <w:p w14:paraId="4521B51E">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（一）部门概况</w:t>
      </w:r>
    </w:p>
    <w:p w14:paraId="425873CA">
      <w:pPr>
        <w:spacing w:line="600" w:lineRule="exact"/>
        <w:ind w:firstLine="643"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主要职能</w:t>
      </w:r>
    </w:p>
    <w:p w14:paraId="512AD2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（1）宣传和贯彻执行党中央、国务院和省委、省人民政府，市委、市人民政府以及县委、县人民政府及市供销社“三农”工作部署安排，坚持为农服务初心使命，推动全县供销合作事业改革发展。</w:t>
      </w:r>
    </w:p>
    <w:p w14:paraId="0EDB04E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（2）指导和服务全县供销合作社全面深化综合改革和发展工作。</w:t>
      </w:r>
    </w:p>
    <w:p w14:paraId="73669D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（3）指导全县供销系统农资供应、农产品流通、日用品销售、再生资源回收利用和农业社会化服务等5大主责主业拓展业务活动。</w:t>
      </w:r>
    </w:p>
    <w:p w14:paraId="747F86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（4）按照授权对重要农业生产资料和农副产品的经营、储备进行组织、协调和管理，推动全县食用菌产业做大做强，指导全县供销企业和供销合作社承担政府委托的公益性服务。</w:t>
      </w:r>
    </w:p>
    <w:p w14:paraId="318847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（5）指导全县供销系统农村现代流通服务体系组织、 规划、协调、建设和服务，推动发展基层合作经济组织，加强行业内的文化建设和信息服务；指导基层供销合作社和直属企业开展电商服务，打造物流设施和物联网，推动农村电子商务发展。</w:t>
      </w:r>
    </w:p>
    <w:p w14:paraId="618F79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指导全县供销合作社加强法治建设和治理机制建设，依法建立健全社员代表大会、理事会、监事会“三会”制度，依法建立健全社有资产监督管理制度，依法保护供销合作社和农民社员的合法权益，依法构建联合社机关主导的行业指导体系和社有企业支撑的经营服务体系，形成双线运行机制。</w:t>
      </w:r>
    </w:p>
    <w:p w14:paraId="2407F1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指导供销合作社和农民专业合作社开展合作与联合，拓展经营服务领域，创新农业生产服务方式和手段，推进县域流通体系建设，培育供销品牌和驰名商标，开展农村合作金融服务，健全农村社会化服务体系，密切同农民的联系。</w:t>
      </w:r>
    </w:p>
    <w:p w14:paraId="7E2E42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（8）组织开展对供销社社员和职工教育培训，为全县合作经济组织提供信息服务。</w:t>
      </w:r>
    </w:p>
    <w:p w14:paraId="12EDBEC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（9）负责社有资产运营，保持社有企业为农服务方向，履行社有资产监管职责，落实社有资产保值增值和安全责任。</w:t>
      </w:r>
    </w:p>
    <w:p w14:paraId="545B10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（10）完成县委、县政府交办的其他任务。</w:t>
      </w:r>
    </w:p>
    <w:p w14:paraId="28D2AF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机构情况</w:t>
      </w:r>
    </w:p>
    <w:p w14:paraId="5F4609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本单位属于参照公务员法管理的事业单位。</w:t>
      </w:r>
    </w:p>
    <w:p w14:paraId="184AE4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人员情况</w:t>
      </w:r>
    </w:p>
    <w:p w14:paraId="4D3B991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部门在职人员编制7人，其中：参公管理1人，工勤编制0名。在职实有10人，其中：援彝族干部1名、夕阳红老干部1名、三职一扶1名。</w:t>
      </w:r>
    </w:p>
    <w:p w14:paraId="5DB90D3B">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（二）部门绩效目标的设立情况</w:t>
      </w:r>
    </w:p>
    <w:p w14:paraId="149767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1.全面完成上级下达的各项指标任务。</w:t>
      </w:r>
    </w:p>
    <w:p w14:paraId="264B20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2.稳定细化工作措施，全面推进供销综合改革工作。</w:t>
      </w:r>
    </w:p>
    <w:p w14:paraId="73FEE4E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3.充分统筹供销社的优势资源，服务农业农村发展，助力乡村振兴。</w:t>
      </w:r>
    </w:p>
    <w:p w14:paraId="252A708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4.以县委巡查反馈问题整改为契机，坚持问题导向，全面规范社有资产管理。</w:t>
      </w:r>
    </w:p>
    <w:p w14:paraId="62E30C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6.是农资供应保障有力，坚持“稳供应”和“保安全”两手抓安全生产落细落实。</w:t>
      </w:r>
    </w:p>
    <w:p w14:paraId="68B1056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7.是信访维稳有力有序。</w:t>
      </w:r>
    </w:p>
    <w:p w14:paraId="175027A9">
      <w:pPr>
        <w:spacing w:line="600" w:lineRule="exact"/>
        <w:ind w:firstLine="64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二、部门财政资金收支情况</w:t>
      </w:r>
    </w:p>
    <w:p w14:paraId="216C99F0">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（一）部门财政资金收入情况。</w:t>
      </w:r>
    </w:p>
    <w:p w14:paraId="29CE15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2024年财政拨款6642.18万元。</w:t>
      </w:r>
    </w:p>
    <w:p w14:paraId="6BA45720">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（二）部门财政资金支出情况。</w:t>
      </w:r>
    </w:p>
    <w:p w14:paraId="03C475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 年财政拨款支出6642.18万元。</w:t>
      </w:r>
    </w:p>
    <w:p w14:paraId="35B5BB90">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（三）部门财政资金结转结余情况。</w:t>
      </w:r>
    </w:p>
    <w:p w14:paraId="660FC03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2024年结转以前年度经费 0 万元。</w:t>
      </w:r>
    </w:p>
    <w:p w14:paraId="15F9B9A2">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（四）部门整体支出绩效目标。</w:t>
      </w:r>
    </w:p>
    <w:p w14:paraId="2A83DB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1.保证单位正常运转</w:t>
      </w:r>
    </w:p>
    <w:p w14:paraId="301A7F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2.强化供销综合改革。一是探索“县基一体”改造，指导现有21 家基层社提升经营服务能力，发挥社有企业峨边承欣会计服务有限公司专业优势开展代理记账业务，截止目前由我社会计服务中心记账经营主体 210 家，二是扎实推进供销综合改革。发展“基层示范社”1家，发展农业专业合作社2家，发展开门办社企业1家；全力构建社会化服务体系。新建城市社区经营服务网点2个，新建星级农村服务社1家。三搭建新型农资服务平台。依托基层供销社牵头，深入开展配方施肥、科学用药、统防统治等“一站式”农技服务。四是积极打造农产品品牌。特色农产品品牌 8 个，其中佳支依达、雪山玉芝农产品品牌纳入省供销社特色农产品系统。</w:t>
      </w:r>
    </w:p>
    <w:p w14:paraId="269DE08F">
      <w:pPr>
        <w:spacing w:line="600" w:lineRule="exact"/>
        <w:ind w:firstLine="64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三、部门整体绩效管理情况</w:t>
      </w:r>
    </w:p>
    <w:p w14:paraId="5637760E">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（一）部门整体履职绩效分析</w:t>
      </w:r>
    </w:p>
    <w:p w14:paraId="317240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1.维持单位基本运转，保障人员工资、保险、住房公积金、三公经费等基本支出，据实列支。</w:t>
      </w:r>
    </w:p>
    <w:p w14:paraId="53A4B3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2.组织开展农村社会化服务体系建设，发展“三农”综合服务中心，发展农村电子商务</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搭建农村生产生活资料供应平台</w:t>
      </w:r>
      <w:r>
        <w:rPr>
          <w:rFonts w:hint="eastAsia" w:eastAsia="仿宋_GB2312" w:cs="仿宋_GB2312"/>
          <w:color w:val="auto"/>
          <w:kern w:val="2"/>
          <w:sz w:val="32"/>
          <w:szCs w:val="32"/>
          <w:highlight w:val="none"/>
          <w:lang w:val="en-US" w:eastAsia="zh-CN" w:bidi="ar-SA"/>
        </w:rPr>
        <w:t>和</w:t>
      </w:r>
      <w:r>
        <w:rPr>
          <w:rFonts w:hint="eastAsia" w:ascii="Times New Roman" w:hAnsi="Times New Roman" w:eastAsia="仿宋_GB2312" w:cs="仿宋_GB2312"/>
          <w:color w:val="auto"/>
          <w:kern w:val="2"/>
          <w:sz w:val="32"/>
          <w:szCs w:val="32"/>
          <w:highlight w:val="none"/>
          <w:lang w:val="en-US" w:eastAsia="zh-CN" w:bidi="ar-SA"/>
        </w:rPr>
        <w:t>经营性服务和公益性服务的公共平台，参与和推进农村和谐社区建设。发挥农业生产资料供应主渠道作用，建立完善农业生产资料储备制度，保障农业生产资料供应，稳定农业生产资料价格。</w:t>
      </w:r>
    </w:p>
    <w:p w14:paraId="731259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3.严格按照预算安排各项支出，无超范围，超额度支出。本年度内，按时序进度安排各项支出。</w:t>
      </w:r>
    </w:p>
    <w:p w14:paraId="6BCFC354">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（二）特定目标类项目绩效分析</w:t>
      </w:r>
    </w:p>
    <w:p w14:paraId="28AFBC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1.整体情况</w:t>
      </w:r>
    </w:p>
    <w:p w14:paraId="4414F4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资金使用绩效良好，按规定支出，取得预期成效。</w:t>
      </w:r>
    </w:p>
    <w:p w14:paraId="0E9BB1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2.50万以上项目：</w:t>
      </w:r>
    </w:p>
    <w:p w14:paraId="212E9B5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2024年深化供销综合改革资金，完成建设为农服务中心1家，三星级综合服务社3家，城区服务网点6家，预算执行率100%，完成年度目标100%。</w:t>
      </w:r>
    </w:p>
    <w:p w14:paraId="0B2C3710">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（三）结果应用情况</w:t>
      </w:r>
    </w:p>
    <w:p w14:paraId="20D242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信息公开。</w:t>
      </w:r>
      <w:r>
        <w:rPr>
          <w:rFonts w:hint="eastAsia" w:ascii="Times New Roman" w:hAnsi="Times New Roman" w:eastAsia="仿宋_GB2312" w:cs="仿宋_GB2312"/>
          <w:color w:val="auto"/>
          <w:kern w:val="2"/>
          <w:sz w:val="32"/>
          <w:szCs w:val="32"/>
          <w:highlight w:val="none"/>
          <w:lang w:val="en-US" w:eastAsia="zh-CN" w:bidi="ar-SA"/>
        </w:rPr>
        <w:t>部门整体绩效自评情况和自行组织的评价情况均按财政要求及时将向社会公开。</w:t>
      </w:r>
    </w:p>
    <w:p w14:paraId="241D24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自评质量。</w:t>
      </w:r>
      <w:r>
        <w:rPr>
          <w:rFonts w:hint="eastAsia" w:ascii="Times New Roman" w:hAnsi="Times New Roman" w:eastAsia="仿宋_GB2312" w:cs="仿宋_GB2312"/>
          <w:color w:val="auto"/>
          <w:kern w:val="2"/>
          <w:sz w:val="32"/>
          <w:szCs w:val="32"/>
          <w:highlight w:val="none"/>
          <w:lang w:val="en-US" w:eastAsia="zh-CN" w:bidi="ar-SA"/>
        </w:rPr>
        <w:t>我单位严格按照预算管理和支付时效要求，执行进度 100%，整体绩效自评得分为 100 分。</w:t>
      </w:r>
    </w:p>
    <w:p w14:paraId="4AF215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整改反馈。</w:t>
      </w:r>
      <w:r>
        <w:rPr>
          <w:rFonts w:hint="eastAsia" w:ascii="Times New Roman" w:hAnsi="Times New Roman" w:eastAsia="仿宋_GB2312" w:cs="仿宋_GB2312"/>
          <w:color w:val="auto"/>
          <w:kern w:val="2"/>
          <w:sz w:val="32"/>
          <w:szCs w:val="32"/>
          <w:highlight w:val="none"/>
          <w:lang w:val="en-US" w:eastAsia="zh-CN" w:bidi="ar-SA"/>
        </w:rPr>
        <w:t>评价结果整改和应用结果反馈结合实际进行应用。</w:t>
      </w:r>
    </w:p>
    <w:p w14:paraId="64A8ED57">
      <w:pPr>
        <w:spacing w:line="600" w:lineRule="exact"/>
        <w:ind w:firstLine="64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四、评价结论及建议</w:t>
      </w:r>
    </w:p>
    <w:p w14:paraId="2AD3C5E6">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（一）评价结论</w:t>
      </w:r>
    </w:p>
    <w:p w14:paraId="492A13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根据《峨边彝族自治县财政局关于开展预算绩效管理工作的通知》文件精神，我单位认真组织开展了部门整体绩效自评工作，绩效评价得分：100 分。</w:t>
      </w:r>
    </w:p>
    <w:p w14:paraId="5FDDB75B">
      <w:pPr>
        <w:spacing w:line="600" w:lineRule="exact"/>
        <w:ind w:firstLine="640"/>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（二）存在的问题</w:t>
      </w:r>
    </w:p>
    <w:p w14:paraId="3187B2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绩效考核意识有待进一步加强，内部绩效管理制度还不够完善，评价体系有待进一步健全。</w:t>
      </w:r>
    </w:p>
    <w:p w14:paraId="6F0B6E4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预算编制工作不够细化，整体绩效工作没有完全细化到最末级等。</w:t>
      </w:r>
    </w:p>
    <w:p w14:paraId="7AC8F0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（三）整改情况</w:t>
      </w:r>
    </w:p>
    <w:p w14:paraId="347023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严格控制经费使用，做到有预算不超支，无预算不开支。</w:t>
      </w:r>
    </w:p>
    <w:p w14:paraId="1FB40B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加强专项资金监督管理。</w:t>
      </w:r>
    </w:p>
    <w:p w14:paraId="7729FFF6">
      <w:pPr>
        <w:spacing w:line="600" w:lineRule="exact"/>
        <w:ind w:firstLine="64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五、其他需说明的情况</w:t>
      </w:r>
    </w:p>
    <w:p w14:paraId="460B0D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14:paraId="0D4B5A6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w:t>
      </w:r>
    </w:p>
    <w:p w14:paraId="72C8901F">
      <w:pPr>
        <w:spacing w:line="600" w:lineRule="exact"/>
        <w:ind w:firstLine="1292" w:firstLineChars="404"/>
        <w:rPr>
          <w:rFonts w:hint="eastAsia" w:ascii="Times New Roman" w:hAnsi="Times New Roman" w:eastAsia="仿宋_GB2312" w:cs="仿宋_GB2312"/>
          <w:color w:val="auto"/>
          <w:kern w:val="2"/>
          <w:sz w:val="32"/>
          <w:szCs w:val="32"/>
          <w:highlight w:val="none"/>
          <w:lang w:val="en-US" w:eastAsia="zh-CN" w:bidi="ar-SA"/>
        </w:rPr>
      </w:pPr>
    </w:p>
    <w:p w14:paraId="410DC608">
      <w:pPr>
        <w:spacing w:line="600" w:lineRule="exact"/>
        <w:ind w:firstLine="4166" w:firstLineChars="130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峨边县供销合作社联合社</w:t>
      </w:r>
    </w:p>
    <w:p w14:paraId="3F9C7B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w:t>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 xml:space="preserve"> 2025年7月5日</w:t>
      </w:r>
    </w:p>
    <w:p w14:paraId="2387F3CB">
      <w:pPr>
        <w:rPr>
          <w:rFonts w:hint="eastAsia" w:eastAsia="黑体"/>
          <w:color w:val="auto"/>
          <w:sz w:val="44"/>
          <w:szCs w:val="44"/>
          <w:highlight w:val="none"/>
          <w:lang w:val="en-US" w:eastAsia="zh-CN"/>
        </w:rPr>
      </w:pPr>
    </w:p>
    <w:p w14:paraId="313851CF">
      <w:pPr>
        <w:rPr>
          <w:rFonts w:hint="eastAsia" w:eastAsia="黑体"/>
          <w:color w:val="auto"/>
          <w:sz w:val="44"/>
          <w:szCs w:val="44"/>
          <w:highlight w:val="none"/>
          <w:lang w:val="en-US" w:eastAsia="zh-CN"/>
        </w:rPr>
      </w:pPr>
    </w:p>
    <w:p w14:paraId="4E4156B1">
      <w:pPr>
        <w:rPr>
          <w:rFonts w:hint="eastAsia" w:eastAsia="黑体"/>
          <w:color w:val="auto"/>
          <w:sz w:val="44"/>
          <w:szCs w:val="44"/>
          <w:highlight w:val="none"/>
          <w:lang w:val="en-US" w:eastAsia="zh-CN"/>
        </w:rPr>
      </w:pPr>
    </w:p>
    <w:p w14:paraId="6CFC159E">
      <w:pPr>
        <w:rPr>
          <w:rFonts w:hint="eastAsia" w:eastAsia="黑体"/>
          <w:color w:val="auto"/>
          <w:sz w:val="44"/>
          <w:szCs w:val="44"/>
          <w:highlight w:val="none"/>
          <w:lang w:val="en-US" w:eastAsia="zh-CN"/>
        </w:rPr>
      </w:pPr>
    </w:p>
    <w:p w14:paraId="104E2624">
      <w:pPr>
        <w:rPr>
          <w:rFonts w:hint="eastAsia" w:eastAsia="黑体"/>
          <w:color w:val="auto"/>
          <w:sz w:val="44"/>
          <w:szCs w:val="44"/>
          <w:highlight w:val="none"/>
          <w:lang w:val="en-US" w:eastAsia="zh-CN"/>
        </w:rPr>
      </w:pPr>
    </w:p>
    <w:p w14:paraId="0C9B331F">
      <w:pPr>
        <w:rPr>
          <w:rFonts w:hint="eastAsia" w:eastAsia="黑体"/>
          <w:color w:val="auto"/>
          <w:sz w:val="44"/>
          <w:szCs w:val="44"/>
          <w:highlight w:val="none"/>
          <w:lang w:val="en-US" w:eastAsia="zh-CN"/>
        </w:rPr>
      </w:pPr>
    </w:p>
    <w:p w14:paraId="37D3150B">
      <w:pPr>
        <w:rPr>
          <w:rFonts w:hint="eastAsia" w:eastAsia="黑体"/>
          <w:color w:val="auto"/>
          <w:sz w:val="44"/>
          <w:szCs w:val="44"/>
          <w:highlight w:val="none"/>
          <w:lang w:val="en-US" w:eastAsia="zh-CN"/>
        </w:rPr>
      </w:pPr>
    </w:p>
    <w:p w14:paraId="40122D7E">
      <w:pPr>
        <w:rPr>
          <w:rFonts w:hint="eastAsia" w:eastAsia="黑体"/>
          <w:color w:val="auto"/>
          <w:sz w:val="44"/>
          <w:szCs w:val="44"/>
          <w:highlight w:val="none"/>
          <w:lang w:val="en-US" w:eastAsia="zh-CN"/>
        </w:rPr>
      </w:pPr>
    </w:p>
    <w:p w14:paraId="24BDA8F2">
      <w:pPr>
        <w:rPr>
          <w:rFonts w:hint="eastAsia" w:eastAsia="黑体"/>
          <w:color w:val="auto"/>
          <w:sz w:val="44"/>
          <w:szCs w:val="44"/>
          <w:highlight w:val="none"/>
          <w:lang w:val="en-US" w:eastAsia="zh-CN"/>
        </w:rPr>
      </w:pPr>
    </w:p>
    <w:p w14:paraId="68950500">
      <w:pPr>
        <w:rPr>
          <w:rFonts w:hint="eastAsia" w:eastAsia="黑体"/>
          <w:color w:val="auto"/>
          <w:sz w:val="44"/>
          <w:szCs w:val="44"/>
          <w:highlight w:val="none"/>
          <w:lang w:val="en-US" w:eastAsia="zh-CN"/>
        </w:rPr>
      </w:pPr>
    </w:p>
    <w:p w14:paraId="59C1D4C7">
      <w:pPr>
        <w:rPr>
          <w:rFonts w:hint="eastAsia" w:eastAsia="黑体"/>
          <w:color w:val="auto"/>
          <w:sz w:val="44"/>
          <w:szCs w:val="44"/>
          <w:highlight w:val="none"/>
          <w:lang w:val="en-US" w:eastAsia="zh-CN"/>
        </w:rPr>
      </w:pPr>
    </w:p>
    <w:p w14:paraId="7F17A1D4">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黑体" w:hAnsi="黑体" w:eastAsia="黑体" w:cs="黑体"/>
          <w:color w:val="auto"/>
          <w:kern w:val="2"/>
          <w:sz w:val="32"/>
          <w:szCs w:val="32"/>
          <w:u w:val="none"/>
          <w:lang w:val="en-US" w:eastAsia="zh-CN" w:bidi="ar"/>
        </w:rPr>
      </w:pPr>
      <w:r>
        <w:rPr>
          <w:rFonts w:hint="eastAsia" w:ascii="黑体" w:hAnsi="黑体" w:eastAsia="黑体" w:cs="黑体"/>
          <w:color w:val="auto"/>
          <w:kern w:val="2"/>
          <w:sz w:val="32"/>
          <w:szCs w:val="32"/>
          <w:u w:val="none"/>
          <w:lang w:val="zh-CN" w:eastAsia="zh-CN" w:bidi="ar"/>
        </w:rPr>
        <w:t>附表：</w:t>
      </w:r>
      <w:bookmarkStart w:id="64" w:name="_GoBack"/>
      <w:bookmarkEnd w:id="64"/>
    </w:p>
    <w:p w14:paraId="66B7FF8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p>
    <w:tbl>
      <w:tblPr>
        <w:tblStyle w:val="1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729"/>
        <w:gridCol w:w="767"/>
        <w:gridCol w:w="752"/>
        <w:gridCol w:w="445"/>
        <w:gridCol w:w="677"/>
        <w:gridCol w:w="448"/>
        <w:gridCol w:w="931"/>
        <w:gridCol w:w="498"/>
        <w:gridCol w:w="498"/>
        <w:gridCol w:w="2079"/>
      </w:tblGrid>
      <w:tr w14:paraId="1DB0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252028A">
            <w:pPr>
              <w:keepNext w:val="0"/>
              <w:keepLines w:val="0"/>
              <w:widowControl/>
              <w:suppressLineNumbers w:val="0"/>
              <w:snapToGrid w:val="0"/>
              <w:jc w:val="center"/>
              <w:textAlignment w:val="center"/>
              <w:rPr>
                <w:rFonts w:ascii="Times New Roman" w:hAnsi="Times New Roman" w:eastAsia="黑体" w:cs="黑体"/>
                <w:b/>
                <w:bCs/>
                <w:i w:val="0"/>
                <w:iCs w:val="0"/>
                <w:color w:val="auto"/>
                <w:sz w:val="30"/>
                <w:szCs w:val="30"/>
                <w:u w:val="none"/>
              </w:rPr>
            </w:pPr>
            <w:r>
              <w:rPr>
                <w:rFonts w:hint="eastAsia" w:ascii="Times New Roman" w:hAnsi="Times New Roman" w:eastAsia="黑体" w:cs="黑体"/>
                <w:b/>
                <w:bCs/>
                <w:i w:val="0"/>
                <w:iCs w:val="0"/>
                <w:color w:val="auto"/>
                <w:kern w:val="0"/>
                <w:sz w:val="30"/>
                <w:szCs w:val="30"/>
                <w:u w:val="none"/>
                <w:lang w:val="en-US" w:eastAsia="zh-CN" w:bidi="ar"/>
              </w:rPr>
              <w:t>部门预算项目支出绩效自评表（2024年度）</w:t>
            </w:r>
          </w:p>
        </w:tc>
      </w:tr>
      <w:tr w14:paraId="4E5A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6F46B">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项目名称</w:t>
            </w:r>
          </w:p>
        </w:tc>
        <w:tc>
          <w:tcPr>
            <w:tcW w:w="416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7479A2">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51113224T000011421500-2024年深化供销综合改革资金</w:t>
            </w:r>
          </w:p>
        </w:tc>
      </w:tr>
      <w:tr w14:paraId="5280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C818E">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主管部门</w:t>
            </w:r>
          </w:p>
        </w:tc>
        <w:tc>
          <w:tcPr>
            <w:tcW w:w="18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4AB84">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峨边彝族自治县供销合作社联合社本级</w:t>
            </w:r>
          </w:p>
        </w:tc>
        <w:tc>
          <w:tcPr>
            <w:tcW w:w="545" w:type="pct"/>
            <w:tcBorders>
              <w:top w:val="nil"/>
              <w:left w:val="nil"/>
              <w:bottom w:val="nil"/>
              <w:right w:val="nil"/>
            </w:tcBorders>
            <w:shd w:val="clear" w:color="auto" w:fill="auto"/>
            <w:vAlign w:val="center"/>
          </w:tcPr>
          <w:p w14:paraId="4D31FB94">
            <w:pPr>
              <w:keepNext w:val="0"/>
              <w:keepLines w:val="0"/>
              <w:widowControl/>
              <w:suppressLineNumbers w:val="0"/>
              <w:snapToGrid w:val="0"/>
              <w:jc w:val="left"/>
              <w:textAlignment w:val="center"/>
              <w:rPr>
                <w:rFonts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实施单位 （盖章）</w:t>
            </w:r>
          </w:p>
        </w:tc>
        <w:tc>
          <w:tcPr>
            <w:tcW w:w="18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EF32A">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峨边彝族自治县供销合作社联合社</w:t>
            </w:r>
          </w:p>
        </w:tc>
      </w:tr>
      <w:tr w14:paraId="0500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07AF9">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项目基本情况</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F964C">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1.项目年度目标完成情况</w:t>
            </w:r>
          </w:p>
        </w:tc>
        <w:tc>
          <w:tcPr>
            <w:tcW w:w="18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75C62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项目年度目标</w:t>
            </w:r>
          </w:p>
        </w:tc>
        <w:tc>
          <w:tcPr>
            <w:tcW w:w="2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9CEE5">
            <w:pPr>
              <w:keepNext w:val="0"/>
              <w:keepLines w:val="0"/>
              <w:widowControl/>
              <w:suppressLineNumbers w:val="0"/>
              <w:snapToGrid w:val="0"/>
              <w:jc w:val="center"/>
              <w:textAlignment w:val="center"/>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年度目标完成情况</w:t>
            </w:r>
          </w:p>
        </w:tc>
      </w:tr>
      <w:tr w14:paraId="356E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7F4C">
            <w:pPr>
              <w:snapToGrid w:val="0"/>
              <w:rPr>
                <w:rFonts w:hint="eastAsia" w:ascii="Times New Roman" w:hAnsi="Times New Roman" w:eastAsia="宋体" w:cs="宋体"/>
                <w:i w:val="0"/>
                <w:iCs w:val="0"/>
                <w:color w:val="auto"/>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1C26">
            <w:pPr>
              <w:snapToGrid w:val="0"/>
              <w:rPr>
                <w:rFonts w:hint="eastAsia" w:ascii="Times New Roman" w:hAnsi="Times New Roman" w:eastAsia="宋体" w:cs="宋体"/>
                <w:i w:val="0"/>
                <w:iCs w:val="0"/>
                <w:color w:val="auto"/>
                <w:sz w:val="18"/>
                <w:szCs w:val="18"/>
                <w:u w:val="none"/>
              </w:rPr>
            </w:pPr>
          </w:p>
        </w:tc>
        <w:tc>
          <w:tcPr>
            <w:tcW w:w="18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F82770">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按照中央省市供销综合改革要求，持续深化我县供销社综合改革</w:t>
            </w:r>
          </w:p>
        </w:tc>
        <w:tc>
          <w:tcPr>
            <w:tcW w:w="2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F703A">
            <w:pPr>
              <w:keepNext w:val="0"/>
              <w:keepLines w:val="0"/>
              <w:widowControl/>
              <w:suppressLineNumbers w:val="0"/>
              <w:snapToGrid w:val="0"/>
              <w:jc w:val="left"/>
              <w:textAlignment w:val="center"/>
              <w:rPr>
                <w:rFonts w:hint="eastAsia" w:ascii="Times New Roman" w:hAnsi="Times New Roman" w:eastAsia="黑体" w:cs="黑体"/>
                <w:i w:val="0"/>
                <w:iCs w:val="0"/>
                <w:color w:val="auto"/>
                <w:sz w:val="18"/>
                <w:szCs w:val="18"/>
                <w:u w:val="none"/>
              </w:rPr>
            </w:pPr>
            <w:r>
              <w:rPr>
                <w:rFonts w:hint="eastAsia" w:ascii="Times New Roman" w:hAnsi="Times New Roman" w:eastAsia="黑体" w:cs="黑体"/>
                <w:i w:val="0"/>
                <w:iCs w:val="0"/>
                <w:color w:val="auto"/>
                <w:kern w:val="0"/>
                <w:sz w:val="18"/>
                <w:szCs w:val="18"/>
                <w:u w:val="none"/>
                <w:lang w:val="en-US" w:eastAsia="zh-CN" w:bidi="ar"/>
              </w:rPr>
              <w:t>完成为农服务中心1家，三星级综合服务社3家，城区服务网点6家</w:t>
            </w:r>
          </w:p>
        </w:tc>
      </w:tr>
      <w:tr w14:paraId="0593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04ECE">
            <w:pPr>
              <w:snapToGrid w:val="0"/>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FB76">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2.项目实施内容及过程概述</w:t>
            </w:r>
          </w:p>
        </w:tc>
        <w:tc>
          <w:tcPr>
            <w:tcW w:w="416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7B30FF">
            <w:pPr>
              <w:keepNext w:val="0"/>
              <w:keepLines w:val="0"/>
              <w:widowControl/>
              <w:suppressLineNumbers w:val="0"/>
              <w:snapToGrid w:val="0"/>
              <w:jc w:val="lef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完成市供销社年度目标任务</w:t>
            </w:r>
          </w:p>
        </w:tc>
      </w:tr>
      <w:tr w14:paraId="57D8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874F6">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预算执行情况（10分）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B7F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年度预算数（万元）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440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年初预算</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F95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调整后预算数</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0A7C7">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预算执行数</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F69C">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预算执行率</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9078">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权重</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050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得分</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6DD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原因</w:t>
            </w:r>
          </w:p>
        </w:tc>
      </w:tr>
      <w:tr w14:paraId="1FF1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134F">
            <w:pPr>
              <w:snapToGrid w:val="0"/>
              <w:jc w:val="center"/>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A8F8">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总额</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F60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50.01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9741">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15.97</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27159">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15.97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B322">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AB4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6476">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1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25BA9">
            <w:pPr>
              <w:keepNext w:val="0"/>
              <w:keepLines w:val="0"/>
              <w:widowControl/>
              <w:suppressLineNumbers w:val="0"/>
              <w:snapToGrid w:val="0"/>
              <w:jc w:val="left"/>
              <w:textAlignment w:val="center"/>
              <w:rPr>
                <w:rFonts w:hint="eastAsia" w:ascii="Times New Roman" w:hAnsi="Times New Roman" w:eastAsia="黑体" w:cs="黑体"/>
                <w:i/>
                <w:iCs/>
                <w:color w:val="auto"/>
                <w:sz w:val="18"/>
                <w:szCs w:val="18"/>
                <w:u w:val="none"/>
              </w:rPr>
            </w:pPr>
            <w:r>
              <w:rPr>
                <w:rFonts w:hint="eastAsia" w:ascii="Times New Roman" w:hAnsi="Times New Roman" w:eastAsia="黑体" w:cs="黑体"/>
                <w:i/>
                <w:iCs/>
                <w:color w:val="auto"/>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581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E62A">
            <w:pPr>
              <w:snapToGrid w:val="0"/>
              <w:jc w:val="center"/>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7D01">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其中：财政资金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4E49">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50.01</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4AF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15.97</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CAFF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15.97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CF8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E76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BD5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1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19FA">
            <w:pPr>
              <w:snapToGrid w:val="0"/>
              <w:rPr>
                <w:rFonts w:hint="eastAsia" w:ascii="Times New Roman" w:hAnsi="Times New Roman" w:eastAsia="黑体" w:cs="黑体"/>
                <w:i/>
                <w:iCs/>
                <w:color w:val="auto"/>
                <w:sz w:val="18"/>
                <w:szCs w:val="18"/>
                <w:u w:val="none"/>
              </w:rPr>
            </w:pPr>
          </w:p>
        </w:tc>
      </w:tr>
      <w:tr w14:paraId="5523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8810">
            <w:pPr>
              <w:snapToGrid w:val="0"/>
              <w:jc w:val="center"/>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C55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财政专户管理资金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DFB2">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AFDC">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0.00</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DC19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EE59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DA9C">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86C02">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1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EA444">
            <w:pPr>
              <w:snapToGrid w:val="0"/>
              <w:rPr>
                <w:rFonts w:hint="eastAsia" w:ascii="Times New Roman" w:hAnsi="Times New Roman" w:eastAsia="黑体" w:cs="黑体"/>
                <w:i/>
                <w:iCs/>
                <w:color w:val="auto"/>
                <w:sz w:val="18"/>
                <w:szCs w:val="18"/>
                <w:u w:val="none"/>
              </w:rPr>
            </w:pPr>
          </w:p>
        </w:tc>
      </w:tr>
      <w:tr w14:paraId="7BEE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B97E6">
            <w:pPr>
              <w:snapToGrid w:val="0"/>
              <w:jc w:val="center"/>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C6C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单位资金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F786">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0.00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07A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0.00</w:t>
            </w: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E8B2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0.00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DE2A">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7366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DE1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1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8F81">
            <w:pPr>
              <w:snapToGrid w:val="0"/>
              <w:rPr>
                <w:rFonts w:hint="eastAsia" w:ascii="Times New Roman" w:hAnsi="Times New Roman" w:eastAsia="黑体" w:cs="黑体"/>
                <w:i/>
                <w:iCs/>
                <w:color w:val="auto"/>
                <w:sz w:val="18"/>
                <w:szCs w:val="18"/>
                <w:u w:val="none"/>
              </w:rPr>
            </w:pPr>
          </w:p>
        </w:tc>
      </w:tr>
      <w:tr w14:paraId="1AC5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C699">
            <w:pPr>
              <w:snapToGrid w:val="0"/>
              <w:jc w:val="center"/>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D541">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其他资金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035D">
            <w:pPr>
              <w:snapToGrid w:val="0"/>
              <w:jc w:val="center"/>
              <w:rPr>
                <w:rFonts w:hint="eastAsia" w:ascii="Times New Roman" w:hAnsi="Times New Roman" w:eastAsia="微软雅黑" w:cs="微软雅黑"/>
                <w:i/>
                <w:iCs/>
                <w:color w:val="auto"/>
                <w:sz w:val="16"/>
                <w:szCs w:val="16"/>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6812">
            <w:pPr>
              <w:snapToGrid w:val="0"/>
              <w:jc w:val="center"/>
              <w:rPr>
                <w:rFonts w:hint="eastAsia" w:ascii="Times New Roman" w:hAnsi="Times New Roman" w:eastAsia="微软雅黑" w:cs="微软雅黑"/>
                <w:i/>
                <w:iCs/>
                <w:color w:val="auto"/>
                <w:sz w:val="16"/>
                <w:szCs w:val="16"/>
                <w:u w:val="none"/>
              </w:rPr>
            </w:pPr>
          </w:p>
        </w:tc>
        <w:tc>
          <w:tcPr>
            <w:tcW w:w="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84993">
            <w:pPr>
              <w:snapToGrid w:val="0"/>
              <w:jc w:val="center"/>
              <w:rPr>
                <w:rFonts w:hint="eastAsia" w:ascii="Times New Roman" w:hAnsi="Times New Roman" w:eastAsia="微软雅黑" w:cs="微软雅黑"/>
                <w:i/>
                <w:iCs/>
                <w:color w:val="auto"/>
                <w:sz w:val="16"/>
                <w:szCs w:val="16"/>
                <w:u w:val="none"/>
              </w:rPr>
            </w:pP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665DD">
            <w:pPr>
              <w:snapToGrid w:val="0"/>
              <w:jc w:val="center"/>
              <w:rPr>
                <w:rFonts w:hint="eastAsia" w:ascii="Times New Roman" w:hAnsi="Times New Roman" w:eastAsia="微软雅黑" w:cs="微软雅黑"/>
                <w:i/>
                <w:iCs/>
                <w:color w:val="auto"/>
                <w:sz w:val="16"/>
                <w:szCs w:val="16"/>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F6A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99A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1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F0732">
            <w:pPr>
              <w:snapToGrid w:val="0"/>
              <w:rPr>
                <w:rFonts w:hint="eastAsia" w:ascii="Times New Roman" w:hAnsi="Times New Roman" w:eastAsia="黑体" w:cs="黑体"/>
                <w:i/>
                <w:iCs/>
                <w:color w:val="auto"/>
                <w:sz w:val="18"/>
                <w:szCs w:val="18"/>
                <w:u w:val="none"/>
              </w:rPr>
            </w:pPr>
          </w:p>
        </w:tc>
      </w:tr>
      <w:tr w14:paraId="2719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3178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绩效指标（90分）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BBF8">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一级指标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7ECF1">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二级指标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62B9">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三级指标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DC9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指标性质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AE2A">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指标值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EB5A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度量单位</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FF6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完成值</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8C6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权重</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1EB2">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得分</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6A56">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未完成原因分析</w:t>
            </w:r>
          </w:p>
        </w:tc>
      </w:tr>
      <w:tr w14:paraId="52DC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E6535">
            <w:pPr>
              <w:snapToGrid w:val="0"/>
              <w:jc w:val="center"/>
              <w:rPr>
                <w:rFonts w:hint="eastAsia" w:ascii="Times New Roman" w:hAnsi="Times New Roman" w:eastAsia="宋体" w:cs="宋体"/>
                <w:i w:val="0"/>
                <w:iCs w:val="0"/>
                <w:color w:val="auto"/>
                <w:sz w:val="18"/>
                <w:szCs w:val="18"/>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A8F2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产出指标</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D674D">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数量指标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85F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为农服务中心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6CE2">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360D">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B942">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家</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E065">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FC02">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3B3E">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A585">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无</w:t>
            </w:r>
          </w:p>
        </w:tc>
      </w:tr>
      <w:tr w14:paraId="6CD36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BCF0">
            <w:pPr>
              <w:snapToGrid w:val="0"/>
              <w:jc w:val="center"/>
              <w:rPr>
                <w:rFonts w:hint="eastAsia" w:ascii="Times New Roman" w:hAnsi="Times New Roman" w:eastAsia="宋体" w:cs="宋体"/>
                <w:i w:val="0"/>
                <w:iCs w:val="0"/>
                <w:color w:val="auto"/>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05E8">
            <w:pPr>
              <w:snapToGrid w:val="0"/>
              <w:jc w:val="center"/>
              <w:rPr>
                <w:rFonts w:hint="eastAsia" w:ascii="Times New Roman" w:hAnsi="Times New Roman" w:eastAsia="宋体" w:cs="宋体"/>
                <w:i w:val="0"/>
                <w:iCs w:val="0"/>
                <w:color w:val="auto"/>
                <w:sz w:val="18"/>
                <w:szCs w:val="18"/>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0080">
            <w:pPr>
              <w:snapToGrid w:val="0"/>
              <w:jc w:val="center"/>
              <w:rPr>
                <w:rFonts w:hint="eastAsia" w:ascii="Times New Roman" w:hAnsi="Times New Roman"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8BF5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三星级综合服务社</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9DF5E">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30FB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3</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1A349">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家</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186CC">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3</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0EA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FD9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1494">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无</w:t>
            </w:r>
          </w:p>
        </w:tc>
      </w:tr>
      <w:tr w14:paraId="5F71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9E42">
            <w:pPr>
              <w:snapToGrid w:val="0"/>
              <w:jc w:val="center"/>
              <w:rPr>
                <w:rFonts w:hint="eastAsia" w:ascii="Times New Roman" w:hAnsi="Times New Roman" w:eastAsia="宋体" w:cs="宋体"/>
                <w:i w:val="0"/>
                <w:iCs w:val="0"/>
                <w:color w:val="auto"/>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8D45">
            <w:pPr>
              <w:snapToGrid w:val="0"/>
              <w:jc w:val="center"/>
              <w:rPr>
                <w:rFonts w:hint="eastAsia" w:ascii="Times New Roman" w:hAnsi="Times New Roman" w:eastAsia="宋体" w:cs="宋体"/>
                <w:i w:val="0"/>
                <w:iCs w:val="0"/>
                <w:color w:val="auto"/>
                <w:sz w:val="18"/>
                <w:szCs w:val="18"/>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0895">
            <w:pPr>
              <w:snapToGrid w:val="0"/>
              <w:jc w:val="center"/>
              <w:rPr>
                <w:rFonts w:hint="eastAsia" w:ascii="Times New Roman" w:hAnsi="Times New Roman" w:eastAsia="宋体" w:cs="宋体"/>
                <w:i w:val="0"/>
                <w:iCs w:val="0"/>
                <w:color w:val="auto"/>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0F2E">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城区服务网点</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066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C14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6</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932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家</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A353">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6</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22B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7EA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44A2">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无</w:t>
            </w:r>
          </w:p>
        </w:tc>
      </w:tr>
      <w:tr w14:paraId="72C9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7F01">
            <w:pPr>
              <w:snapToGrid w:val="0"/>
              <w:jc w:val="center"/>
              <w:rPr>
                <w:rFonts w:hint="eastAsia" w:ascii="Times New Roman" w:hAnsi="Times New Roman" w:eastAsia="宋体" w:cs="宋体"/>
                <w:i w:val="0"/>
                <w:iCs w:val="0"/>
                <w:color w:val="auto"/>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7D10">
            <w:pPr>
              <w:snapToGrid w:val="0"/>
              <w:jc w:val="center"/>
              <w:rPr>
                <w:rFonts w:hint="eastAsia" w:ascii="Times New Roman" w:hAnsi="Times New Roman" w:eastAsia="宋体" w:cs="宋体"/>
                <w:i w:val="0"/>
                <w:iCs w:val="0"/>
                <w:color w:val="auto"/>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F95FA">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质量指标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76A1">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验收合格率</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C63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B00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98</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98A0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7652">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DC4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42859">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96AF">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无</w:t>
            </w:r>
          </w:p>
        </w:tc>
      </w:tr>
      <w:tr w14:paraId="47E01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61371">
            <w:pPr>
              <w:snapToGrid w:val="0"/>
              <w:jc w:val="center"/>
              <w:rPr>
                <w:rFonts w:hint="eastAsia" w:ascii="Times New Roman" w:hAnsi="Times New Roman" w:eastAsia="宋体" w:cs="宋体"/>
                <w:i w:val="0"/>
                <w:iCs w:val="0"/>
                <w:color w:val="auto"/>
                <w:sz w:val="18"/>
                <w:szCs w:val="18"/>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357B">
            <w:pPr>
              <w:snapToGrid w:val="0"/>
              <w:jc w:val="center"/>
              <w:rPr>
                <w:rFonts w:hint="eastAsia" w:ascii="Times New Roman" w:hAnsi="Times New Roman" w:eastAsia="宋体" w:cs="宋体"/>
                <w:i w:val="0"/>
                <w:iCs w:val="0"/>
                <w:color w:val="auto"/>
                <w:sz w:val="18"/>
                <w:szCs w:val="18"/>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7AA6">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时效指标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08B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项目开展时间</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9D5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15211">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50FD">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年</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A6D7">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1</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314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260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4D00">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无</w:t>
            </w:r>
          </w:p>
        </w:tc>
      </w:tr>
      <w:tr w14:paraId="6E62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13BB">
            <w:pPr>
              <w:snapToGrid w:val="0"/>
              <w:jc w:val="center"/>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896A">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效益指标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A4A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经济效益指标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92C6">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联农带农作用</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F1B7">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67E1">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6997">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人</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859E">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751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8015">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20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0C8C">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无</w:t>
            </w:r>
          </w:p>
        </w:tc>
      </w:tr>
      <w:tr w14:paraId="4595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0C70">
            <w:pPr>
              <w:snapToGrid w:val="0"/>
              <w:jc w:val="center"/>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DA5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满意度指标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E2A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服务对象满意度指标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F92E">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受益对象满意</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C89E">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6F8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98</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84C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40E3">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1D6F">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2547">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3C6E">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无</w:t>
            </w:r>
          </w:p>
        </w:tc>
      </w:tr>
      <w:tr w14:paraId="5D2C6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F183">
            <w:pPr>
              <w:snapToGrid w:val="0"/>
              <w:jc w:val="center"/>
              <w:rPr>
                <w:rFonts w:hint="eastAsia" w:ascii="Times New Roman" w:hAnsi="Times New Roman" w:eastAsia="宋体" w:cs="宋体"/>
                <w:i w:val="0"/>
                <w:iCs w:val="0"/>
                <w:color w:val="auto"/>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FBB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成本指标</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B36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经济成本指标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36F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成本投入数</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7CF4">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4FD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50.01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AC16">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万元</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46EB">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50.01</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25247">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0DE3">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D6ED">
            <w:pPr>
              <w:keepNext w:val="0"/>
              <w:keepLines w:val="0"/>
              <w:widowControl/>
              <w:suppressLineNumbers w:val="0"/>
              <w:snapToGrid w:val="0"/>
              <w:jc w:val="center"/>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无</w:t>
            </w:r>
          </w:p>
        </w:tc>
      </w:tr>
      <w:tr w14:paraId="4740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19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EF6B9B">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合计</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9776">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100</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D04E">
            <w:pPr>
              <w:keepNext w:val="0"/>
              <w:keepLines w:val="0"/>
              <w:widowControl/>
              <w:suppressLineNumbers w:val="0"/>
              <w:snapToGrid w:val="0"/>
              <w:jc w:val="right"/>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100</w:t>
            </w:r>
          </w:p>
        </w:tc>
        <w:tc>
          <w:tcPr>
            <w:tcW w:w="1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1705">
            <w:pPr>
              <w:snapToGrid w:val="0"/>
              <w:rPr>
                <w:rFonts w:hint="eastAsia" w:ascii="Times New Roman" w:hAnsi="Times New Roman" w:eastAsia="宋体" w:cs="宋体"/>
                <w:i w:val="0"/>
                <w:iCs w:val="0"/>
                <w:color w:val="auto"/>
                <w:sz w:val="18"/>
                <w:szCs w:val="18"/>
                <w:u w:val="none"/>
              </w:rPr>
            </w:pPr>
          </w:p>
        </w:tc>
      </w:tr>
      <w:tr w14:paraId="28BC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A2B8">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评价结论</w:t>
            </w:r>
          </w:p>
        </w:tc>
        <w:tc>
          <w:tcPr>
            <w:tcW w:w="458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F9EA91">
            <w:pPr>
              <w:keepNext w:val="0"/>
              <w:keepLines w:val="0"/>
              <w:widowControl/>
              <w:suppressLineNumbers w:val="0"/>
              <w:snapToGrid w:val="0"/>
              <w:jc w:val="left"/>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2024年供销综合改革资金聚焦服务乡村振兴与农业现代化，重点支持基层社提质、农产品流通体系建设和农业社会化服务，推动县域流通网络升级，强化联农带农机制，完成目标100%。</w:t>
            </w:r>
          </w:p>
        </w:tc>
      </w:tr>
      <w:tr w14:paraId="56BA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90FD9">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存在问题</w:t>
            </w:r>
          </w:p>
        </w:tc>
        <w:tc>
          <w:tcPr>
            <w:tcW w:w="458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4A7BBB">
            <w:pPr>
              <w:keepNext w:val="0"/>
              <w:keepLines w:val="0"/>
              <w:widowControl/>
              <w:suppressLineNumbers w:val="0"/>
              <w:snapToGrid w:val="0"/>
              <w:jc w:val="left"/>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资金效能需进一步释放，需解决区域不平衡、项目碎片化，县级社运营人才匮乏等问题。</w:t>
            </w:r>
          </w:p>
        </w:tc>
      </w:tr>
      <w:tr w14:paraId="5D65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BFF0">
            <w:pPr>
              <w:keepNext w:val="0"/>
              <w:keepLines w:val="0"/>
              <w:widowControl/>
              <w:suppressLineNumbers w:val="0"/>
              <w:snapToGrid w:val="0"/>
              <w:jc w:val="center"/>
              <w:textAlignment w:val="center"/>
              <w:rPr>
                <w:rFonts w:ascii="Times New Roman" w:hAnsi="Times New Roman" w:eastAsia="宋体" w:cs="宋体"/>
                <w:i w:val="0"/>
                <w:iCs w:val="0"/>
                <w:color w:val="auto"/>
                <w:sz w:val="18"/>
                <w:szCs w:val="18"/>
                <w:u w:val="none"/>
              </w:rPr>
            </w:pPr>
            <w:r>
              <w:rPr>
                <w:rFonts w:ascii="Times New Roman" w:hAnsi="Times New Roman" w:eastAsia="宋体" w:cs="宋体"/>
                <w:i w:val="0"/>
                <w:iCs w:val="0"/>
                <w:color w:val="auto"/>
                <w:kern w:val="0"/>
                <w:sz w:val="18"/>
                <w:szCs w:val="18"/>
                <w:u w:val="none"/>
                <w:lang w:val="en-US" w:eastAsia="zh-CN" w:bidi="ar"/>
              </w:rPr>
              <w:t>改进措施</w:t>
            </w:r>
          </w:p>
        </w:tc>
        <w:tc>
          <w:tcPr>
            <w:tcW w:w="458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623E07">
            <w:pPr>
              <w:keepNext w:val="0"/>
              <w:keepLines w:val="0"/>
              <w:widowControl/>
              <w:suppressLineNumbers w:val="0"/>
              <w:snapToGrid w:val="0"/>
              <w:jc w:val="left"/>
              <w:textAlignment w:val="center"/>
              <w:rPr>
                <w:rFonts w:hint="eastAsia" w:ascii="Times New Roman" w:hAnsi="Times New Roman" w:eastAsia="微软雅黑" w:cs="微软雅黑"/>
                <w:i/>
                <w:iCs/>
                <w:color w:val="auto"/>
                <w:sz w:val="16"/>
                <w:szCs w:val="16"/>
                <w:u w:val="none"/>
              </w:rPr>
            </w:pPr>
            <w:r>
              <w:rPr>
                <w:rFonts w:hint="eastAsia" w:ascii="Times New Roman" w:hAnsi="Times New Roman" w:eastAsia="微软雅黑" w:cs="微软雅黑"/>
                <w:i/>
                <w:iCs/>
                <w:color w:val="auto"/>
                <w:kern w:val="0"/>
                <w:sz w:val="16"/>
                <w:szCs w:val="16"/>
                <w:u w:val="none"/>
                <w:lang w:val="en-US" w:eastAsia="zh-CN" w:bidi="ar"/>
              </w:rPr>
              <w:t>集中资金支持冷链仓储、县域集配中心等关键节点，严控"小散乱"项目；定向培训县域运营骨干，推广"互联网+供销"平台，提升资金使用效能。</w:t>
            </w:r>
          </w:p>
        </w:tc>
      </w:tr>
      <w:tr w14:paraId="0E52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1B2EC6">
            <w:pPr>
              <w:keepNext w:val="0"/>
              <w:keepLines w:val="0"/>
              <w:widowControl/>
              <w:suppressLineNumbers w:val="0"/>
              <w:snapToGrid w:val="0"/>
              <w:jc w:val="left"/>
              <w:textAlignment w:val="center"/>
              <w:rPr>
                <w:rFonts w:hint="default" w:ascii="Times New Roman" w:hAnsi="Times New Roman" w:eastAsia="黑体" w:cs="黑体"/>
                <w:i w:val="0"/>
                <w:iCs w:val="0"/>
                <w:color w:val="auto"/>
                <w:sz w:val="18"/>
                <w:szCs w:val="18"/>
                <w:u w:val="none"/>
                <w:lang w:val="en-US"/>
              </w:rPr>
            </w:pPr>
            <w:r>
              <w:rPr>
                <w:rFonts w:hint="eastAsia" w:ascii="Times New Roman" w:hAnsi="Times New Roman" w:eastAsia="黑体" w:cs="黑体"/>
                <w:i w:val="0"/>
                <w:iCs w:val="0"/>
                <w:color w:val="auto"/>
                <w:kern w:val="0"/>
                <w:sz w:val="18"/>
                <w:szCs w:val="18"/>
                <w:u w:val="none"/>
                <w:lang w:val="en-US" w:eastAsia="zh-CN" w:bidi="ar"/>
              </w:rPr>
              <w:t>项目负责人：阿罗木惹</w:t>
            </w:r>
          </w:p>
        </w:tc>
        <w:tc>
          <w:tcPr>
            <w:tcW w:w="300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B89B43">
            <w:pPr>
              <w:keepNext w:val="0"/>
              <w:keepLines w:val="0"/>
              <w:widowControl/>
              <w:suppressLineNumbers w:val="0"/>
              <w:snapToGrid w:val="0"/>
              <w:jc w:val="left"/>
              <w:textAlignment w:val="center"/>
              <w:rPr>
                <w:rFonts w:hint="default" w:ascii="Times New Roman" w:hAnsi="Times New Roman" w:eastAsia="黑体" w:cs="黑体"/>
                <w:i w:val="0"/>
                <w:iCs w:val="0"/>
                <w:color w:val="auto"/>
                <w:sz w:val="18"/>
                <w:szCs w:val="18"/>
                <w:u w:val="none"/>
                <w:lang w:val="en-US"/>
              </w:rPr>
            </w:pPr>
            <w:r>
              <w:rPr>
                <w:rFonts w:hint="eastAsia" w:ascii="Times New Roman" w:hAnsi="Times New Roman" w:eastAsia="黑体" w:cs="黑体"/>
                <w:i w:val="0"/>
                <w:iCs w:val="0"/>
                <w:color w:val="auto"/>
                <w:kern w:val="0"/>
                <w:sz w:val="18"/>
                <w:szCs w:val="18"/>
                <w:u w:val="none"/>
                <w:lang w:val="en-US" w:eastAsia="zh-CN" w:bidi="ar"/>
              </w:rPr>
              <w:t>财务负责人：张梦</w:t>
            </w:r>
          </w:p>
        </w:tc>
      </w:tr>
    </w:tbl>
    <w:p w14:paraId="2F8DADD9">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color w:val="auto"/>
          <w:sz w:val="32"/>
          <w:szCs w:val="32"/>
          <w:highlight w:val="yellow"/>
          <w:lang w:val="zh-CN" w:eastAsia="zh-CN"/>
        </w:rPr>
      </w:pPr>
    </w:p>
    <w:p w14:paraId="55FAD22C">
      <w:pPr>
        <w:pStyle w:val="5"/>
        <w:rPr>
          <w:rFonts w:hint="eastAsia" w:ascii="Times New Roman" w:hAnsi="Times New Roman" w:cs="宋体"/>
          <w:color w:val="auto"/>
          <w:kern w:val="0"/>
          <w:sz w:val="32"/>
          <w:szCs w:val="32"/>
          <w:highlight w:val="yellow"/>
          <w:shd w:val="clear" w:color="auto" w:fill="FFFFFF"/>
          <w:lang w:val="zh-CN"/>
        </w:rPr>
      </w:pPr>
    </w:p>
    <w:p w14:paraId="1A286321">
      <w:pPr>
        <w:rPr>
          <w:rFonts w:hint="eastAsia" w:eastAsia="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br w:type="page"/>
      </w:r>
    </w:p>
    <w:p w14:paraId="0E58DDCA">
      <w:pPr>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附件2</w:t>
      </w:r>
    </w:p>
    <w:p w14:paraId="51A6A58B">
      <w:pPr>
        <w:tabs>
          <w:tab w:val="left" w:pos="1440"/>
        </w:tabs>
        <w:spacing w:line="600" w:lineRule="exact"/>
        <w:rPr>
          <w:rFonts w:ascii="宋体" w:hAnsi="宋体" w:eastAsia="宋体"/>
          <w:sz w:val="30"/>
          <w:szCs w:val="30"/>
        </w:rPr>
      </w:pPr>
    </w:p>
    <w:p w14:paraId="3169D157">
      <w:pPr>
        <w:keepNext w:val="0"/>
        <w:keepLines w:val="0"/>
        <w:pageBreakBefore w:val="0"/>
        <w:widowControl w:val="0"/>
        <w:tabs>
          <w:tab w:val="left" w:pos="1440"/>
        </w:tabs>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深化供销综合改革资金</w:t>
      </w:r>
    </w:p>
    <w:p w14:paraId="5F7B7DCD">
      <w:pPr>
        <w:keepNext w:val="0"/>
        <w:keepLines w:val="0"/>
        <w:pageBreakBefore w:val="0"/>
        <w:widowControl w:val="0"/>
        <w:tabs>
          <w:tab w:val="left" w:pos="1440"/>
        </w:tabs>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项目支出绩效自评报告</w:t>
      </w:r>
    </w:p>
    <w:p w14:paraId="0C319FBF">
      <w:pPr>
        <w:pStyle w:val="34"/>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712DC531">
      <w:pPr>
        <w:pStyle w:val="34"/>
        <w:keepNext w:val="0"/>
        <w:keepLines w:val="0"/>
        <w:pageBreakBefore w:val="0"/>
        <w:widowControl w:val="0"/>
        <w:kinsoku/>
        <w:wordWrap/>
        <w:overflowPunct/>
        <w:topLinePunct w:val="0"/>
        <w:autoSpaceDE/>
        <w:autoSpaceDN/>
        <w:bidi w:val="0"/>
        <w:spacing w:line="560" w:lineRule="exact"/>
        <w:ind w:firstLine="64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59DE6BE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en-US" w:eastAsia="zh-CN" w:bidi="ar-SA"/>
        </w:rPr>
        <w:t>一、</w:t>
      </w:r>
      <w:r>
        <w:rPr>
          <w:rFonts w:hint="eastAsia" w:ascii="黑体" w:hAnsi="黑体" w:eastAsia="黑体" w:cs="黑体"/>
          <w:color w:val="auto"/>
          <w:kern w:val="2"/>
          <w:sz w:val="32"/>
          <w:szCs w:val="32"/>
          <w:highlight w:val="none"/>
          <w:lang w:val="zh-CN" w:eastAsia="zh-CN" w:bidi="ar-SA"/>
        </w:rPr>
        <w:t>项目概况</w:t>
      </w:r>
    </w:p>
    <w:p w14:paraId="0D4CEA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（一）项目资金申报及批复情况</w:t>
      </w:r>
    </w:p>
    <w:p w14:paraId="05ED5267">
      <w:pPr>
        <w:adjustRightInd w:val="0"/>
        <w:snapToGrid w:val="0"/>
        <w:spacing w:line="600" w:lineRule="exact"/>
        <w:ind w:firstLine="720"/>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深化供销综合改革项目按照乐山市供销社下达我县综改目标任务进行申报，申报资金60万元，县财政批复资金60万元。</w:t>
      </w:r>
    </w:p>
    <w:p w14:paraId="6C1CAF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720" w:firstLineChars="0"/>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lang w:val="zh-CN" w:eastAsia="zh-CN" w:bidi="ar-SA"/>
        </w:rPr>
        <w:t>（二）</w:t>
      </w:r>
      <w:r>
        <w:rPr>
          <w:rFonts w:hint="eastAsia" w:ascii="楷体_GB2312" w:hAnsi="楷体_GB2312" w:eastAsia="楷体_GB2312" w:cs="楷体_GB2312"/>
          <w:color w:val="auto"/>
          <w:kern w:val="2"/>
          <w:sz w:val="32"/>
          <w:szCs w:val="32"/>
          <w:highlight w:val="none"/>
          <w:lang w:val="zh-CN" w:eastAsia="zh-CN" w:bidi="ar-SA"/>
        </w:rPr>
        <w:t>项目绩效目标</w:t>
      </w:r>
    </w:p>
    <w:p w14:paraId="05F2D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主动对接市供销联社，保质保量完成市级下达综合业绩。新建村级供销社1家，打造三星级综合服务社2家，建设城市社区经营服务网点5家，改造薄弱基层社1家，新建农业专合社2家，新建农民专业合作社联合社2家，上报省级特色农产品2家。通过多种渠道推进“三社融合”发展，自主选拔村集体经济组织负责人担任新型基层供销社理事会主任和监事会主任，积极吸纳村集体经济组织等入股新型基层供销社，积极培育社有企业承欣会计服务有限公司开展会计代理记账服务，目前我县基层社符合组织融合2家，资本融合7家，服务融合7家。</w:t>
      </w:r>
    </w:p>
    <w:p w14:paraId="37BA60D4">
      <w:pPr>
        <w:numPr>
          <w:ilvl w:val="0"/>
          <w:numId w:val="0"/>
        </w:numPr>
        <w:adjustRightInd w:val="0"/>
        <w:snapToGrid w:val="0"/>
        <w:spacing w:line="600" w:lineRule="exact"/>
        <w:ind w:left="0" w:leftChars="0" w:firstLine="720" w:firstLineChars="0"/>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lang w:val="zh-CN" w:eastAsia="zh-CN" w:bidi="ar-SA"/>
        </w:rPr>
        <w:t>（三）</w:t>
      </w:r>
      <w:r>
        <w:rPr>
          <w:rFonts w:hint="eastAsia" w:ascii="楷体_GB2312" w:hAnsi="楷体_GB2312" w:eastAsia="楷体_GB2312" w:cs="楷体_GB2312"/>
          <w:color w:val="auto"/>
          <w:kern w:val="2"/>
          <w:sz w:val="32"/>
          <w:szCs w:val="32"/>
          <w:highlight w:val="none"/>
          <w:lang w:val="zh-CN" w:eastAsia="zh-CN" w:bidi="ar-SA"/>
        </w:rPr>
        <w:t>项目资金申报相符性</w:t>
      </w:r>
    </w:p>
    <w:p w14:paraId="0D629CBC">
      <w:pPr>
        <w:numPr>
          <w:ilvl w:val="0"/>
          <w:numId w:val="0"/>
        </w:numPr>
        <w:adjustRightInd w:val="0"/>
        <w:snapToGrid w:val="0"/>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深化供销综合改革项目按照乐山市供销社下达我县综改目标任务进行申报，资金使用过程中接收县监事会监督，所有奖补资金在验收合格后进行奖补。</w:t>
      </w:r>
    </w:p>
    <w:p w14:paraId="1A5953D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二、项目实施及管理情况</w:t>
      </w:r>
    </w:p>
    <w:p w14:paraId="2CBC46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（一）资金计划、到位及使用情况</w:t>
      </w:r>
    </w:p>
    <w:p w14:paraId="4ABD5D60">
      <w:pPr>
        <w:adjustRightInd w:val="0"/>
        <w:snapToGrid w:val="0"/>
        <w:spacing w:line="600" w:lineRule="exact"/>
        <w:ind w:firstLine="72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县财政安排60万元项目资金，60万元项目资金已全部到位</w:t>
      </w:r>
    </w:p>
    <w:p w14:paraId="5E9555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（二）项目财务管理情况</w:t>
      </w:r>
    </w:p>
    <w:p w14:paraId="39EFF350">
      <w:pPr>
        <w:spacing w:line="540" w:lineRule="exact"/>
        <w:ind w:firstLine="640" w:firstLineChars="200"/>
        <w:jc w:val="left"/>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此次项目资金的拨付严格审批程序，使用规范，会计核算结果真实、准确。此次绩效评价过程中未发现有截留、挤占或挪用项目资金的情况。</w:t>
      </w:r>
    </w:p>
    <w:p w14:paraId="41AE22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（三）项目组织实施情况</w:t>
      </w:r>
    </w:p>
    <w:p w14:paraId="689731D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深化供销综合改革项目资金使用方案经集体讨论同意后实施，资金使用过程中接收县监事会监督，所有奖补资金在验收合格后进行奖补。</w:t>
      </w:r>
    </w:p>
    <w:p w14:paraId="7C02DB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2"/>
          <w:sz w:val="32"/>
          <w:szCs w:val="32"/>
          <w:highlight w:val="none"/>
          <w:lang w:val="zh-CN" w:eastAsia="zh-CN" w:bidi="ar-SA"/>
        </w:rPr>
      </w:pPr>
      <w:r>
        <w:rPr>
          <w:rFonts w:hint="eastAsia" w:ascii="黑体" w:hAnsi="黑体" w:eastAsia="黑体" w:cs="黑体"/>
          <w:color w:val="auto"/>
          <w:kern w:val="2"/>
          <w:sz w:val="32"/>
          <w:szCs w:val="32"/>
          <w:highlight w:val="none"/>
          <w:lang w:val="en-US" w:eastAsia="zh-CN" w:bidi="ar-SA"/>
        </w:rPr>
        <w:t>三、项目绩效情况</w:t>
      </w:r>
      <w:r>
        <w:rPr>
          <w:rFonts w:hint="eastAsia" w:ascii="黑体" w:hAnsi="黑体" w:eastAsia="黑体" w:cs="黑体"/>
          <w:color w:val="auto"/>
          <w:kern w:val="2"/>
          <w:sz w:val="32"/>
          <w:szCs w:val="32"/>
          <w:highlight w:val="none"/>
          <w:lang w:val="zh-CN" w:eastAsia="zh-CN" w:bidi="ar-SA"/>
        </w:rPr>
        <w:tab/>
      </w:r>
    </w:p>
    <w:p w14:paraId="6A8258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highlight w:val="none"/>
          <w:lang w:val="zh-CN" w:eastAsia="zh-CN" w:bidi="ar-SA"/>
        </w:rPr>
        <w:t>（一）项目完成情况</w:t>
      </w:r>
    </w:p>
    <w:p w14:paraId="681ADE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新建村级供销社1家，打造三星级综合服务社2家，建设城市社区经营服务网点5家，改造薄弱基层社1家，新建农业专合社2家，新建农民专业合作社联合社2家，上报省级特色农产品2家。通过多种渠道推进“三社融合”发展，自主选拔村集体经济组织负责人担任新型基层供销社理事会主任和监事会主任，积极吸纳村集体经济组织等入股新型基层供销社，积极培育社有企业承欣会计服务有限公司开展会计代理记账服务，目前我县基层社符合组织融合2家，资本融合7家，服务融合7家。</w:t>
      </w:r>
    </w:p>
    <w:p w14:paraId="250923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720" w:firstLineChars="0"/>
        <w:textAlignment w:val="auto"/>
        <w:rPr>
          <w:rFonts w:hint="eastAsia" w:ascii="楷体_GB2312" w:hAnsi="楷体_GB2312" w:eastAsia="楷体_GB2312" w:cs="楷体_GB2312"/>
          <w:color w:val="auto"/>
          <w:kern w:val="2"/>
          <w:sz w:val="32"/>
          <w:szCs w:val="32"/>
          <w:highlight w:val="none"/>
          <w:lang w:val="zh-CN" w:eastAsia="zh-CN" w:bidi="ar-SA"/>
        </w:rPr>
      </w:pPr>
      <w:r>
        <w:rPr>
          <w:rFonts w:hint="eastAsia" w:ascii="楷体_GB2312" w:hAnsi="楷体_GB2312" w:eastAsia="楷体_GB2312" w:cs="楷体_GB2312"/>
          <w:color w:val="auto"/>
          <w:kern w:val="2"/>
          <w:sz w:val="32"/>
          <w:szCs w:val="32"/>
          <w:lang w:val="zh-CN" w:eastAsia="zh-CN" w:bidi="ar-SA"/>
        </w:rPr>
        <w:t>（二）</w:t>
      </w:r>
      <w:r>
        <w:rPr>
          <w:rFonts w:hint="eastAsia" w:ascii="楷体_GB2312" w:hAnsi="楷体_GB2312" w:eastAsia="楷体_GB2312" w:cs="楷体_GB2312"/>
          <w:color w:val="auto"/>
          <w:kern w:val="2"/>
          <w:sz w:val="32"/>
          <w:szCs w:val="32"/>
          <w:highlight w:val="none"/>
          <w:lang w:val="zh-CN" w:eastAsia="zh-CN" w:bidi="ar-SA"/>
        </w:rPr>
        <w:t>项目效益情况</w:t>
      </w:r>
    </w:p>
    <w:p w14:paraId="25593B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新型基层社建设秉承“扎根农村、为农服务”的宗旨，以提升为农服务能力为根本，以联结农民利益为核心，以促进产业发展壮大为引导，整合资源，创新农业服务方式，带动当地农业高效安全和可持续发展，着力破解我县农产品在生产、流通、消费环节的瓶颈，在农业产业扶贫等方面发挥积极作用，是持续推进供销综合改革的新举措。</w:t>
      </w:r>
    </w:p>
    <w:p w14:paraId="29CE81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四、问题及建议</w:t>
      </w:r>
    </w:p>
    <w:p w14:paraId="4BB205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720" w:firstLineChars="0"/>
        <w:textAlignment w:val="auto"/>
        <w:rPr>
          <w:rFonts w:hint="eastAsia" w:ascii="楷体_GB2312" w:hAnsi="楷体_GB2312" w:eastAsia="楷体_GB2312" w:cs="楷体_GB2312"/>
          <w:color w:val="auto"/>
          <w:kern w:val="2"/>
          <w:sz w:val="32"/>
          <w:szCs w:val="32"/>
          <w:lang w:val="zh-CN" w:eastAsia="zh-CN" w:bidi="ar-SA"/>
        </w:rPr>
      </w:pPr>
      <w:r>
        <w:rPr>
          <w:rFonts w:hint="eastAsia" w:ascii="楷体_GB2312" w:hAnsi="楷体_GB2312" w:eastAsia="楷体_GB2312" w:cs="楷体_GB2312"/>
          <w:color w:val="auto"/>
          <w:kern w:val="2"/>
          <w:sz w:val="32"/>
          <w:szCs w:val="32"/>
          <w:lang w:val="zh-CN" w:eastAsia="zh-CN" w:bidi="ar-SA"/>
        </w:rPr>
        <w:t>（一）存在的问题</w:t>
      </w:r>
    </w:p>
    <w:p w14:paraId="505EDF1F">
      <w:pPr>
        <w:pStyle w:val="10"/>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14:paraId="00B4C92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720" w:firstLineChars="0"/>
        <w:textAlignment w:val="auto"/>
        <w:rPr>
          <w:rFonts w:hint="eastAsia" w:ascii="楷体_GB2312" w:hAnsi="楷体_GB2312" w:eastAsia="楷体_GB2312" w:cs="楷体_GB2312"/>
          <w:color w:val="auto"/>
          <w:kern w:val="2"/>
          <w:sz w:val="32"/>
          <w:szCs w:val="32"/>
          <w:lang w:val="zh-CN" w:eastAsia="zh-CN" w:bidi="ar-SA"/>
        </w:rPr>
      </w:pPr>
      <w:r>
        <w:rPr>
          <w:rFonts w:hint="eastAsia" w:ascii="楷体_GB2312" w:hAnsi="楷体_GB2312" w:eastAsia="楷体_GB2312" w:cs="楷体_GB2312"/>
          <w:color w:val="auto"/>
          <w:kern w:val="2"/>
          <w:sz w:val="32"/>
          <w:szCs w:val="32"/>
          <w:lang w:val="zh-CN" w:eastAsia="zh-CN" w:bidi="ar-SA"/>
        </w:rPr>
        <w:t>（三）相关建议</w:t>
      </w:r>
    </w:p>
    <w:p w14:paraId="45C1D0C0">
      <w:pPr>
        <w:pStyle w:val="10"/>
        <w:numPr>
          <w:ilvl w:val="0"/>
          <w:numId w:val="0"/>
        </w:numPr>
        <w:ind w:left="720" w:left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无</w:t>
      </w:r>
    </w:p>
    <w:p w14:paraId="7FD1BFC9">
      <w:pPr>
        <w:adjustRightInd w:val="0"/>
        <w:snapToGrid w:val="0"/>
        <w:spacing w:line="600" w:lineRule="exact"/>
        <w:ind w:firstLine="720"/>
      </w:pPr>
    </w:p>
    <w:p w14:paraId="03E549BA">
      <w:pPr>
        <w:pStyle w:val="10"/>
        <w:rPr>
          <w:rFonts w:hint="default"/>
          <w:lang w:val="en-US" w:eastAsia="zh-CN"/>
        </w:rPr>
      </w:pPr>
    </w:p>
    <w:p w14:paraId="1A19A72E">
      <w:pPr>
        <w:pStyle w:val="10"/>
        <w:rPr>
          <w:rFonts w:hint="eastAsia" w:ascii="Times New Roman" w:hAnsi="Times New Roman" w:eastAsia="黑体"/>
          <w:color w:val="auto"/>
          <w:sz w:val="44"/>
          <w:szCs w:val="44"/>
          <w:highlight w:val="none"/>
        </w:rPr>
      </w:pPr>
    </w:p>
    <w:p w14:paraId="51B2501F">
      <w:pPr>
        <w:rPr>
          <w:rFonts w:hint="eastAsia" w:ascii="Times New Roman" w:hAnsi="Times New Roman" w:eastAsia="黑体"/>
          <w:color w:val="auto"/>
          <w:sz w:val="44"/>
          <w:szCs w:val="44"/>
          <w:highlight w:val="none"/>
        </w:rPr>
      </w:pPr>
    </w:p>
    <w:p w14:paraId="5B40FA40">
      <w:pPr>
        <w:pStyle w:val="10"/>
        <w:rPr>
          <w:rFonts w:hint="eastAsia" w:ascii="Times New Roman" w:hAnsi="Times New Roman" w:eastAsia="黑体"/>
          <w:color w:val="auto"/>
          <w:sz w:val="44"/>
          <w:szCs w:val="44"/>
          <w:highlight w:val="none"/>
        </w:rPr>
      </w:pPr>
    </w:p>
    <w:p w14:paraId="0B302BB4">
      <w:pPr>
        <w:rPr>
          <w:rFonts w:hint="eastAsia"/>
          <w:lang w:val="en-US" w:eastAsia="zh-CN"/>
        </w:rPr>
      </w:pPr>
    </w:p>
    <w:p w14:paraId="35FD75F4">
      <w:pPr>
        <w:pStyle w:val="10"/>
        <w:rPr>
          <w:rFonts w:hint="eastAsia" w:ascii="Times New Roman" w:hAnsi="Times New Roman"/>
          <w:color w:val="auto"/>
          <w:lang w:val="en-US" w:eastAsia="zh-CN"/>
        </w:rPr>
      </w:pPr>
    </w:p>
    <w:p w14:paraId="6C1FC19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p>
    <w:p w14:paraId="1462B36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p>
    <w:p w14:paraId="0C023DB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p>
    <w:p w14:paraId="3EB6255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p>
    <w:p w14:paraId="0C5BC1B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p>
    <w:p w14:paraId="643B6BB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auto"/>
          <w:kern w:val="2"/>
          <w:sz w:val="32"/>
          <w:szCs w:val="32"/>
          <w:u w:val="none"/>
          <w:lang w:val="zh-CN" w:eastAsia="zh-CN" w:bidi="ar"/>
        </w:rPr>
      </w:pPr>
    </w:p>
    <w:p w14:paraId="3FCD95D1">
      <w:pPr>
        <w:widowControl/>
        <w:jc w:val="center"/>
        <w:rPr>
          <w:rFonts w:hint="eastAsia" w:ascii="Times New Roman" w:hAnsi="Times New Roman" w:eastAsia="仿宋"/>
          <w:b w:val="0"/>
          <w:color w:val="auto"/>
          <w:highlight w:val="none"/>
        </w:rPr>
      </w:pPr>
      <w:bookmarkStart w:id="50"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8"/>
      <w:bookmarkEnd w:id="50"/>
      <w:bookmarkStart w:id="51" w:name="_Toc15396619"/>
    </w:p>
    <w:p w14:paraId="31CBA7E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8F8E11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1"/>
    </w:p>
    <w:p w14:paraId="48AADD2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0"/>
      <w:r>
        <w:rPr>
          <w:rFonts w:hint="eastAsia" w:ascii="Times New Roman" w:hAnsi="Times New Roman" w:eastAsia="仿宋_GB2312" w:cs="仿宋_GB2312"/>
          <w:color w:val="auto"/>
          <w:sz w:val="32"/>
          <w:szCs w:val="32"/>
          <w:highlight w:val="none"/>
        </w:rPr>
        <w:t>二、收入决算表</w:t>
      </w:r>
      <w:bookmarkEnd w:id="52"/>
    </w:p>
    <w:p w14:paraId="2FC2927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1"/>
      <w:r>
        <w:rPr>
          <w:rFonts w:hint="eastAsia" w:ascii="Times New Roman" w:hAnsi="Times New Roman" w:eastAsia="仿宋_GB2312" w:cs="仿宋_GB2312"/>
          <w:color w:val="auto"/>
          <w:sz w:val="32"/>
          <w:szCs w:val="32"/>
          <w:highlight w:val="none"/>
        </w:rPr>
        <w:t>三、支出决算表</w:t>
      </w:r>
      <w:bookmarkEnd w:id="53"/>
    </w:p>
    <w:p w14:paraId="5FD8D35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2"/>
      <w:r>
        <w:rPr>
          <w:rFonts w:hint="eastAsia" w:ascii="Times New Roman" w:hAnsi="Times New Roman" w:eastAsia="仿宋_GB2312" w:cs="仿宋_GB2312"/>
          <w:color w:val="auto"/>
          <w:sz w:val="32"/>
          <w:szCs w:val="32"/>
          <w:highlight w:val="none"/>
        </w:rPr>
        <w:t>四、财政拨款收入支出决算总表</w:t>
      </w:r>
      <w:bookmarkEnd w:id="54"/>
    </w:p>
    <w:p w14:paraId="4B7940D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3"/>
      <w:r>
        <w:rPr>
          <w:rFonts w:hint="eastAsia" w:ascii="Times New Roman" w:hAnsi="Times New Roman" w:eastAsia="仿宋_GB2312" w:cs="仿宋_GB2312"/>
          <w:color w:val="auto"/>
          <w:sz w:val="32"/>
          <w:szCs w:val="32"/>
          <w:highlight w:val="none"/>
        </w:rPr>
        <w:t>五、财政拨款支出决算明细表</w:t>
      </w:r>
      <w:bookmarkEnd w:id="55"/>
      <w:bookmarkStart w:id="56" w:name="_Toc15396624"/>
    </w:p>
    <w:p w14:paraId="43C849A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6"/>
    </w:p>
    <w:p w14:paraId="261030A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5"/>
      <w:r>
        <w:rPr>
          <w:rFonts w:hint="eastAsia" w:ascii="Times New Roman" w:hAnsi="Times New Roman" w:eastAsia="仿宋_GB2312" w:cs="仿宋_GB2312"/>
          <w:color w:val="auto"/>
          <w:sz w:val="32"/>
          <w:szCs w:val="32"/>
          <w:highlight w:val="none"/>
        </w:rPr>
        <w:t>七、一般公共预算财政拨款支出决算明细表</w:t>
      </w:r>
      <w:bookmarkEnd w:id="57"/>
    </w:p>
    <w:p w14:paraId="2F62806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6"/>
      <w:r>
        <w:rPr>
          <w:rFonts w:hint="eastAsia" w:ascii="Times New Roman" w:hAnsi="Times New Roman" w:eastAsia="仿宋_GB2312" w:cs="仿宋_GB2312"/>
          <w:color w:val="auto"/>
          <w:sz w:val="32"/>
          <w:szCs w:val="32"/>
          <w:highlight w:val="none"/>
        </w:rPr>
        <w:t>八、一般公共预算财政拨款基本支出决算表</w:t>
      </w:r>
      <w:bookmarkEnd w:id="58"/>
    </w:p>
    <w:p w14:paraId="3A2C753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7"/>
      <w:r>
        <w:rPr>
          <w:rFonts w:hint="eastAsia" w:ascii="Times New Roman" w:hAnsi="Times New Roman" w:eastAsia="仿宋_GB2312" w:cs="仿宋_GB2312"/>
          <w:color w:val="auto"/>
          <w:sz w:val="32"/>
          <w:szCs w:val="32"/>
          <w:highlight w:val="none"/>
        </w:rPr>
        <w:t>九、一般公共预算财政拨款项目支出决算表</w:t>
      </w:r>
      <w:bookmarkEnd w:id="59"/>
    </w:p>
    <w:p w14:paraId="3F6AF6C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8"/>
      <w:r>
        <w:rPr>
          <w:rFonts w:hint="eastAsia" w:ascii="Times New Roman" w:hAnsi="Times New Roman" w:eastAsia="仿宋_GB2312" w:cs="仿宋_GB2312"/>
          <w:color w:val="auto"/>
          <w:sz w:val="32"/>
          <w:szCs w:val="32"/>
          <w:highlight w:val="none"/>
        </w:rPr>
        <w:t>十、</w:t>
      </w:r>
      <w:bookmarkEnd w:id="60"/>
      <w:r>
        <w:rPr>
          <w:rFonts w:hint="eastAsia" w:ascii="Times New Roman" w:hAnsi="Times New Roman" w:eastAsia="仿宋_GB2312" w:cs="仿宋_GB2312"/>
          <w:color w:val="auto"/>
          <w:sz w:val="32"/>
          <w:szCs w:val="32"/>
          <w:highlight w:val="none"/>
        </w:rPr>
        <w:t>政府性基金预算财政拨款收入支出决算表</w:t>
      </w:r>
    </w:p>
    <w:p w14:paraId="1D65505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9"/>
      <w:r>
        <w:rPr>
          <w:rFonts w:hint="eastAsia" w:ascii="Times New Roman" w:hAnsi="Times New Roman" w:eastAsia="仿宋_GB2312" w:cs="仿宋_GB2312"/>
          <w:color w:val="auto"/>
          <w:sz w:val="32"/>
          <w:szCs w:val="32"/>
          <w:highlight w:val="none"/>
        </w:rPr>
        <w:t>十一、</w:t>
      </w:r>
      <w:bookmarkEnd w:id="61"/>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3D80836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30"/>
      <w:r>
        <w:rPr>
          <w:rFonts w:hint="eastAsia" w:ascii="Times New Roman" w:hAnsi="Times New Roman" w:eastAsia="仿宋_GB2312" w:cs="仿宋_GB2312"/>
          <w:color w:val="auto"/>
          <w:sz w:val="32"/>
          <w:szCs w:val="32"/>
          <w:highlight w:val="none"/>
        </w:rPr>
        <w:t>十二、</w:t>
      </w:r>
      <w:bookmarkEnd w:id="62"/>
      <w:r>
        <w:rPr>
          <w:rFonts w:hint="eastAsia" w:ascii="Times New Roman" w:hAnsi="Times New Roman" w:eastAsia="仿宋_GB2312" w:cs="仿宋_GB2312"/>
          <w:color w:val="auto"/>
          <w:sz w:val="32"/>
          <w:szCs w:val="32"/>
          <w:highlight w:val="none"/>
          <w:lang w:eastAsia="zh-CN"/>
        </w:rPr>
        <w:t>国有资本经营预算财政拨款支出决算表</w:t>
      </w:r>
    </w:p>
    <w:p w14:paraId="1CA4649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3" w:name="_Toc15396631"/>
      <w:r>
        <w:rPr>
          <w:rFonts w:hint="eastAsia" w:ascii="Times New Roman" w:hAnsi="Times New Roman" w:eastAsia="仿宋_GB2312" w:cs="仿宋_GB2312"/>
          <w:color w:val="auto"/>
          <w:sz w:val="32"/>
          <w:szCs w:val="32"/>
          <w:highlight w:val="none"/>
        </w:rPr>
        <w:t>十三、</w:t>
      </w:r>
      <w:bookmarkEnd w:id="63"/>
      <w:r>
        <w:rPr>
          <w:rFonts w:hint="eastAsia" w:ascii="Times New Roman" w:hAnsi="Times New Roman" w:eastAsia="仿宋_GB2312" w:cs="仿宋_GB2312"/>
          <w:color w:val="auto"/>
          <w:sz w:val="32"/>
          <w:szCs w:val="32"/>
          <w:highlight w:val="none"/>
          <w:lang w:eastAsia="zh-CN"/>
        </w:rPr>
        <w:t>财政拨款“三公”经费支出决算表</w:t>
      </w:r>
    </w:p>
    <w:p w14:paraId="116555EB">
      <w:pPr>
        <w:rPr>
          <w:rFonts w:hint="eastAsia" w:ascii="Times New Roman" w:hAnsi="Times New Roman"/>
          <w:color w:val="auto"/>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C505">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78D50">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9578D50">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3BF1C46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79C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2393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02393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A746">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MDc3MTM1N2M4MmE0ZWMwZDNlMzkzNmE4ZGI1Zj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3E05"/>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6161"/>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41FD"/>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700269"/>
    <w:rsid w:val="019C45B0"/>
    <w:rsid w:val="02385AB4"/>
    <w:rsid w:val="02A20A6E"/>
    <w:rsid w:val="02FEBE30"/>
    <w:rsid w:val="037A3B41"/>
    <w:rsid w:val="03FA7913"/>
    <w:rsid w:val="048B7202"/>
    <w:rsid w:val="04916F1E"/>
    <w:rsid w:val="05102CDE"/>
    <w:rsid w:val="05573452"/>
    <w:rsid w:val="058916A3"/>
    <w:rsid w:val="061E35DE"/>
    <w:rsid w:val="065F7326"/>
    <w:rsid w:val="066E0107"/>
    <w:rsid w:val="07996F6E"/>
    <w:rsid w:val="07CD3E5B"/>
    <w:rsid w:val="07DFD8BA"/>
    <w:rsid w:val="07FD450B"/>
    <w:rsid w:val="08BE235F"/>
    <w:rsid w:val="097C160A"/>
    <w:rsid w:val="09867E8F"/>
    <w:rsid w:val="0A2032A3"/>
    <w:rsid w:val="0A40746F"/>
    <w:rsid w:val="0AB77B8E"/>
    <w:rsid w:val="0ADB0F46"/>
    <w:rsid w:val="0BF40D5C"/>
    <w:rsid w:val="0C09094D"/>
    <w:rsid w:val="0CA8290A"/>
    <w:rsid w:val="0D35B1ED"/>
    <w:rsid w:val="0D8B0A01"/>
    <w:rsid w:val="0DEC4366"/>
    <w:rsid w:val="0DEF0B08"/>
    <w:rsid w:val="0E254B6B"/>
    <w:rsid w:val="0E440278"/>
    <w:rsid w:val="0F98263C"/>
    <w:rsid w:val="0F9C6EF5"/>
    <w:rsid w:val="101860EC"/>
    <w:rsid w:val="101F47CC"/>
    <w:rsid w:val="10C055FF"/>
    <w:rsid w:val="11694EBD"/>
    <w:rsid w:val="11772AA4"/>
    <w:rsid w:val="117B22D4"/>
    <w:rsid w:val="118107EC"/>
    <w:rsid w:val="11C23A31"/>
    <w:rsid w:val="12C257D3"/>
    <w:rsid w:val="12E24EE2"/>
    <w:rsid w:val="12E93494"/>
    <w:rsid w:val="130A39C8"/>
    <w:rsid w:val="13D50BC4"/>
    <w:rsid w:val="14726477"/>
    <w:rsid w:val="14B17F78"/>
    <w:rsid w:val="14B44D5D"/>
    <w:rsid w:val="14E14B54"/>
    <w:rsid w:val="15170225"/>
    <w:rsid w:val="156C31B3"/>
    <w:rsid w:val="15BB72AA"/>
    <w:rsid w:val="1604242C"/>
    <w:rsid w:val="16225260"/>
    <w:rsid w:val="16375D0B"/>
    <w:rsid w:val="165E0673"/>
    <w:rsid w:val="16B831D5"/>
    <w:rsid w:val="16BB723D"/>
    <w:rsid w:val="1722157F"/>
    <w:rsid w:val="17654071"/>
    <w:rsid w:val="17E50567"/>
    <w:rsid w:val="184E796B"/>
    <w:rsid w:val="186504BB"/>
    <w:rsid w:val="19250D50"/>
    <w:rsid w:val="19A445FC"/>
    <w:rsid w:val="19AD1F2E"/>
    <w:rsid w:val="1B6415FF"/>
    <w:rsid w:val="1BE83DD7"/>
    <w:rsid w:val="1BE8440E"/>
    <w:rsid w:val="1CF00880"/>
    <w:rsid w:val="1D155CEE"/>
    <w:rsid w:val="1D1638FE"/>
    <w:rsid w:val="1DDA4206"/>
    <w:rsid w:val="1E193E07"/>
    <w:rsid w:val="1E312DEB"/>
    <w:rsid w:val="1E740ACF"/>
    <w:rsid w:val="1F3C1916"/>
    <w:rsid w:val="1FF0469A"/>
    <w:rsid w:val="1FF35744"/>
    <w:rsid w:val="1FF6BC77"/>
    <w:rsid w:val="2186353C"/>
    <w:rsid w:val="21CA447C"/>
    <w:rsid w:val="21E872AF"/>
    <w:rsid w:val="22833F45"/>
    <w:rsid w:val="2317411E"/>
    <w:rsid w:val="23860B96"/>
    <w:rsid w:val="240371BF"/>
    <w:rsid w:val="244F3473"/>
    <w:rsid w:val="24C97D99"/>
    <w:rsid w:val="25043CC9"/>
    <w:rsid w:val="25A718F0"/>
    <w:rsid w:val="25BB59F6"/>
    <w:rsid w:val="260D66FA"/>
    <w:rsid w:val="260F557C"/>
    <w:rsid w:val="26844E74"/>
    <w:rsid w:val="26884F62"/>
    <w:rsid w:val="26970054"/>
    <w:rsid w:val="27D305E4"/>
    <w:rsid w:val="281408E2"/>
    <w:rsid w:val="286420D2"/>
    <w:rsid w:val="28A066B3"/>
    <w:rsid w:val="29FD04D3"/>
    <w:rsid w:val="2A477CE9"/>
    <w:rsid w:val="2A6756B9"/>
    <w:rsid w:val="2B3D4D7E"/>
    <w:rsid w:val="2B7938DE"/>
    <w:rsid w:val="2BFF7BC6"/>
    <w:rsid w:val="2C564223"/>
    <w:rsid w:val="2C8A61B5"/>
    <w:rsid w:val="2D560C70"/>
    <w:rsid w:val="2D595FCE"/>
    <w:rsid w:val="2DF04E50"/>
    <w:rsid w:val="2E4F0E88"/>
    <w:rsid w:val="2E586DFA"/>
    <w:rsid w:val="2E7B51CF"/>
    <w:rsid w:val="2F040D46"/>
    <w:rsid w:val="2F6B035B"/>
    <w:rsid w:val="2F936C13"/>
    <w:rsid w:val="2FAE5751"/>
    <w:rsid w:val="2FB1A395"/>
    <w:rsid w:val="2FBC6E61"/>
    <w:rsid w:val="2FD9A7D8"/>
    <w:rsid w:val="2FDBF714"/>
    <w:rsid w:val="301F4D48"/>
    <w:rsid w:val="3092233C"/>
    <w:rsid w:val="30AB6865"/>
    <w:rsid w:val="31750675"/>
    <w:rsid w:val="319F7F4E"/>
    <w:rsid w:val="3240775C"/>
    <w:rsid w:val="32847C00"/>
    <w:rsid w:val="32BD1EF1"/>
    <w:rsid w:val="3304709D"/>
    <w:rsid w:val="33A07A40"/>
    <w:rsid w:val="33A773CB"/>
    <w:rsid w:val="34190265"/>
    <w:rsid w:val="344175CA"/>
    <w:rsid w:val="349D6851"/>
    <w:rsid w:val="34B87A7E"/>
    <w:rsid w:val="34C208FD"/>
    <w:rsid w:val="35424BEE"/>
    <w:rsid w:val="357C3ACE"/>
    <w:rsid w:val="35E84393"/>
    <w:rsid w:val="36763CE6"/>
    <w:rsid w:val="36832FFC"/>
    <w:rsid w:val="36AA5135"/>
    <w:rsid w:val="36BB5604"/>
    <w:rsid w:val="36BE0DA7"/>
    <w:rsid w:val="36DB148C"/>
    <w:rsid w:val="3744384B"/>
    <w:rsid w:val="376B6AA6"/>
    <w:rsid w:val="376D39B2"/>
    <w:rsid w:val="37C624B2"/>
    <w:rsid w:val="37E16F03"/>
    <w:rsid w:val="37E62B54"/>
    <w:rsid w:val="37F53A3B"/>
    <w:rsid w:val="37F976E5"/>
    <w:rsid w:val="388158FA"/>
    <w:rsid w:val="389B6C89"/>
    <w:rsid w:val="38D469F0"/>
    <w:rsid w:val="39592B25"/>
    <w:rsid w:val="39627CCD"/>
    <w:rsid w:val="397BAF1F"/>
    <w:rsid w:val="39D32C64"/>
    <w:rsid w:val="3A011A9F"/>
    <w:rsid w:val="3AB79AF3"/>
    <w:rsid w:val="3AE834C0"/>
    <w:rsid w:val="3B7EF35A"/>
    <w:rsid w:val="3B9FDB6C"/>
    <w:rsid w:val="3BF5BC2F"/>
    <w:rsid w:val="3C4E187E"/>
    <w:rsid w:val="3C7052B5"/>
    <w:rsid w:val="3CEBA265"/>
    <w:rsid w:val="3D3D3705"/>
    <w:rsid w:val="3D5877B1"/>
    <w:rsid w:val="3D98207C"/>
    <w:rsid w:val="3DEE7CF3"/>
    <w:rsid w:val="3E1C2D73"/>
    <w:rsid w:val="3E740A63"/>
    <w:rsid w:val="3E78745D"/>
    <w:rsid w:val="3EE17838"/>
    <w:rsid w:val="3F55381A"/>
    <w:rsid w:val="3F5605BF"/>
    <w:rsid w:val="3F7F7599"/>
    <w:rsid w:val="3FF4CAE0"/>
    <w:rsid w:val="3FF7B227"/>
    <w:rsid w:val="41602848"/>
    <w:rsid w:val="41DE4C7E"/>
    <w:rsid w:val="42515CDB"/>
    <w:rsid w:val="42A65413"/>
    <w:rsid w:val="43D638D9"/>
    <w:rsid w:val="44476729"/>
    <w:rsid w:val="44E268DA"/>
    <w:rsid w:val="450D13D7"/>
    <w:rsid w:val="4537221B"/>
    <w:rsid w:val="45506656"/>
    <w:rsid w:val="45AB0FF2"/>
    <w:rsid w:val="462B052A"/>
    <w:rsid w:val="466C2618"/>
    <w:rsid w:val="47431429"/>
    <w:rsid w:val="4764152B"/>
    <w:rsid w:val="47A8679C"/>
    <w:rsid w:val="482374AD"/>
    <w:rsid w:val="486A6C7A"/>
    <w:rsid w:val="488C5869"/>
    <w:rsid w:val="48C2056E"/>
    <w:rsid w:val="49015AD4"/>
    <w:rsid w:val="4A627F82"/>
    <w:rsid w:val="4B0E749A"/>
    <w:rsid w:val="4B2477C4"/>
    <w:rsid w:val="4B4F25DA"/>
    <w:rsid w:val="4B8D5369"/>
    <w:rsid w:val="4BD638C6"/>
    <w:rsid w:val="4BE068DB"/>
    <w:rsid w:val="4CE20FB3"/>
    <w:rsid w:val="4D577224"/>
    <w:rsid w:val="4DBF1CEB"/>
    <w:rsid w:val="4DF0007C"/>
    <w:rsid w:val="4E4E29F1"/>
    <w:rsid w:val="4EAB630A"/>
    <w:rsid w:val="4EBC40BC"/>
    <w:rsid w:val="4ECE2238"/>
    <w:rsid w:val="4F833267"/>
    <w:rsid w:val="4FA6221A"/>
    <w:rsid w:val="4FB14DB7"/>
    <w:rsid w:val="4FBB03E3"/>
    <w:rsid w:val="4FBD38DE"/>
    <w:rsid w:val="4FE9BD67"/>
    <w:rsid w:val="4FFB052F"/>
    <w:rsid w:val="51054EFA"/>
    <w:rsid w:val="513037C0"/>
    <w:rsid w:val="519A31F0"/>
    <w:rsid w:val="51AB479B"/>
    <w:rsid w:val="51EA6472"/>
    <w:rsid w:val="51F37EF0"/>
    <w:rsid w:val="523A74F6"/>
    <w:rsid w:val="52522E68"/>
    <w:rsid w:val="533D4B9F"/>
    <w:rsid w:val="534244A5"/>
    <w:rsid w:val="537E6D0A"/>
    <w:rsid w:val="53AB0A82"/>
    <w:rsid w:val="53F74C96"/>
    <w:rsid w:val="54473D53"/>
    <w:rsid w:val="55170BA8"/>
    <w:rsid w:val="553218C9"/>
    <w:rsid w:val="56356D29"/>
    <w:rsid w:val="56391AF6"/>
    <w:rsid w:val="567E1AA5"/>
    <w:rsid w:val="56925F29"/>
    <w:rsid w:val="56B63E0F"/>
    <w:rsid w:val="56CD6F74"/>
    <w:rsid w:val="56E47B74"/>
    <w:rsid w:val="57175D52"/>
    <w:rsid w:val="576461EE"/>
    <w:rsid w:val="57BD3DD4"/>
    <w:rsid w:val="585103F5"/>
    <w:rsid w:val="586F4122"/>
    <w:rsid w:val="5918493B"/>
    <w:rsid w:val="59442A7B"/>
    <w:rsid w:val="5975656D"/>
    <w:rsid w:val="59D601F1"/>
    <w:rsid w:val="5A050401"/>
    <w:rsid w:val="5AEA4836"/>
    <w:rsid w:val="5AF92295"/>
    <w:rsid w:val="5B250254"/>
    <w:rsid w:val="5BAD7DF7"/>
    <w:rsid w:val="5BDD79E6"/>
    <w:rsid w:val="5BF561CA"/>
    <w:rsid w:val="5BFF5DFC"/>
    <w:rsid w:val="5C967D75"/>
    <w:rsid w:val="5CD71FC4"/>
    <w:rsid w:val="5D1F11B5"/>
    <w:rsid w:val="5D423AD9"/>
    <w:rsid w:val="5D695134"/>
    <w:rsid w:val="5D803576"/>
    <w:rsid w:val="5DAB65B8"/>
    <w:rsid w:val="5DAE1B18"/>
    <w:rsid w:val="5DB858CE"/>
    <w:rsid w:val="5DE7D9E5"/>
    <w:rsid w:val="5DF66A37"/>
    <w:rsid w:val="5E0F7E5F"/>
    <w:rsid w:val="5ECEC941"/>
    <w:rsid w:val="5EF97F4F"/>
    <w:rsid w:val="5F2525CE"/>
    <w:rsid w:val="5FA665A1"/>
    <w:rsid w:val="5FBF9FF3"/>
    <w:rsid w:val="5FCD4E2C"/>
    <w:rsid w:val="5FEF394A"/>
    <w:rsid w:val="5FF67715"/>
    <w:rsid w:val="60865FFF"/>
    <w:rsid w:val="61032E37"/>
    <w:rsid w:val="627C4C22"/>
    <w:rsid w:val="62BF3928"/>
    <w:rsid w:val="63072F03"/>
    <w:rsid w:val="63710BFA"/>
    <w:rsid w:val="63754C08"/>
    <w:rsid w:val="63857653"/>
    <w:rsid w:val="63B3701E"/>
    <w:rsid w:val="641309B4"/>
    <w:rsid w:val="647F5392"/>
    <w:rsid w:val="64923598"/>
    <w:rsid w:val="64E32E12"/>
    <w:rsid w:val="64E965CB"/>
    <w:rsid w:val="6524387C"/>
    <w:rsid w:val="653A7347"/>
    <w:rsid w:val="65E66580"/>
    <w:rsid w:val="664B1D71"/>
    <w:rsid w:val="664B4E8E"/>
    <w:rsid w:val="665C3E5E"/>
    <w:rsid w:val="66BE7A81"/>
    <w:rsid w:val="67277B67"/>
    <w:rsid w:val="67566AFF"/>
    <w:rsid w:val="67AA3209"/>
    <w:rsid w:val="698D0931"/>
    <w:rsid w:val="6A346AE6"/>
    <w:rsid w:val="6A7FE5F3"/>
    <w:rsid w:val="6B053271"/>
    <w:rsid w:val="6B876DF9"/>
    <w:rsid w:val="6B8B57FF"/>
    <w:rsid w:val="6BAE3435"/>
    <w:rsid w:val="6BDD78B3"/>
    <w:rsid w:val="6BE31711"/>
    <w:rsid w:val="6C3C5623"/>
    <w:rsid w:val="6C4A05C8"/>
    <w:rsid w:val="6C552070"/>
    <w:rsid w:val="6C61455E"/>
    <w:rsid w:val="6C741EF9"/>
    <w:rsid w:val="6C8742B8"/>
    <w:rsid w:val="6D30394E"/>
    <w:rsid w:val="6D7D01AD"/>
    <w:rsid w:val="6D8D0448"/>
    <w:rsid w:val="6DBF5E93"/>
    <w:rsid w:val="6DD644F6"/>
    <w:rsid w:val="6DFF077E"/>
    <w:rsid w:val="6E016208"/>
    <w:rsid w:val="6E714EF0"/>
    <w:rsid w:val="6E7E3605"/>
    <w:rsid w:val="6E7FDCC7"/>
    <w:rsid w:val="6E8F758B"/>
    <w:rsid w:val="6E9452F2"/>
    <w:rsid w:val="6ED6A62E"/>
    <w:rsid w:val="6EE00B15"/>
    <w:rsid w:val="6F1843FB"/>
    <w:rsid w:val="6F593630"/>
    <w:rsid w:val="6F6FB3EB"/>
    <w:rsid w:val="6F8731EA"/>
    <w:rsid w:val="6FCE6052"/>
    <w:rsid w:val="6FCF35D4"/>
    <w:rsid w:val="6FD57C00"/>
    <w:rsid w:val="6FEFFFD8"/>
    <w:rsid w:val="6FF5CC65"/>
    <w:rsid w:val="6FFB47EC"/>
    <w:rsid w:val="6FFF034A"/>
    <w:rsid w:val="70484440"/>
    <w:rsid w:val="704E2A69"/>
    <w:rsid w:val="712A28F1"/>
    <w:rsid w:val="715C0E4B"/>
    <w:rsid w:val="71791CB7"/>
    <w:rsid w:val="71992E7C"/>
    <w:rsid w:val="721056AE"/>
    <w:rsid w:val="72233669"/>
    <w:rsid w:val="72734D90"/>
    <w:rsid w:val="72F65D2C"/>
    <w:rsid w:val="73160E6D"/>
    <w:rsid w:val="7332FE48"/>
    <w:rsid w:val="73AB61DA"/>
    <w:rsid w:val="73AD73D5"/>
    <w:rsid w:val="73B6EB34"/>
    <w:rsid w:val="73FA497D"/>
    <w:rsid w:val="743F0CF2"/>
    <w:rsid w:val="744731E5"/>
    <w:rsid w:val="74BBD01D"/>
    <w:rsid w:val="74CA112A"/>
    <w:rsid w:val="74ED5379"/>
    <w:rsid w:val="75DC446A"/>
    <w:rsid w:val="75DEEEC2"/>
    <w:rsid w:val="75E32345"/>
    <w:rsid w:val="76432C97"/>
    <w:rsid w:val="766A7551"/>
    <w:rsid w:val="76784489"/>
    <w:rsid w:val="76BE285E"/>
    <w:rsid w:val="76E3355F"/>
    <w:rsid w:val="76FF5125"/>
    <w:rsid w:val="776B779F"/>
    <w:rsid w:val="776F6FFA"/>
    <w:rsid w:val="778769C8"/>
    <w:rsid w:val="77A75DCA"/>
    <w:rsid w:val="77DC22F5"/>
    <w:rsid w:val="783E271A"/>
    <w:rsid w:val="78616DE9"/>
    <w:rsid w:val="78747106"/>
    <w:rsid w:val="78E875D7"/>
    <w:rsid w:val="79086DAD"/>
    <w:rsid w:val="79D7FD79"/>
    <w:rsid w:val="79EE5BA4"/>
    <w:rsid w:val="7A0B54C9"/>
    <w:rsid w:val="7A894339"/>
    <w:rsid w:val="7AD284E8"/>
    <w:rsid w:val="7AE50A54"/>
    <w:rsid w:val="7AFF7572"/>
    <w:rsid w:val="7B6C7DFB"/>
    <w:rsid w:val="7BBFBED0"/>
    <w:rsid w:val="7BC3E394"/>
    <w:rsid w:val="7C1F3737"/>
    <w:rsid w:val="7C8C38FD"/>
    <w:rsid w:val="7CBE0F77"/>
    <w:rsid w:val="7CBFC87B"/>
    <w:rsid w:val="7CCD2ACE"/>
    <w:rsid w:val="7CFE0F48"/>
    <w:rsid w:val="7D2334DD"/>
    <w:rsid w:val="7D272ABC"/>
    <w:rsid w:val="7D463234"/>
    <w:rsid w:val="7D6F00D9"/>
    <w:rsid w:val="7D7EC23E"/>
    <w:rsid w:val="7E8ADEBF"/>
    <w:rsid w:val="7EDA732B"/>
    <w:rsid w:val="7EEF11D3"/>
    <w:rsid w:val="7EFE4840"/>
    <w:rsid w:val="7F0971A6"/>
    <w:rsid w:val="7F1D62E7"/>
    <w:rsid w:val="7F3F679B"/>
    <w:rsid w:val="7F4FC4EF"/>
    <w:rsid w:val="7F5E4D54"/>
    <w:rsid w:val="7F6E0135"/>
    <w:rsid w:val="7F79F205"/>
    <w:rsid w:val="7F926ADA"/>
    <w:rsid w:val="7FA30C79"/>
    <w:rsid w:val="7FA79C44"/>
    <w:rsid w:val="7FAF8ABF"/>
    <w:rsid w:val="7FB2700E"/>
    <w:rsid w:val="7FB7269E"/>
    <w:rsid w:val="7FC73731"/>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link w:val="25"/>
    <w:autoRedefine/>
    <w:qFormat/>
    <w:uiPriority w:val="99"/>
    <w:pPr>
      <w:spacing w:beforeLines="30"/>
    </w:pPr>
    <w:rPr>
      <w:rFonts w:ascii="仿宋_GB2312" w:eastAsia="仿宋_GB2312"/>
      <w:kern w:val="0"/>
      <w:sz w:val="30"/>
    </w:rPr>
  </w:style>
  <w:style w:type="paragraph" w:styleId="6">
    <w:name w:val="Body Text Indent"/>
    <w:basedOn w:val="1"/>
    <w:next w:val="7"/>
    <w:autoRedefine/>
    <w:qFormat/>
    <w:uiPriority w:val="0"/>
    <w:pPr>
      <w:spacing w:after="120"/>
      <w:ind w:leftChars="200"/>
    </w:pPr>
    <w:rPr>
      <w:rFonts w:ascii="仿宋_GB2312"/>
      <w:szCs w:val="32"/>
    </w:rPr>
  </w:style>
  <w:style w:type="paragraph" w:styleId="7">
    <w:name w:val="Body Text First Indent 2"/>
    <w:basedOn w:val="6"/>
    <w:autoRedefine/>
    <w:unhideWhenUsed/>
    <w:qFormat/>
    <w:uiPriority w:val="99"/>
    <w:pPr>
      <w:ind w:firstLine="420" w:firstLineChars="200"/>
    </w:p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1"/>
    <w:autoRedefine/>
    <w:semiHidden/>
    <w:unhideWhenUsed/>
    <w:qFormat/>
    <w:uiPriority w:val="99"/>
    <w:rPr>
      <w:sz w:val="18"/>
      <w:szCs w:val="18"/>
    </w:rPr>
  </w:style>
  <w:style w:type="paragraph" w:styleId="10">
    <w:name w:val="footer"/>
    <w:basedOn w:val="1"/>
    <w:next w:val="1"/>
    <w:link w:val="23"/>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autoRedefine/>
    <w:semiHidden/>
    <w:qFormat/>
    <w:uiPriority w:val="0"/>
    <w:pPr>
      <w:snapToGrid w:val="0"/>
      <w:jc w:val="left"/>
    </w:pPr>
    <w:rPr>
      <w:sz w:val="18"/>
      <w:szCs w:val="18"/>
    </w:rPr>
  </w:style>
  <w:style w:type="paragraph" w:styleId="14">
    <w:name w:val="toc 2"/>
    <w:basedOn w:val="1"/>
    <w:next w:val="1"/>
    <w:autoRedefine/>
    <w:unhideWhenUsed/>
    <w:qFormat/>
    <w:uiPriority w:val="39"/>
    <w:pPr>
      <w:tabs>
        <w:tab w:val="right" w:leader="dot" w:pos="8296"/>
      </w:tabs>
      <w:ind w:left="420" w:leftChars="200"/>
    </w:pPr>
  </w:style>
  <w:style w:type="character" w:styleId="17">
    <w:name w:val="Strong"/>
    <w:basedOn w:val="16"/>
    <w:autoRedefine/>
    <w:qFormat/>
    <w:uiPriority w:val="99"/>
    <w:rPr>
      <w:b/>
    </w:rPr>
  </w:style>
  <w:style w:type="character" w:styleId="18">
    <w:name w:val="Hyperlink"/>
    <w:basedOn w:val="16"/>
    <w:autoRedefine/>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autoRedefine/>
    <w:semiHidden/>
    <w:qFormat/>
    <w:uiPriority w:val="99"/>
    <w:rPr>
      <w:rFonts w:ascii="Times New Roman" w:hAnsi="Times New Roman"/>
      <w:sz w:val="18"/>
      <w:szCs w:val="18"/>
    </w:rPr>
  </w:style>
  <w:style w:type="character" w:customStyle="1" w:styleId="21">
    <w:name w:val="页眉 Char"/>
    <w:link w:val="11"/>
    <w:autoRedefine/>
    <w:semiHidden/>
    <w:qFormat/>
    <w:locked/>
    <w:uiPriority w:val="99"/>
    <w:rPr>
      <w:sz w:val="18"/>
    </w:rPr>
  </w:style>
  <w:style w:type="character" w:customStyle="1" w:styleId="22">
    <w:name w:val="Footer Char"/>
    <w:basedOn w:val="16"/>
    <w:autoRedefine/>
    <w:semiHidden/>
    <w:qFormat/>
    <w:uiPriority w:val="99"/>
    <w:rPr>
      <w:rFonts w:ascii="Times New Roman" w:hAnsi="Times New Roman"/>
      <w:sz w:val="18"/>
      <w:szCs w:val="18"/>
    </w:rPr>
  </w:style>
  <w:style w:type="character" w:customStyle="1" w:styleId="23">
    <w:name w:val="页脚 Char"/>
    <w:link w:val="10"/>
    <w:autoRedefine/>
    <w:qFormat/>
    <w:locked/>
    <w:uiPriority w:val="99"/>
    <w:rPr>
      <w:sz w:val="18"/>
    </w:rPr>
  </w:style>
  <w:style w:type="character" w:customStyle="1" w:styleId="24">
    <w:name w:val="Body Text Char"/>
    <w:basedOn w:val="16"/>
    <w:autoRedefine/>
    <w:semiHidden/>
    <w:qFormat/>
    <w:uiPriority w:val="99"/>
    <w:rPr>
      <w:rFonts w:ascii="Times New Roman" w:hAnsi="Times New Roman"/>
      <w:szCs w:val="24"/>
    </w:rPr>
  </w:style>
  <w:style w:type="character" w:customStyle="1" w:styleId="25">
    <w:name w:val="正文文本 Char"/>
    <w:link w:val="5"/>
    <w:autoRedefine/>
    <w:qFormat/>
    <w:locked/>
    <w:uiPriority w:val="99"/>
    <w:rPr>
      <w:rFonts w:ascii="仿宋_GB2312" w:hAnsi="Times New Roman" w:eastAsia="仿宋_GB2312"/>
      <w:sz w:val="24"/>
    </w:rPr>
  </w:style>
  <w:style w:type="paragraph" w:customStyle="1" w:styleId="26">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autoRedefine/>
    <w:qFormat/>
    <w:uiPriority w:val="34"/>
    <w:pPr>
      <w:ind w:firstLine="420" w:firstLineChars="200"/>
    </w:pPr>
  </w:style>
  <w:style w:type="character" w:customStyle="1" w:styleId="28">
    <w:name w:val="标题 1 Char"/>
    <w:basedOn w:val="16"/>
    <w:link w:val="2"/>
    <w:autoRedefine/>
    <w:qFormat/>
    <w:uiPriority w:val="9"/>
    <w:rPr>
      <w:rFonts w:ascii="Times New Roman" w:hAnsi="Times New Roman"/>
      <w:b/>
      <w:bCs/>
      <w:kern w:val="44"/>
      <w:sz w:val="44"/>
      <w:szCs w:val="44"/>
    </w:rPr>
  </w:style>
  <w:style w:type="character" w:customStyle="1" w:styleId="29">
    <w:name w:val="标题 2 Char"/>
    <w:basedOn w:val="16"/>
    <w:link w:val="3"/>
    <w:autoRedefine/>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autoRedefine/>
    <w:semiHidden/>
    <w:qFormat/>
    <w:uiPriority w:val="99"/>
    <w:rPr>
      <w:rFonts w:ascii="Times New Roman" w:hAnsi="Times New Roman"/>
      <w:kern w:val="2"/>
      <w:sz w:val="18"/>
      <w:szCs w:val="18"/>
    </w:rPr>
  </w:style>
  <w:style w:type="character" w:customStyle="1" w:styleId="32">
    <w:name w:val="标题 3 Char"/>
    <w:basedOn w:val="16"/>
    <w:link w:val="4"/>
    <w:autoRedefine/>
    <w:qFormat/>
    <w:uiPriority w:val="9"/>
    <w:rPr>
      <w:rFonts w:ascii="Times New Roman" w:hAnsi="Times New Roman"/>
      <w:b/>
      <w:bCs/>
      <w:kern w:val="2"/>
      <w:sz w:val="32"/>
      <w:szCs w:val="32"/>
    </w:rPr>
  </w:style>
  <w:style w:type="paragraph" w:customStyle="1" w:styleId="33">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autoRedefine/>
    <w:qFormat/>
    <w:uiPriority w:val="0"/>
    <w:pPr>
      <w:spacing w:line="360" w:lineRule="auto"/>
    </w:pPr>
    <w:rPr>
      <w:rFonts w:ascii="??" w:hAnsi="??" w:eastAsia="宋体"/>
      <w:color w:val="000000"/>
      <w:kern w:val="0"/>
      <w:sz w:val="28"/>
      <w:szCs w:val="21"/>
      <w:lang w:val="zh-CN" w:eastAsia="zh-CN"/>
    </w:rPr>
  </w:style>
  <w:style w:type="paragraph" w:customStyle="1" w:styleId="35">
    <w:name w:val="正文2"/>
    <w:basedOn w:val="1"/>
    <w:next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7319849755379"/>
          <c:y val="0.15893351327887"/>
          <c:w val="0.913916404928727"/>
          <c:h val="0.63863153421164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2023年度（万元）</c:v>
                </c:pt>
                <c:pt idx="1">
                  <c:v>2024年度（万元）</c:v>
                </c:pt>
              </c:strCache>
            </c:strRef>
          </c:cat>
          <c:val>
            <c:numRef>
              <c:f>Sheet1!$B$2:$B$3</c:f>
              <c:numCache>
                <c:formatCode>General</c:formatCode>
                <c:ptCount val="2"/>
                <c:pt idx="0">
                  <c:v>7254</c:v>
                </c:pt>
                <c:pt idx="1">
                  <c:v>2552.88</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2023年度（万元）</c:v>
                </c:pt>
                <c:pt idx="1">
                  <c:v>2024年度（万元）</c:v>
                </c:pt>
              </c:strCache>
            </c:strRef>
          </c:cat>
          <c:val>
            <c:numRef>
              <c:f>Sheet1!$C$2:$C$3</c:f>
              <c:numCache>
                <c:formatCode>General</c:formatCode>
                <c:ptCount val="2"/>
                <c:pt idx="0">
                  <c:v>7254</c:v>
                </c:pt>
                <c:pt idx="1">
                  <c:v>2552.88</c:v>
                </c:pt>
              </c:numCache>
            </c:numRef>
          </c:val>
        </c:ser>
        <c:dLbls>
          <c:showLegendKey val="0"/>
          <c:showVal val="1"/>
          <c:showCatName val="0"/>
          <c:showSerName val="0"/>
          <c:showPercent val="0"/>
          <c:showBubbleSize val="0"/>
        </c:dLbls>
        <c:gapWidth val="260"/>
        <c:overlap val="-32"/>
        <c:axId val="521149115"/>
        <c:axId val="42705755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2023年度（万元）</c:v>
                      </c:pt>
                      <c:pt idx="1">
                        <c:v>2024年度（万元）</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211491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057554"/>
        <c:crosses val="autoZero"/>
        <c:auto val="1"/>
        <c:lblAlgn val="ctr"/>
        <c:lblOffset val="100"/>
        <c:noMultiLvlLbl val="0"/>
      </c:catAx>
      <c:valAx>
        <c:axId val="42705755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14911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e9c21bb-ec41-4c24-adfc-12839f35fa6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2024年度本年收入合计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413066625862149"/>
                  <c:y val="-0.1499738750610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93.57</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866151244261899"/>
                      <c:h val="0.0871228219294518"/>
                    </c:manualLayout>
                  </c15:layout>
                </c:ext>
              </c:extLst>
            </c:dLbl>
            <c:dLbl>
              <c:idx val="1"/>
              <c:layout>
                <c:manualLayout>
                  <c:x val="0.0170534096376581"/>
                  <c:y val="0.095054718924708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6.43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国有资本经营预算财政拨款收入</c:v>
                </c:pt>
              </c:strCache>
            </c:strRef>
          </c:cat>
          <c:val>
            <c:numRef>
              <c:f>Sheet1!$B$2:$B$3</c:f>
              <c:numCache>
                <c:formatCode>General</c:formatCode>
                <c:ptCount val="2"/>
                <c:pt idx="0">
                  <c:v>2387.84</c:v>
                </c:pt>
                <c:pt idx="1">
                  <c:v>164.07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51802e4-eb25-4e8e-a5cd-77f7d8456b5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2024年度本年支出合计</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366539909925358"/>
                  <c:y val="0.14221608257703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12.9</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950522985096475"/>
                  <c:y val="-0.16908754707003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87.1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329.11</c:v>
                </c:pt>
                <c:pt idx="1">
                  <c:v>2222.79</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998111-95ed-484b-b7f5-8730c6151bb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7319849755379"/>
          <c:y val="0.15893351327887"/>
          <c:w val="0.913916404928727"/>
          <c:h val="0.63863153421164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2023年度（万元）</c:v>
                </c:pt>
                <c:pt idx="1">
                  <c:v>2024年度（万元）</c:v>
                </c:pt>
              </c:strCache>
            </c:strRef>
          </c:cat>
          <c:val>
            <c:numRef>
              <c:f>Sheet1!$B$2:$B$3</c:f>
              <c:numCache>
                <c:formatCode>General</c:formatCode>
                <c:ptCount val="2"/>
                <c:pt idx="0">
                  <c:v>7254</c:v>
                </c:pt>
                <c:pt idx="1">
                  <c:v>2552.88</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2023年度（万元）</c:v>
                </c:pt>
                <c:pt idx="1">
                  <c:v>2024年度（万元）</c:v>
                </c:pt>
              </c:strCache>
            </c:strRef>
          </c:cat>
          <c:val>
            <c:numRef>
              <c:f>Sheet1!$C$2:$C$3</c:f>
              <c:numCache>
                <c:formatCode>General</c:formatCode>
                <c:ptCount val="2"/>
                <c:pt idx="0">
                  <c:v>7254</c:v>
                </c:pt>
                <c:pt idx="1">
                  <c:v>2552.88</c:v>
                </c:pt>
              </c:numCache>
            </c:numRef>
          </c:val>
        </c:ser>
        <c:dLbls>
          <c:showLegendKey val="0"/>
          <c:showVal val="1"/>
          <c:showCatName val="0"/>
          <c:showSerName val="0"/>
          <c:showPercent val="0"/>
          <c:showBubbleSize val="0"/>
        </c:dLbls>
        <c:gapWidth val="260"/>
        <c:overlap val="-32"/>
        <c:axId val="521149115"/>
        <c:axId val="42705755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2023年度（万元）</c:v>
                      </c:pt>
                      <c:pt idx="1">
                        <c:v>2024年度（万元）</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211491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057554"/>
        <c:crosses val="autoZero"/>
        <c:auto val="1"/>
        <c:lblAlgn val="ctr"/>
        <c:lblOffset val="100"/>
        <c:noMultiLvlLbl val="0"/>
      </c:catAx>
      <c:valAx>
        <c:axId val="42705755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149115"/>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f23709-adb6-4dac-ab20-9edf89b51c7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6025.57</c:v>
                </c:pt>
                <c:pt idx="1">
                  <c:v>2387.84</c:v>
                </c:pt>
              </c:numCache>
            </c:numRef>
          </c:val>
        </c:ser>
        <c:dLbls>
          <c:showLegendKey val="0"/>
          <c:showVal val="1"/>
          <c:showCatName val="0"/>
          <c:showSerName val="0"/>
          <c:showPercent val="0"/>
          <c:showBubbleSize val="0"/>
        </c:dLbls>
        <c:gapWidth val="219"/>
        <c:overlap val="-27"/>
        <c:axId val="441748280"/>
        <c:axId val="864005124"/>
      </c:barChart>
      <c:catAx>
        <c:axId val="4417482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005124"/>
        <c:crosses val="autoZero"/>
        <c:auto val="1"/>
        <c:lblAlgn val="ctr"/>
        <c:lblOffset val="100"/>
        <c:noMultiLvlLbl val="0"/>
      </c:catAx>
      <c:valAx>
        <c:axId val="8640051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1748280"/>
        <c:crosses val="autoZero"/>
        <c:crossBetween val="between"/>
      </c:valAx>
      <c:spPr>
        <a:noFill/>
        <a:ln>
          <a:noFill/>
        </a:ln>
        <a:effectLst/>
      </c:spPr>
    </c:plotArea>
    <c:plotVisOnly val="1"/>
    <c:dispBlanksAs val="gap"/>
    <c:showDLblsOverMax val="0"/>
    <c:extLst>
      <c:ext uri="{0b15fc19-7d7d-44ad-8c2d-2c3a37ce22c3}">
        <chartProps xmlns="https://web.wps.cn/et/2018/main" chartId="{ef0adc54-4c2e-4463-8fb1-16827f1f1b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2024年度一般公共预算财政拨款支出（万元）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9</a:t>
                    </a:r>
                    <a:r>
                      <a:rPr lang="en-US" altLang="zh-CN"/>
                      <a:t>5.58</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c:v>
                </c:pt>
                <c:pt idx="1">
                  <c:v>商业服务业等支出</c:v>
                </c:pt>
                <c:pt idx="2">
                  <c:v>农林水支出</c:v>
                </c:pt>
                <c:pt idx="3">
                  <c:v>社会保障和就业支出</c:v>
                </c:pt>
                <c:pt idx="4">
                  <c:v>卫生健康支出</c:v>
                </c:pt>
                <c:pt idx="5">
                  <c:v>住房保障支出</c:v>
                </c:pt>
                <c:pt idx="6">
                  <c:v>节能环保支出</c:v>
                </c:pt>
                <c:pt idx="7">
                  <c:v>灾害防治及应急管理支出</c:v>
                </c:pt>
              </c:strCache>
            </c:strRef>
          </c:cat>
          <c:val>
            <c:numRef>
              <c:f>Sheet1!$B$2:$B$9</c:f>
              <c:numCache>
                <c:formatCode>General</c:formatCode>
                <c:ptCount val="8"/>
                <c:pt idx="0">
                  <c:v>106.8</c:v>
                </c:pt>
                <c:pt idx="1">
                  <c:v>285.81</c:v>
                </c:pt>
                <c:pt idx="2">
                  <c:v>1072.76</c:v>
                </c:pt>
                <c:pt idx="3">
                  <c:v>38.55</c:v>
                </c:pt>
                <c:pt idx="4">
                  <c:v>5.41</c:v>
                </c:pt>
                <c:pt idx="5">
                  <c:v>13.44</c:v>
                </c:pt>
                <c:pt idx="6">
                  <c:v>727.22</c:v>
                </c:pt>
                <c:pt idx="7">
                  <c:v>137.84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bd2898-1384-4fca-9633-9260dc6551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2024年度“三公”经费财政拨款支出（万元）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99.76</a:t>
                    </a:r>
                    <a:r>
                      <a:rPr altLang="en-US"/>
                      <a:t>％</a:t>
                    </a:r>
                    <a:endParaRPr lang="en-US" altLang="zh-CN"/>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r>
                      <a:rPr lang="en-US" altLang="zh-CN"/>
                      <a:t>.24</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公务用车购置及运行维护费支出</c:v>
                </c:pt>
                <c:pt idx="1">
                  <c:v>公务接待费支出</c:v>
                </c:pt>
              </c:strCache>
            </c:strRef>
          </c:cat>
          <c:val>
            <c:numRef>
              <c:f>Sheet1!$B$2:$B$3</c:f>
              <c:numCache>
                <c:formatCode>General</c:formatCode>
                <c:ptCount val="2"/>
                <c:pt idx="0">
                  <c:v>108.81</c:v>
                </c:pt>
                <c:pt idx="1">
                  <c:v>0.26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bbd2898-1384-4fca-9633-9260dc65517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8820</Words>
  <Characters>10636</Characters>
  <Lines>61</Lines>
  <Paragraphs>17</Paragraphs>
  <TotalTime>0</TotalTime>
  <ScaleCrop>false</ScaleCrop>
  <LinksUpToDate>false</LinksUpToDate>
  <CharactersWithSpaces>10727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Xu</cp:lastModifiedBy>
  <cp:lastPrinted>2025-08-06T17:34:00Z</cp:lastPrinted>
  <dcterms:modified xsi:type="dcterms:W3CDTF">2026-01-07T03:38:55Z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EA0B59DFD1C64E8AB5A663361EE9A3AF_13</vt:lpwstr>
  </property>
  <property fmtid="{D5CDD505-2E9C-101B-9397-08002B2CF9AE}" pid="4" name="KSOTemplateDocerSaveRecord">
    <vt:lpwstr>eyJoZGlkIjoiNTk0YzMxNDI0NWI0Yzc4OTNjYjgyMzQ4ZGZiMmQ5NzQiLCJ1c2VySWQiOiI2NjcyNzEyNDUifQ==</vt:lpwstr>
  </property>
</Properties>
</file>