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left="0" w:right="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pStyle w:val="4"/>
        <w:keepNext w:val="0"/>
        <w:keepLines w:val="0"/>
        <w:pageBreakBefore w:val="0"/>
        <w:kinsoku/>
        <w:wordWrap/>
        <w:overflowPunct/>
        <w:topLinePunct w:val="0"/>
        <w:autoSpaceDE/>
        <w:autoSpaceDN/>
        <w:bidi w:val="0"/>
        <w:adjustRightInd w:val="0"/>
        <w:snapToGrid w:val="0"/>
        <w:spacing w:beforeLines="0" w:line="600" w:lineRule="exact"/>
        <w:ind w:left="0" w:right="0" w:firstLine="672" w:firstLineChars="210"/>
        <w:textAlignment w:val="auto"/>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sz w:val="32"/>
          <w:szCs w:val="32"/>
        </w:rPr>
        <w:t>本单位属于参照公务员法管理的事业单位</w:t>
      </w:r>
      <w:r>
        <w:rPr>
          <w:rFonts w:hint="eastAsia" w:ascii="仿宋_GB2312" w:hAnsi="仿宋_GB2312" w:eastAsia="仿宋_GB2312" w:cs="仿宋_GB2312"/>
          <w:bCs/>
          <w:color w:val="000000"/>
          <w:sz w:val="32"/>
          <w:szCs w:val="32"/>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right="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keepNext w:val="0"/>
        <w:keepLines w:val="0"/>
        <w:pageBreakBefore w:val="0"/>
        <w:kinsoku/>
        <w:wordWrap/>
        <w:overflowPunct/>
        <w:topLinePunct w:val="0"/>
        <w:autoSpaceDE/>
        <w:autoSpaceDN/>
        <w:bidi w:val="0"/>
        <w:spacing w:line="600" w:lineRule="exact"/>
        <w:ind w:left="0" w:right="0" w:firstLine="634"/>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机构职能：</w:t>
      </w:r>
    </w:p>
    <w:p>
      <w:pPr>
        <w:keepNext w:val="0"/>
        <w:keepLines w:val="0"/>
        <w:pageBreakBefore w:val="0"/>
        <w:kinsoku/>
        <w:wordWrap/>
        <w:overflowPunct/>
        <w:topLinePunct w:val="0"/>
        <w:autoSpaceDE/>
        <w:autoSpaceDN/>
        <w:bidi w:val="0"/>
        <w:spacing w:line="600" w:lineRule="exact"/>
        <w:ind w:left="0" w:right="0" w:firstLine="634"/>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1.</w:t>
      </w:r>
      <w:r>
        <w:rPr>
          <w:rFonts w:hint="eastAsia" w:ascii="仿宋_GB2312" w:hAnsi="仿宋_GB2312" w:eastAsia="仿宋_GB2312" w:cs="仿宋_GB2312"/>
          <w:spacing w:val="6"/>
          <w:sz w:val="32"/>
          <w:szCs w:val="32"/>
        </w:rPr>
        <w:t>承担</w:t>
      </w:r>
      <w:r>
        <w:rPr>
          <w:rFonts w:hint="eastAsia" w:ascii="仿宋_GB2312" w:hAnsi="仿宋_GB2312" w:eastAsia="仿宋_GB2312" w:cs="仿宋_GB2312"/>
          <w:spacing w:val="4"/>
          <w:sz w:val="32"/>
          <w:szCs w:val="32"/>
        </w:rPr>
        <w:t>由</w:t>
      </w:r>
      <w:r>
        <w:rPr>
          <w:rFonts w:hint="eastAsia" w:ascii="仿宋_GB2312" w:hAnsi="仿宋_GB2312" w:eastAsia="仿宋_GB2312" w:cs="仿宋_GB2312"/>
          <w:spacing w:val="3"/>
          <w:sz w:val="32"/>
          <w:szCs w:val="32"/>
        </w:rPr>
        <w:t>县政府依照《中华人民共和国企业国有资产法》</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及《</w:t>
      </w:r>
      <w:r>
        <w:rPr>
          <w:rFonts w:hint="eastAsia" w:ascii="仿宋_GB2312" w:hAnsi="仿宋_GB2312" w:eastAsia="仿宋_GB2312" w:cs="仿宋_GB2312"/>
          <w:spacing w:val="9"/>
          <w:sz w:val="32"/>
          <w:szCs w:val="32"/>
        </w:rPr>
        <w:t>企业国有资产监督管理暂行条例》等法律法规授权县供销社</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履</w:t>
      </w:r>
      <w:r>
        <w:rPr>
          <w:rFonts w:hint="eastAsia" w:ascii="仿宋_GB2312" w:hAnsi="仿宋_GB2312" w:eastAsia="仿宋_GB2312" w:cs="仿宋_GB2312"/>
          <w:spacing w:val="15"/>
          <w:sz w:val="32"/>
          <w:szCs w:val="32"/>
        </w:rPr>
        <w:t>行</w:t>
      </w:r>
      <w:r>
        <w:rPr>
          <w:rFonts w:hint="eastAsia" w:ascii="仿宋_GB2312" w:hAnsi="仿宋_GB2312" w:eastAsia="仿宋_GB2312" w:cs="仿宋_GB2312"/>
          <w:spacing w:val="9"/>
          <w:sz w:val="32"/>
          <w:szCs w:val="32"/>
        </w:rPr>
        <w:t>的出资人职责，监管县属国有企业的国有资产，加强指导推</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进县属国有企业改革，完善现代化企业制度。</w:t>
      </w:r>
    </w:p>
    <w:p>
      <w:pPr>
        <w:keepNext w:val="0"/>
        <w:keepLines w:val="0"/>
        <w:pageBreakBefore w:val="0"/>
        <w:kinsoku/>
        <w:wordWrap/>
        <w:overflowPunct/>
        <w:topLinePunct w:val="0"/>
        <w:autoSpaceDE/>
        <w:autoSpaceDN/>
        <w:bidi w:val="0"/>
        <w:spacing w:line="600" w:lineRule="exact"/>
        <w:ind w:left="0" w:right="0" w:firstLine="626"/>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2.</w:t>
      </w:r>
      <w:r>
        <w:rPr>
          <w:rFonts w:hint="eastAsia" w:ascii="仿宋_GB2312" w:hAnsi="仿宋_GB2312" w:eastAsia="仿宋_GB2312" w:cs="仿宋_GB2312"/>
          <w:spacing w:val="3"/>
          <w:sz w:val="32"/>
          <w:szCs w:val="32"/>
        </w:rPr>
        <w:t>建立符合社会主义市场经济体制和现代企业制度要求</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的</w:t>
      </w:r>
      <w:r>
        <w:rPr>
          <w:rFonts w:hint="eastAsia" w:ascii="仿宋_GB2312" w:hAnsi="仿宋_GB2312" w:eastAsia="仿宋_GB2312" w:cs="仿宋_GB2312"/>
          <w:spacing w:val="10"/>
          <w:sz w:val="32"/>
          <w:szCs w:val="32"/>
        </w:rPr>
        <w:t>选</w:t>
      </w:r>
      <w:r>
        <w:rPr>
          <w:rFonts w:hint="eastAsia" w:ascii="仿宋_GB2312" w:hAnsi="仿宋_GB2312" w:eastAsia="仿宋_GB2312" w:cs="仿宋_GB2312"/>
          <w:spacing w:val="9"/>
          <w:sz w:val="32"/>
          <w:szCs w:val="32"/>
        </w:rPr>
        <w:t>人、用人机制，制定并组织实施县属国有企业负责人收入分</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配</w:t>
      </w:r>
      <w:r>
        <w:rPr>
          <w:rFonts w:hint="eastAsia" w:ascii="仿宋_GB2312" w:hAnsi="仿宋_GB2312" w:eastAsia="仿宋_GB2312" w:cs="仿宋_GB2312"/>
          <w:spacing w:val="10"/>
          <w:sz w:val="32"/>
          <w:szCs w:val="32"/>
        </w:rPr>
        <w:t>政</w:t>
      </w:r>
      <w:r>
        <w:rPr>
          <w:rFonts w:hint="eastAsia" w:ascii="仿宋_GB2312" w:hAnsi="仿宋_GB2312" w:eastAsia="仿宋_GB2312" w:cs="仿宋_GB2312"/>
          <w:spacing w:val="9"/>
          <w:sz w:val="32"/>
          <w:szCs w:val="32"/>
        </w:rPr>
        <w:t>策，组织实施县属国有企业相关领导人员的选拔任用工作。</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负</w:t>
      </w:r>
      <w:r>
        <w:rPr>
          <w:rFonts w:hint="eastAsia" w:ascii="仿宋_GB2312" w:hAnsi="仿宋_GB2312" w:eastAsia="仿宋_GB2312" w:cs="仿宋_GB2312"/>
          <w:spacing w:val="10"/>
          <w:sz w:val="32"/>
          <w:szCs w:val="32"/>
        </w:rPr>
        <w:t>责</w:t>
      </w:r>
      <w:r>
        <w:rPr>
          <w:rFonts w:hint="eastAsia" w:ascii="仿宋_GB2312" w:hAnsi="仿宋_GB2312" w:eastAsia="仿宋_GB2312" w:cs="仿宋_GB2312"/>
          <w:spacing w:val="9"/>
          <w:sz w:val="32"/>
          <w:szCs w:val="32"/>
        </w:rPr>
        <w:t>县属国有企业工资分配管理工作；负责县属国有企业和国有</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0"/>
          <w:sz w:val="32"/>
          <w:szCs w:val="32"/>
        </w:rPr>
        <w:t>控</w:t>
      </w:r>
      <w:r>
        <w:rPr>
          <w:rFonts w:hint="eastAsia" w:ascii="仿宋_GB2312" w:hAnsi="仿宋_GB2312" w:eastAsia="仿宋_GB2312" w:cs="仿宋_GB2312"/>
          <w:spacing w:val="7"/>
          <w:sz w:val="32"/>
          <w:szCs w:val="32"/>
        </w:rPr>
        <w:t>股企业的稳定工作。</w:t>
      </w:r>
    </w:p>
    <w:p>
      <w:pPr>
        <w:keepNext w:val="0"/>
        <w:keepLines w:val="0"/>
        <w:pageBreakBefore w:val="0"/>
        <w:kinsoku/>
        <w:wordWrap/>
        <w:overflowPunct/>
        <w:topLinePunct w:val="0"/>
        <w:autoSpaceDE/>
        <w:autoSpaceDN/>
        <w:bidi w:val="0"/>
        <w:spacing w:line="600" w:lineRule="exact"/>
        <w:ind w:left="0" w:right="0" w:firstLine="631"/>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3.</w:t>
      </w:r>
      <w:r>
        <w:rPr>
          <w:rFonts w:hint="eastAsia" w:ascii="仿宋_GB2312" w:hAnsi="仿宋_GB2312" w:eastAsia="仿宋_GB2312" w:cs="仿宋_GB2312"/>
          <w:spacing w:val="3"/>
          <w:sz w:val="32"/>
          <w:szCs w:val="32"/>
        </w:rPr>
        <w:t>承担全县行政事业单位国有资产监督管理，负责全县</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公务用车、办公用房使用管理、节能降耗等工作</w:t>
      </w:r>
      <w:r>
        <w:rPr>
          <w:rFonts w:hint="eastAsia" w:ascii="仿宋_GB2312" w:hAnsi="仿宋_GB2312" w:eastAsia="仿宋_GB2312" w:cs="仿宋_GB2312"/>
          <w:spacing w:val="7"/>
          <w:sz w:val="32"/>
          <w:szCs w:val="32"/>
        </w:rPr>
        <w:t>。</w:t>
      </w:r>
    </w:p>
    <w:p>
      <w:pPr>
        <w:keepNext w:val="0"/>
        <w:keepLines w:val="0"/>
        <w:pageBreakBefore w:val="0"/>
        <w:kinsoku/>
        <w:wordWrap/>
        <w:overflowPunct/>
        <w:topLinePunct w:val="0"/>
        <w:autoSpaceDE/>
        <w:autoSpaceDN/>
        <w:bidi w:val="0"/>
        <w:spacing w:line="600" w:lineRule="exact"/>
        <w:ind w:left="0"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lang w:val="en-US" w:eastAsia="zh-CN"/>
        </w:rPr>
        <w:t>4.</w:t>
      </w:r>
      <w:r>
        <w:rPr>
          <w:rFonts w:hint="eastAsia" w:ascii="仿宋_GB2312" w:hAnsi="仿宋_GB2312" w:eastAsia="仿宋_GB2312" w:cs="仿宋_GB2312"/>
          <w:spacing w:val="4"/>
          <w:sz w:val="32"/>
          <w:szCs w:val="32"/>
        </w:rPr>
        <w:t>推进全县金融业服务实体经济、防控金融风险、</w:t>
      </w:r>
      <w:r>
        <w:rPr>
          <w:rFonts w:hint="eastAsia" w:ascii="仿宋_GB2312" w:hAnsi="仿宋_GB2312" w:eastAsia="仿宋_GB2312" w:cs="仿宋_GB2312"/>
          <w:spacing w:val="2"/>
          <w:sz w:val="32"/>
          <w:szCs w:val="32"/>
        </w:rPr>
        <w:t>深</w:t>
      </w:r>
      <w:r>
        <w:rPr>
          <w:rFonts w:hint="eastAsia" w:ascii="仿宋_GB2312" w:hAnsi="仿宋_GB2312" w:eastAsia="仿宋_GB2312" w:cs="仿宋_GB2312"/>
          <w:sz w:val="32"/>
          <w:szCs w:val="32"/>
        </w:rPr>
        <w:t xml:space="preserve">化 </w:t>
      </w:r>
      <w:r>
        <w:rPr>
          <w:rFonts w:hint="eastAsia" w:ascii="仿宋_GB2312" w:hAnsi="仿宋_GB2312" w:eastAsia="仿宋_GB2312" w:cs="仿宋_GB2312"/>
          <w:spacing w:val="15"/>
          <w:sz w:val="32"/>
          <w:szCs w:val="32"/>
        </w:rPr>
        <w:t>金</w:t>
      </w:r>
      <w:r>
        <w:rPr>
          <w:rFonts w:hint="eastAsia" w:ascii="仿宋_GB2312" w:hAnsi="仿宋_GB2312" w:eastAsia="仿宋_GB2312" w:cs="仿宋_GB2312"/>
          <w:spacing w:val="10"/>
          <w:sz w:val="32"/>
          <w:szCs w:val="32"/>
        </w:rPr>
        <w:t>融改革；推进全县企业直接融资工作，推动地方金融要素市场</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建</w:t>
      </w:r>
      <w:r>
        <w:rPr>
          <w:rFonts w:hint="eastAsia" w:ascii="仿宋_GB2312" w:hAnsi="仿宋_GB2312" w:eastAsia="仿宋_GB2312" w:cs="仿宋_GB2312"/>
          <w:spacing w:val="10"/>
          <w:sz w:val="32"/>
          <w:szCs w:val="32"/>
        </w:rPr>
        <w:t>设；研究分析金融形势和全县金融运行情况，组织实施我县金</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融</w:t>
      </w:r>
      <w:r>
        <w:rPr>
          <w:rFonts w:hint="eastAsia" w:ascii="仿宋_GB2312" w:hAnsi="仿宋_GB2312" w:eastAsia="仿宋_GB2312" w:cs="仿宋_GB2312"/>
          <w:spacing w:val="10"/>
          <w:sz w:val="32"/>
          <w:szCs w:val="32"/>
        </w:rPr>
        <w:t>业发展规划和政策；参与研究拟定引导社会融资发展的政策措</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3"/>
          <w:sz w:val="32"/>
          <w:szCs w:val="32"/>
        </w:rPr>
        <w:t>施</w:t>
      </w:r>
      <w:r>
        <w:rPr>
          <w:rFonts w:hint="eastAsia" w:ascii="仿宋_GB2312" w:hAnsi="仿宋_GB2312" w:eastAsia="仿宋_GB2312" w:cs="仿宋_GB2312"/>
          <w:spacing w:val="10"/>
          <w:sz w:val="32"/>
          <w:szCs w:val="32"/>
        </w:rPr>
        <w:t>，参与拟订政府重大项目融资方案，参与指导各类投资基金规</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范</w:t>
      </w:r>
      <w:r>
        <w:rPr>
          <w:rFonts w:hint="eastAsia" w:ascii="仿宋_GB2312" w:hAnsi="仿宋_GB2312" w:eastAsia="仿宋_GB2312" w:cs="仿宋_GB2312"/>
          <w:spacing w:val="10"/>
          <w:sz w:val="32"/>
          <w:szCs w:val="32"/>
        </w:rPr>
        <w:t>发展；配合省、市金融管理部门驻县机构做好金融监管相关工</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作</w:t>
      </w:r>
      <w:r>
        <w:rPr>
          <w:rFonts w:hint="eastAsia" w:ascii="仿宋_GB2312" w:hAnsi="仿宋_GB2312" w:eastAsia="仿宋_GB2312" w:cs="仿宋_GB2312"/>
          <w:spacing w:val="10"/>
          <w:sz w:val="32"/>
          <w:szCs w:val="32"/>
        </w:rPr>
        <w:t>，承担地方金融机构的行业管理和服务；协调推进地方保险、</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信托、租赁等金融机构的发展。</w:t>
      </w:r>
    </w:p>
    <w:p>
      <w:pPr>
        <w:keepNext w:val="0"/>
        <w:keepLines w:val="0"/>
        <w:pageBreakBefore w:val="0"/>
        <w:kinsoku/>
        <w:wordWrap/>
        <w:overflowPunct/>
        <w:topLinePunct w:val="0"/>
        <w:autoSpaceDE/>
        <w:autoSpaceDN/>
        <w:bidi w:val="0"/>
        <w:spacing w:line="600" w:lineRule="exact"/>
        <w:ind w:left="0" w:right="0" w:firstLine="631"/>
        <w:textAlignment w:val="auto"/>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6"/>
          <w:sz w:val="32"/>
          <w:szCs w:val="32"/>
          <w:lang w:val="en-US" w:eastAsia="zh-CN"/>
        </w:rPr>
        <w:t>5.</w:t>
      </w:r>
      <w:r>
        <w:rPr>
          <w:rFonts w:hint="eastAsia" w:ascii="仿宋_GB2312" w:hAnsi="仿宋_GB2312" w:eastAsia="仿宋_GB2312" w:cs="仿宋_GB2312"/>
          <w:spacing w:val="3"/>
          <w:sz w:val="32"/>
          <w:szCs w:val="32"/>
        </w:rPr>
        <w:t>组织开展农村社会化服务体系建设，发展 “三农”综</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合</w:t>
      </w:r>
      <w:r>
        <w:rPr>
          <w:rFonts w:hint="eastAsia" w:ascii="仿宋_GB2312" w:hAnsi="仿宋_GB2312" w:eastAsia="仿宋_GB2312" w:cs="仿宋_GB2312"/>
          <w:spacing w:val="15"/>
          <w:sz w:val="32"/>
          <w:szCs w:val="32"/>
        </w:rPr>
        <w:t>服</w:t>
      </w:r>
      <w:r>
        <w:rPr>
          <w:rFonts w:hint="eastAsia" w:ascii="仿宋_GB2312" w:hAnsi="仿宋_GB2312" w:eastAsia="仿宋_GB2312" w:cs="仿宋_GB2312"/>
          <w:spacing w:val="9"/>
          <w:sz w:val="32"/>
          <w:szCs w:val="32"/>
        </w:rPr>
        <w:t>务中心，发展农村电子商务，搭建农村生产生活资料供应平</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台</w:t>
      </w:r>
      <w:r>
        <w:rPr>
          <w:rFonts w:hint="eastAsia" w:ascii="仿宋_GB2312" w:hAnsi="仿宋_GB2312" w:eastAsia="仿宋_GB2312" w:cs="仿宋_GB2312"/>
          <w:spacing w:val="15"/>
          <w:sz w:val="32"/>
          <w:szCs w:val="32"/>
        </w:rPr>
        <w:t>、</w:t>
      </w:r>
      <w:r>
        <w:rPr>
          <w:rFonts w:hint="eastAsia" w:ascii="仿宋_GB2312" w:hAnsi="仿宋_GB2312" w:eastAsia="仿宋_GB2312" w:cs="仿宋_GB2312"/>
          <w:spacing w:val="9"/>
          <w:sz w:val="32"/>
          <w:szCs w:val="32"/>
        </w:rPr>
        <w:t>经营性服务和公益性服务的公共平台，参与和推进农村和谐</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社</w:t>
      </w:r>
      <w:r>
        <w:rPr>
          <w:rFonts w:hint="eastAsia" w:ascii="仿宋_GB2312" w:hAnsi="仿宋_GB2312" w:eastAsia="仿宋_GB2312" w:cs="仿宋_GB2312"/>
          <w:spacing w:val="15"/>
          <w:sz w:val="32"/>
          <w:szCs w:val="32"/>
        </w:rPr>
        <w:t>区</w:t>
      </w:r>
      <w:r>
        <w:rPr>
          <w:rFonts w:hint="eastAsia" w:ascii="仿宋_GB2312" w:hAnsi="仿宋_GB2312" w:eastAsia="仿宋_GB2312" w:cs="仿宋_GB2312"/>
          <w:spacing w:val="9"/>
          <w:sz w:val="32"/>
          <w:szCs w:val="32"/>
        </w:rPr>
        <w:t>建设。发挥农业生产资料供应主渠道作用，建立完善农业生</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产</w:t>
      </w:r>
      <w:r>
        <w:rPr>
          <w:rFonts w:hint="eastAsia" w:ascii="仿宋_GB2312" w:hAnsi="仿宋_GB2312" w:eastAsia="仿宋_GB2312" w:cs="仿宋_GB2312"/>
          <w:spacing w:val="15"/>
          <w:sz w:val="32"/>
          <w:szCs w:val="32"/>
        </w:rPr>
        <w:t>资</w:t>
      </w:r>
      <w:r>
        <w:rPr>
          <w:rFonts w:hint="eastAsia" w:ascii="仿宋_GB2312" w:hAnsi="仿宋_GB2312" w:eastAsia="仿宋_GB2312" w:cs="仿宋_GB2312"/>
          <w:spacing w:val="9"/>
          <w:sz w:val="32"/>
          <w:szCs w:val="32"/>
        </w:rPr>
        <w:t>料储备制度，保障农业生产资料供应，稳定农业生产资料价</w:t>
      </w:r>
      <w:r>
        <w:rPr>
          <w:rFonts w:hint="eastAsia" w:ascii="仿宋_GB2312" w:hAnsi="仿宋_GB2312" w:eastAsia="仿宋_GB2312" w:cs="仿宋_GB2312"/>
          <w:spacing w:val="-2"/>
          <w:sz w:val="32"/>
          <w:szCs w:val="32"/>
        </w:rPr>
        <w:t>格</w:t>
      </w:r>
      <w:r>
        <w:rPr>
          <w:rFonts w:hint="eastAsia" w:ascii="仿宋_GB2312" w:hAnsi="仿宋_GB2312" w:eastAsia="仿宋_GB2312" w:cs="仿宋_GB2312"/>
          <w:spacing w:val="-1"/>
          <w:sz w:val="32"/>
          <w:szCs w:val="32"/>
        </w:rPr>
        <w:t>。</w:t>
      </w:r>
    </w:p>
    <w:p>
      <w:pPr>
        <w:keepNext w:val="0"/>
        <w:keepLines w:val="0"/>
        <w:pageBreakBefore w:val="0"/>
        <w:widowControl/>
        <w:tabs>
          <w:tab w:val="left" w:pos="3840"/>
        </w:tabs>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人员概况：</w:t>
      </w:r>
      <w:r>
        <w:rPr>
          <w:rFonts w:ascii="楷体_GB2312" w:hAnsi="宋体" w:eastAsia="楷体_GB2312" w:cs="宋体"/>
          <w:color w:val="000000"/>
          <w:kern w:val="0"/>
          <w:szCs w:val="32"/>
          <w:shd w:val="clear" w:color="auto" w:fill="FFFFFF"/>
          <w:lang w:val="zh-CN"/>
        </w:rPr>
        <w:tab/>
      </w:r>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pacing w:val="-1"/>
          <w:sz w:val="32"/>
          <w:szCs w:val="32"/>
          <w:lang w:val="zh-CN"/>
        </w:rPr>
      </w:pPr>
      <w:r>
        <w:rPr>
          <w:rFonts w:hint="eastAsia" w:ascii="仿宋" w:hAnsi="仿宋" w:eastAsia="仿宋"/>
          <w:szCs w:val="32"/>
        </w:rPr>
        <w:t>供销社总编制</w:t>
      </w:r>
      <w:r>
        <w:rPr>
          <w:rFonts w:hint="eastAsia" w:ascii="仿宋" w:hAnsi="仿宋" w:eastAsia="仿宋"/>
          <w:szCs w:val="32"/>
          <w:lang w:val="en-US" w:eastAsia="zh-CN"/>
        </w:rPr>
        <w:t>15</w:t>
      </w:r>
      <w:r>
        <w:rPr>
          <w:rFonts w:hint="eastAsia" w:ascii="仿宋" w:hAnsi="仿宋" w:eastAsia="仿宋"/>
          <w:szCs w:val="32"/>
        </w:rPr>
        <w:t>名，其中：参照公务员法管理的事业编制</w:t>
      </w:r>
      <w:r>
        <w:rPr>
          <w:rFonts w:hint="eastAsia" w:ascii="仿宋" w:hAnsi="仿宋" w:eastAsia="仿宋"/>
          <w:szCs w:val="32"/>
          <w:lang w:val="en-US" w:eastAsia="zh-CN"/>
        </w:rPr>
        <w:t>10</w:t>
      </w:r>
      <w:r>
        <w:rPr>
          <w:rFonts w:hint="eastAsia" w:ascii="仿宋" w:hAnsi="仿宋" w:eastAsia="仿宋"/>
          <w:szCs w:val="32"/>
        </w:rPr>
        <w:t>名，工勤编制0名，事业编制</w:t>
      </w:r>
      <w:r>
        <w:rPr>
          <w:rFonts w:hint="eastAsia" w:ascii="仿宋" w:hAnsi="仿宋" w:eastAsia="仿宋"/>
          <w:szCs w:val="32"/>
          <w:lang w:val="en-US" w:eastAsia="zh-CN"/>
        </w:rPr>
        <w:t>5</w:t>
      </w:r>
      <w:r>
        <w:rPr>
          <w:rFonts w:hint="eastAsia" w:ascii="仿宋" w:hAnsi="仿宋" w:eastAsia="仿宋"/>
          <w:szCs w:val="32"/>
        </w:rPr>
        <w:t>名。</w:t>
      </w:r>
      <w:r>
        <w:rPr>
          <w:rFonts w:hint="eastAsia" w:ascii="仿宋" w:hAnsi="仿宋" w:eastAsia="仿宋"/>
          <w:szCs w:val="32"/>
          <w:lang w:val="en-US" w:eastAsia="zh-CN"/>
        </w:rPr>
        <w:t>在编</w:t>
      </w:r>
      <w:r>
        <w:rPr>
          <w:rFonts w:hint="eastAsia" w:ascii="仿宋" w:hAnsi="仿宋" w:eastAsia="仿宋"/>
          <w:szCs w:val="32"/>
        </w:rPr>
        <w:t>在</w:t>
      </w:r>
      <w:r>
        <w:rPr>
          <w:rFonts w:hint="eastAsia" w:ascii="仿宋" w:hAnsi="仿宋" w:eastAsia="仿宋"/>
          <w:szCs w:val="32"/>
          <w:lang w:val="en-US" w:eastAsia="zh-CN"/>
        </w:rPr>
        <w:t>岗</w:t>
      </w:r>
      <w:r>
        <w:rPr>
          <w:rFonts w:hint="eastAsia" w:ascii="仿宋" w:hAnsi="仿宋" w:eastAsia="仿宋"/>
          <w:szCs w:val="32"/>
        </w:rPr>
        <w:t xml:space="preserve">人员总数6名。 </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对标市供销社下达我县2022年工作目标任务，结合我县的实际情况，</w:t>
      </w:r>
      <w:r>
        <w:rPr>
          <w:rFonts w:hint="eastAsia" w:ascii="仿宋_GB2312" w:hAnsi="仿宋_GB2312" w:cs="仿宋_GB2312"/>
          <w:i w:val="0"/>
          <w:iCs w:val="0"/>
          <w:caps w:val="0"/>
          <w:color w:val="auto"/>
          <w:spacing w:val="0"/>
          <w:sz w:val="32"/>
          <w:szCs w:val="32"/>
          <w:shd w:val="clear" w:color="auto" w:fill="FFFFFF"/>
          <w:lang w:val="en-US" w:eastAsia="zh-CN"/>
        </w:rPr>
        <w:t>提前</w:t>
      </w:r>
      <w:r>
        <w:rPr>
          <w:rFonts w:hint="eastAsia" w:ascii="仿宋_GB2312" w:hAnsi="仿宋_GB2312" w:eastAsia="仿宋_GB2312" w:cs="仿宋_GB2312"/>
          <w:i w:val="0"/>
          <w:iCs w:val="0"/>
          <w:caps w:val="0"/>
          <w:color w:val="auto"/>
          <w:spacing w:val="0"/>
          <w:sz w:val="32"/>
          <w:szCs w:val="32"/>
          <w:shd w:val="clear" w:color="auto" w:fill="FFFFFF"/>
          <w:lang w:val="en-US" w:eastAsia="zh-CN"/>
        </w:rPr>
        <w:t>就推进基层供销社示范社建设、村级供销社建设、农村三星级综合服务社打造等重点工作进行调查摸底</w:t>
      </w:r>
      <w:r>
        <w:rPr>
          <w:rFonts w:hint="eastAsia" w:ascii="仿宋_GB2312" w:hAnsi="仿宋_GB2312" w:cs="仿宋_GB2312"/>
          <w:i w:val="0"/>
          <w:iCs w:val="0"/>
          <w:caps w:val="0"/>
          <w:color w:val="auto"/>
          <w:spacing w:val="0"/>
          <w:sz w:val="32"/>
          <w:szCs w:val="32"/>
          <w:shd w:val="clear" w:color="auto" w:fill="FFFFFF"/>
          <w:lang w:val="en-US" w:eastAsia="zh-CN"/>
        </w:rPr>
        <w:t>。</w:t>
      </w:r>
      <w:r>
        <w:rPr>
          <w:rFonts w:hint="eastAsia" w:ascii="仿宋_GB2312" w:hAnsi="仿宋_GB2312" w:eastAsia="仿宋_GB2312" w:cs="仿宋_GB2312"/>
          <w:i w:val="0"/>
          <w:iCs w:val="0"/>
          <w:caps w:val="0"/>
          <w:color w:val="auto"/>
          <w:spacing w:val="0"/>
          <w:sz w:val="32"/>
          <w:szCs w:val="32"/>
          <w:shd w:val="clear" w:color="auto" w:fill="FFFFFF"/>
          <w:lang w:val="en-US" w:eastAsia="zh-CN"/>
        </w:rPr>
        <w:t>在沙坪镇、黑竹沟镇和五渡镇</w:t>
      </w:r>
      <w:r>
        <w:rPr>
          <w:rFonts w:hint="eastAsia" w:ascii="仿宋_GB2312" w:hAnsi="仿宋_GB2312" w:cs="仿宋_GB2312"/>
          <w:i w:val="0"/>
          <w:iCs w:val="0"/>
          <w:caps w:val="0"/>
          <w:color w:val="auto"/>
          <w:spacing w:val="0"/>
          <w:sz w:val="32"/>
          <w:szCs w:val="32"/>
          <w:shd w:val="clear" w:color="auto" w:fill="FFFFFF"/>
          <w:lang w:val="en-US" w:eastAsia="zh-CN"/>
        </w:rPr>
        <w:t>3</w:t>
      </w:r>
      <w:r>
        <w:rPr>
          <w:rFonts w:hint="eastAsia" w:ascii="仿宋_GB2312" w:hAnsi="仿宋_GB2312" w:eastAsia="仿宋_GB2312" w:cs="仿宋_GB2312"/>
          <w:i w:val="0"/>
          <w:iCs w:val="0"/>
          <w:caps w:val="0"/>
          <w:color w:val="auto"/>
          <w:spacing w:val="0"/>
          <w:sz w:val="32"/>
          <w:szCs w:val="32"/>
          <w:shd w:val="clear" w:color="auto" w:fill="FFFFFF"/>
          <w:lang w:val="en-US" w:eastAsia="zh-CN"/>
        </w:rPr>
        <w:t>个基层社示范社空白乡镇建成</w:t>
      </w:r>
      <w:r>
        <w:rPr>
          <w:rFonts w:hint="eastAsia" w:ascii="仿宋_GB2312" w:hAnsi="仿宋_GB2312" w:cs="仿宋_GB2312"/>
          <w:i w:val="0"/>
          <w:iCs w:val="0"/>
          <w:caps w:val="0"/>
          <w:color w:val="auto"/>
          <w:spacing w:val="0"/>
          <w:sz w:val="32"/>
          <w:szCs w:val="32"/>
          <w:shd w:val="clear" w:color="auto" w:fill="FFFFFF"/>
          <w:lang w:val="en-US" w:eastAsia="zh-CN"/>
        </w:rPr>
        <w:t>3</w:t>
      </w:r>
      <w:r>
        <w:rPr>
          <w:rFonts w:hint="eastAsia" w:ascii="仿宋_GB2312" w:hAnsi="仿宋_GB2312" w:eastAsia="仿宋_GB2312" w:cs="仿宋_GB2312"/>
          <w:i w:val="0"/>
          <w:iCs w:val="0"/>
          <w:caps w:val="0"/>
          <w:color w:val="auto"/>
          <w:spacing w:val="0"/>
          <w:sz w:val="32"/>
          <w:szCs w:val="32"/>
          <w:shd w:val="clear" w:color="auto" w:fill="FFFFFF"/>
          <w:lang w:val="en-US" w:eastAsia="zh-CN"/>
        </w:rPr>
        <w:t>个基层社示范社；在毛坪镇、新林镇建成2个三星级综合服务社；在红旗镇、五渡镇新建2个村级供销合作社。</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部门整体支出绩效目标。</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保证单位正常运转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rPr>
          <w:lang w:val="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2.对标市供销社下达我县2022年工作目标任务，结合我县的实际情况，重点就推进基层供销社示范社建设、村级供销社建设、农村三星级综合服务社打造等重点工作进行调查摸底，在沙坪镇、黑竹沟镇和五渡镇</w:t>
      </w:r>
      <w:r>
        <w:rPr>
          <w:rFonts w:hint="eastAsia" w:ascii="仿宋_GB2312" w:hAnsi="仿宋_GB2312" w:cs="仿宋_GB2312"/>
          <w:i w:val="0"/>
          <w:iCs w:val="0"/>
          <w:caps w:val="0"/>
          <w:color w:val="auto"/>
          <w:spacing w:val="0"/>
          <w:sz w:val="32"/>
          <w:szCs w:val="32"/>
          <w:shd w:val="clear" w:color="auto" w:fill="FFFFFF"/>
          <w:lang w:val="en-US" w:eastAsia="zh-CN"/>
        </w:rPr>
        <w:t>3</w:t>
      </w:r>
      <w:r>
        <w:rPr>
          <w:rFonts w:hint="eastAsia" w:ascii="仿宋_GB2312" w:hAnsi="仿宋_GB2312" w:eastAsia="仿宋_GB2312" w:cs="仿宋_GB2312"/>
          <w:i w:val="0"/>
          <w:iCs w:val="0"/>
          <w:caps w:val="0"/>
          <w:color w:val="auto"/>
          <w:spacing w:val="0"/>
          <w:sz w:val="32"/>
          <w:szCs w:val="32"/>
          <w:shd w:val="clear" w:color="auto" w:fill="FFFFFF"/>
          <w:lang w:val="en-US" w:eastAsia="zh-CN"/>
        </w:rPr>
        <w:t>个基层社示范社空白乡镇建成了</w:t>
      </w:r>
      <w:r>
        <w:rPr>
          <w:rFonts w:hint="eastAsia" w:ascii="仿宋_GB2312" w:hAnsi="仿宋_GB2312" w:cs="仿宋_GB2312"/>
          <w:i w:val="0"/>
          <w:iCs w:val="0"/>
          <w:caps w:val="0"/>
          <w:color w:val="auto"/>
          <w:spacing w:val="0"/>
          <w:sz w:val="32"/>
          <w:szCs w:val="32"/>
          <w:shd w:val="clear" w:color="auto" w:fill="FFFFFF"/>
          <w:lang w:val="en-US" w:eastAsia="zh-CN"/>
        </w:rPr>
        <w:t>3</w:t>
      </w:r>
      <w:r>
        <w:rPr>
          <w:rFonts w:hint="eastAsia" w:ascii="仿宋_GB2312" w:hAnsi="仿宋_GB2312" w:eastAsia="仿宋_GB2312" w:cs="仿宋_GB2312"/>
          <w:i w:val="0"/>
          <w:iCs w:val="0"/>
          <w:caps w:val="0"/>
          <w:color w:val="auto"/>
          <w:spacing w:val="0"/>
          <w:sz w:val="32"/>
          <w:szCs w:val="32"/>
          <w:shd w:val="clear" w:color="auto" w:fill="FFFFFF"/>
          <w:lang w:val="en-US" w:eastAsia="zh-CN"/>
        </w:rPr>
        <w:t>个基层社示范社；在毛坪镇、新林镇建成了2个三星级综合服务社；在红旗镇、五渡镇新建了2个村级供销合作社。</w:t>
      </w:r>
      <w:r>
        <w:rPr>
          <w:rFonts w:hint="eastAsia" w:ascii="仿宋_GB2312" w:hAnsi="仿宋_GB2312" w:eastAsia="仿宋_GB2312" w:cs="仿宋_GB2312"/>
          <w:color w:val="auto"/>
          <w:sz w:val="32"/>
          <w:szCs w:val="32"/>
          <w:lang w:val="en-US" w:eastAsia="zh-CN"/>
        </w:rPr>
        <w:t>截止11月底，我县供销系统基层社农民</w:t>
      </w:r>
      <w:r>
        <w:rPr>
          <w:rFonts w:hint="eastAsia" w:ascii="仿宋_GB2312" w:hAnsi="仿宋_GB2312" w:eastAsia="仿宋_GB2312" w:cs="仿宋_GB2312"/>
          <w:color w:val="auto"/>
          <w:sz w:val="32"/>
          <w:szCs w:val="32"/>
        </w:rPr>
        <w:t>社员达到</w:t>
      </w:r>
      <w:r>
        <w:rPr>
          <w:rFonts w:hint="eastAsia" w:ascii="仿宋_GB2312" w:hAnsi="仿宋_GB2312" w:eastAsia="仿宋_GB2312" w:cs="仿宋_GB2312"/>
          <w:color w:val="auto"/>
          <w:sz w:val="32"/>
          <w:szCs w:val="32"/>
          <w:lang w:val="en-US" w:eastAsia="zh-CN"/>
        </w:rPr>
        <w:t>2770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其中农民社员2766人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电子商务销售额达到845万元；</w:t>
      </w:r>
      <w:r>
        <w:rPr>
          <w:rFonts w:hint="eastAsia" w:ascii="仿宋_GB2312" w:hAnsi="仿宋_GB2312" w:eastAsia="仿宋_GB2312" w:cs="仿宋_GB2312"/>
          <w:color w:val="auto"/>
          <w:sz w:val="32"/>
          <w:szCs w:val="32"/>
        </w:rPr>
        <w:t>全年专合社销售总额达到</w:t>
      </w:r>
      <w:r>
        <w:rPr>
          <w:rFonts w:hint="eastAsia" w:ascii="仿宋_GB2312" w:hAnsi="仿宋_GB2312" w:eastAsia="仿宋_GB2312" w:cs="仿宋_GB2312"/>
          <w:color w:val="auto"/>
          <w:sz w:val="32"/>
          <w:szCs w:val="32"/>
          <w:lang w:val="en-US" w:eastAsia="zh-CN"/>
        </w:rPr>
        <w:t>3889万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农产品购进总额达到</w:t>
      </w:r>
      <w:r>
        <w:rPr>
          <w:rFonts w:hint="eastAsia" w:ascii="仿宋_GB2312" w:hAnsi="仿宋_GB2312" w:eastAsia="仿宋_GB2312" w:cs="仿宋_GB2312"/>
          <w:color w:val="auto"/>
          <w:sz w:val="32"/>
          <w:szCs w:val="32"/>
          <w:lang w:val="en-US" w:eastAsia="zh-CN"/>
        </w:rPr>
        <w:t>3325万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lang w:val="en-US" w:eastAsia="zh-CN"/>
        </w:rPr>
        <w:t>；社有企业</w:t>
      </w:r>
      <w:r>
        <w:rPr>
          <w:rFonts w:hint="eastAsia" w:ascii="仿宋_GB2312" w:hAnsi="仿宋_GB2312" w:eastAsia="仿宋_GB2312" w:cs="仿宋_GB2312"/>
          <w:color w:val="auto"/>
          <w:sz w:val="32"/>
          <w:szCs w:val="32"/>
        </w:rPr>
        <w:t>汇总利润</w:t>
      </w:r>
      <w:r>
        <w:rPr>
          <w:rFonts w:hint="eastAsia" w:ascii="仿宋_GB2312" w:hAnsi="仿宋_GB2312" w:eastAsia="仿宋_GB2312" w:cs="仿宋_GB2312"/>
          <w:color w:val="auto"/>
          <w:sz w:val="32"/>
          <w:szCs w:val="32"/>
          <w:lang w:val="en-US" w:eastAsia="zh-CN"/>
        </w:rPr>
        <w:t>30.6万元；农村家庭能人培训130余人。</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pStyle w:val="6"/>
        <w:keepNext w:val="0"/>
        <w:keepLines w:val="0"/>
        <w:pageBreakBefore w:val="0"/>
        <w:kinsoku/>
        <w:wordWrap/>
        <w:overflowPunct/>
        <w:topLinePunct w:val="0"/>
        <w:autoSpaceDE/>
        <w:autoSpaceDN/>
        <w:bidi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2022年财政拨款收入389.38万元。</w:t>
      </w:r>
    </w:p>
    <w:p>
      <w:pPr>
        <w:keepNext w:val="0"/>
        <w:keepLines w:val="0"/>
        <w:pageBreakBefore w:val="0"/>
        <w:widowControl/>
        <w:numPr>
          <w:ilvl w:val="0"/>
          <w:numId w:val="3"/>
        </w:numPr>
        <w:kinsoku/>
        <w:wordWrap/>
        <w:overflowPunct/>
        <w:topLinePunct w:val="0"/>
        <w:autoSpaceDE/>
        <w:autoSpaceDN/>
        <w:bidi w:val="0"/>
        <w:adjustRightInd w:val="0"/>
        <w:snapToGrid w:val="0"/>
        <w:spacing w:line="600" w:lineRule="exact"/>
        <w:ind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pStyle w:val="6"/>
        <w:keepNext w:val="0"/>
        <w:keepLines w:val="0"/>
        <w:pageBreakBefore w:val="0"/>
        <w:kinsoku/>
        <w:wordWrap/>
        <w:overflowPunct/>
        <w:topLinePunct w:val="0"/>
        <w:autoSpaceDE/>
        <w:autoSpaceDN/>
        <w:bidi w:val="0"/>
        <w:snapToGrid w:val="0"/>
        <w:spacing w:line="600" w:lineRule="exact"/>
        <w:ind w:leftChars="0" w:firstLine="360" w:firstLineChars="20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color w:val="000000"/>
          <w:kern w:val="0"/>
          <w:sz w:val="32"/>
          <w:szCs w:val="32"/>
          <w:shd w:val="clear" w:color="auto" w:fill="FFFFFF"/>
          <w:lang w:val="en-US" w:eastAsia="zh-CN"/>
        </w:rPr>
        <w:t>2022年财政拨款支出389.38万元。</w:t>
      </w:r>
    </w:p>
    <w:p>
      <w:pPr>
        <w:keepNext w:val="0"/>
        <w:keepLines w:val="0"/>
        <w:pageBreakBefore w:val="0"/>
        <w:widowControl/>
        <w:numPr>
          <w:ilvl w:val="0"/>
          <w:numId w:val="3"/>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pStyle w:val="6"/>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2022年结转以前年度经费0.97万元。</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仿宋" w:eastAsia="仿宋_GB2312" w:cs="Times New Roman"/>
          <w:kern w:val="2"/>
          <w:sz w:val="32"/>
          <w:szCs w:val="32"/>
          <w:shd w:val="clear" w:color="auto" w:fill="auto"/>
          <w:lang w:val="en-US" w:eastAsia="zh-CN"/>
        </w:rPr>
      </w:pPr>
      <w:r>
        <w:rPr>
          <w:rFonts w:hint="eastAsia" w:ascii="仿宋_GB2312" w:hAnsi="仿宋" w:eastAsia="仿宋_GB2312" w:cs="Times New Roman"/>
          <w:kern w:val="2"/>
          <w:sz w:val="32"/>
          <w:szCs w:val="32"/>
          <w:shd w:val="clear" w:color="auto" w:fill="auto"/>
          <w:lang w:val="en-US" w:eastAsia="zh-CN"/>
        </w:rPr>
        <w:t>1.维持单位基本运转，保障人员工资、保险、住房公积金、三公经费等基本支出，据实列支。</w:t>
      </w:r>
    </w:p>
    <w:p>
      <w:pPr>
        <w:keepNext w:val="0"/>
        <w:keepLines w:val="0"/>
        <w:pageBreakBefore w:val="0"/>
        <w:kinsoku/>
        <w:wordWrap/>
        <w:overflowPunct/>
        <w:topLinePunct w:val="0"/>
        <w:autoSpaceDE/>
        <w:autoSpaceDN/>
        <w:bidi w:val="0"/>
        <w:spacing w:line="600" w:lineRule="exact"/>
        <w:ind w:left="0" w:right="0" w:firstLine="634"/>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2.</w:t>
      </w:r>
      <w:r>
        <w:rPr>
          <w:rFonts w:hint="eastAsia" w:ascii="仿宋_GB2312" w:hAnsi="仿宋_GB2312" w:eastAsia="仿宋_GB2312" w:cs="仿宋_GB2312"/>
          <w:spacing w:val="9"/>
          <w:sz w:val="32"/>
          <w:szCs w:val="32"/>
        </w:rPr>
        <w:t>加强指导推</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进县属国有企业改革，完善现代化企业制度。</w:t>
      </w:r>
    </w:p>
    <w:p>
      <w:pPr>
        <w:keepNext w:val="0"/>
        <w:keepLines w:val="0"/>
        <w:pageBreakBefore w:val="0"/>
        <w:kinsoku/>
        <w:wordWrap/>
        <w:overflowPunct/>
        <w:topLinePunct w:val="0"/>
        <w:autoSpaceDE/>
        <w:autoSpaceDN/>
        <w:bidi w:val="0"/>
        <w:spacing w:line="600" w:lineRule="exact"/>
        <w:ind w:left="0" w:right="0" w:firstLine="626"/>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3.</w:t>
      </w:r>
      <w:r>
        <w:rPr>
          <w:rFonts w:hint="eastAsia" w:ascii="仿宋_GB2312" w:hAnsi="仿宋_GB2312" w:eastAsia="仿宋_GB2312" w:cs="仿宋_GB2312"/>
          <w:spacing w:val="18"/>
          <w:sz w:val="32"/>
          <w:szCs w:val="32"/>
        </w:rPr>
        <w:t>负</w:t>
      </w:r>
      <w:r>
        <w:rPr>
          <w:rFonts w:hint="eastAsia" w:ascii="仿宋_GB2312" w:hAnsi="仿宋_GB2312" w:eastAsia="仿宋_GB2312" w:cs="仿宋_GB2312"/>
          <w:spacing w:val="10"/>
          <w:sz w:val="32"/>
          <w:szCs w:val="32"/>
        </w:rPr>
        <w:t>责</w:t>
      </w:r>
      <w:r>
        <w:rPr>
          <w:rFonts w:hint="eastAsia" w:ascii="仿宋_GB2312" w:hAnsi="仿宋_GB2312" w:eastAsia="仿宋_GB2312" w:cs="仿宋_GB2312"/>
          <w:spacing w:val="9"/>
          <w:sz w:val="32"/>
          <w:szCs w:val="32"/>
        </w:rPr>
        <w:t>县属国有企业工资分配管理工作；负责县属国有企业和国有</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0"/>
          <w:sz w:val="32"/>
          <w:szCs w:val="32"/>
        </w:rPr>
        <w:t>控</w:t>
      </w:r>
      <w:r>
        <w:rPr>
          <w:rFonts w:hint="eastAsia" w:ascii="仿宋_GB2312" w:hAnsi="仿宋_GB2312" w:eastAsia="仿宋_GB2312" w:cs="仿宋_GB2312"/>
          <w:spacing w:val="7"/>
          <w:sz w:val="32"/>
          <w:szCs w:val="32"/>
        </w:rPr>
        <w:t>股企业的稳定工作。</w:t>
      </w:r>
    </w:p>
    <w:p>
      <w:pPr>
        <w:keepNext w:val="0"/>
        <w:keepLines w:val="0"/>
        <w:pageBreakBefore w:val="0"/>
        <w:kinsoku/>
        <w:wordWrap/>
        <w:overflowPunct/>
        <w:topLinePunct w:val="0"/>
        <w:autoSpaceDE/>
        <w:autoSpaceDN/>
        <w:bidi w:val="0"/>
        <w:spacing w:line="600" w:lineRule="exact"/>
        <w:ind w:left="0" w:right="0" w:firstLine="631"/>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4.</w:t>
      </w:r>
      <w:r>
        <w:rPr>
          <w:rFonts w:hint="eastAsia" w:ascii="仿宋_GB2312" w:hAnsi="仿宋_GB2312" w:eastAsia="仿宋_GB2312" w:cs="仿宋_GB2312"/>
          <w:spacing w:val="3"/>
          <w:sz w:val="32"/>
          <w:szCs w:val="32"/>
        </w:rPr>
        <w:t>承担全县行政事业单位国有资产监督管理，负责全县</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公务用车、办公用房使用管理、节能降耗等工作</w:t>
      </w:r>
      <w:r>
        <w:rPr>
          <w:rFonts w:hint="eastAsia" w:ascii="仿宋_GB2312" w:hAnsi="仿宋_GB2312" w:eastAsia="仿宋_GB2312" w:cs="仿宋_GB2312"/>
          <w:spacing w:val="7"/>
          <w:sz w:val="32"/>
          <w:szCs w:val="32"/>
        </w:rPr>
        <w:t>。</w:t>
      </w:r>
    </w:p>
    <w:p>
      <w:pPr>
        <w:keepNext w:val="0"/>
        <w:keepLines w:val="0"/>
        <w:pageBreakBefore w:val="0"/>
        <w:kinsoku/>
        <w:wordWrap/>
        <w:overflowPunct/>
        <w:topLinePunct w:val="0"/>
        <w:autoSpaceDE/>
        <w:autoSpaceDN/>
        <w:bidi w:val="0"/>
        <w:spacing w:line="600" w:lineRule="exact"/>
        <w:ind w:left="0" w:right="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lang w:val="en-US" w:eastAsia="zh-CN"/>
        </w:rPr>
        <w:t>5.</w:t>
      </w:r>
      <w:r>
        <w:rPr>
          <w:rFonts w:hint="eastAsia" w:ascii="仿宋_GB2312" w:hAnsi="仿宋_GB2312" w:eastAsia="仿宋_GB2312" w:cs="仿宋_GB2312"/>
          <w:spacing w:val="10"/>
          <w:sz w:val="32"/>
          <w:szCs w:val="32"/>
        </w:rPr>
        <w:t>配合省、市金融管理部门驻县机构做好金融监管相关工</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作</w:t>
      </w:r>
      <w:r>
        <w:rPr>
          <w:rFonts w:hint="eastAsia" w:ascii="仿宋_GB2312" w:hAnsi="仿宋_GB2312" w:eastAsia="仿宋_GB2312" w:cs="仿宋_GB2312"/>
          <w:spacing w:val="10"/>
          <w:sz w:val="32"/>
          <w:szCs w:val="32"/>
        </w:rPr>
        <w:t>，承担地方金融机构的行业管理和服务；协调推进地方保险、</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9"/>
          <w:sz w:val="32"/>
          <w:szCs w:val="32"/>
        </w:rPr>
        <w:t>信托、租赁等金融机构的发展。</w:t>
      </w:r>
    </w:p>
    <w:p>
      <w:pPr>
        <w:widowControl/>
        <w:adjustRightInd w:val="0"/>
        <w:snapToGrid w:val="0"/>
        <w:spacing w:line="580" w:lineRule="exact"/>
        <w:ind w:firstLine="664" w:firstLineChars="200"/>
        <w:contextualSpacing/>
        <w:jc w:val="left"/>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6"/>
          <w:sz w:val="32"/>
          <w:szCs w:val="32"/>
          <w:lang w:val="en-US" w:eastAsia="zh-CN"/>
        </w:rPr>
        <w:t>6.</w:t>
      </w:r>
      <w:r>
        <w:rPr>
          <w:rFonts w:hint="eastAsia" w:ascii="仿宋_GB2312" w:hAnsi="仿宋_GB2312" w:eastAsia="仿宋_GB2312" w:cs="仿宋_GB2312"/>
          <w:spacing w:val="3"/>
          <w:sz w:val="32"/>
          <w:szCs w:val="32"/>
        </w:rPr>
        <w:t>组织开展农村社会化服务体系建设，发展 “三农”综</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合</w:t>
      </w:r>
      <w:r>
        <w:rPr>
          <w:rFonts w:hint="eastAsia" w:ascii="仿宋_GB2312" w:hAnsi="仿宋_GB2312" w:eastAsia="仿宋_GB2312" w:cs="仿宋_GB2312"/>
          <w:spacing w:val="15"/>
          <w:sz w:val="32"/>
          <w:szCs w:val="32"/>
        </w:rPr>
        <w:t>服</w:t>
      </w:r>
      <w:r>
        <w:rPr>
          <w:rFonts w:hint="eastAsia" w:ascii="仿宋_GB2312" w:hAnsi="仿宋_GB2312" w:eastAsia="仿宋_GB2312" w:cs="仿宋_GB2312"/>
          <w:spacing w:val="9"/>
          <w:sz w:val="32"/>
          <w:szCs w:val="32"/>
        </w:rPr>
        <w:t>务中心，发展农村电子商务，搭建农村生产生活资料供应平</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台</w:t>
      </w:r>
      <w:r>
        <w:rPr>
          <w:rFonts w:hint="eastAsia" w:ascii="仿宋_GB2312" w:hAnsi="仿宋_GB2312" w:eastAsia="仿宋_GB2312" w:cs="仿宋_GB2312"/>
          <w:spacing w:val="15"/>
          <w:sz w:val="32"/>
          <w:szCs w:val="32"/>
        </w:rPr>
        <w:t>、</w:t>
      </w:r>
      <w:r>
        <w:rPr>
          <w:rFonts w:hint="eastAsia" w:ascii="仿宋_GB2312" w:hAnsi="仿宋_GB2312" w:eastAsia="仿宋_GB2312" w:cs="仿宋_GB2312"/>
          <w:spacing w:val="9"/>
          <w:sz w:val="32"/>
          <w:szCs w:val="32"/>
        </w:rPr>
        <w:t>经营性服务和公益性服务的公共平台，参与和推进农村和谐</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社</w:t>
      </w:r>
      <w:r>
        <w:rPr>
          <w:rFonts w:hint="eastAsia" w:ascii="仿宋_GB2312" w:hAnsi="仿宋_GB2312" w:eastAsia="仿宋_GB2312" w:cs="仿宋_GB2312"/>
          <w:spacing w:val="15"/>
          <w:sz w:val="32"/>
          <w:szCs w:val="32"/>
        </w:rPr>
        <w:t>区</w:t>
      </w:r>
      <w:r>
        <w:rPr>
          <w:rFonts w:hint="eastAsia" w:ascii="仿宋_GB2312" w:hAnsi="仿宋_GB2312" w:eastAsia="仿宋_GB2312" w:cs="仿宋_GB2312"/>
          <w:spacing w:val="9"/>
          <w:sz w:val="32"/>
          <w:szCs w:val="32"/>
        </w:rPr>
        <w:t>建设。发挥农业生产资料供应主渠道作用，建立完善农业生</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8"/>
          <w:sz w:val="32"/>
          <w:szCs w:val="32"/>
        </w:rPr>
        <w:t>产</w:t>
      </w:r>
      <w:r>
        <w:rPr>
          <w:rFonts w:hint="eastAsia" w:ascii="仿宋_GB2312" w:hAnsi="仿宋_GB2312" w:eastAsia="仿宋_GB2312" w:cs="仿宋_GB2312"/>
          <w:spacing w:val="15"/>
          <w:sz w:val="32"/>
          <w:szCs w:val="32"/>
        </w:rPr>
        <w:t>资</w:t>
      </w:r>
      <w:r>
        <w:rPr>
          <w:rFonts w:hint="eastAsia" w:ascii="仿宋_GB2312" w:hAnsi="仿宋_GB2312" w:eastAsia="仿宋_GB2312" w:cs="仿宋_GB2312"/>
          <w:spacing w:val="9"/>
          <w:sz w:val="32"/>
          <w:szCs w:val="32"/>
        </w:rPr>
        <w:t>料储备制度，保障农业生产资料供应，稳定农业生产资料价</w:t>
      </w:r>
      <w:r>
        <w:rPr>
          <w:rFonts w:hint="eastAsia" w:ascii="仿宋_GB2312" w:hAnsi="仿宋_GB2312" w:eastAsia="仿宋_GB2312" w:cs="仿宋_GB2312"/>
          <w:spacing w:val="-2"/>
          <w:sz w:val="32"/>
          <w:szCs w:val="32"/>
        </w:rPr>
        <w:t>格</w:t>
      </w:r>
      <w:r>
        <w:rPr>
          <w:rFonts w:hint="eastAsia" w:ascii="仿宋_GB2312" w:hAnsi="仿宋_GB2312" w:eastAsia="仿宋_GB2312" w:cs="仿宋_GB2312"/>
          <w:spacing w:val="-1"/>
          <w:sz w:val="32"/>
          <w:szCs w:val="32"/>
        </w:rPr>
        <w:t>。</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 w:eastAsia="仿宋_GB2312" w:cs="Times New Roman"/>
          <w:kern w:val="2"/>
          <w:sz w:val="32"/>
          <w:szCs w:val="32"/>
          <w:shd w:val="clear" w:color="auto" w:fill="auto"/>
          <w:lang w:val="en-US" w:eastAsia="zh-CN"/>
        </w:rPr>
        <w:t>7.严格按照预算安排各项支出，无超范围，超额度支出。本年度内，按时序进度安排各项支出。</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无特定目标类项目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(1)信息公开。部门整体绩效自评情况和自行组织的评价情况均按财政要求及时将向社会公开。</w:t>
      </w:r>
    </w:p>
    <w:p>
      <w:pPr>
        <w:keepNext w:val="0"/>
        <w:keepLines w:val="0"/>
        <w:pageBreakBefore w:val="0"/>
        <w:widowControl/>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(2)自评质量。我单位严格按照预算管理和支付时效要求，执行进度100%，整体绩效</w:t>
      </w:r>
      <w:r>
        <w:rPr>
          <w:rFonts w:hint="eastAsia" w:ascii="仿宋" w:hAnsi="仿宋" w:eastAsia="仿宋" w:cs="Times New Roman"/>
          <w:color w:val="auto"/>
          <w:sz w:val="32"/>
          <w:szCs w:val="32"/>
          <w:lang w:val="zh-CN" w:eastAsia="zh-CN"/>
        </w:rPr>
        <w:t>自评</w:t>
      </w:r>
      <w:r>
        <w:rPr>
          <w:rFonts w:hint="eastAsia" w:ascii="仿宋" w:hAnsi="仿宋" w:eastAsia="仿宋" w:cs="Times New Roman"/>
          <w:color w:val="auto"/>
          <w:sz w:val="32"/>
          <w:szCs w:val="32"/>
          <w:lang w:val="en-US" w:eastAsia="zh-CN"/>
        </w:rPr>
        <w:t>得分为100分。</w:t>
      </w:r>
    </w:p>
    <w:p>
      <w:pPr>
        <w:keepNext w:val="0"/>
        <w:keepLines w:val="0"/>
        <w:pageBreakBefore w:val="0"/>
        <w:widowControl/>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(3)整改反馈。</w:t>
      </w:r>
      <w:r>
        <w:rPr>
          <w:rFonts w:hint="eastAsia" w:ascii="仿宋" w:hAnsi="仿宋" w:eastAsia="仿宋" w:cs="Times New Roman"/>
          <w:color w:val="auto"/>
          <w:sz w:val="32"/>
          <w:szCs w:val="32"/>
          <w:lang w:val="zh-CN" w:eastAsia="zh-CN"/>
        </w:rPr>
        <w:t>评价结果整改和应用结果反馈</w:t>
      </w:r>
      <w:r>
        <w:rPr>
          <w:rFonts w:hint="eastAsia" w:ascii="仿宋" w:hAnsi="仿宋" w:eastAsia="仿宋" w:cs="Times New Roman"/>
          <w:color w:val="auto"/>
          <w:sz w:val="32"/>
          <w:szCs w:val="32"/>
          <w:lang w:val="en-US" w:eastAsia="zh-CN"/>
        </w:rPr>
        <w:t>结合实际进行应用</w:t>
      </w:r>
      <w:r>
        <w:rPr>
          <w:rFonts w:hint="eastAsia" w:ascii="仿宋" w:hAnsi="仿宋" w:eastAsia="仿宋" w:cs="Times New Roman"/>
          <w:color w:val="auto"/>
          <w:sz w:val="32"/>
          <w:szCs w:val="32"/>
          <w:lang w:val="zh-CN" w:eastAsia="zh-CN"/>
        </w:rPr>
        <w:t>。</w:t>
      </w:r>
    </w:p>
    <w:p>
      <w:pPr>
        <w:keepNext w:val="0"/>
        <w:keepLines w:val="0"/>
        <w:pageBreakBefore w:val="0"/>
        <w:widowControl/>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lang w:val="zh-CN"/>
        </w:rPr>
      </w:pPr>
      <w:r>
        <w:rPr>
          <w:rFonts w:hint="eastAsia" w:ascii="仿宋" w:hAnsi="仿宋" w:eastAsia="仿宋" w:cs="Times New Roman"/>
          <w:color w:val="auto"/>
          <w:kern w:val="2"/>
          <w:sz w:val="32"/>
          <w:szCs w:val="32"/>
          <w:lang w:val="zh-CN" w:eastAsia="zh-CN" w:bidi="ar-SA"/>
        </w:rPr>
        <w:t>根据《峨边彝族自治县财政局 关于开展20</w:t>
      </w:r>
      <w:r>
        <w:rPr>
          <w:rFonts w:hint="eastAsia" w:ascii="仿宋" w:hAnsi="仿宋" w:eastAsia="仿宋" w:cs="Times New Roman"/>
          <w:color w:val="auto"/>
          <w:kern w:val="2"/>
          <w:sz w:val="32"/>
          <w:szCs w:val="32"/>
          <w:lang w:val="en-US" w:eastAsia="zh-CN" w:bidi="ar-SA"/>
        </w:rPr>
        <w:t>22</w:t>
      </w:r>
      <w:r>
        <w:rPr>
          <w:rFonts w:hint="eastAsia" w:ascii="仿宋" w:hAnsi="仿宋" w:eastAsia="仿宋" w:cs="Times New Roman"/>
          <w:color w:val="auto"/>
          <w:kern w:val="2"/>
          <w:sz w:val="32"/>
          <w:szCs w:val="32"/>
          <w:lang w:val="zh-CN" w:eastAsia="zh-CN" w:bidi="ar-SA"/>
        </w:rPr>
        <w:t>年</w:t>
      </w:r>
      <w:r>
        <w:rPr>
          <w:rFonts w:hint="eastAsia" w:ascii="仿宋" w:hAnsi="仿宋" w:eastAsia="仿宋" w:cs="Times New Roman"/>
          <w:color w:val="auto"/>
          <w:kern w:val="2"/>
          <w:sz w:val="32"/>
          <w:szCs w:val="32"/>
          <w:lang w:val="en-US" w:eastAsia="zh-CN" w:bidi="ar-SA"/>
        </w:rPr>
        <w:t>度部门整体、项目支出预算绩效评价</w:t>
      </w:r>
      <w:r>
        <w:rPr>
          <w:rFonts w:hint="eastAsia" w:ascii="仿宋" w:hAnsi="仿宋" w:eastAsia="仿宋" w:cs="Times New Roman"/>
          <w:color w:val="auto"/>
          <w:kern w:val="2"/>
          <w:sz w:val="32"/>
          <w:szCs w:val="32"/>
          <w:lang w:val="zh-CN" w:eastAsia="zh-CN" w:bidi="ar-SA"/>
        </w:rPr>
        <w:t>工作的通知》文件精神，</w:t>
      </w:r>
      <w:r>
        <w:rPr>
          <w:rFonts w:hint="eastAsia" w:ascii="仿宋" w:hAnsi="仿宋" w:eastAsia="仿宋" w:cs="Times New Roman"/>
          <w:color w:val="auto"/>
          <w:kern w:val="2"/>
          <w:sz w:val="32"/>
          <w:szCs w:val="32"/>
          <w:lang w:val="en-US" w:eastAsia="zh-CN" w:bidi="ar-SA"/>
        </w:rPr>
        <w:t>我单位认真组织开展了部门整体绩效自评工作，绩效评价</w:t>
      </w:r>
      <w:r>
        <w:rPr>
          <w:rFonts w:hint="eastAsia" w:ascii="仿宋" w:hAnsi="仿宋" w:eastAsia="仿宋" w:cs="Times New Roman"/>
          <w:color w:val="auto"/>
          <w:kern w:val="2"/>
          <w:sz w:val="32"/>
          <w:szCs w:val="32"/>
          <w:lang w:val="zh-CN" w:eastAsia="zh-CN" w:bidi="ar-SA"/>
        </w:rPr>
        <w:t>得分：</w:t>
      </w:r>
      <w:r>
        <w:rPr>
          <w:rFonts w:hint="eastAsia" w:ascii="仿宋" w:hAnsi="仿宋" w:eastAsia="仿宋" w:cs="Times New Roman"/>
          <w:color w:val="auto"/>
          <w:kern w:val="2"/>
          <w:sz w:val="32"/>
          <w:szCs w:val="32"/>
          <w:lang w:val="en-US" w:eastAsia="zh-CN" w:bidi="ar-SA"/>
        </w:rPr>
        <w:t>100</w:t>
      </w:r>
      <w:r>
        <w:rPr>
          <w:rFonts w:hint="eastAsia" w:ascii="仿宋" w:hAnsi="仿宋" w:eastAsia="仿宋" w:cs="Times New Roman"/>
          <w:color w:val="auto"/>
          <w:kern w:val="2"/>
          <w:sz w:val="32"/>
          <w:szCs w:val="32"/>
          <w:lang w:val="zh-CN" w:eastAsia="zh-CN" w:bidi="ar-SA"/>
        </w:rPr>
        <w:t>分。</w:t>
      </w:r>
    </w:p>
    <w:p>
      <w:pPr>
        <w:keepNext w:val="0"/>
        <w:keepLines w:val="0"/>
        <w:pageBreakBefore w:val="0"/>
        <w:widowControl/>
        <w:numPr>
          <w:ilvl w:val="0"/>
          <w:numId w:val="4"/>
        </w:numPr>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pStyle w:val="2"/>
        <w:keepNext w:val="0"/>
        <w:keepLines w:val="0"/>
        <w:pageBreakBefore w:val="0"/>
        <w:numPr>
          <w:numId w:val="0"/>
        </w:numPr>
        <w:kinsoku/>
        <w:wordWrap/>
        <w:overflowPunct/>
        <w:topLinePunct w:val="0"/>
        <w:autoSpaceDE/>
        <w:autoSpaceDN/>
        <w:bidi w:val="0"/>
        <w:spacing w:beforeAutospacing="0"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numPr>
          <w:ilvl w:val="0"/>
          <w:numId w:val="4"/>
        </w:numPr>
        <w:kinsoku/>
        <w:wordWrap/>
        <w:overflowPunct/>
        <w:topLinePunct w:val="0"/>
        <w:autoSpaceDE/>
        <w:autoSpaceDN/>
        <w:bidi w:val="0"/>
        <w:adjustRightInd w:val="0"/>
        <w:snapToGrid w:val="0"/>
        <w:spacing w:beforeAutospacing="0" w:line="600" w:lineRule="exact"/>
        <w:ind w:left="0" w:leftChars="0"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pStyle w:val="2"/>
        <w:keepNext w:val="0"/>
        <w:keepLines w:val="0"/>
        <w:pageBreakBefore w:val="0"/>
        <w:numPr>
          <w:numId w:val="0"/>
        </w:numPr>
        <w:kinsoku/>
        <w:wordWrap/>
        <w:overflowPunct/>
        <w:topLinePunct w:val="0"/>
        <w:autoSpaceDE/>
        <w:autoSpaceDN/>
        <w:bidi w:val="0"/>
        <w:spacing w:beforeAutospacing="0" w:line="600" w:lineRule="exact"/>
        <w:ind w:left="0" w:leftChars="0" w:firstLine="640" w:firstLineChars="200"/>
        <w:textAlignment w:val="auto"/>
        <w:rPr>
          <w:rFonts w:hint="eastAsia" w:ascii="仿宋_GB2312" w:hAnsi="仿宋_GB2312" w:eastAsia="仿宋_GB2312" w:cs="仿宋_GB2312"/>
          <w:sz w:val="32"/>
          <w:szCs w:val="32"/>
          <w:lang w:val="zh-CN"/>
        </w:rPr>
      </w:pPr>
      <w:bookmarkStart w:id="0" w:name="_GoBack"/>
      <w:bookmarkEnd w:id="0"/>
      <w:r>
        <w:rPr>
          <w:rFonts w:hint="eastAsia" w:ascii="仿宋_GB2312" w:hAnsi="仿宋_GB2312" w:eastAsia="仿宋_GB2312" w:cs="仿宋_GB2312"/>
          <w:sz w:val="32"/>
          <w:szCs w:val="32"/>
          <w:lang w:val="en-US" w:eastAsia="zh-CN"/>
        </w:rPr>
        <w:t>无</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CB775"/>
    <w:multiLevelType w:val="singleLevel"/>
    <w:tmpl w:val="944CB775"/>
    <w:lvl w:ilvl="0" w:tentative="0">
      <w:start w:val="2"/>
      <w:numFmt w:val="chineseCounting"/>
      <w:suff w:val="nothing"/>
      <w:lvlText w:val="（%1）"/>
      <w:lvlJc w:val="left"/>
      <w:rPr>
        <w:rFonts w:hint="eastAsia"/>
      </w:rPr>
    </w:lvl>
  </w:abstractNum>
  <w:abstractNum w:abstractNumId="1">
    <w:nsid w:val="B03A4092"/>
    <w:multiLevelType w:val="singleLevel"/>
    <w:tmpl w:val="B03A4092"/>
    <w:lvl w:ilvl="0" w:tentative="0">
      <w:start w:val="2"/>
      <w:numFmt w:val="chineseCounting"/>
      <w:suff w:val="nothing"/>
      <w:lvlText w:val="（%1）"/>
      <w:lvlJc w:val="left"/>
      <w:rPr>
        <w:rFonts w:hint="eastAsia"/>
      </w:rPr>
    </w:lvl>
  </w:abstractNum>
  <w:abstractNum w:abstractNumId="2">
    <w:nsid w:val="CBC1D4E8"/>
    <w:multiLevelType w:val="singleLevel"/>
    <w:tmpl w:val="CBC1D4E8"/>
    <w:lvl w:ilvl="0" w:tentative="0">
      <w:start w:val="2"/>
      <w:numFmt w:val="chineseCounting"/>
      <w:suff w:val="nothing"/>
      <w:lvlText w:val="（%1）"/>
      <w:lvlJc w:val="left"/>
      <w:rPr>
        <w:rFonts w:hint="eastAsia"/>
      </w:rPr>
    </w:lvl>
  </w:abstractNum>
  <w:abstractNum w:abstractNumId="3">
    <w:nsid w:val="F50CA406"/>
    <w:multiLevelType w:val="singleLevel"/>
    <w:tmpl w:val="F50CA406"/>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0YzMxNDI0NWI0Yzc4OTNjYjgyMzQ4ZGZiMmQ5NzQ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A9C2D61"/>
    <w:rsid w:val="108C5BDD"/>
    <w:rsid w:val="11335637"/>
    <w:rsid w:val="18D17537"/>
    <w:rsid w:val="19927F78"/>
    <w:rsid w:val="21AE59D8"/>
    <w:rsid w:val="286F56EA"/>
    <w:rsid w:val="2B2B6F28"/>
    <w:rsid w:val="2D527252"/>
    <w:rsid w:val="329102D6"/>
    <w:rsid w:val="3A9520B3"/>
    <w:rsid w:val="3DE562B7"/>
    <w:rsid w:val="3E647289"/>
    <w:rsid w:val="3E6507EA"/>
    <w:rsid w:val="47550EBA"/>
    <w:rsid w:val="50180974"/>
    <w:rsid w:val="50BB3388"/>
    <w:rsid w:val="60BE355F"/>
    <w:rsid w:val="6636451A"/>
    <w:rsid w:val="6BE94116"/>
    <w:rsid w:val="74CB153F"/>
    <w:rsid w:val="751050F0"/>
    <w:rsid w:val="78916378"/>
    <w:rsid w:val="79AE312C"/>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0" w:semiHidden="0"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next w:val="1"/>
    <w:qFormat/>
    <w:locked/>
    <w:uiPriority w:val="0"/>
    <w:pPr>
      <w:widowControl w:val="0"/>
      <w:spacing w:beforeAutospacing="1" w:line="480" w:lineRule="auto"/>
      <w:ind w:left="420" w:leftChars="200"/>
      <w:jc w:val="both"/>
    </w:pPr>
    <w:rPr>
      <w:rFonts w:ascii="Calibri" w:hAnsi="Calibri" w:eastAsia="宋体" w:cs="Times New Roman"/>
      <w:kern w:val="2"/>
      <w:sz w:val="21"/>
      <w:szCs w:val="24"/>
      <w:lang w:val="en-US" w:eastAsia="zh-CN" w:bidi="ar-SA"/>
    </w:rPr>
  </w:style>
  <w:style w:type="paragraph" w:styleId="3">
    <w:name w:val="Document Map"/>
    <w:basedOn w:val="1"/>
    <w:link w:val="12"/>
    <w:qFormat/>
    <w:uiPriority w:val="99"/>
    <w:rPr>
      <w:rFonts w:ascii="宋体"/>
      <w:sz w:val="18"/>
      <w:szCs w:val="18"/>
    </w:rPr>
  </w:style>
  <w:style w:type="paragraph" w:styleId="4">
    <w:name w:val="Body Text"/>
    <w:basedOn w:val="1"/>
    <w:qFormat/>
    <w:locked/>
    <w:uiPriority w:val="0"/>
    <w:pPr>
      <w:spacing w:beforeLines="30"/>
    </w:pPr>
    <w:rPr>
      <w:rFonts w:ascii="仿宋_GB2312"/>
      <w:kern w:val="0"/>
      <w:sz w:val="30"/>
    </w:rPr>
  </w:style>
  <w:style w:type="paragraph" w:styleId="5">
    <w:name w:val="Balloon Text"/>
    <w:basedOn w:val="1"/>
    <w:link w:val="13"/>
    <w:semiHidden/>
    <w:qFormat/>
    <w:uiPriority w:val="99"/>
    <w:rPr>
      <w:sz w:val="18"/>
      <w:szCs w:val="18"/>
    </w:rPr>
  </w:style>
  <w:style w:type="paragraph" w:styleId="6">
    <w:name w:val="footer"/>
    <w:basedOn w:val="1"/>
    <w:next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6"/>
    <w:qFormat/>
    <w:locked/>
    <w:uiPriority w:val="99"/>
    <w:rPr>
      <w:rFonts w:cs="Times New Roman"/>
      <w:kern w:val="2"/>
      <w:sz w:val="18"/>
      <w:szCs w:val="18"/>
    </w:rPr>
  </w:style>
  <w:style w:type="character" w:customStyle="1" w:styleId="15">
    <w:name w:val="页眉 Char"/>
    <w:link w:val="7"/>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1847</Words>
  <Characters>1931</Characters>
  <Lines>3</Lines>
  <Paragraphs>1</Paragraphs>
  <TotalTime>1</TotalTime>
  <ScaleCrop>false</ScaleCrop>
  <LinksUpToDate>false</LinksUpToDate>
  <CharactersWithSpaces>1970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末路小狂花。</cp:lastModifiedBy>
  <cp:lastPrinted>2022-03-15T02:17:00Z</cp:lastPrinted>
  <dcterms:modified xsi:type="dcterms:W3CDTF">2023-07-11T09:35:59Z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8A89AD7754AD4F9EB2BBEC87EC7AFFE2_13</vt:lpwstr>
  </property>
</Properties>
</file>