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497" w:beforeLines="800"/>
        <w:jc w:val="center"/>
        <w:textAlignment w:val="auto"/>
        <w:rPr>
          <w:rFonts w:hint="eastAsia"/>
          <w:b/>
          <w:bCs/>
          <w:color w:val="auto"/>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61" w:beforeLines="500"/>
        <w:jc w:val="center"/>
        <w:textAlignment w:val="auto"/>
        <w:rPr>
          <w:rFonts w:hint="eastAsia"/>
          <w:b/>
          <w:bCs/>
          <w:color w:val="auto"/>
          <w:sz w:val="52"/>
          <w:szCs w:val="52"/>
          <w:highlight w:val="none"/>
          <w:lang w:val="en-US" w:eastAsia="zh-CN"/>
        </w:rPr>
      </w:pPr>
      <w:r>
        <w:rPr>
          <w:rFonts w:hint="eastAsia"/>
          <w:b/>
          <w:bCs/>
          <w:color w:val="auto"/>
          <w:sz w:val="52"/>
          <w:szCs w:val="52"/>
          <w:highlight w:val="none"/>
          <w:lang w:val="en-US" w:eastAsia="zh-CN"/>
        </w:rPr>
        <w:t>峨边彝族自治县综合行政执法局2024年部门预算</w:t>
      </w:r>
    </w:p>
    <w:p>
      <w:pPr>
        <w:jc w:val="center"/>
        <w:rPr>
          <w:rFonts w:hint="eastAsia"/>
          <w:b/>
          <w:bCs/>
          <w:color w:val="auto"/>
          <w:sz w:val="52"/>
          <w:szCs w:val="52"/>
          <w:highlight w:val="none"/>
          <w:lang w:val="en-US" w:eastAsia="zh-CN"/>
        </w:rPr>
      </w:pPr>
    </w:p>
    <w:p>
      <w:pPr>
        <w:jc w:val="both"/>
        <w:rPr>
          <w:rFonts w:hint="default"/>
          <w:b/>
          <w:bCs/>
          <w:color w:val="auto"/>
          <w:sz w:val="52"/>
          <w:szCs w:val="52"/>
          <w:highlight w:val="none"/>
          <w:lang w:val="en-US" w:eastAsia="zh-CN"/>
        </w:rPr>
      </w:pPr>
    </w:p>
    <w:p>
      <w:pPr>
        <w:jc w:val="both"/>
        <w:rPr>
          <w:rFonts w:hint="default"/>
          <w:b/>
          <w:bCs/>
          <w:color w:val="auto"/>
          <w:sz w:val="52"/>
          <w:szCs w:val="52"/>
          <w:highlight w:val="none"/>
          <w:lang w:val="en-US" w:eastAsia="zh-CN"/>
        </w:rPr>
      </w:pPr>
    </w:p>
    <w:p>
      <w:pPr>
        <w:jc w:val="both"/>
        <w:rPr>
          <w:rFonts w:hint="default"/>
          <w:b/>
          <w:bCs/>
          <w:color w:val="auto"/>
          <w:sz w:val="52"/>
          <w:szCs w:val="52"/>
          <w:highlight w:val="none"/>
          <w:lang w:val="en-US" w:eastAsia="zh-CN"/>
        </w:rPr>
      </w:pPr>
    </w:p>
    <w:p>
      <w:pPr>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单位（签章）：</w:t>
      </w:r>
      <w:r>
        <w:rPr>
          <w:rFonts w:hint="eastAsia"/>
          <w:b/>
          <w:bCs/>
          <w:color w:val="auto"/>
          <w:sz w:val="32"/>
          <w:szCs w:val="32"/>
          <w:highlight w:val="none"/>
          <w:u w:val="thick"/>
          <w:lang w:val="en-US" w:eastAsia="zh-CN"/>
        </w:rPr>
        <w:t>峨边彝族自治县综合行政执法局</w:t>
      </w:r>
    </w:p>
    <w:p>
      <w:pPr>
        <w:jc w:val="center"/>
        <w:rPr>
          <w:rFonts w:hint="default"/>
          <w:b/>
          <w:bCs/>
          <w:color w:val="auto"/>
          <w:sz w:val="32"/>
          <w:szCs w:val="32"/>
          <w:highlight w:val="none"/>
          <w:lang w:val="en-US" w:eastAsia="zh-CN"/>
        </w:rPr>
      </w:pPr>
    </w:p>
    <w:p>
      <w:pPr>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2024年3月7日</w:t>
      </w:r>
    </w:p>
    <w:p>
      <w:pPr>
        <w:jc w:val="both"/>
        <w:rPr>
          <w:rFonts w:hint="eastAsia"/>
          <w:b/>
          <w:bCs/>
          <w:color w:val="auto"/>
          <w:sz w:val="32"/>
          <w:szCs w:val="32"/>
          <w:highlight w:val="none"/>
          <w:lang w:val="en-US" w:eastAsia="zh-CN"/>
        </w:rPr>
      </w:pPr>
    </w:p>
    <w:p>
      <w:pPr>
        <w:jc w:val="center"/>
        <w:rPr>
          <w:rFonts w:hint="eastAsia"/>
          <w:b/>
          <w:bCs/>
          <w:color w:val="auto"/>
          <w:sz w:val="32"/>
          <w:szCs w:val="32"/>
          <w:highlight w:val="none"/>
          <w:lang w:val="en-US" w:eastAsia="zh-CN"/>
        </w:rPr>
      </w:pPr>
    </w:p>
    <w:p>
      <w:pPr>
        <w:jc w:val="center"/>
        <w:rPr>
          <w:rFonts w:hint="default"/>
          <w:b/>
          <w:bCs/>
          <w:color w:val="auto"/>
          <w:sz w:val="32"/>
          <w:szCs w:val="32"/>
          <w:highlight w:val="none"/>
          <w:lang w:val="en-US" w:eastAsia="zh-CN"/>
        </w:rPr>
      </w:pPr>
      <w:r>
        <w:rPr>
          <w:rFonts w:hint="default"/>
          <w:b/>
          <w:bCs/>
          <w:color w:val="auto"/>
          <w:sz w:val="32"/>
          <w:szCs w:val="32"/>
          <w:highlight w:val="none"/>
          <w:lang w:val="en-US" w:eastAsia="zh-CN"/>
        </w:rPr>
        <w:t>目</w:t>
      </w:r>
      <w:r>
        <w:rPr>
          <w:rFonts w:hint="eastAsia"/>
          <w:b/>
          <w:bCs/>
          <w:color w:val="auto"/>
          <w:sz w:val="32"/>
          <w:szCs w:val="32"/>
          <w:highlight w:val="none"/>
          <w:lang w:val="en-US" w:eastAsia="zh-CN"/>
        </w:rPr>
        <w:t xml:space="preserve"> </w:t>
      </w:r>
      <w:r>
        <w:rPr>
          <w:rFonts w:hint="default"/>
          <w:b/>
          <w:bCs/>
          <w:color w:val="auto"/>
          <w:sz w:val="32"/>
          <w:szCs w:val="32"/>
          <w:highlight w:val="none"/>
          <w:lang w:val="en-US" w:eastAsia="zh-CN"/>
        </w:rPr>
        <w:t>录</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 xml:space="preserve">第一部分 </w:t>
      </w:r>
      <w:r>
        <w:rPr>
          <w:rFonts w:hint="eastAsia"/>
          <w:b w:val="0"/>
          <w:bCs w:val="0"/>
          <w:color w:val="auto"/>
          <w:sz w:val="32"/>
          <w:szCs w:val="32"/>
          <w:highlight w:val="none"/>
          <w:lang w:val="en-US" w:eastAsia="zh-CN"/>
        </w:rPr>
        <w:t>县综合行政执法局单位</w:t>
      </w:r>
      <w:r>
        <w:rPr>
          <w:rFonts w:hint="default"/>
          <w:b w:val="0"/>
          <w:bCs w:val="0"/>
          <w:color w:val="auto"/>
          <w:sz w:val="32"/>
          <w:szCs w:val="32"/>
          <w:highlight w:val="none"/>
          <w:lang w:val="en-US" w:eastAsia="zh-CN"/>
        </w:rPr>
        <w:t>概况</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一、基本职能及主要工作</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二、部门预算单位构成</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第二部分</w:t>
      </w:r>
      <w:r>
        <w:rPr>
          <w:rFonts w:hint="eastAsia"/>
          <w:b w:val="0"/>
          <w:bCs w:val="0"/>
          <w:color w:val="auto"/>
          <w:sz w:val="32"/>
          <w:szCs w:val="32"/>
          <w:highlight w:val="none"/>
          <w:lang w:val="en-US" w:eastAsia="zh-CN"/>
        </w:rPr>
        <w:t>县综合行政执法局2024</w:t>
      </w:r>
      <w:r>
        <w:rPr>
          <w:rFonts w:hint="default"/>
          <w:b w:val="0"/>
          <w:bCs w:val="0"/>
          <w:color w:val="auto"/>
          <w:sz w:val="32"/>
          <w:szCs w:val="32"/>
          <w:highlight w:val="none"/>
          <w:lang w:val="en-US" w:eastAsia="zh-CN"/>
        </w:rPr>
        <w:t>年部门预算表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一、部门收支总表</w:t>
      </w:r>
      <w:r>
        <w:rPr>
          <w:rFonts w:hint="eastAsia"/>
          <w:b w:val="0"/>
          <w:bCs w:val="0"/>
          <w:color w:val="auto"/>
          <w:sz w:val="32"/>
          <w:szCs w:val="32"/>
          <w:highlight w:val="none"/>
          <w:lang w:val="en-US" w:eastAsia="zh-CN"/>
        </w:rPr>
        <w:t xml:space="preserve"> </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二、部门收入总表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eastAsia"/>
          <w:b w:val="0"/>
          <w:bCs w:val="0"/>
          <w:color w:val="auto"/>
          <w:sz w:val="32"/>
          <w:szCs w:val="32"/>
          <w:highlight w:val="none"/>
          <w:lang w:val="en-US" w:eastAsia="zh-CN"/>
        </w:rPr>
      </w:pPr>
      <w:r>
        <w:rPr>
          <w:rFonts w:hint="default"/>
          <w:b w:val="0"/>
          <w:bCs w:val="0"/>
          <w:color w:val="auto"/>
          <w:sz w:val="32"/>
          <w:szCs w:val="32"/>
          <w:highlight w:val="none"/>
          <w:lang w:val="en-US" w:eastAsia="zh-CN"/>
        </w:rPr>
        <w:t>三、部门支出总表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四、财政拨款收支预算总表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五、财政拨款支出预算表（部门经济分类科目）</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六、一般公共预算支出预算表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七、一般公共预算基本支出预算表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eastAsia"/>
          <w:b w:val="0"/>
          <w:bCs w:val="0"/>
          <w:color w:val="auto"/>
          <w:sz w:val="32"/>
          <w:szCs w:val="32"/>
          <w:highlight w:val="none"/>
          <w:lang w:val="en-US" w:eastAsia="zh-CN"/>
        </w:rPr>
      </w:pPr>
      <w:r>
        <w:rPr>
          <w:rFonts w:hint="default"/>
          <w:b w:val="0"/>
          <w:bCs w:val="0"/>
          <w:color w:val="auto"/>
          <w:sz w:val="32"/>
          <w:szCs w:val="32"/>
          <w:highlight w:val="none"/>
          <w:lang w:val="en-US" w:eastAsia="zh-CN"/>
        </w:rPr>
        <w:t>八、一般公共预算项目支出预算表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九、一般公共预算“三公”经费支出预算表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十、政府性基金预算支出表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十一、政府性基金预算“三公”经费支出预算表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eastAsia"/>
          <w:b w:val="0"/>
          <w:bCs w:val="0"/>
          <w:color w:val="auto"/>
          <w:sz w:val="32"/>
          <w:szCs w:val="32"/>
          <w:highlight w:val="none"/>
          <w:lang w:val="en-US" w:eastAsia="zh-CN"/>
        </w:rPr>
      </w:pPr>
      <w:r>
        <w:rPr>
          <w:rFonts w:hint="default"/>
          <w:b w:val="0"/>
          <w:bCs w:val="0"/>
          <w:color w:val="auto"/>
          <w:sz w:val="32"/>
          <w:szCs w:val="32"/>
          <w:highlight w:val="none"/>
          <w:lang w:val="en-US" w:eastAsia="zh-CN"/>
        </w:rPr>
        <w:t>十二、国有资本经营预算支出表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十三、部门预算项目支出绩效目标表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十四、部门整体支出绩效目标表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eastAsia"/>
          <w:b w:val="0"/>
          <w:bCs w:val="0"/>
          <w:color w:val="auto"/>
          <w:sz w:val="32"/>
          <w:szCs w:val="32"/>
          <w:highlight w:val="none"/>
          <w:lang w:val="en-US" w:eastAsia="zh-CN"/>
        </w:rPr>
      </w:pPr>
      <w:r>
        <w:rPr>
          <w:rFonts w:hint="default"/>
          <w:b w:val="0"/>
          <w:bCs w:val="0"/>
          <w:color w:val="auto"/>
          <w:sz w:val="32"/>
          <w:szCs w:val="32"/>
          <w:highlight w:val="none"/>
          <w:lang w:val="en-US" w:eastAsia="zh-CN"/>
        </w:rPr>
        <w:t>十五、政府采购预算表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eastAsia"/>
          <w:b w:val="0"/>
          <w:bCs w:val="0"/>
          <w:color w:val="auto"/>
          <w:sz w:val="32"/>
          <w:szCs w:val="32"/>
          <w:highlight w:val="none"/>
          <w:lang w:val="en-US" w:eastAsia="zh-CN"/>
        </w:rPr>
      </w:pPr>
      <w:r>
        <w:rPr>
          <w:rFonts w:hint="default"/>
          <w:b w:val="0"/>
          <w:bCs w:val="0"/>
          <w:color w:val="auto"/>
          <w:sz w:val="32"/>
          <w:szCs w:val="32"/>
          <w:highlight w:val="none"/>
          <w:lang w:val="en-US" w:eastAsia="zh-CN"/>
        </w:rPr>
        <w:t xml:space="preserve">第三部分 </w:t>
      </w:r>
      <w:r>
        <w:rPr>
          <w:rFonts w:hint="eastAsia"/>
          <w:b w:val="0"/>
          <w:bCs w:val="0"/>
          <w:color w:val="auto"/>
          <w:sz w:val="32"/>
          <w:szCs w:val="32"/>
          <w:highlight w:val="none"/>
          <w:lang w:val="en-US" w:eastAsia="zh-CN"/>
        </w:rPr>
        <w:t>县综合行政执法局2024年</w:t>
      </w:r>
      <w:r>
        <w:rPr>
          <w:rFonts w:hint="default"/>
          <w:b w:val="0"/>
          <w:bCs w:val="0"/>
          <w:color w:val="auto"/>
          <w:sz w:val="32"/>
          <w:szCs w:val="32"/>
          <w:highlight w:val="none"/>
          <w:lang w:val="en-US" w:eastAsia="zh-CN"/>
        </w:rPr>
        <w:t>部门预算情况说明</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第四部分 名词解释</w:t>
      </w:r>
    </w:p>
    <w:p>
      <w:pPr>
        <w:keepNext w:val="0"/>
        <w:keepLines w:val="0"/>
        <w:pageBreakBefore w:val="0"/>
        <w:widowControl w:val="0"/>
        <w:tabs>
          <w:tab w:val="left" w:leader="dot" w:pos="8400"/>
        </w:tabs>
        <w:kinsoku/>
        <w:wordWrap/>
        <w:overflowPunct/>
        <w:topLinePunct w:val="0"/>
        <w:autoSpaceDE/>
        <w:autoSpaceDN/>
        <w:bidi w:val="0"/>
        <w:adjustRightInd/>
        <w:snapToGrid/>
        <w:jc w:val="center"/>
        <w:textAlignment w:val="auto"/>
        <w:rPr>
          <w:rFonts w:hint="default"/>
          <w:b/>
          <w:bCs/>
          <w:color w:val="auto"/>
          <w:sz w:val="52"/>
          <w:szCs w:val="52"/>
          <w:highlight w:val="none"/>
          <w:lang w:val="en-US" w:eastAsia="zh-CN"/>
        </w:rPr>
      </w:pPr>
    </w:p>
    <w:p>
      <w:pPr>
        <w:keepNext w:val="0"/>
        <w:keepLines w:val="0"/>
        <w:pageBreakBefore w:val="0"/>
        <w:widowControl w:val="0"/>
        <w:tabs>
          <w:tab w:val="left" w:leader="dot" w:pos="8400"/>
        </w:tabs>
        <w:kinsoku/>
        <w:wordWrap/>
        <w:overflowPunct/>
        <w:topLinePunct w:val="0"/>
        <w:autoSpaceDE/>
        <w:autoSpaceDN/>
        <w:bidi w:val="0"/>
        <w:adjustRightInd/>
        <w:snapToGrid/>
        <w:jc w:val="center"/>
        <w:textAlignment w:val="auto"/>
        <w:rPr>
          <w:rFonts w:hint="default"/>
          <w:b/>
          <w:bCs/>
          <w:color w:val="auto"/>
          <w:sz w:val="52"/>
          <w:szCs w:val="52"/>
          <w:highlight w:val="none"/>
          <w:lang w:val="en-US" w:eastAsia="zh-CN"/>
        </w:rPr>
      </w:pPr>
    </w:p>
    <w:p>
      <w:pPr>
        <w:keepNext w:val="0"/>
        <w:keepLines w:val="0"/>
        <w:pageBreakBefore w:val="0"/>
        <w:widowControl w:val="0"/>
        <w:tabs>
          <w:tab w:val="left" w:leader="dot" w:pos="8400"/>
        </w:tabs>
        <w:kinsoku/>
        <w:wordWrap/>
        <w:overflowPunct/>
        <w:topLinePunct w:val="0"/>
        <w:autoSpaceDE/>
        <w:autoSpaceDN/>
        <w:bidi w:val="0"/>
        <w:adjustRightInd/>
        <w:snapToGrid/>
        <w:jc w:val="center"/>
        <w:textAlignment w:val="auto"/>
        <w:rPr>
          <w:rFonts w:hint="default"/>
          <w:b/>
          <w:bCs/>
          <w:color w:val="auto"/>
          <w:sz w:val="52"/>
          <w:szCs w:val="52"/>
          <w:highlight w:val="none"/>
          <w:lang w:val="en-US" w:eastAsia="zh-CN"/>
        </w:rPr>
      </w:pPr>
    </w:p>
    <w:p>
      <w:pPr>
        <w:keepNext w:val="0"/>
        <w:keepLines w:val="0"/>
        <w:pageBreakBefore w:val="0"/>
        <w:widowControl w:val="0"/>
        <w:tabs>
          <w:tab w:val="left" w:leader="dot" w:pos="8400"/>
        </w:tabs>
        <w:kinsoku/>
        <w:wordWrap/>
        <w:overflowPunct/>
        <w:topLinePunct w:val="0"/>
        <w:autoSpaceDE/>
        <w:autoSpaceDN/>
        <w:bidi w:val="0"/>
        <w:adjustRightInd/>
        <w:snapToGrid/>
        <w:jc w:val="center"/>
        <w:textAlignment w:val="auto"/>
        <w:rPr>
          <w:rFonts w:hint="default"/>
          <w:b/>
          <w:bCs/>
          <w:color w:val="auto"/>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61" w:beforeLines="500"/>
        <w:jc w:val="center"/>
        <w:textAlignment w:val="auto"/>
        <w:rPr>
          <w:rFonts w:hint="eastAsia"/>
          <w:b/>
          <w:bCs/>
          <w:color w:val="auto"/>
          <w:sz w:val="52"/>
          <w:szCs w:val="52"/>
          <w:highlight w:val="none"/>
          <w:lang w:val="en-US" w:eastAsia="zh-CN"/>
        </w:rPr>
      </w:pPr>
      <w:r>
        <w:rPr>
          <w:rFonts w:hint="eastAsia"/>
          <w:b/>
          <w:bCs/>
          <w:color w:val="auto"/>
          <w:sz w:val="52"/>
          <w:szCs w:val="52"/>
          <w:highlight w:val="none"/>
          <w:lang w:val="en-US" w:eastAsia="zh-CN"/>
        </w:rPr>
        <w:t>第一部分 峨边彝族自治县综合行政执法局概况</w:t>
      </w:r>
    </w:p>
    <w:p>
      <w:pPr>
        <w:rPr>
          <w:rFonts w:hint="eastAsia" w:ascii="FZXiaoBiaoSong-B05S" w:hAnsi="FZXiaoBiaoSong-B05S" w:eastAsia="FZXiaoBiaoSong-B05S" w:cs="FZXiaoBiaoSong-B05S"/>
          <w:b/>
          <w:bCs/>
          <w:color w:val="auto"/>
          <w:sz w:val="44"/>
          <w:szCs w:val="44"/>
          <w:highlight w:val="none"/>
          <w:lang w:val="en-US" w:eastAsia="zh-CN"/>
        </w:rPr>
      </w:pPr>
      <w:r>
        <w:rPr>
          <w:rFonts w:hint="eastAsia" w:ascii="FZXiaoBiaoSong-B05S" w:hAnsi="FZXiaoBiaoSong-B05S" w:eastAsia="FZXiaoBiaoSong-B05S" w:cs="FZXiaoBiaoSong-B05S"/>
          <w:b/>
          <w:bCs/>
          <w:color w:val="auto"/>
          <w:sz w:val="44"/>
          <w:szCs w:val="44"/>
          <w:highlight w:val="none"/>
          <w:lang w:val="en-US" w:eastAsia="zh-CN"/>
        </w:rPr>
        <w:br w:type="page"/>
      </w:r>
    </w:p>
    <w:p>
      <w:pPr>
        <w:bidi w:val="0"/>
        <w:spacing w:line="600" w:lineRule="exact"/>
        <w:ind w:firstLine="640" w:firstLineChars="200"/>
        <w:jc w:val="left"/>
        <w:rPr>
          <w:rFonts w:hint="default" w:eastAsia="FangSong" w:asciiTheme="minorAscii" w:hAnsiTheme="minorAscii"/>
          <w:sz w:val="32"/>
          <w:lang w:val="en-US" w:eastAsia="zh-CN"/>
        </w:rPr>
      </w:pPr>
      <w:r>
        <w:rPr>
          <w:rFonts w:hint="default" w:eastAsia="FangSong" w:asciiTheme="minorAscii" w:hAnsiTheme="minorAscii"/>
          <w:sz w:val="32"/>
          <w:lang w:val="en-US" w:eastAsia="zh-CN"/>
        </w:rPr>
        <w:t>一、基本职能及主要工作</w:t>
      </w:r>
    </w:p>
    <w:p>
      <w:pPr>
        <w:bidi w:val="0"/>
        <w:spacing w:line="600" w:lineRule="exact"/>
        <w:ind w:firstLine="640" w:firstLineChars="200"/>
        <w:jc w:val="left"/>
        <w:rPr>
          <w:rFonts w:hint="eastAsia" w:eastAsia="FangSong" w:asciiTheme="minorAscii" w:hAnsiTheme="minorAscii"/>
          <w:sz w:val="32"/>
          <w:lang w:eastAsia="zh-CN"/>
        </w:rPr>
      </w:pPr>
      <w:r>
        <w:rPr>
          <w:rFonts w:hint="eastAsia" w:eastAsia="FangSong" w:asciiTheme="minorAscii" w:hAnsiTheme="minorAscii"/>
          <w:sz w:val="32"/>
          <w:lang w:eastAsia="zh-CN"/>
        </w:rPr>
        <w:t>（一）职能简介：1、负责城市园林绿化、环境卫生、市容市貌和市政设施维护等工作。</w:t>
      </w:r>
    </w:p>
    <w:p>
      <w:pPr>
        <w:bidi w:val="0"/>
        <w:spacing w:line="600" w:lineRule="exact"/>
        <w:ind w:firstLine="640" w:firstLineChars="200"/>
        <w:jc w:val="left"/>
        <w:rPr>
          <w:rFonts w:hint="eastAsia" w:eastAsia="FangSong" w:asciiTheme="minorAscii" w:hAnsiTheme="minorAscii"/>
          <w:sz w:val="32"/>
          <w:lang w:eastAsia="zh-CN"/>
        </w:rPr>
      </w:pPr>
      <w:r>
        <w:rPr>
          <w:rFonts w:hint="eastAsia" w:eastAsia="FangSong" w:asciiTheme="minorAscii" w:hAnsiTheme="minorAscii"/>
          <w:sz w:val="32"/>
          <w:lang w:eastAsia="zh-CN"/>
        </w:rPr>
        <w:t>2、负责建立健全城市综合管理方面的规章制度。制定城市管理办法，经批准后组织实施。</w:t>
      </w:r>
    </w:p>
    <w:p>
      <w:pPr>
        <w:bidi w:val="0"/>
        <w:spacing w:line="600" w:lineRule="exact"/>
        <w:ind w:firstLine="640" w:firstLineChars="200"/>
        <w:jc w:val="left"/>
        <w:rPr>
          <w:rFonts w:hint="eastAsia" w:eastAsia="FangSong" w:asciiTheme="minorAscii" w:hAnsiTheme="minorAscii"/>
          <w:sz w:val="32"/>
          <w:lang w:eastAsia="zh-CN"/>
        </w:rPr>
      </w:pPr>
      <w:r>
        <w:rPr>
          <w:rFonts w:hint="eastAsia" w:eastAsia="FangSong" w:asciiTheme="minorAscii" w:hAnsiTheme="minorAscii"/>
          <w:sz w:val="32"/>
          <w:lang w:eastAsia="zh-CN"/>
        </w:rPr>
        <w:t xml:space="preserve">3、负责市容环境卫生管理工作，组织实施对城市建成区街道、人行道、旅游干道、园林绿化带的清扫保洁；负责市容环境卫生的监察工作；负责城市生活垃圾清运及无害化处理；负责城区市容环境卫生公共设施的规划、建设、维护和管理；负责城区建筑物容貌的管理工作。主管城区的渣土处置运输及建设工程、装饰工程、旧房拆迁工程的卫生监督管理工作；负责督导门前三包工作。    </w:t>
      </w:r>
    </w:p>
    <w:p>
      <w:pPr>
        <w:bidi w:val="0"/>
        <w:spacing w:line="600" w:lineRule="exact"/>
        <w:ind w:firstLine="640" w:firstLineChars="200"/>
        <w:jc w:val="left"/>
        <w:rPr>
          <w:rFonts w:hint="eastAsia" w:eastAsia="FangSong" w:asciiTheme="minorAscii" w:hAnsiTheme="minorAscii"/>
          <w:sz w:val="32"/>
          <w:lang w:eastAsia="zh-CN"/>
        </w:rPr>
      </w:pPr>
      <w:r>
        <w:rPr>
          <w:rFonts w:hint="eastAsia" w:eastAsia="FangSong" w:asciiTheme="minorAscii" w:hAnsiTheme="minorAscii"/>
          <w:sz w:val="32"/>
          <w:lang w:eastAsia="zh-CN"/>
        </w:rPr>
        <w:t>4、负责城区规划、建设的监督、监察执法及文明施工管理，参与建设工程和园林绿化工程交竣工验收工作。</w:t>
      </w:r>
    </w:p>
    <w:p>
      <w:pPr>
        <w:bidi w:val="0"/>
        <w:spacing w:line="600" w:lineRule="exact"/>
        <w:ind w:firstLine="640" w:firstLineChars="200"/>
        <w:jc w:val="left"/>
        <w:rPr>
          <w:rFonts w:hint="eastAsia" w:eastAsia="FangSong" w:asciiTheme="minorAscii" w:hAnsiTheme="minorAscii"/>
          <w:sz w:val="32"/>
          <w:lang w:eastAsia="zh-CN"/>
        </w:rPr>
      </w:pPr>
      <w:r>
        <w:rPr>
          <w:rFonts w:hint="eastAsia" w:eastAsia="FangSong" w:asciiTheme="minorAscii" w:hAnsiTheme="minorAscii"/>
          <w:sz w:val="32"/>
          <w:lang w:eastAsia="zh-CN"/>
        </w:rPr>
        <w:t xml:space="preserve">5、主管本辖区行政区域的城市园林绿化工作，负责组织实施城市园林绿化、规划、建设、管护工作。按城市发展总体规划编制城市园林绿化计划，并组织实施；主持和参与城市规划及城市园林景点规划、建设、管理工作；负责建设附属绿化地方案的审批；组织开展创建园林式单位（居住区）活动；负责城市园林绿化施工队伍资质审查及施工管理工作；负责城市绿地的管理和公共绿地的规划和日常管理工作；负责城区古树、名树的管理工作。  </w:t>
      </w:r>
    </w:p>
    <w:p>
      <w:pPr>
        <w:bidi w:val="0"/>
        <w:spacing w:line="600" w:lineRule="exact"/>
        <w:ind w:firstLine="640" w:firstLineChars="200"/>
        <w:jc w:val="left"/>
        <w:rPr>
          <w:rFonts w:hint="eastAsia" w:eastAsia="FangSong" w:asciiTheme="minorAscii" w:hAnsiTheme="minorAscii"/>
          <w:sz w:val="32"/>
          <w:lang w:eastAsia="zh-CN"/>
        </w:rPr>
      </w:pPr>
      <w:r>
        <w:rPr>
          <w:rFonts w:hint="eastAsia" w:eastAsia="FangSong" w:asciiTheme="minorAscii" w:hAnsiTheme="minorAscii"/>
          <w:sz w:val="32"/>
          <w:lang w:eastAsia="zh-CN"/>
        </w:rPr>
        <w:t>6、负责城区市政设施的维护和管理，负责城区街道卫生管理和城市道路占用挖掘审批工作。</w:t>
      </w:r>
    </w:p>
    <w:p>
      <w:pPr>
        <w:bidi w:val="0"/>
        <w:spacing w:line="600" w:lineRule="exact"/>
        <w:ind w:firstLine="640" w:firstLineChars="200"/>
        <w:jc w:val="left"/>
        <w:rPr>
          <w:rFonts w:hint="eastAsia" w:eastAsia="FangSong" w:asciiTheme="minorAscii" w:hAnsiTheme="minorAscii"/>
          <w:sz w:val="32"/>
          <w:lang w:eastAsia="zh-CN"/>
        </w:rPr>
      </w:pPr>
      <w:r>
        <w:rPr>
          <w:rFonts w:hint="eastAsia" w:eastAsia="FangSong" w:asciiTheme="minorAscii" w:hAnsiTheme="minorAscii"/>
          <w:sz w:val="32"/>
          <w:lang w:eastAsia="zh-CN"/>
        </w:rPr>
        <w:t>7、负责城区街道摊点设置和审批管理工作；负责城镇户外广告、宣传栏、各类标志、标识牌、管线等规划和管理工作；负责城市领空使用管理审批工作；负责管理非机动车辆乱停乱放工作；负责城区停车场、点的管理工作。</w:t>
      </w:r>
    </w:p>
    <w:p>
      <w:pPr>
        <w:bidi w:val="0"/>
        <w:spacing w:line="600" w:lineRule="exact"/>
        <w:ind w:firstLine="640" w:firstLineChars="200"/>
        <w:jc w:val="left"/>
        <w:rPr>
          <w:rFonts w:hint="eastAsia" w:eastAsia="FangSong" w:asciiTheme="minorAscii" w:hAnsiTheme="minorAscii"/>
          <w:sz w:val="32"/>
          <w:highlight w:val="none"/>
          <w:lang w:eastAsia="zh-CN"/>
        </w:rPr>
      </w:pPr>
      <w:r>
        <w:rPr>
          <w:rFonts w:hint="eastAsia" w:eastAsia="FangSong" w:asciiTheme="minorAscii" w:hAnsiTheme="minorAscii"/>
          <w:sz w:val="32"/>
          <w:highlight w:val="none"/>
          <w:lang w:eastAsia="zh-CN"/>
        </w:rPr>
        <w:t>（二）202</w:t>
      </w:r>
      <w:r>
        <w:rPr>
          <w:rFonts w:hint="eastAsia" w:eastAsia="FangSong" w:asciiTheme="minorAscii" w:hAnsiTheme="minorAscii"/>
          <w:sz w:val="32"/>
          <w:highlight w:val="none"/>
          <w:lang w:val="en-US" w:eastAsia="zh-CN"/>
        </w:rPr>
        <w:t>4</w:t>
      </w:r>
      <w:r>
        <w:rPr>
          <w:rFonts w:hint="eastAsia" w:eastAsia="FangSong" w:asciiTheme="minorAscii" w:hAnsiTheme="minorAscii"/>
          <w:sz w:val="32"/>
          <w:highlight w:val="none"/>
          <w:lang w:eastAsia="zh-CN"/>
        </w:rPr>
        <w:t>年重点工作任务介绍：</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right="0" w:rightChars="0" w:firstLine="320" w:firstLineChars="100"/>
        <w:textAlignment w:val="auto"/>
        <w:rPr>
          <w:rFonts w:hint="eastAsia" w:ascii="FangSong_GB2312" w:hAnsi="FangSong_GB2312" w:eastAsia="FangSong_GB2312" w:cs="FangSong_GB2312"/>
          <w:color w:val="000000"/>
          <w:kern w:val="0"/>
          <w:sz w:val="31"/>
          <w:szCs w:val="31"/>
          <w:lang w:val="en-US" w:eastAsia="zh-CN" w:bidi="ar"/>
        </w:rPr>
      </w:pPr>
      <w:r>
        <w:rPr>
          <w:rFonts w:hint="eastAsia" w:eastAsia="FangSong" w:asciiTheme="minorAscii" w:hAnsiTheme="minorAscii"/>
          <w:sz w:val="32"/>
          <w:highlight w:val="none"/>
          <w:lang w:val="en-US" w:eastAsia="zh-CN"/>
        </w:rPr>
        <w:t xml:space="preserve"> </w:t>
      </w:r>
      <w:r>
        <w:rPr>
          <w:rFonts w:hint="eastAsia" w:ascii="KaiTi_GB2312" w:hAnsi="KaiTi_GB2312" w:eastAsia="KaiTi_GB2312" w:cs="KaiTi_GB2312"/>
          <w:sz w:val="32"/>
          <w:szCs w:val="32"/>
          <w:highlight w:val="none"/>
          <w:lang w:val="en-US" w:eastAsia="zh-CN"/>
        </w:rPr>
        <w:t>（一</w:t>
      </w:r>
      <w:r>
        <w:rPr>
          <w:rFonts w:hint="eastAsia" w:ascii="KaiTi_GB2312" w:hAnsi="KaiTi_GB2312" w:eastAsia="KaiTi_GB2312" w:cs="KaiTi_GB2312"/>
          <w:sz w:val="32"/>
          <w:szCs w:val="32"/>
          <w:lang w:val="en-US" w:eastAsia="zh-CN"/>
        </w:rPr>
        <w:t>）执法建设。</w:t>
      </w:r>
      <w:r>
        <w:rPr>
          <w:rFonts w:hint="eastAsia" w:ascii="FangSong_GB2312" w:hAnsi="FangSong_GB2312" w:eastAsia="FangSong_GB2312" w:cs="FangSong_GB2312"/>
          <w:sz w:val="32"/>
          <w:szCs w:val="32"/>
          <w:lang w:val="en-US" w:eastAsia="zh-CN"/>
        </w:rPr>
        <w:t xml:space="preserve"> 进一步</w:t>
      </w:r>
      <w:r>
        <w:rPr>
          <w:rFonts w:hint="eastAsia" w:ascii="FangSong_GB2312" w:hAnsi="FangSong_GB2312" w:eastAsia="FangSong_GB2312" w:cs="FangSong_GB2312"/>
          <w:sz w:val="32"/>
          <w:szCs w:val="32"/>
          <w:lang w:eastAsia="zh-CN"/>
        </w:rPr>
        <w:t>完善管理机制，提升执法队伍建设，强力开展“十乱”专项整治；</w:t>
      </w:r>
      <w:r>
        <w:rPr>
          <w:rFonts w:hint="eastAsia" w:ascii="FangSong_GB2312" w:hAnsi="FangSong_GB2312" w:eastAsia="FangSong_GB2312" w:cs="FangSong_GB2312"/>
          <w:sz w:val="32"/>
          <w:szCs w:val="32"/>
          <w:lang w:val="en-US" w:eastAsia="zh-CN"/>
        </w:rPr>
        <w:t>深入开展“强基础、转作风、树形象”专项行动，提升执法服务水平；</w:t>
      </w:r>
      <w:r>
        <w:rPr>
          <w:rFonts w:hint="eastAsia" w:ascii="FangSong_GB2312" w:hAnsi="FangSong_GB2312" w:eastAsia="FangSong_GB2312" w:cs="FangSong_GB2312"/>
          <w:bCs w:val="0"/>
          <w:kern w:val="2"/>
          <w:sz w:val="32"/>
          <w:szCs w:val="32"/>
          <w:lang w:val="en-US" w:eastAsia="zh-CN" w:bidi="ar-SA"/>
        </w:rPr>
        <w:t>加快建设城市智慧化服务管理平台，</w:t>
      </w:r>
      <w:r>
        <w:rPr>
          <w:rFonts w:hint="eastAsia" w:ascii="FangSong_GB2312" w:hAnsi="FangSong_GB2312" w:eastAsia="FangSong_GB2312" w:cs="FangSong_GB2312"/>
          <w:color w:val="000000"/>
          <w:kern w:val="0"/>
          <w:sz w:val="31"/>
          <w:szCs w:val="31"/>
          <w:lang w:val="en-US" w:eastAsia="zh-CN" w:bidi="ar"/>
        </w:rPr>
        <w:t>构建“前端及时发现＋后端依法处置”的信息化衔接机制。</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right="0" w:rightChars="0" w:firstLine="640" w:firstLineChars="200"/>
        <w:textAlignment w:val="auto"/>
        <w:rPr>
          <w:rFonts w:hint="eastAsia" w:ascii="FangSong_GB2312" w:hAnsi="FangSong_GB2312" w:eastAsia="FangSong_GB2312" w:cs="FangSong_GB2312"/>
          <w:b w:val="0"/>
          <w:bCs/>
          <w:sz w:val="32"/>
          <w:szCs w:val="32"/>
          <w:lang w:val="en-US" w:eastAsia="zh-CN"/>
        </w:rPr>
      </w:pPr>
      <w:r>
        <w:rPr>
          <w:rFonts w:hint="eastAsia" w:ascii="KaiTi_GB2312" w:hAnsi="KaiTi_GB2312" w:eastAsia="KaiTi_GB2312" w:cs="KaiTi_GB2312"/>
          <w:sz w:val="32"/>
          <w:szCs w:val="32"/>
          <w:lang w:val="en-US" w:eastAsia="zh-CN"/>
        </w:rPr>
        <w:t>（二）市容环境。</w:t>
      </w:r>
      <w:r>
        <w:rPr>
          <w:rFonts w:hint="eastAsia" w:ascii="FangSong_GB2312" w:hAnsi="FangSong_GB2312" w:eastAsia="FangSong_GB2312" w:cs="FangSong_GB2312"/>
          <w:b w:val="0"/>
          <w:bCs/>
          <w:sz w:val="32"/>
          <w:szCs w:val="32"/>
          <w:lang w:val="en-US" w:eastAsia="zh-CN"/>
        </w:rPr>
        <w:t>加快推进县城区保洁运营模式；持续开展羊子岩生活垃圾填埋场生态修复；全面推动农村生活垃圾处理收费征收体系建设；全面推广生活垃圾分类工作。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sz w:val="32"/>
          <w:szCs w:val="32"/>
          <w:lang w:val="en-US" w:eastAsia="zh-CN"/>
        </w:rPr>
      </w:pPr>
      <w:r>
        <w:rPr>
          <w:rFonts w:hint="eastAsia" w:ascii="KaiTi_GB2312" w:hAnsi="KaiTi_GB2312" w:eastAsia="KaiTi_GB2312" w:cs="KaiTi_GB2312"/>
          <w:sz w:val="32"/>
          <w:szCs w:val="32"/>
          <w:lang w:val="en-US" w:eastAsia="zh-CN"/>
        </w:rPr>
        <w:t>（三）园林绿化。</w:t>
      </w:r>
      <w:r>
        <w:rPr>
          <w:rFonts w:hint="eastAsia" w:ascii="FangSong_GB2312" w:hAnsi="FangSong_GB2312" w:eastAsia="FangSong_GB2312" w:cs="FangSong_GB2312"/>
          <w:sz w:val="32"/>
          <w:szCs w:val="32"/>
          <w:lang w:val="en-US" w:eastAsia="zh-CN"/>
        </w:rPr>
        <w:t>持续巩固国家卫生县城绿化指标体系，城区绿化覆盖率达38%以上，绿地率达36%以上，城市人均绿地面积18平方米以上。</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right="0" w:rightChars="0" w:firstLine="640" w:firstLineChars="200"/>
        <w:textAlignment w:val="auto"/>
        <w:rPr>
          <w:rFonts w:hint="eastAsia" w:ascii="FangSong_GB2312" w:hAnsi="FangSong_GB2312" w:eastAsia="FangSong_GB2312" w:cs="FangSong_GB2312"/>
          <w:sz w:val="32"/>
          <w:szCs w:val="32"/>
          <w:lang w:val="en-US" w:eastAsia="zh-CN"/>
        </w:rPr>
      </w:pPr>
      <w:r>
        <w:rPr>
          <w:rFonts w:hint="eastAsia" w:ascii="KaiTi_GB2312" w:hAnsi="KaiTi_GB2312" w:eastAsia="KaiTi_GB2312" w:cs="KaiTi_GB2312"/>
          <w:sz w:val="32"/>
          <w:szCs w:val="32"/>
          <w:lang w:val="en-US" w:eastAsia="zh-CN"/>
        </w:rPr>
        <w:t>（四）法治建设。</w:t>
      </w:r>
      <w:r>
        <w:rPr>
          <w:rFonts w:hint="eastAsia" w:ascii="FangSong_GB2312" w:hAnsi="FangSong_GB2312" w:eastAsia="FangSong_GB2312" w:cs="FangSong_GB2312"/>
          <w:sz w:val="32"/>
          <w:szCs w:val="32"/>
          <w:lang w:val="en-US" w:eastAsia="zh-CN"/>
        </w:rPr>
        <w:t>全力推进依法治县工作；完成部门行政执法评议考核；持续开展“法制夜校”培训，提高执法水平和能力。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FangSong_GB2312" w:hAnsi="FangSong_GB2312" w:eastAsia="FangSong_GB2312" w:cs="FangSong_GB2312"/>
          <w:sz w:val="32"/>
          <w:szCs w:val="32"/>
          <w:lang w:val="en-US" w:eastAsia="zh-CN"/>
        </w:rPr>
      </w:pPr>
      <w:r>
        <w:rPr>
          <w:rFonts w:hint="eastAsia" w:ascii="KaiTi_GB2312" w:hAnsi="KaiTi_GB2312" w:eastAsia="KaiTi_GB2312" w:cs="KaiTi_GB2312"/>
          <w:sz w:val="32"/>
          <w:szCs w:val="32"/>
          <w:lang w:val="en-US" w:eastAsia="zh-CN"/>
        </w:rPr>
        <w:t>（五）项目建设。</w:t>
      </w:r>
      <w:r>
        <w:rPr>
          <w:rFonts w:hint="eastAsia" w:ascii="FangSong_GB2312" w:hAnsi="FangSong_GB2312" w:eastAsia="FangSong_GB2312" w:cs="FangSong_GB2312"/>
          <w:b w:val="0"/>
          <w:bCs w:val="0"/>
          <w:sz w:val="32"/>
          <w:szCs w:val="32"/>
          <w:lang w:val="en-US" w:eastAsia="zh-CN"/>
        </w:rPr>
        <w:t>持续推进城乡垃一张网运营建设工程。</w:t>
      </w:r>
      <w:r>
        <w:rPr>
          <w:rFonts w:hint="eastAsia" w:ascii="FangSong_GB2312" w:hAnsi="FangSong_GB2312" w:eastAsia="FangSong_GB2312" w:cs="FangSong_GB2312"/>
          <w:sz w:val="32"/>
          <w:szCs w:val="32"/>
          <w:lang w:eastAsia="zh-CN"/>
        </w:rPr>
        <w:t>合理配置和投入相应的基础设施，提高生活垃圾收集、转运、处理及回收利用的效率和质量</w:t>
      </w:r>
      <w:r>
        <w:rPr>
          <w:rFonts w:hint="eastAsia" w:ascii="FangSong_GB2312" w:hAnsi="FangSong_GB2312" w:eastAsia="FangSong_GB2312" w:cs="FangSong_GB2312"/>
          <w:sz w:val="32"/>
          <w:szCs w:val="32"/>
          <w:lang w:val="en-US" w:eastAsia="zh-CN"/>
        </w:rPr>
        <w:t>。</w:t>
      </w:r>
    </w:p>
    <w:p>
      <w:pPr>
        <w:bidi w:val="0"/>
        <w:spacing w:line="600" w:lineRule="exact"/>
        <w:ind w:firstLine="640" w:firstLineChars="200"/>
        <w:jc w:val="left"/>
        <w:rPr>
          <w:rFonts w:hint="eastAsia" w:eastAsia="FangSong" w:asciiTheme="minorAscii" w:hAnsiTheme="minorAscii"/>
          <w:sz w:val="32"/>
          <w:lang w:val="en-US" w:eastAsia="zh-CN"/>
        </w:rPr>
      </w:pPr>
    </w:p>
    <w:p>
      <w:pPr>
        <w:bidi w:val="0"/>
        <w:spacing w:line="600" w:lineRule="exact"/>
        <w:ind w:firstLine="640" w:firstLineChars="200"/>
        <w:jc w:val="left"/>
        <w:rPr>
          <w:rFonts w:hint="default" w:eastAsia="FangSong" w:asciiTheme="minorAscii" w:hAnsiTheme="minorAscii"/>
          <w:sz w:val="32"/>
          <w:lang w:val="en-US" w:eastAsia="zh-CN"/>
        </w:rPr>
      </w:pPr>
      <w:r>
        <w:rPr>
          <w:rFonts w:hint="default" w:eastAsia="FangSong" w:asciiTheme="minorAscii" w:hAnsiTheme="minorAscii"/>
          <w:sz w:val="32"/>
          <w:lang w:val="en-US" w:eastAsia="zh-CN"/>
        </w:rPr>
        <w:t>二、部门预算单位构成</w:t>
      </w:r>
    </w:p>
    <w:p>
      <w:pPr>
        <w:bidi w:val="0"/>
        <w:spacing w:line="600" w:lineRule="exact"/>
        <w:ind w:firstLine="640" w:firstLineChars="200"/>
        <w:jc w:val="left"/>
        <w:rPr>
          <w:rFonts w:hint="eastAsia" w:eastAsia="FangSong" w:asciiTheme="minorAscii" w:hAnsiTheme="minorAscii"/>
          <w:sz w:val="32"/>
          <w:lang w:eastAsia="zh-CN"/>
        </w:rPr>
      </w:pPr>
      <w:r>
        <w:rPr>
          <w:rFonts w:hint="eastAsia" w:eastAsia="FangSong" w:asciiTheme="minorAscii" w:hAnsiTheme="minorAscii"/>
          <w:sz w:val="32"/>
          <w:lang w:eastAsia="zh-CN"/>
        </w:rPr>
        <w:t>综合行政执法局：预算单位</w:t>
      </w:r>
      <w:r>
        <w:rPr>
          <w:rFonts w:hint="eastAsia" w:eastAsia="FangSong" w:asciiTheme="minorAscii" w:hAnsiTheme="minorAscii"/>
          <w:sz w:val="32"/>
          <w:lang w:val="en-US" w:eastAsia="zh-CN"/>
        </w:rPr>
        <w:t>1</w:t>
      </w:r>
      <w:r>
        <w:rPr>
          <w:rFonts w:hint="eastAsia" w:eastAsia="FangSong" w:asciiTheme="minorAscii" w:hAnsiTheme="minorAscii"/>
          <w:sz w:val="32"/>
          <w:lang w:eastAsia="zh-CN"/>
        </w:rPr>
        <w:t>个，其中：行政单位</w:t>
      </w:r>
      <w:r>
        <w:rPr>
          <w:rFonts w:hint="eastAsia" w:eastAsia="FangSong" w:asciiTheme="minorAscii" w:hAnsiTheme="minorAscii"/>
          <w:sz w:val="32"/>
          <w:lang w:val="en-US" w:eastAsia="zh-CN"/>
        </w:rPr>
        <w:t>1</w:t>
      </w:r>
      <w:r>
        <w:rPr>
          <w:rFonts w:hint="eastAsia" w:eastAsia="FangSong" w:asciiTheme="minorAscii" w:hAnsiTheme="minorAscii"/>
          <w:sz w:val="32"/>
          <w:lang w:eastAsia="zh-CN"/>
        </w:rPr>
        <w:t>个，事业单位</w:t>
      </w:r>
      <w:r>
        <w:rPr>
          <w:rFonts w:hint="eastAsia" w:eastAsia="FangSong" w:asciiTheme="minorAscii" w:hAnsiTheme="minorAscii"/>
          <w:sz w:val="32"/>
          <w:lang w:val="en-US" w:eastAsia="zh-CN"/>
        </w:rPr>
        <w:t>0</w:t>
      </w:r>
      <w:r>
        <w:rPr>
          <w:rFonts w:hint="eastAsia" w:eastAsia="FangSong" w:asciiTheme="minorAscii" w:hAnsiTheme="minorAscii"/>
          <w:sz w:val="32"/>
          <w:lang w:eastAsia="zh-CN"/>
        </w:rPr>
        <w:t>个。</w:t>
      </w:r>
    </w:p>
    <w:p>
      <w:pPr>
        <w:bidi w:val="0"/>
        <w:spacing w:line="600" w:lineRule="exact"/>
        <w:ind w:firstLine="640" w:firstLineChars="200"/>
        <w:jc w:val="left"/>
        <w:rPr>
          <w:rFonts w:hint="eastAsia" w:eastAsia="FangSong" w:asciiTheme="minorAscii" w:hAnsiTheme="minorAscii"/>
          <w:sz w:val="32"/>
          <w:lang w:eastAsia="zh-CN"/>
        </w:rPr>
      </w:pPr>
      <w:r>
        <w:rPr>
          <w:rFonts w:hint="eastAsia" w:eastAsia="FangSong" w:asciiTheme="minorAscii" w:hAnsiTheme="minorAscii"/>
          <w:sz w:val="32"/>
          <w:lang w:eastAsia="zh-CN"/>
        </w:rPr>
        <w:t>综合行政执法局：总编制</w:t>
      </w:r>
      <w:r>
        <w:rPr>
          <w:rFonts w:hint="eastAsia" w:eastAsia="FangSong" w:asciiTheme="minorAscii" w:hAnsiTheme="minorAscii"/>
          <w:sz w:val="32"/>
          <w:lang w:val="en-US" w:eastAsia="zh-CN"/>
        </w:rPr>
        <w:t>46</w:t>
      </w:r>
      <w:r>
        <w:rPr>
          <w:rFonts w:hint="eastAsia" w:eastAsia="FangSong" w:asciiTheme="minorAscii" w:hAnsiTheme="minorAscii"/>
          <w:sz w:val="32"/>
          <w:lang w:eastAsia="zh-CN"/>
        </w:rPr>
        <w:t>名，其中：行政编制</w:t>
      </w:r>
      <w:r>
        <w:rPr>
          <w:rFonts w:hint="eastAsia" w:eastAsia="FangSong" w:asciiTheme="minorAscii" w:hAnsiTheme="minorAscii"/>
          <w:sz w:val="32"/>
          <w:lang w:val="en-US" w:eastAsia="zh-CN"/>
        </w:rPr>
        <w:t>8</w:t>
      </w:r>
      <w:r>
        <w:rPr>
          <w:rFonts w:hint="eastAsia" w:eastAsia="FangSong" w:asciiTheme="minorAscii" w:hAnsiTheme="minorAscii"/>
          <w:sz w:val="32"/>
          <w:lang w:eastAsia="zh-CN"/>
        </w:rPr>
        <w:t>名，工勤编制</w:t>
      </w:r>
      <w:r>
        <w:rPr>
          <w:rFonts w:hint="eastAsia" w:eastAsia="FangSong" w:asciiTheme="minorAscii" w:hAnsiTheme="minorAscii"/>
          <w:sz w:val="32"/>
          <w:lang w:val="en-US" w:eastAsia="zh-CN"/>
        </w:rPr>
        <w:t>0</w:t>
      </w:r>
      <w:r>
        <w:rPr>
          <w:rFonts w:hint="eastAsia" w:eastAsia="FangSong" w:asciiTheme="minorAscii" w:hAnsiTheme="minorAscii"/>
          <w:sz w:val="32"/>
          <w:lang w:eastAsia="zh-CN"/>
        </w:rPr>
        <w:t>名，事业编制</w:t>
      </w:r>
      <w:r>
        <w:rPr>
          <w:rFonts w:hint="eastAsia" w:eastAsia="FangSong" w:asciiTheme="minorAscii" w:hAnsiTheme="minorAscii"/>
          <w:sz w:val="32"/>
          <w:lang w:val="en-US" w:eastAsia="zh-CN"/>
        </w:rPr>
        <w:t>38</w:t>
      </w:r>
      <w:r>
        <w:rPr>
          <w:rFonts w:hint="eastAsia" w:eastAsia="FangSong" w:asciiTheme="minorAscii" w:hAnsiTheme="minorAscii"/>
          <w:sz w:val="32"/>
          <w:lang w:eastAsia="zh-CN"/>
        </w:rPr>
        <w:t>名。在职人员总数</w:t>
      </w:r>
      <w:r>
        <w:rPr>
          <w:rFonts w:hint="eastAsia" w:eastAsia="FangSong" w:asciiTheme="minorAscii" w:hAnsiTheme="minorAscii"/>
          <w:sz w:val="32"/>
          <w:lang w:val="en-US" w:eastAsia="zh-CN"/>
        </w:rPr>
        <w:t>34</w:t>
      </w:r>
      <w:r>
        <w:rPr>
          <w:rFonts w:hint="eastAsia" w:eastAsia="FangSong" w:asciiTheme="minorAscii" w:hAnsiTheme="minorAscii"/>
          <w:sz w:val="32"/>
          <w:lang w:eastAsia="zh-CN"/>
        </w:rPr>
        <w:t>名，其中：行政</w:t>
      </w:r>
      <w:r>
        <w:rPr>
          <w:rFonts w:hint="eastAsia" w:eastAsia="FangSong" w:asciiTheme="minorAscii" w:hAnsiTheme="minorAscii"/>
          <w:sz w:val="32"/>
          <w:lang w:val="en-US" w:eastAsia="zh-CN"/>
        </w:rPr>
        <w:t>5</w:t>
      </w:r>
      <w:r>
        <w:rPr>
          <w:rFonts w:hint="eastAsia" w:eastAsia="FangSong" w:asciiTheme="minorAscii" w:hAnsiTheme="minorAscii"/>
          <w:sz w:val="32"/>
          <w:lang w:eastAsia="zh-CN"/>
        </w:rPr>
        <w:t>名，工勤</w:t>
      </w:r>
      <w:r>
        <w:rPr>
          <w:rFonts w:hint="eastAsia" w:eastAsia="FangSong" w:asciiTheme="minorAscii" w:hAnsiTheme="minorAscii"/>
          <w:sz w:val="32"/>
          <w:lang w:val="en-US" w:eastAsia="zh-CN"/>
        </w:rPr>
        <w:t>0</w:t>
      </w:r>
      <w:r>
        <w:rPr>
          <w:rFonts w:hint="eastAsia" w:eastAsia="FangSong" w:asciiTheme="minorAscii" w:hAnsiTheme="minorAscii"/>
          <w:sz w:val="32"/>
          <w:lang w:eastAsia="zh-CN"/>
        </w:rPr>
        <w:t>名，事业</w:t>
      </w:r>
      <w:r>
        <w:rPr>
          <w:rFonts w:hint="eastAsia" w:eastAsia="FangSong" w:asciiTheme="minorAscii" w:hAnsiTheme="minorAscii"/>
          <w:sz w:val="32"/>
          <w:lang w:val="en-US" w:eastAsia="zh-CN"/>
        </w:rPr>
        <w:t>29</w:t>
      </w:r>
      <w:r>
        <w:rPr>
          <w:rFonts w:hint="eastAsia" w:eastAsia="FangSong" w:asciiTheme="minorAscii" w:hAnsiTheme="minorAscii"/>
          <w:sz w:val="32"/>
          <w:lang w:eastAsia="zh-CN"/>
        </w:rPr>
        <w:t>名。离休</w:t>
      </w:r>
      <w:r>
        <w:rPr>
          <w:rFonts w:hint="eastAsia" w:eastAsia="FangSong" w:asciiTheme="minorAscii" w:hAnsiTheme="minorAscii"/>
          <w:sz w:val="32"/>
          <w:lang w:val="en-US" w:eastAsia="zh-CN"/>
        </w:rPr>
        <w:t>0</w:t>
      </w:r>
      <w:r>
        <w:rPr>
          <w:rFonts w:hint="eastAsia" w:eastAsia="FangSong" w:asciiTheme="minorAscii" w:hAnsiTheme="minorAscii"/>
          <w:sz w:val="32"/>
          <w:lang w:eastAsia="zh-CN"/>
        </w:rPr>
        <w:t>名。</w:t>
      </w:r>
    </w:p>
    <w:p>
      <w:pPr>
        <w:spacing w:line="600" w:lineRule="exact"/>
        <w:ind w:firstLine="640" w:firstLineChars="200"/>
        <w:rPr>
          <w:rFonts w:hint="eastAsia" w:ascii="FangSong" w:hAnsi="FangSong" w:eastAsia="FangSong"/>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before="1561" w:beforeLines="500"/>
        <w:jc w:val="center"/>
        <w:textAlignment w:val="auto"/>
        <w:rPr>
          <w:rFonts w:hint="eastAsia"/>
          <w:b/>
          <w:bCs/>
          <w:color w:val="auto"/>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61" w:beforeLines="500"/>
        <w:jc w:val="center"/>
        <w:textAlignment w:val="auto"/>
        <w:rPr>
          <w:rFonts w:hint="eastAsia"/>
          <w:b/>
          <w:bCs/>
          <w:color w:val="auto"/>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61" w:beforeLines="500"/>
        <w:jc w:val="center"/>
        <w:textAlignment w:val="auto"/>
        <w:rPr>
          <w:rFonts w:hint="eastAsia"/>
          <w:b/>
          <w:bCs/>
          <w:color w:val="auto"/>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61" w:beforeLines="500"/>
        <w:jc w:val="center"/>
        <w:textAlignment w:val="auto"/>
        <w:rPr>
          <w:rFonts w:hint="eastAsia"/>
          <w:b/>
          <w:bCs/>
          <w:color w:val="auto"/>
          <w:sz w:val="52"/>
          <w:szCs w:val="52"/>
          <w:highlight w:val="none"/>
          <w:lang w:val="en-US" w:eastAsia="zh-CN"/>
        </w:rPr>
      </w:pPr>
      <w:r>
        <w:rPr>
          <w:rFonts w:hint="eastAsia"/>
          <w:b/>
          <w:bCs/>
          <w:color w:val="auto"/>
          <w:sz w:val="52"/>
          <w:szCs w:val="52"/>
          <w:highlight w:val="none"/>
          <w:lang w:val="en-US" w:eastAsia="zh-CN"/>
        </w:rPr>
        <w:t>第二部分 峨边彝族自治县综合行政执法局2024年部门预算表</w:t>
      </w:r>
    </w:p>
    <w:p>
      <w:pPr>
        <w:spacing w:line="600" w:lineRule="exact"/>
        <w:rPr>
          <w:rFonts w:hint="default" w:ascii="FangSong" w:hAnsi="FangSong" w:eastAsia="FangSong" w:cs="Times New Roman"/>
          <w:color w:val="auto"/>
          <w:sz w:val="32"/>
          <w:szCs w:val="32"/>
          <w:highlight w:val="none"/>
          <w:lang w:val="en-US" w:eastAsia="zh-CN"/>
        </w:rPr>
      </w:pPr>
    </w:p>
    <w:p>
      <w:pPr>
        <w:spacing w:line="600" w:lineRule="exact"/>
        <w:rPr>
          <w:rFonts w:hint="default" w:ascii="FangSong" w:hAnsi="FangSong" w:eastAsia="FangSong" w:cs="Times New Roman"/>
          <w:color w:val="auto"/>
          <w:sz w:val="32"/>
          <w:szCs w:val="32"/>
          <w:highlight w:val="none"/>
          <w:lang w:val="en-US" w:eastAsia="zh-CN"/>
        </w:rPr>
      </w:pPr>
    </w:p>
    <w:p>
      <w:pPr>
        <w:spacing w:line="600" w:lineRule="exact"/>
        <w:rPr>
          <w:rFonts w:hint="default" w:ascii="FangSong" w:hAnsi="FangSong" w:eastAsia="FangSong" w:cs="Times New Roman"/>
          <w:color w:val="auto"/>
          <w:sz w:val="32"/>
          <w:szCs w:val="32"/>
          <w:highlight w:val="none"/>
          <w:lang w:val="en-US" w:eastAsia="zh-CN"/>
        </w:rPr>
      </w:pPr>
    </w:p>
    <w:p>
      <w:pPr>
        <w:spacing w:line="600" w:lineRule="exact"/>
        <w:rPr>
          <w:rFonts w:hint="default" w:ascii="FangSong" w:hAnsi="FangSong" w:eastAsia="FangSong" w:cs="Times New Roman"/>
          <w:color w:val="auto"/>
          <w:sz w:val="32"/>
          <w:szCs w:val="32"/>
          <w:highlight w:val="none"/>
          <w:lang w:val="en-US" w:eastAsia="zh-CN"/>
        </w:rPr>
      </w:pPr>
    </w:p>
    <w:p>
      <w:pPr>
        <w:spacing w:line="600" w:lineRule="exact"/>
        <w:rPr>
          <w:rFonts w:hint="default" w:ascii="FangSong" w:hAnsi="FangSong" w:eastAsia="FangSong" w:cs="Times New Roman"/>
          <w:color w:val="auto"/>
          <w:sz w:val="32"/>
          <w:szCs w:val="32"/>
          <w:highlight w:val="none"/>
          <w:lang w:val="en-US" w:eastAsia="zh-CN"/>
        </w:rPr>
      </w:pPr>
    </w:p>
    <w:p>
      <w:pPr>
        <w:spacing w:line="600" w:lineRule="exact"/>
        <w:rPr>
          <w:rFonts w:hint="default" w:ascii="FangSong" w:hAnsi="FangSong" w:eastAsia="FangSong" w:cs="Times New Roman"/>
          <w:color w:val="auto"/>
          <w:sz w:val="32"/>
          <w:szCs w:val="32"/>
          <w:highlight w:val="none"/>
          <w:lang w:val="en-US" w:eastAsia="zh-CN"/>
        </w:rPr>
      </w:pPr>
    </w:p>
    <w:p>
      <w:pPr>
        <w:numPr>
          <w:ilvl w:val="0"/>
          <w:numId w:val="0"/>
        </w:numPr>
        <w:spacing w:line="600" w:lineRule="exact"/>
        <w:rPr>
          <w:rFonts w:hint="eastAsia" w:ascii="FangSong" w:hAnsi="FangSong" w:eastAsia="FangSong" w:cs="Times New Roman"/>
          <w:color w:val="auto"/>
          <w:sz w:val="32"/>
          <w:szCs w:val="32"/>
          <w:highlight w:val="none"/>
          <w:lang w:val="en-US" w:eastAsia="zh-CN"/>
        </w:rPr>
      </w:pPr>
    </w:p>
    <w:p>
      <w:pPr>
        <w:numPr>
          <w:ilvl w:val="0"/>
          <w:numId w:val="0"/>
        </w:numPr>
        <w:spacing w:line="600" w:lineRule="exact"/>
        <w:rPr>
          <w:rFonts w:hint="eastAsia" w:ascii="FangSong" w:hAnsi="FangSong" w:eastAsia="FangSong" w:cs="Times New Roman"/>
          <w:color w:val="auto"/>
          <w:sz w:val="32"/>
          <w:szCs w:val="32"/>
          <w:highlight w:val="none"/>
          <w:lang w:val="en-US" w:eastAsia="zh-CN"/>
        </w:rPr>
      </w:pPr>
      <w:r>
        <w:drawing>
          <wp:anchor distT="0" distB="0" distL="114300" distR="114300" simplePos="0" relativeHeight="251659264" behindDoc="0" locked="0" layoutInCell="1" allowOverlap="1">
            <wp:simplePos x="0" y="0"/>
            <wp:positionH relativeFrom="column">
              <wp:posOffset>95250</wp:posOffset>
            </wp:positionH>
            <wp:positionV relativeFrom="paragraph">
              <wp:posOffset>-295275</wp:posOffset>
            </wp:positionV>
            <wp:extent cx="5272405" cy="5323840"/>
            <wp:effectExtent l="0" t="0" r="4445" b="1016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272405" cy="5323840"/>
                    </a:xfrm>
                    <a:prstGeom prst="rect">
                      <a:avLst/>
                    </a:prstGeom>
                    <a:noFill/>
                    <a:ln>
                      <a:noFill/>
                    </a:ln>
                  </pic:spPr>
                </pic:pic>
              </a:graphicData>
            </a:graphic>
          </wp:anchor>
        </w:drawing>
      </w:r>
    </w:p>
    <w:p>
      <w:pPr>
        <w:numPr>
          <w:ilvl w:val="0"/>
          <w:numId w:val="0"/>
        </w:numPr>
        <w:spacing w:line="600" w:lineRule="exact"/>
      </w:pPr>
    </w:p>
    <w:p>
      <w:pPr>
        <w:numPr>
          <w:ilvl w:val="0"/>
          <w:numId w:val="0"/>
        </w:numPr>
        <w:spacing w:line="600" w:lineRule="exact"/>
      </w:pPr>
      <w:r>
        <w:drawing>
          <wp:anchor distT="0" distB="0" distL="114300" distR="114300" simplePos="0" relativeHeight="251660288" behindDoc="0" locked="0" layoutInCell="1" allowOverlap="1">
            <wp:simplePos x="0" y="0"/>
            <wp:positionH relativeFrom="column">
              <wp:posOffset>-19050</wp:posOffset>
            </wp:positionH>
            <wp:positionV relativeFrom="paragraph">
              <wp:posOffset>276225</wp:posOffset>
            </wp:positionV>
            <wp:extent cx="5495290" cy="1637665"/>
            <wp:effectExtent l="0" t="0" r="10160" b="63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495290" cy="1637665"/>
                    </a:xfrm>
                    <a:prstGeom prst="rect">
                      <a:avLst/>
                    </a:prstGeom>
                    <a:noFill/>
                    <a:ln>
                      <a:noFill/>
                    </a:ln>
                  </pic:spPr>
                </pic:pic>
              </a:graphicData>
            </a:graphic>
          </wp:anchor>
        </w:drawing>
      </w:r>
    </w:p>
    <w:p>
      <w:pPr>
        <w:numPr>
          <w:ilvl w:val="0"/>
          <w:numId w:val="0"/>
        </w:numPr>
        <w:spacing w:line="600" w:lineRule="exact"/>
      </w:pPr>
    </w:p>
    <w:p>
      <w:pPr>
        <w:numPr>
          <w:ilvl w:val="0"/>
          <w:numId w:val="0"/>
        </w:numPr>
        <w:spacing w:line="600" w:lineRule="exact"/>
      </w:pPr>
      <w:r>
        <w:drawing>
          <wp:anchor distT="0" distB="0" distL="114300" distR="114300" simplePos="0" relativeHeight="251666432" behindDoc="0" locked="0" layoutInCell="1" allowOverlap="1">
            <wp:simplePos x="0" y="0"/>
            <wp:positionH relativeFrom="column">
              <wp:posOffset>228600</wp:posOffset>
            </wp:positionH>
            <wp:positionV relativeFrom="paragraph">
              <wp:posOffset>-3810</wp:posOffset>
            </wp:positionV>
            <wp:extent cx="5265420" cy="3898900"/>
            <wp:effectExtent l="0" t="0" r="11430" b="6350"/>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265420" cy="3898900"/>
                    </a:xfrm>
                    <a:prstGeom prst="rect">
                      <a:avLst/>
                    </a:prstGeom>
                    <a:noFill/>
                    <a:ln>
                      <a:noFill/>
                    </a:ln>
                  </pic:spPr>
                </pic:pic>
              </a:graphicData>
            </a:graphic>
          </wp:anchor>
        </w:drawing>
      </w:r>
    </w:p>
    <w:p>
      <w:pPr>
        <w:numPr>
          <w:ilvl w:val="0"/>
          <w:numId w:val="0"/>
        </w:numPr>
        <w:spacing w:line="600" w:lineRule="exact"/>
        <w:rPr>
          <w:rFonts w:hint="eastAsia" w:ascii="FangSong" w:hAnsi="FangSong" w:eastAsia="FangSong" w:cs="Times New Roman"/>
          <w:color w:val="auto"/>
          <w:sz w:val="32"/>
          <w:szCs w:val="32"/>
          <w:highlight w:val="none"/>
          <w:lang w:val="en-US" w:eastAsia="zh-CN"/>
        </w:rPr>
      </w:pPr>
      <w:r>
        <w:drawing>
          <wp:anchor distT="0" distB="0" distL="114300" distR="114300" simplePos="0" relativeHeight="251661312" behindDoc="0" locked="0" layoutInCell="1" allowOverlap="1">
            <wp:simplePos x="0" y="0"/>
            <wp:positionH relativeFrom="column">
              <wp:posOffset>257175</wp:posOffset>
            </wp:positionH>
            <wp:positionV relativeFrom="paragraph">
              <wp:posOffset>185420</wp:posOffset>
            </wp:positionV>
            <wp:extent cx="5271135" cy="3796665"/>
            <wp:effectExtent l="0" t="0" r="5715" b="13335"/>
            <wp:wrapSquare wrapText="bothSides"/>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271135" cy="3796665"/>
                    </a:xfrm>
                    <a:prstGeom prst="rect">
                      <a:avLst/>
                    </a:prstGeom>
                    <a:noFill/>
                    <a:ln>
                      <a:noFill/>
                    </a:ln>
                  </pic:spPr>
                </pic:pic>
              </a:graphicData>
            </a:graphic>
          </wp:anchor>
        </w:drawing>
      </w:r>
    </w:p>
    <w:p>
      <w:pPr>
        <w:numPr>
          <w:ilvl w:val="0"/>
          <w:numId w:val="0"/>
        </w:numPr>
        <w:spacing w:line="600" w:lineRule="exact"/>
        <w:rPr>
          <w:color w:val="auto"/>
          <w:highlight w:val="none"/>
        </w:rPr>
      </w:pPr>
      <w:r>
        <w:drawing>
          <wp:anchor distT="0" distB="0" distL="114300" distR="114300" simplePos="0" relativeHeight="251667456" behindDoc="0" locked="0" layoutInCell="1" allowOverlap="1">
            <wp:simplePos x="0" y="0"/>
            <wp:positionH relativeFrom="column">
              <wp:posOffset>-723900</wp:posOffset>
            </wp:positionH>
            <wp:positionV relativeFrom="paragraph">
              <wp:posOffset>228600</wp:posOffset>
            </wp:positionV>
            <wp:extent cx="6398260" cy="5886450"/>
            <wp:effectExtent l="0" t="0" r="2540" b="0"/>
            <wp:wrapSquare wrapText="bothSides"/>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1"/>
                    <a:stretch>
                      <a:fillRect/>
                    </a:stretch>
                  </pic:blipFill>
                  <pic:spPr>
                    <a:xfrm>
                      <a:off x="0" y="0"/>
                      <a:ext cx="6398260" cy="5886450"/>
                    </a:xfrm>
                    <a:prstGeom prst="rect">
                      <a:avLst/>
                    </a:prstGeom>
                    <a:noFill/>
                    <a:ln>
                      <a:noFill/>
                    </a:ln>
                  </pic:spPr>
                </pic:pic>
              </a:graphicData>
            </a:graphic>
          </wp:anchor>
        </w:drawing>
      </w:r>
    </w:p>
    <w:p>
      <w:pPr>
        <w:numPr>
          <w:ilvl w:val="0"/>
          <w:numId w:val="0"/>
        </w:numPr>
        <w:spacing w:line="600" w:lineRule="exact"/>
        <w:rPr>
          <w:color w:val="auto"/>
          <w:highlight w:val="none"/>
        </w:rPr>
      </w:pPr>
    </w:p>
    <w:p>
      <w:pPr>
        <w:numPr>
          <w:ilvl w:val="0"/>
          <w:numId w:val="0"/>
        </w:numPr>
        <w:spacing w:line="600" w:lineRule="exact"/>
        <w:rPr>
          <w:color w:val="auto"/>
          <w:highlight w:val="none"/>
        </w:rPr>
      </w:pPr>
    </w:p>
    <w:p>
      <w:pPr>
        <w:numPr>
          <w:ilvl w:val="0"/>
          <w:numId w:val="0"/>
        </w:numPr>
        <w:spacing w:line="600" w:lineRule="exact"/>
        <w:rPr>
          <w:color w:val="auto"/>
          <w:highlight w:val="none"/>
        </w:rPr>
      </w:pPr>
    </w:p>
    <w:p>
      <w:pPr>
        <w:numPr>
          <w:ilvl w:val="0"/>
          <w:numId w:val="0"/>
        </w:numPr>
        <w:spacing w:line="600" w:lineRule="exact"/>
        <w:rPr>
          <w:color w:val="auto"/>
          <w:highlight w:val="none"/>
        </w:rPr>
      </w:pPr>
    </w:p>
    <w:p>
      <w:pPr>
        <w:numPr>
          <w:ilvl w:val="0"/>
          <w:numId w:val="0"/>
        </w:numPr>
        <w:spacing w:line="600" w:lineRule="exact"/>
        <w:rPr>
          <w:color w:val="auto"/>
          <w:highlight w:val="none"/>
        </w:rPr>
      </w:pPr>
      <w:r>
        <w:drawing>
          <wp:anchor distT="0" distB="0" distL="114300" distR="114300" simplePos="0" relativeHeight="251662336" behindDoc="0" locked="0" layoutInCell="1" allowOverlap="1">
            <wp:simplePos x="0" y="0"/>
            <wp:positionH relativeFrom="column">
              <wp:posOffset>123825</wp:posOffset>
            </wp:positionH>
            <wp:positionV relativeFrom="paragraph">
              <wp:posOffset>628650</wp:posOffset>
            </wp:positionV>
            <wp:extent cx="5265420" cy="2270760"/>
            <wp:effectExtent l="0" t="0" r="11430" b="15240"/>
            <wp:wrapSquare wrapText="bothSides"/>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265420" cy="2270760"/>
                    </a:xfrm>
                    <a:prstGeom prst="rect">
                      <a:avLst/>
                    </a:prstGeom>
                    <a:noFill/>
                    <a:ln>
                      <a:noFill/>
                    </a:ln>
                  </pic:spPr>
                </pic:pic>
              </a:graphicData>
            </a:graphic>
          </wp:anchor>
        </w:drawing>
      </w:r>
    </w:p>
    <w:p>
      <w:pPr>
        <w:numPr>
          <w:ilvl w:val="0"/>
          <w:numId w:val="0"/>
        </w:numPr>
        <w:spacing w:line="600" w:lineRule="exact"/>
        <w:rPr>
          <w:color w:val="auto"/>
          <w:highlight w:val="none"/>
        </w:rPr>
      </w:pPr>
    </w:p>
    <w:p>
      <w:pPr>
        <w:numPr>
          <w:ilvl w:val="0"/>
          <w:numId w:val="0"/>
        </w:numPr>
        <w:spacing w:line="600" w:lineRule="exact"/>
        <w:rPr>
          <w:color w:val="auto"/>
          <w:highlight w:val="none"/>
        </w:rPr>
      </w:pPr>
    </w:p>
    <w:p>
      <w:pPr>
        <w:numPr>
          <w:ilvl w:val="0"/>
          <w:numId w:val="0"/>
        </w:numPr>
        <w:spacing w:line="600" w:lineRule="exact"/>
        <w:rPr>
          <w:color w:val="auto"/>
          <w:highlight w:val="none"/>
        </w:rPr>
      </w:pPr>
    </w:p>
    <w:p>
      <w:pPr>
        <w:numPr>
          <w:ilvl w:val="0"/>
          <w:numId w:val="0"/>
        </w:numPr>
        <w:spacing w:line="600" w:lineRule="exact"/>
        <w:rPr>
          <w:color w:val="auto"/>
          <w:highlight w:val="none"/>
        </w:rPr>
      </w:pPr>
    </w:p>
    <w:p>
      <w:pPr>
        <w:numPr>
          <w:ilvl w:val="0"/>
          <w:numId w:val="0"/>
        </w:numPr>
        <w:spacing w:line="600" w:lineRule="exact"/>
        <w:rPr>
          <w:color w:val="auto"/>
          <w:highlight w:val="none"/>
        </w:rPr>
      </w:pPr>
    </w:p>
    <w:p>
      <w:pPr>
        <w:numPr>
          <w:ilvl w:val="0"/>
          <w:numId w:val="0"/>
        </w:numPr>
        <w:spacing w:line="600" w:lineRule="exact"/>
        <w:rPr>
          <w:color w:val="auto"/>
          <w:highlight w:val="none"/>
        </w:rPr>
      </w:pPr>
      <w:r>
        <w:drawing>
          <wp:anchor distT="0" distB="0" distL="114300" distR="114300" simplePos="0" relativeHeight="251663360" behindDoc="0" locked="0" layoutInCell="1" allowOverlap="1">
            <wp:simplePos x="0" y="0"/>
            <wp:positionH relativeFrom="column">
              <wp:posOffset>314325</wp:posOffset>
            </wp:positionH>
            <wp:positionV relativeFrom="paragraph">
              <wp:posOffset>62865</wp:posOffset>
            </wp:positionV>
            <wp:extent cx="5266690" cy="5523230"/>
            <wp:effectExtent l="0" t="0" r="10160" b="1270"/>
            <wp:wrapSquare wrapText="bothSides"/>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266690" cy="5523230"/>
                    </a:xfrm>
                    <a:prstGeom prst="rect">
                      <a:avLst/>
                    </a:prstGeom>
                    <a:noFill/>
                    <a:ln>
                      <a:noFill/>
                    </a:ln>
                  </pic:spPr>
                </pic:pic>
              </a:graphicData>
            </a:graphic>
          </wp:anchor>
        </w:drawing>
      </w:r>
    </w:p>
    <w:p>
      <w:pPr>
        <w:numPr>
          <w:ilvl w:val="0"/>
          <w:numId w:val="0"/>
        </w:numPr>
        <w:spacing w:line="600" w:lineRule="exact"/>
        <w:rPr>
          <w:color w:val="auto"/>
          <w:highlight w:val="none"/>
        </w:rPr>
      </w:pPr>
    </w:p>
    <w:p>
      <w:pPr>
        <w:numPr>
          <w:ilvl w:val="0"/>
          <w:numId w:val="0"/>
        </w:numPr>
        <w:spacing w:line="600" w:lineRule="exact"/>
        <w:rPr>
          <w:color w:val="auto"/>
          <w:highlight w:val="none"/>
        </w:rPr>
      </w:pPr>
    </w:p>
    <w:p>
      <w:pPr>
        <w:numPr>
          <w:ilvl w:val="0"/>
          <w:numId w:val="0"/>
        </w:numPr>
        <w:spacing w:line="600" w:lineRule="exact"/>
        <w:rPr>
          <w:rFonts w:hint="eastAsia"/>
          <w:color w:val="auto"/>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r>
        <w:drawing>
          <wp:inline distT="0" distB="0" distL="114300" distR="114300">
            <wp:extent cx="5269865" cy="2787015"/>
            <wp:effectExtent l="0" t="0" r="6985"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269865" cy="2787015"/>
                    </a:xfrm>
                    <a:prstGeom prst="rect">
                      <a:avLst/>
                    </a:prstGeom>
                    <a:noFill/>
                    <a:ln>
                      <a:noFill/>
                    </a:ln>
                  </pic:spPr>
                </pic:pic>
              </a:graphicData>
            </a:graphic>
          </wp:inline>
        </w:drawing>
      </w: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r>
        <w:drawing>
          <wp:inline distT="0" distB="0" distL="114300" distR="114300">
            <wp:extent cx="5274310" cy="985520"/>
            <wp:effectExtent l="0" t="0" r="2540" b="508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274310" cy="985520"/>
                    </a:xfrm>
                    <a:prstGeom prst="rect">
                      <a:avLst/>
                    </a:prstGeom>
                    <a:noFill/>
                    <a:ln>
                      <a:noFill/>
                    </a:ln>
                  </pic:spPr>
                </pic:pic>
              </a:graphicData>
            </a:graphic>
          </wp:inline>
        </w:drawing>
      </w: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r>
        <w:drawing>
          <wp:inline distT="0" distB="0" distL="114300" distR="114300">
            <wp:extent cx="5271135" cy="1368425"/>
            <wp:effectExtent l="0" t="0" r="5715" b="317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271135" cy="1368425"/>
                    </a:xfrm>
                    <a:prstGeom prst="rect">
                      <a:avLst/>
                    </a:prstGeom>
                    <a:noFill/>
                    <a:ln>
                      <a:noFill/>
                    </a:ln>
                  </pic:spPr>
                </pic:pic>
              </a:graphicData>
            </a:graphic>
          </wp:inline>
        </w:drawing>
      </w: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r>
        <w:drawing>
          <wp:inline distT="0" distB="0" distL="114300" distR="114300">
            <wp:extent cx="5274310" cy="985520"/>
            <wp:effectExtent l="0" t="0" r="2540" b="508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274310" cy="985520"/>
                    </a:xfrm>
                    <a:prstGeom prst="rect">
                      <a:avLst/>
                    </a:prstGeom>
                    <a:noFill/>
                    <a:ln>
                      <a:noFill/>
                    </a:ln>
                  </pic:spPr>
                </pic:pic>
              </a:graphicData>
            </a:graphic>
          </wp:inline>
        </w:drawing>
      </w: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r>
        <w:drawing>
          <wp:inline distT="0" distB="0" distL="114300" distR="114300">
            <wp:extent cx="5271135" cy="1368425"/>
            <wp:effectExtent l="0" t="0" r="5715" b="317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271135" cy="1368425"/>
                    </a:xfrm>
                    <a:prstGeom prst="rect">
                      <a:avLst/>
                    </a:prstGeom>
                    <a:noFill/>
                    <a:ln>
                      <a:noFill/>
                    </a:ln>
                  </pic:spPr>
                </pic:pic>
              </a:graphicData>
            </a:graphic>
          </wp:inline>
        </w:drawing>
      </w: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r>
        <w:drawing>
          <wp:anchor distT="0" distB="0" distL="114300" distR="114300" simplePos="0" relativeHeight="251668480" behindDoc="0" locked="0" layoutInCell="1" allowOverlap="1">
            <wp:simplePos x="0" y="0"/>
            <wp:positionH relativeFrom="column">
              <wp:posOffset>409575</wp:posOffset>
            </wp:positionH>
            <wp:positionV relativeFrom="paragraph">
              <wp:posOffset>-4914900</wp:posOffset>
            </wp:positionV>
            <wp:extent cx="5272405" cy="4883150"/>
            <wp:effectExtent l="0" t="0" r="4445" b="1270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9"/>
                    <a:stretch>
                      <a:fillRect/>
                    </a:stretch>
                  </pic:blipFill>
                  <pic:spPr>
                    <a:xfrm>
                      <a:off x="0" y="0"/>
                      <a:ext cx="5272405" cy="4883150"/>
                    </a:xfrm>
                    <a:prstGeom prst="rect">
                      <a:avLst/>
                    </a:prstGeom>
                    <a:noFill/>
                    <a:ln>
                      <a:noFill/>
                    </a:ln>
                  </pic:spPr>
                </pic:pic>
              </a:graphicData>
            </a:graphic>
          </wp:anchor>
        </w:drawing>
      </w: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r>
        <w:drawing>
          <wp:anchor distT="0" distB="0" distL="114300" distR="114300" simplePos="0" relativeHeight="251664384" behindDoc="0" locked="0" layoutInCell="1" allowOverlap="1">
            <wp:simplePos x="0" y="0"/>
            <wp:positionH relativeFrom="column">
              <wp:posOffset>0</wp:posOffset>
            </wp:positionH>
            <wp:positionV relativeFrom="paragraph">
              <wp:posOffset>30480</wp:posOffset>
            </wp:positionV>
            <wp:extent cx="5272405" cy="6458585"/>
            <wp:effectExtent l="0" t="0" r="4445" b="18415"/>
            <wp:wrapSquare wrapText="bothSides"/>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272405" cy="6458585"/>
                    </a:xfrm>
                    <a:prstGeom prst="rect">
                      <a:avLst/>
                    </a:prstGeom>
                    <a:noFill/>
                    <a:ln>
                      <a:noFill/>
                    </a:ln>
                  </pic:spPr>
                </pic:pic>
              </a:graphicData>
            </a:graphic>
          </wp:anchor>
        </w:drawing>
      </w: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r>
        <w:drawing>
          <wp:anchor distT="0" distB="0" distL="114300" distR="114300" simplePos="0" relativeHeight="251665408" behindDoc="0" locked="0" layoutInCell="1" allowOverlap="1">
            <wp:simplePos x="0" y="0"/>
            <wp:positionH relativeFrom="column">
              <wp:posOffset>0</wp:posOffset>
            </wp:positionH>
            <wp:positionV relativeFrom="paragraph">
              <wp:posOffset>43815</wp:posOffset>
            </wp:positionV>
            <wp:extent cx="5269865" cy="1694180"/>
            <wp:effectExtent l="0" t="0" r="6985" b="1270"/>
            <wp:wrapSquare wrapText="bothSides"/>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269865" cy="1694180"/>
                    </a:xfrm>
                    <a:prstGeom prst="rect">
                      <a:avLst/>
                    </a:prstGeom>
                    <a:noFill/>
                    <a:ln>
                      <a:noFill/>
                    </a:ln>
                  </pic:spPr>
                </pic:pic>
              </a:graphicData>
            </a:graphic>
          </wp:anchor>
        </w:drawing>
      </w: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61" w:beforeLines="500"/>
        <w:jc w:val="both"/>
        <w:textAlignment w:val="auto"/>
        <w:rPr>
          <w:rFonts w:hint="eastAsia"/>
          <w:b/>
          <w:bCs/>
          <w:color w:val="auto"/>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61" w:beforeLines="500"/>
        <w:jc w:val="center"/>
        <w:textAlignment w:val="auto"/>
        <w:rPr>
          <w:rFonts w:hint="eastAsia"/>
          <w:b/>
          <w:bCs/>
          <w:color w:val="auto"/>
          <w:sz w:val="52"/>
          <w:szCs w:val="52"/>
          <w:highlight w:val="none"/>
          <w:lang w:val="en-US" w:eastAsia="zh-CN"/>
        </w:rPr>
      </w:pPr>
      <w:r>
        <w:rPr>
          <w:rFonts w:hint="eastAsia"/>
          <w:b/>
          <w:bCs/>
          <w:color w:val="auto"/>
          <w:sz w:val="52"/>
          <w:szCs w:val="52"/>
          <w:highlight w:val="none"/>
          <w:lang w:val="en-US" w:eastAsia="zh-CN"/>
        </w:rPr>
        <w:t>第三部分</w:t>
      </w:r>
    </w:p>
    <w:p>
      <w:pPr>
        <w:keepNext w:val="0"/>
        <w:keepLines w:val="0"/>
        <w:pageBreakBefore w:val="0"/>
        <w:widowControl w:val="0"/>
        <w:kinsoku/>
        <w:wordWrap/>
        <w:overflowPunct/>
        <w:topLinePunct w:val="0"/>
        <w:autoSpaceDE/>
        <w:autoSpaceDN/>
        <w:bidi w:val="0"/>
        <w:adjustRightInd/>
        <w:snapToGrid/>
        <w:jc w:val="center"/>
        <w:textAlignment w:val="auto"/>
        <w:rPr>
          <w:rFonts w:hint="default"/>
          <w:b/>
          <w:bCs/>
          <w:color w:val="auto"/>
          <w:sz w:val="52"/>
          <w:szCs w:val="52"/>
          <w:highlight w:val="none"/>
          <w:lang w:val="en-US" w:eastAsia="zh-CN"/>
        </w:rPr>
      </w:pPr>
      <w:r>
        <w:rPr>
          <w:rFonts w:hint="eastAsia"/>
          <w:b/>
          <w:bCs/>
          <w:color w:val="auto"/>
          <w:sz w:val="52"/>
          <w:szCs w:val="52"/>
          <w:highlight w:val="none"/>
          <w:lang w:val="en-US" w:eastAsia="zh-CN"/>
        </w:rPr>
        <w:t>峨边彝族自治县综合行政执法局2024年</w:t>
      </w:r>
      <w:r>
        <w:rPr>
          <w:rFonts w:hint="default"/>
          <w:b/>
          <w:bCs/>
          <w:color w:val="auto"/>
          <w:sz w:val="52"/>
          <w:szCs w:val="52"/>
          <w:highlight w:val="none"/>
          <w:lang w:val="en-US" w:eastAsia="zh-CN"/>
        </w:rPr>
        <w:t>部门预算情况说明</w:t>
      </w:r>
    </w:p>
    <w:p>
      <w:pPr>
        <w:rPr>
          <w:rFonts w:hint="default"/>
          <w:b/>
          <w:bCs/>
          <w:color w:val="auto"/>
          <w:sz w:val="52"/>
          <w:szCs w:val="52"/>
          <w:highlight w:val="none"/>
          <w:lang w:val="en-US" w:eastAsia="zh-CN"/>
        </w:rPr>
      </w:pPr>
      <w:r>
        <w:rPr>
          <w:rFonts w:hint="default"/>
          <w:b/>
          <w:bCs/>
          <w:color w:val="auto"/>
          <w:sz w:val="52"/>
          <w:szCs w:val="52"/>
          <w:highlight w:val="none"/>
          <w:lang w:val="en-US" w:eastAsia="zh-CN"/>
        </w:rPr>
        <w:br w:type="page"/>
      </w:r>
    </w:p>
    <w:p>
      <w:pPr>
        <w:keepNext w:val="0"/>
        <w:keepLines w:val="0"/>
        <w:pageBreakBefore w:val="0"/>
        <w:widowControl/>
        <w:shd w:val="clear" w:color="auto" w:fill="FFFFFF"/>
        <w:kinsoku/>
        <w:wordWrap/>
        <w:overflowPunct/>
        <w:autoSpaceDE/>
        <w:autoSpaceDN/>
        <w:bidi w:val="0"/>
        <w:adjustRightInd/>
        <w:snapToGrid/>
        <w:spacing w:line="440" w:lineRule="atLeast"/>
        <w:ind w:firstLine="643" w:firstLineChars="200"/>
        <w:jc w:val="left"/>
        <w:textAlignment w:val="auto"/>
        <w:rPr>
          <w:rFonts w:hint="eastAsia" w:ascii="FangSong" w:hAnsi="FangSong" w:eastAsia="FangSong" w:cs="SimSun"/>
          <w:b/>
          <w:color w:val="auto"/>
          <w:kern w:val="0"/>
          <w:sz w:val="32"/>
          <w:szCs w:val="32"/>
          <w:highlight w:val="none"/>
          <w:lang w:val="en-US" w:eastAsia="zh-CN"/>
        </w:rPr>
      </w:pPr>
      <w:r>
        <w:rPr>
          <w:rFonts w:hint="eastAsia" w:ascii="FangSong" w:hAnsi="FangSong" w:eastAsia="FangSong" w:cs="SimSun"/>
          <w:b/>
          <w:color w:val="auto"/>
          <w:kern w:val="0"/>
          <w:sz w:val="32"/>
          <w:szCs w:val="32"/>
          <w:highlight w:val="none"/>
          <w:lang w:val="en-US" w:eastAsia="zh-CN"/>
        </w:rPr>
        <w:t>一、收支预算情况说明</w:t>
      </w:r>
    </w:p>
    <w:p>
      <w:pPr>
        <w:bidi w:val="0"/>
        <w:spacing w:line="600" w:lineRule="exact"/>
        <w:ind w:firstLine="640" w:firstLineChars="200"/>
        <w:jc w:val="left"/>
        <w:rPr>
          <w:rFonts w:hint="eastAsia" w:eastAsia="FangSong" w:asciiTheme="minorAscii" w:hAnsiTheme="minorAscii"/>
          <w:sz w:val="32"/>
          <w:lang w:eastAsia="zh-CN"/>
        </w:rPr>
      </w:pPr>
      <w:r>
        <w:rPr>
          <w:rFonts w:hint="default" w:eastAsia="FangSong" w:asciiTheme="minorAscii" w:hAnsiTheme="minorAscii"/>
          <w:sz w:val="32"/>
          <w:lang w:val="en-US" w:eastAsia="zh-CN"/>
        </w:rPr>
        <w:t>按照综合预算的原则，</w:t>
      </w:r>
      <w:r>
        <w:rPr>
          <w:rFonts w:hint="eastAsia" w:eastAsia="FangSong" w:asciiTheme="minorAscii" w:hAnsiTheme="minorAscii"/>
          <w:sz w:val="32"/>
          <w:lang w:eastAsia="zh-CN"/>
        </w:rPr>
        <w:t>综合行政执法局</w:t>
      </w:r>
      <w:r>
        <w:rPr>
          <w:rFonts w:hint="default" w:eastAsia="FangSong" w:asciiTheme="minorAscii" w:hAnsiTheme="minorAscii"/>
          <w:sz w:val="32"/>
          <w:lang w:val="en-US" w:eastAsia="zh-CN"/>
        </w:rPr>
        <w:t>所有收入和支出均纳入部门预算管理。收入包括：一般公共预算拨款收入</w:t>
      </w:r>
      <w:r>
        <w:rPr>
          <w:rFonts w:hint="eastAsia" w:eastAsia="FangSong" w:asciiTheme="minorAscii" w:hAnsiTheme="minorAscii"/>
          <w:sz w:val="32"/>
          <w:lang w:val="en-US" w:eastAsia="zh-CN"/>
        </w:rPr>
        <w:t>、政府性基金拨款预算收入、上年结转</w:t>
      </w:r>
      <w:r>
        <w:rPr>
          <w:rFonts w:hint="default" w:eastAsia="FangSong" w:asciiTheme="minorAscii" w:hAnsiTheme="minorAscii"/>
          <w:sz w:val="32"/>
          <w:lang w:val="en-US" w:eastAsia="zh-CN"/>
        </w:rPr>
        <w:t>；支出包括：社会保障和就业支出、卫生健康支出、</w:t>
      </w:r>
      <w:r>
        <w:rPr>
          <w:rFonts w:hint="eastAsia" w:eastAsia="FangSong" w:asciiTheme="minorAscii" w:hAnsiTheme="minorAscii"/>
          <w:sz w:val="32"/>
          <w:lang w:val="en-US" w:eastAsia="zh-CN"/>
        </w:rPr>
        <w:t>城乡社区支出、</w:t>
      </w:r>
      <w:r>
        <w:rPr>
          <w:rFonts w:hint="default" w:eastAsia="FangSong" w:asciiTheme="minorAscii" w:hAnsiTheme="minorAscii"/>
          <w:sz w:val="32"/>
          <w:lang w:val="en-US" w:eastAsia="zh-CN"/>
        </w:rPr>
        <w:t>住房保障支出。</w:t>
      </w:r>
      <w:r>
        <w:rPr>
          <w:rFonts w:hint="eastAsia" w:eastAsia="FangSong" w:asciiTheme="minorAscii" w:hAnsiTheme="minorAscii"/>
          <w:sz w:val="32"/>
          <w:lang w:eastAsia="zh-CN"/>
        </w:rPr>
        <w:t>综合行政执法局202</w:t>
      </w:r>
      <w:r>
        <w:rPr>
          <w:rFonts w:hint="eastAsia" w:eastAsia="FangSong" w:asciiTheme="minorAscii" w:hAnsiTheme="minorAscii"/>
          <w:sz w:val="32"/>
          <w:lang w:val="en-US" w:eastAsia="zh-CN"/>
        </w:rPr>
        <w:t>4</w:t>
      </w:r>
      <w:r>
        <w:rPr>
          <w:rFonts w:hint="eastAsia" w:eastAsia="FangSong" w:asciiTheme="minorAscii" w:hAnsiTheme="minorAscii"/>
          <w:sz w:val="32"/>
          <w:lang w:eastAsia="zh-CN"/>
        </w:rPr>
        <w:t>年收支总预算</w:t>
      </w:r>
      <w:r>
        <w:rPr>
          <w:rFonts w:hint="eastAsia" w:eastAsia="FangSong" w:asciiTheme="minorAscii" w:hAnsiTheme="minorAscii"/>
          <w:sz w:val="32"/>
          <w:lang w:val="en-US" w:eastAsia="zh-CN"/>
        </w:rPr>
        <w:t>2547.6</w:t>
      </w:r>
      <w:r>
        <w:rPr>
          <w:rFonts w:hint="eastAsia" w:eastAsia="FangSong" w:asciiTheme="minorAscii" w:hAnsiTheme="minorAscii"/>
          <w:sz w:val="32"/>
          <w:lang w:eastAsia="zh-CN"/>
        </w:rPr>
        <w:t>万元，比202</w:t>
      </w:r>
      <w:r>
        <w:rPr>
          <w:rFonts w:hint="eastAsia" w:eastAsia="FangSong" w:asciiTheme="minorAscii" w:hAnsiTheme="minorAscii"/>
          <w:sz w:val="32"/>
          <w:lang w:val="en-US" w:eastAsia="zh-CN"/>
        </w:rPr>
        <w:t>3</w:t>
      </w:r>
      <w:r>
        <w:rPr>
          <w:rFonts w:hint="eastAsia" w:eastAsia="FangSong" w:asciiTheme="minorAscii" w:hAnsiTheme="minorAscii"/>
          <w:sz w:val="32"/>
          <w:lang w:eastAsia="zh-CN"/>
        </w:rPr>
        <w:t>年收支预算总数</w:t>
      </w:r>
      <w:r>
        <w:rPr>
          <w:rFonts w:hint="eastAsia" w:eastAsia="FangSong" w:asciiTheme="minorAscii" w:hAnsiTheme="minorAscii"/>
          <w:sz w:val="32"/>
          <w:lang w:val="en-US" w:eastAsia="zh-CN"/>
        </w:rPr>
        <w:t>减少</w:t>
      </w:r>
      <w:r>
        <w:rPr>
          <w:rFonts w:hint="eastAsia" w:eastAsia="FangSong" w:asciiTheme="minorAscii" w:hAnsiTheme="minorAscii"/>
          <w:sz w:val="32"/>
          <w:highlight w:val="none"/>
          <w:lang w:val="en-US" w:eastAsia="zh-CN"/>
        </w:rPr>
        <w:t>652.02</w:t>
      </w:r>
      <w:r>
        <w:rPr>
          <w:rFonts w:hint="eastAsia" w:eastAsia="FangSong" w:asciiTheme="minorAscii" w:hAnsiTheme="minorAscii"/>
          <w:sz w:val="32"/>
          <w:lang w:eastAsia="zh-CN"/>
        </w:rPr>
        <w:t>万元，主要是由于项目经费预算</w:t>
      </w:r>
      <w:r>
        <w:rPr>
          <w:rFonts w:hint="eastAsia" w:eastAsia="FangSong" w:asciiTheme="minorAscii" w:hAnsiTheme="minorAscii"/>
          <w:sz w:val="32"/>
          <w:lang w:val="en-US" w:eastAsia="zh-CN"/>
        </w:rPr>
        <w:t>减少</w:t>
      </w:r>
      <w:r>
        <w:rPr>
          <w:rFonts w:hint="eastAsia" w:eastAsia="FangSong" w:asciiTheme="minorAscii" w:hAnsiTheme="minorAscii"/>
          <w:sz w:val="32"/>
          <w:lang w:eastAsia="zh-CN"/>
        </w:rPr>
        <w:t>。</w:t>
      </w:r>
      <w:bookmarkStart w:id="0" w:name="_GoBack"/>
      <w:bookmarkEnd w:id="0"/>
    </w:p>
    <w:p>
      <w:pPr>
        <w:bidi w:val="0"/>
        <w:spacing w:line="600" w:lineRule="exact"/>
        <w:ind w:firstLine="640" w:firstLineChars="200"/>
        <w:jc w:val="left"/>
        <w:rPr>
          <w:rFonts w:hint="eastAsia" w:eastAsia="FangSong" w:asciiTheme="minorAscii" w:hAnsiTheme="minorAscii"/>
          <w:sz w:val="32"/>
          <w:lang w:eastAsia="zh-CN"/>
        </w:rPr>
      </w:pPr>
      <w:r>
        <w:rPr>
          <w:rFonts w:hint="eastAsia" w:eastAsia="FangSong" w:asciiTheme="minorAscii" w:hAnsiTheme="minorAscii"/>
          <w:sz w:val="32"/>
          <w:lang w:eastAsia="zh-CN"/>
        </w:rPr>
        <w:t>（一）收入预算情况</w:t>
      </w:r>
    </w:p>
    <w:p>
      <w:pPr>
        <w:bidi w:val="0"/>
        <w:spacing w:line="600" w:lineRule="exact"/>
        <w:ind w:firstLine="640" w:firstLineChars="200"/>
        <w:jc w:val="left"/>
        <w:rPr>
          <w:rFonts w:hint="eastAsia" w:eastAsia="FangSong" w:asciiTheme="minorAscii" w:hAnsiTheme="minorAscii"/>
          <w:sz w:val="32"/>
          <w:lang w:eastAsia="zh-CN"/>
        </w:rPr>
      </w:pPr>
      <w:r>
        <w:rPr>
          <w:rFonts w:hint="eastAsia" w:eastAsia="FangSong" w:asciiTheme="minorAscii" w:hAnsiTheme="minorAscii"/>
          <w:sz w:val="32"/>
          <w:lang w:eastAsia="zh-CN"/>
        </w:rPr>
        <w:t>综合行政执法局 2024年收入预算</w:t>
      </w:r>
      <w:r>
        <w:rPr>
          <w:rFonts w:hint="eastAsia" w:eastAsia="FangSong" w:asciiTheme="minorAscii" w:hAnsiTheme="minorAscii"/>
          <w:sz w:val="32"/>
          <w:lang w:val="en-US" w:eastAsia="zh-CN"/>
        </w:rPr>
        <w:t>2547.6</w:t>
      </w:r>
      <w:r>
        <w:rPr>
          <w:rFonts w:hint="eastAsia" w:eastAsia="FangSong" w:asciiTheme="minorAscii" w:hAnsiTheme="minorAscii"/>
          <w:sz w:val="32"/>
          <w:lang w:eastAsia="zh-CN"/>
        </w:rPr>
        <w:t>万元，其中：上年结转252万元，占</w:t>
      </w:r>
      <w:r>
        <w:rPr>
          <w:rFonts w:hint="eastAsia" w:eastAsia="FangSong" w:asciiTheme="minorAscii" w:hAnsiTheme="minorAscii"/>
          <w:sz w:val="32"/>
          <w:lang w:val="en-US" w:eastAsia="zh-CN"/>
        </w:rPr>
        <w:t>9.9</w:t>
      </w:r>
      <w:r>
        <w:rPr>
          <w:rFonts w:hint="eastAsia" w:eastAsia="FangSong" w:asciiTheme="minorAscii" w:hAnsiTheme="minorAscii"/>
          <w:sz w:val="32"/>
          <w:lang w:eastAsia="zh-CN"/>
        </w:rPr>
        <w:t>%；一般公共预算拨款收入</w:t>
      </w:r>
      <w:r>
        <w:rPr>
          <w:rFonts w:hint="eastAsia" w:eastAsia="FangSong" w:asciiTheme="minorAscii" w:hAnsiTheme="minorAscii"/>
          <w:sz w:val="32"/>
          <w:lang w:val="en-US" w:eastAsia="zh-CN"/>
        </w:rPr>
        <w:t>2295.6</w:t>
      </w:r>
      <w:r>
        <w:rPr>
          <w:rFonts w:hint="eastAsia" w:eastAsia="FangSong" w:asciiTheme="minorAscii" w:hAnsiTheme="minorAscii"/>
          <w:sz w:val="32"/>
          <w:lang w:eastAsia="zh-CN"/>
        </w:rPr>
        <w:t>万元，占</w:t>
      </w:r>
      <w:r>
        <w:rPr>
          <w:rFonts w:hint="eastAsia" w:eastAsia="FangSong" w:asciiTheme="minorAscii" w:hAnsiTheme="minorAscii"/>
          <w:sz w:val="32"/>
          <w:lang w:val="en-US" w:eastAsia="zh-CN"/>
        </w:rPr>
        <w:t>90.1</w:t>
      </w:r>
      <w:r>
        <w:rPr>
          <w:rFonts w:hint="eastAsia" w:eastAsia="FangSong" w:asciiTheme="minorAscii" w:hAnsiTheme="minorAscii"/>
          <w:sz w:val="32"/>
          <w:lang w:eastAsia="zh-CN"/>
        </w:rPr>
        <w:t>%。</w:t>
      </w:r>
    </w:p>
    <w:p>
      <w:pPr>
        <w:bidi w:val="0"/>
        <w:spacing w:line="600" w:lineRule="exact"/>
        <w:ind w:firstLine="640" w:firstLineChars="200"/>
        <w:jc w:val="left"/>
        <w:rPr>
          <w:rFonts w:hint="eastAsia" w:eastAsia="FangSong" w:asciiTheme="minorAscii" w:hAnsiTheme="minorAscii"/>
          <w:sz w:val="32"/>
          <w:lang w:eastAsia="zh-CN"/>
        </w:rPr>
      </w:pPr>
      <w:r>
        <w:rPr>
          <w:rFonts w:hint="eastAsia" w:eastAsia="FangSong" w:asciiTheme="minorAscii" w:hAnsiTheme="minorAscii"/>
          <w:sz w:val="32"/>
          <w:lang w:eastAsia="zh-CN"/>
        </w:rPr>
        <w:t>（二）支出预算情况</w:t>
      </w:r>
    </w:p>
    <w:p>
      <w:pPr>
        <w:bidi w:val="0"/>
        <w:spacing w:line="600" w:lineRule="exact"/>
        <w:ind w:firstLine="640" w:firstLineChars="200"/>
        <w:jc w:val="left"/>
        <w:rPr>
          <w:rFonts w:hint="eastAsia" w:eastAsia="FangSong" w:asciiTheme="minorAscii" w:hAnsiTheme="minorAscii"/>
          <w:sz w:val="32"/>
          <w:lang w:eastAsia="zh-CN"/>
        </w:rPr>
      </w:pPr>
      <w:r>
        <w:rPr>
          <w:rFonts w:hint="eastAsia" w:eastAsia="FangSong" w:asciiTheme="minorAscii" w:hAnsiTheme="minorAscii"/>
          <w:sz w:val="32"/>
          <w:lang w:eastAsia="zh-CN"/>
        </w:rPr>
        <w:t>综合行政执法局 2024年支出预算</w:t>
      </w:r>
      <w:r>
        <w:rPr>
          <w:rFonts w:hint="eastAsia" w:eastAsia="FangSong" w:asciiTheme="minorAscii" w:hAnsiTheme="minorAscii"/>
          <w:sz w:val="32"/>
          <w:lang w:val="en-US" w:eastAsia="zh-CN"/>
        </w:rPr>
        <w:t>2547.6</w:t>
      </w:r>
      <w:r>
        <w:rPr>
          <w:rFonts w:hint="eastAsia" w:eastAsia="FangSong" w:asciiTheme="minorAscii" w:hAnsiTheme="minorAscii"/>
          <w:sz w:val="32"/>
          <w:lang w:eastAsia="zh-CN"/>
        </w:rPr>
        <w:t>万元，其中：基本支出</w:t>
      </w:r>
      <w:r>
        <w:rPr>
          <w:rFonts w:hint="eastAsia" w:eastAsia="FangSong" w:asciiTheme="minorAscii" w:hAnsiTheme="minorAscii"/>
          <w:sz w:val="32"/>
          <w:lang w:val="en-US" w:eastAsia="zh-CN"/>
        </w:rPr>
        <w:t>675.6</w:t>
      </w:r>
      <w:r>
        <w:rPr>
          <w:rFonts w:hint="eastAsia" w:eastAsia="FangSong" w:asciiTheme="minorAscii" w:hAnsiTheme="minorAscii"/>
          <w:sz w:val="32"/>
          <w:lang w:eastAsia="zh-CN"/>
        </w:rPr>
        <w:t xml:space="preserve">，占 </w:t>
      </w:r>
      <w:r>
        <w:rPr>
          <w:rFonts w:hint="eastAsia" w:eastAsia="FangSong" w:asciiTheme="minorAscii" w:hAnsiTheme="minorAscii"/>
          <w:sz w:val="32"/>
          <w:lang w:val="en-US" w:eastAsia="zh-CN"/>
        </w:rPr>
        <w:t>26.5</w:t>
      </w:r>
      <w:r>
        <w:rPr>
          <w:rFonts w:hint="eastAsia" w:eastAsia="FangSong" w:asciiTheme="minorAscii" w:hAnsiTheme="minorAscii"/>
          <w:sz w:val="32"/>
          <w:lang w:eastAsia="zh-CN"/>
        </w:rPr>
        <w:t>%；项目支出</w:t>
      </w:r>
      <w:r>
        <w:rPr>
          <w:rFonts w:hint="eastAsia" w:eastAsia="FangSong" w:asciiTheme="minorAscii" w:hAnsiTheme="minorAscii"/>
          <w:sz w:val="32"/>
          <w:lang w:val="en-US" w:eastAsia="zh-CN"/>
        </w:rPr>
        <w:t>1872</w:t>
      </w:r>
      <w:r>
        <w:rPr>
          <w:rFonts w:hint="eastAsia" w:eastAsia="FangSong" w:asciiTheme="minorAscii" w:hAnsiTheme="minorAscii"/>
          <w:sz w:val="32"/>
          <w:lang w:eastAsia="zh-CN"/>
        </w:rPr>
        <w:t>万元，占</w:t>
      </w:r>
      <w:r>
        <w:rPr>
          <w:rFonts w:hint="eastAsia" w:eastAsia="FangSong" w:asciiTheme="minorAscii" w:hAnsiTheme="minorAscii"/>
          <w:sz w:val="32"/>
          <w:lang w:val="en-US" w:eastAsia="zh-CN"/>
        </w:rPr>
        <w:t>73.5</w:t>
      </w:r>
      <w:r>
        <w:rPr>
          <w:rFonts w:hint="eastAsia" w:eastAsia="FangSong" w:asciiTheme="minorAscii" w:hAnsiTheme="minorAscii"/>
          <w:sz w:val="32"/>
          <w:lang w:eastAsia="zh-CN"/>
        </w:rPr>
        <w:t>%。</w:t>
      </w:r>
    </w:p>
    <w:p>
      <w:pPr>
        <w:keepNext w:val="0"/>
        <w:keepLines w:val="0"/>
        <w:pageBreakBefore w:val="0"/>
        <w:widowControl/>
        <w:shd w:val="clear" w:color="auto" w:fill="FFFFFF"/>
        <w:kinsoku/>
        <w:wordWrap/>
        <w:overflowPunct/>
        <w:autoSpaceDE/>
        <w:autoSpaceDN/>
        <w:bidi w:val="0"/>
        <w:adjustRightInd/>
        <w:snapToGrid/>
        <w:spacing w:line="440" w:lineRule="atLeast"/>
        <w:ind w:firstLine="643" w:firstLineChars="200"/>
        <w:jc w:val="left"/>
        <w:textAlignment w:val="auto"/>
        <w:rPr>
          <w:rFonts w:hint="eastAsia" w:ascii="FangSong" w:hAnsi="FangSong" w:eastAsia="FangSong" w:cs="SimSun"/>
          <w:b/>
          <w:color w:val="auto"/>
          <w:kern w:val="0"/>
          <w:sz w:val="32"/>
          <w:szCs w:val="32"/>
          <w:highlight w:val="none"/>
          <w:lang w:val="en-US" w:eastAsia="zh-CN"/>
        </w:rPr>
      </w:pPr>
      <w:r>
        <w:rPr>
          <w:rFonts w:hint="eastAsia" w:ascii="FangSong" w:hAnsi="FangSong" w:eastAsia="FangSong" w:cs="SimSun"/>
          <w:b/>
          <w:color w:val="auto"/>
          <w:kern w:val="0"/>
          <w:sz w:val="32"/>
          <w:szCs w:val="32"/>
          <w:highlight w:val="none"/>
          <w:lang w:val="en-US" w:eastAsia="zh-CN"/>
        </w:rPr>
        <w:t>二、财政拨款收支预算情况说明</w:t>
      </w:r>
    </w:p>
    <w:p>
      <w:pPr>
        <w:bidi w:val="0"/>
        <w:spacing w:line="600" w:lineRule="exact"/>
        <w:ind w:firstLine="640" w:firstLineChars="200"/>
        <w:jc w:val="left"/>
        <w:rPr>
          <w:rFonts w:hint="eastAsia" w:eastAsia="FangSong" w:asciiTheme="minorAscii" w:hAnsiTheme="minorAscii"/>
          <w:sz w:val="32"/>
          <w:highlight w:val="none"/>
          <w:lang w:eastAsia="zh-CN"/>
        </w:rPr>
      </w:pPr>
      <w:r>
        <w:rPr>
          <w:rFonts w:hint="eastAsia" w:eastAsia="FangSong" w:asciiTheme="minorAscii" w:hAnsiTheme="minorAscii"/>
          <w:sz w:val="32"/>
          <w:lang w:eastAsia="zh-CN"/>
        </w:rPr>
        <w:t>综合行政执法局 2024年财政拨款收支预算总数</w:t>
      </w:r>
      <w:r>
        <w:rPr>
          <w:rFonts w:hint="eastAsia" w:eastAsia="FangSong" w:asciiTheme="minorAscii" w:hAnsiTheme="minorAscii"/>
          <w:sz w:val="32"/>
          <w:lang w:val="en-US" w:eastAsia="zh-CN"/>
        </w:rPr>
        <w:t>2547.6</w:t>
      </w:r>
      <w:r>
        <w:rPr>
          <w:rFonts w:hint="eastAsia" w:eastAsia="FangSong" w:asciiTheme="minorAscii" w:hAnsiTheme="minorAscii"/>
          <w:sz w:val="32"/>
          <w:lang w:eastAsia="zh-CN"/>
        </w:rPr>
        <w:t>万元，比 20</w:t>
      </w:r>
      <w:r>
        <w:rPr>
          <w:rFonts w:hint="eastAsia" w:eastAsia="FangSong" w:asciiTheme="minorAscii" w:hAnsiTheme="minorAscii"/>
          <w:sz w:val="32"/>
          <w:lang w:val="en-US" w:eastAsia="zh-CN"/>
        </w:rPr>
        <w:t>23</w:t>
      </w:r>
      <w:r>
        <w:rPr>
          <w:rFonts w:hint="eastAsia" w:eastAsia="FangSong" w:asciiTheme="minorAscii" w:hAnsiTheme="minorAscii"/>
          <w:sz w:val="32"/>
          <w:lang w:eastAsia="zh-CN"/>
        </w:rPr>
        <w:t xml:space="preserve"> 年财政拨款收支预算总数 </w:t>
      </w:r>
      <w:r>
        <w:rPr>
          <w:rFonts w:hint="eastAsia" w:eastAsia="FangSong" w:asciiTheme="minorAscii" w:hAnsiTheme="minorAscii"/>
          <w:sz w:val="32"/>
          <w:lang w:val="en-US" w:eastAsia="zh-CN"/>
        </w:rPr>
        <w:t>3199.62</w:t>
      </w:r>
      <w:r>
        <w:rPr>
          <w:rFonts w:hint="eastAsia" w:eastAsia="FangSong" w:asciiTheme="minorAscii" w:hAnsiTheme="minorAscii"/>
          <w:sz w:val="32"/>
          <w:lang w:eastAsia="zh-CN"/>
        </w:rPr>
        <w:t>万元</w:t>
      </w:r>
      <w:r>
        <w:rPr>
          <w:rFonts w:hint="eastAsia" w:eastAsia="FangSong" w:asciiTheme="minorAscii" w:hAnsiTheme="minorAscii"/>
          <w:sz w:val="32"/>
          <w:lang w:val="en-US" w:eastAsia="zh-CN"/>
        </w:rPr>
        <w:t>减少</w:t>
      </w:r>
      <w:r>
        <w:commentReference w:id="0"/>
      </w:r>
      <w:r>
        <w:rPr>
          <w:rFonts w:hint="eastAsia" w:eastAsia="FangSong" w:asciiTheme="minorAscii" w:hAnsiTheme="minorAscii"/>
          <w:sz w:val="32"/>
          <w:lang w:val="en-US" w:eastAsia="zh-CN"/>
        </w:rPr>
        <w:t>652.02</w:t>
      </w:r>
      <w:r>
        <w:rPr>
          <w:rFonts w:hint="eastAsia" w:eastAsia="FangSong" w:asciiTheme="minorAscii" w:hAnsiTheme="minorAscii"/>
          <w:sz w:val="32"/>
          <w:lang w:eastAsia="zh-CN"/>
        </w:rPr>
        <w:t>万元，主要原因是</w:t>
      </w:r>
      <w:r>
        <w:rPr>
          <w:rFonts w:hint="eastAsia" w:eastAsia="FangSong" w:asciiTheme="minorAscii" w:hAnsiTheme="minorAscii"/>
          <w:sz w:val="32"/>
          <w:lang w:val="en-US" w:eastAsia="zh-CN"/>
        </w:rPr>
        <w:t>有部分项目经费减少。</w:t>
      </w:r>
      <w:r>
        <w:rPr>
          <w:rFonts w:hint="eastAsia" w:eastAsia="FangSong" w:asciiTheme="minorAscii" w:hAnsiTheme="minorAscii"/>
          <w:sz w:val="32"/>
          <w:lang w:eastAsia="zh-CN"/>
        </w:rPr>
        <w:t>收入包括：本年一般公共预算拨款收入</w:t>
      </w:r>
      <w:r>
        <w:rPr>
          <w:rFonts w:hint="eastAsia" w:eastAsia="FangSong" w:asciiTheme="minorAscii" w:hAnsiTheme="minorAscii"/>
          <w:sz w:val="32"/>
          <w:lang w:val="en-US" w:eastAsia="zh-CN"/>
        </w:rPr>
        <w:t>2295.6</w:t>
      </w:r>
      <w:r>
        <w:rPr>
          <w:rFonts w:hint="eastAsia" w:eastAsia="FangSong" w:asciiTheme="minorAscii" w:hAnsiTheme="minorAscii"/>
          <w:sz w:val="32"/>
          <w:lang w:eastAsia="zh-CN"/>
        </w:rPr>
        <w:t>万元、上年结转</w:t>
      </w:r>
      <w:r>
        <w:rPr>
          <w:rFonts w:hint="eastAsia" w:eastAsia="FangSong" w:asciiTheme="minorAscii" w:hAnsiTheme="minorAscii"/>
          <w:sz w:val="32"/>
          <w:lang w:val="en-US" w:eastAsia="zh-CN"/>
        </w:rPr>
        <w:t>252</w:t>
      </w:r>
      <w:r>
        <w:rPr>
          <w:rFonts w:hint="eastAsia" w:eastAsia="FangSong" w:asciiTheme="minorAscii" w:hAnsiTheme="minorAscii"/>
          <w:sz w:val="32"/>
          <w:lang w:eastAsia="zh-CN"/>
        </w:rPr>
        <w:t>万元；支出包括： 机关事业单位基本养老保险缴费支出</w:t>
      </w:r>
      <w:r>
        <w:rPr>
          <w:rFonts w:hint="eastAsia" w:eastAsia="FangSong" w:asciiTheme="minorAscii" w:hAnsiTheme="minorAscii"/>
          <w:sz w:val="32"/>
          <w:lang w:val="en-US" w:eastAsia="zh-CN"/>
        </w:rPr>
        <w:t>62.47万元， 机关事业单位职业年金缴费支出31.24万元</w:t>
      </w:r>
      <w:r>
        <w:rPr>
          <w:rFonts w:hint="eastAsia" w:eastAsia="FangSong" w:asciiTheme="minorAscii" w:hAnsiTheme="minorAscii"/>
          <w:sz w:val="32"/>
          <w:highlight w:val="none"/>
          <w:lang w:val="en-US" w:eastAsia="zh-CN"/>
        </w:rPr>
        <w:t>，</w:t>
      </w:r>
      <w:r>
        <w:rPr>
          <w:rFonts w:hint="eastAsia" w:eastAsia="FangSong" w:asciiTheme="minorAscii" w:hAnsiTheme="minorAscii"/>
          <w:sz w:val="32"/>
          <w:highlight w:val="none"/>
          <w:lang w:eastAsia="zh-CN"/>
        </w:rPr>
        <w:t> 其他社会保障和就业支出</w:t>
      </w:r>
      <w:r>
        <w:rPr>
          <w:rFonts w:hint="eastAsia" w:eastAsia="FangSong" w:asciiTheme="minorAscii" w:hAnsiTheme="minorAscii"/>
          <w:sz w:val="32"/>
          <w:highlight w:val="none"/>
          <w:lang w:val="en-US" w:eastAsia="zh-CN"/>
        </w:rPr>
        <w:t>5.09</w:t>
      </w:r>
      <w:r>
        <w:rPr>
          <w:rFonts w:hint="eastAsia" w:eastAsia="FangSong" w:asciiTheme="minorAscii" w:hAnsiTheme="minorAscii"/>
          <w:sz w:val="32"/>
          <w:highlight w:val="none"/>
          <w:lang w:eastAsia="zh-CN"/>
        </w:rPr>
        <w:t>万元、 行政单位医疗</w:t>
      </w:r>
      <w:r>
        <w:rPr>
          <w:rFonts w:hint="eastAsia" w:eastAsia="FangSong" w:asciiTheme="minorAscii" w:hAnsiTheme="minorAscii"/>
          <w:sz w:val="32"/>
          <w:highlight w:val="none"/>
          <w:lang w:val="en-US" w:eastAsia="zh-CN"/>
        </w:rPr>
        <w:t>23.82万元， 城管执法622.5万元， 城乡社区环境卫生1500万元，</w:t>
      </w:r>
      <w:r>
        <w:rPr>
          <w:rFonts w:hint="eastAsia" w:eastAsia="FangSong" w:asciiTheme="minorAscii" w:hAnsiTheme="minorAscii"/>
          <w:sz w:val="32"/>
          <w:highlight w:val="none"/>
          <w:lang w:eastAsia="zh-CN"/>
        </w:rPr>
        <w:t>住房保障支</w:t>
      </w:r>
      <w:r>
        <w:rPr>
          <w:highlight w:val="none"/>
        </w:rPr>
        <w:commentReference w:id="1"/>
      </w:r>
      <w:r>
        <w:rPr>
          <w:rFonts w:hint="eastAsia" w:eastAsia="FangSong" w:asciiTheme="minorAscii" w:hAnsiTheme="minorAscii"/>
          <w:sz w:val="32"/>
          <w:highlight w:val="none"/>
          <w:lang w:eastAsia="zh-CN"/>
        </w:rPr>
        <w:t>出</w:t>
      </w:r>
      <w:r>
        <w:rPr>
          <w:rFonts w:hint="eastAsia" w:eastAsia="FangSong" w:asciiTheme="minorAscii" w:hAnsiTheme="minorAscii"/>
          <w:sz w:val="32"/>
          <w:highlight w:val="none"/>
          <w:lang w:val="en-US" w:eastAsia="zh-CN"/>
        </w:rPr>
        <w:t>50.48</w:t>
      </w:r>
      <w:r>
        <w:rPr>
          <w:rFonts w:hint="eastAsia" w:eastAsia="FangSong" w:asciiTheme="minorAscii" w:hAnsiTheme="minorAscii"/>
          <w:sz w:val="32"/>
          <w:highlight w:val="none"/>
          <w:lang w:eastAsia="zh-CN"/>
        </w:rPr>
        <w:t>万元 。</w:t>
      </w:r>
    </w:p>
    <w:p>
      <w:pPr>
        <w:bidi w:val="0"/>
        <w:spacing w:line="600" w:lineRule="exact"/>
        <w:ind w:firstLine="643" w:firstLineChars="200"/>
        <w:jc w:val="left"/>
        <w:rPr>
          <w:rFonts w:hint="eastAsia" w:eastAsia="FangSong" w:asciiTheme="minorAscii" w:hAnsiTheme="minorAscii"/>
          <w:sz w:val="32"/>
          <w:lang w:eastAsia="zh-CN"/>
        </w:rPr>
      </w:pPr>
      <w:r>
        <w:rPr>
          <w:rFonts w:hint="eastAsia" w:ascii="FangSong" w:hAnsi="FangSong" w:eastAsia="FangSong" w:cs="SimSun"/>
          <w:b/>
          <w:color w:val="auto"/>
          <w:kern w:val="0"/>
          <w:sz w:val="32"/>
          <w:szCs w:val="32"/>
          <w:highlight w:val="none"/>
          <w:lang w:eastAsia="zh-CN"/>
        </w:rPr>
        <w:t>三、</w:t>
      </w:r>
      <w:r>
        <w:rPr>
          <w:rFonts w:hint="eastAsia" w:ascii="FangSong" w:hAnsi="FangSong" w:eastAsia="FangSong" w:cs="SimSun"/>
          <w:b/>
          <w:color w:val="auto"/>
          <w:kern w:val="0"/>
          <w:sz w:val="32"/>
          <w:szCs w:val="32"/>
          <w:highlight w:val="none"/>
        </w:rPr>
        <w:t>一般公共预算当年拨款情况说明</w:t>
      </w:r>
      <w:r>
        <w:rPr>
          <w:rFonts w:ascii="FangSong" w:hAnsi="FangSong" w:eastAsia="FangSong" w:cs="SimSun"/>
          <w:b/>
          <w:color w:val="auto"/>
          <w:kern w:val="0"/>
          <w:sz w:val="32"/>
          <w:szCs w:val="32"/>
          <w:highlight w:val="none"/>
        </w:rPr>
        <w:br w:type="textWrapping"/>
      </w:r>
      <w:r>
        <w:rPr>
          <w:rFonts w:hint="eastAsia" w:ascii="FangSong" w:hAnsi="FangSong" w:eastAsia="FangSong" w:cs="SimSun"/>
          <w:color w:val="auto"/>
          <w:kern w:val="0"/>
          <w:sz w:val="32"/>
          <w:szCs w:val="32"/>
          <w:highlight w:val="none"/>
        </w:rPr>
        <w:t>　（</w:t>
      </w:r>
      <w:r>
        <w:rPr>
          <w:rFonts w:hint="eastAsia" w:eastAsia="FangSong" w:asciiTheme="minorAscii" w:hAnsiTheme="minorAscii"/>
          <w:sz w:val="32"/>
          <w:lang w:eastAsia="zh-CN"/>
        </w:rPr>
        <w:t>一）一般公共预算当年拨款规模及变化情况。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综合行政执法局202</w:t>
      </w:r>
      <w:r>
        <w:rPr>
          <w:rFonts w:hint="eastAsia" w:eastAsia="FangSong" w:asciiTheme="minorAscii" w:hAnsiTheme="minorAscii"/>
          <w:sz w:val="32"/>
          <w:lang w:val="en-US" w:eastAsia="zh-CN"/>
        </w:rPr>
        <w:t>4</w:t>
      </w:r>
      <w:r>
        <w:rPr>
          <w:rFonts w:hint="eastAsia" w:eastAsia="FangSong" w:asciiTheme="minorAscii" w:hAnsiTheme="minorAscii"/>
          <w:sz w:val="32"/>
          <w:lang w:eastAsia="zh-CN"/>
        </w:rPr>
        <w:t>年一般公共预算当年拨款</w:t>
      </w:r>
      <w:r>
        <w:rPr>
          <w:rFonts w:hint="eastAsia" w:eastAsia="FangSong" w:asciiTheme="minorAscii" w:hAnsiTheme="minorAscii"/>
          <w:sz w:val="32"/>
          <w:lang w:val="en-US" w:eastAsia="zh-CN"/>
        </w:rPr>
        <w:t>2295.6</w:t>
      </w:r>
      <w:r>
        <w:rPr>
          <w:rFonts w:hint="eastAsia" w:eastAsia="FangSong" w:asciiTheme="minorAscii" w:hAnsiTheme="minorAscii"/>
          <w:sz w:val="32"/>
          <w:lang w:eastAsia="zh-CN"/>
        </w:rPr>
        <w:t>万元，较上年预算数减少</w:t>
      </w:r>
      <w:r>
        <w:rPr>
          <w:rFonts w:hint="eastAsia" w:eastAsia="FangSong" w:asciiTheme="minorAscii" w:hAnsiTheme="minorAscii"/>
          <w:sz w:val="32"/>
          <w:lang w:val="en-US" w:eastAsia="zh-CN"/>
        </w:rPr>
        <w:t>1596.69</w:t>
      </w:r>
      <w:r>
        <w:rPr>
          <w:rFonts w:hint="eastAsia" w:eastAsia="FangSong" w:asciiTheme="minorAscii" w:hAnsiTheme="minorAscii"/>
          <w:sz w:val="32"/>
          <w:lang w:eastAsia="zh-CN"/>
        </w:rPr>
        <w:t>万元。主要原因是项目</w:t>
      </w:r>
      <w:r>
        <w:rPr>
          <w:rFonts w:hint="eastAsia" w:eastAsia="FangSong" w:asciiTheme="minorAscii" w:hAnsiTheme="minorAscii"/>
          <w:sz w:val="32"/>
          <w:lang w:val="en-US" w:eastAsia="zh-CN"/>
        </w:rPr>
        <w:t>减少</w:t>
      </w:r>
      <w:r>
        <w:rPr>
          <w:rFonts w:hint="eastAsia" w:eastAsia="FangSong" w:asciiTheme="minorAscii" w:hAnsiTheme="minorAscii"/>
          <w:sz w:val="32"/>
          <w:lang w:eastAsia="zh-CN"/>
        </w:rPr>
        <w:t>。 </w:t>
      </w:r>
      <w:r>
        <w:rPr>
          <w:rFonts w:hint="eastAsia" w:eastAsia="FangSong" w:asciiTheme="minorAscii" w:hAnsiTheme="minorAscii"/>
          <w:sz w:val="32"/>
          <w:lang w:eastAsia="zh-CN"/>
        </w:rPr>
        <w:br w:type="textWrapping"/>
      </w:r>
      <w:r>
        <w:rPr>
          <w:rFonts w:hint="eastAsia" w:eastAsia="FangSong" w:asciiTheme="minorAscii" w:hAnsiTheme="minorAscii"/>
          <w:sz w:val="32"/>
          <w:lang w:val="en-US" w:eastAsia="zh-CN"/>
        </w:rPr>
        <w:t xml:space="preserve"> </w:t>
      </w:r>
      <w:r>
        <w:rPr>
          <w:rFonts w:hint="eastAsia" w:eastAsia="FangSong" w:asciiTheme="minorAscii" w:hAnsiTheme="minorAscii"/>
          <w:sz w:val="32"/>
          <w:lang w:eastAsia="zh-CN"/>
        </w:rPr>
        <w:t>　（二）一般公共预算当年拨款结构情况。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xml:space="preserve">　 </w:t>
      </w:r>
      <w:commentRangeStart w:id="2"/>
      <w:r>
        <w:rPr>
          <w:rFonts w:hint="eastAsia" w:eastAsia="FangSong" w:asciiTheme="minorAscii" w:hAnsiTheme="minorAscii"/>
          <w:sz w:val="32"/>
          <w:lang w:eastAsia="zh-CN"/>
        </w:rPr>
        <w:t xml:space="preserve">  机关事业单位基本养老保险缴费支出</w:t>
      </w:r>
      <w:r>
        <w:rPr>
          <w:rFonts w:hint="eastAsia" w:eastAsia="FangSong" w:asciiTheme="minorAscii" w:hAnsiTheme="minorAscii"/>
          <w:sz w:val="32"/>
          <w:lang w:val="en-US" w:eastAsia="zh-CN"/>
        </w:rPr>
        <w:t>62.47万元，占2.7% ；机关事业单位职业年金缴费支出31.24万元</w:t>
      </w:r>
      <w:r>
        <w:rPr>
          <w:rFonts w:hint="eastAsia" w:eastAsia="FangSong" w:asciiTheme="minorAscii" w:hAnsiTheme="minorAscii"/>
          <w:sz w:val="32"/>
          <w:highlight w:val="none"/>
          <w:lang w:val="en-US" w:eastAsia="zh-CN"/>
        </w:rPr>
        <w:t>，</w:t>
      </w:r>
      <w:r>
        <w:rPr>
          <w:rFonts w:hint="eastAsia" w:eastAsia="FangSong" w:asciiTheme="minorAscii" w:hAnsiTheme="minorAscii"/>
          <w:sz w:val="32"/>
          <w:lang w:val="en-US" w:eastAsia="zh-CN"/>
        </w:rPr>
        <w:t>占1.3% ；</w:t>
      </w:r>
      <w:r>
        <w:rPr>
          <w:rFonts w:hint="eastAsia" w:eastAsia="FangSong" w:asciiTheme="minorAscii" w:hAnsiTheme="minorAscii"/>
          <w:sz w:val="32"/>
          <w:highlight w:val="none"/>
          <w:lang w:eastAsia="zh-CN"/>
        </w:rPr>
        <w:t> 其他社会保障和就业支出</w:t>
      </w:r>
      <w:r>
        <w:rPr>
          <w:rFonts w:hint="eastAsia" w:eastAsia="FangSong" w:asciiTheme="minorAscii" w:hAnsiTheme="minorAscii"/>
          <w:sz w:val="32"/>
          <w:highlight w:val="none"/>
          <w:lang w:val="en-US" w:eastAsia="zh-CN"/>
        </w:rPr>
        <w:t>5.09</w:t>
      </w:r>
      <w:r>
        <w:rPr>
          <w:rFonts w:hint="eastAsia" w:eastAsia="FangSong" w:asciiTheme="minorAscii" w:hAnsiTheme="minorAscii"/>
          <w:sz w:val="32"/>
          <w:highlight w:val="none"/>
          <w:lang w:eastAsia="zh-CN"/>
        </w:rPr>
        <w:t>万元，</w:t>
      </w:r>
      <w:r>
        <w:rPr>
          <w:rFonts w:hint="eastAsia" w:eastAsia="FangSong" w:asciiTheme="minorAscii" w:hAnsiTheme="minorAscii"/>
          <w:sz w:val="32"/>
          <w:lang w:val="en-US" w:eastAsia="zh-CN"/>
        </w:rPr>
        <w:t>占0.2% ；</w:t>
      </w:r>
      <w:r>
        <w:rPr>
          <w:rFonts w:hint="eastAsia" w:eastAsia="FangSong" w:asciiTheme="minorAscii" w:hAnsiTheme="minorAscii"/>
          <w:sz w:val="32"/>
          <w:highlight w:val="none"/>
          <w:lang w:eastAsia="zh-CN"/>
        </w:rPr>
        <w:t> 行政单位医疗</w:t>
      </w:r>
      <w:r>
        <w:rPr>
          <w:rFonts w:hint="eastAsia" w:eastAsia="FangSong" w:asciiTheme="minorAscii" w:hAnsiTheme="minorAscii"/>
          <w:sz w:val="32"/>
          <w:highlight w:val="none"/>
          <w:lang w:val="en-US" w:eastAsia="zh-CN"/>
        </w:rPr>
        <w:t>23.82万元，</w:t>
      </w:r>
      <w:r>
        <w:rPr>
          <w:rFonts w:hint="eastAsia" w:eastAsia="FangSong" w:asciiTheme="minorAscii" w:hAnsiTheme="minorAscii"/>
          <w:sz w:val="32"/>
          <w:lang w:val="en-US" w:eastAsia="zh-CN"/>
        </w:rPr>
        <w:t>占1.3%；</w:t>
      </w:r>
      <w:r>
        <w:rPr>
          <w:rFonts w:hint="eastAsia" w:eastAsia="FangSong" w:asciiTheme="minorAscii" w:hAnsiTheme="minorAscii"/>
          <w:sz w:val="32"/>
          <w:highlight w:val="none"/>
          <w:lang w:val="en-US" w:eastAsia="zh-CN"/>
        </w:rPr>
        <w:t> 城管执法622.5万元， </w:t>
      </w:r>
      <w:r>
        <w:rPr>
          <w:rFonts w:hint="eastAsia" w:eastAsia="FangSong" w:asciiTheme="minorAscii" w:hAnsiTheme="minorAscii"/>
          <w:sz w:val="32"/>
          <w:lang w:val="en-US" w:eastAsia="zh-CN"/>
        </w:rPr>
        <w:t>占27.1%；</w:t>
      </w:r>
      <w:r>
        <w:rPr>
          <w:rFonts w:hint="eastAsia" w:eastAsia="FangSong" w:asciiTheme="minorAscii" w:hAnsiTheme="minorAscii"/>
          <w:sz w:val="32"/>
          <w:highlight w:val="none"/>
          <w:lang w:val="en-US" w:eastAsia="zh-CN"/>
        </w:rPr>
        <w:t>城乡社区环境卫生1500万元，</w:t>
      </w:r>
      <w:r>
        <w:rPr>
          <w:rFonts w:hint="eastAsia" w:eastAsia="FangSong" w:asciiTheme="minorAscii" w:hAnsiTheme="minorAscii"/>
          <w:sz w:val="32"/>
          <w:lang w:val="en-US" w:eastAsia="zh-CN"/>
        </w:rPr>
        <w:t>65.3%;</w:t>
      </w:r>
      <w:r>
        <w:rPr>
          <w:rFonts w:hint="eastAsia" w:eastAsia="FangSong" w:asciiTheme="minorAscii" w:hAnsiTheme="minorAscii"/>
          <w:sz w:val="32"/>
          <w:highlight w:val="none"/>
          <w:lang w:eastAsia="zh-CN"/>
        </w:rPr>
        <w:t> 住房公积金支</w:t>
      </w:r>
      <w:r>
        <w:rPr>
          <w:highlight w:val="none"/>
        </w:rPr>
        <w:commentReference w:id="3"/>
      </w:r>
      <w:r>
        <w:rPr>
          <w:rFonts w:hint="eastAsia" w:eastAsia="FangSong" w:asciiTheme="minorAscii" w:hAnsiTheme="minorAscii"/>
          <w:sz w:val="32"/>
          <w:highlight w:val="none"/>
          <w:lang w:eastAsia="zh-CN"/>
        </w:rPr>
        <w:t>出</w:t>
      </w:r>
      <w:r>
        <w:rPr>
          <w:rFonts w:hint="eastAsia" w:eastAsia="FangSong" w:asciiTheme="minorAscii" w:hAnsiTheme="minorAscii"/>
          <w:sz w:val="32"/>
          <w:highlight w:val="none"/>
          <w:lang w:val="en-US" w:eastAsia="zh-CN"/>
        </w:rPr>
        <w:t>2.1</w:t>
      </w:r>
      <w:r>
        <w:rPr>
          <w:rFonts w:hint="eastAsia" w:eastAsia="FangSong" w:asciiTheme="minorAscii" w:hAnsiTheme="minorAscii"/>
          <w:sz w:val="32"/>
          <w:highlight w:val="none"/>
          <w:lang w:eastAsia="zh-CN"/>
        </w:rPr>
        <w:t>万元，</w:t>
      </w:r>
      <w:r>
        <w:rPr>
          <w:rFonts w:hint="eastAsia" w:eastAsia="FangSong" w:asciiTheme="minorAscii" w:hAnsiTheme="minorAscii"/>
          <w:sz w:val="32"/>
          <w:lang w:val="en-US" w:eastAsia="zh-CN"/>
        </w:rPr>
        <w:t>2.1% </w:t>
      </w:r>
      <w:r>
        <w:rPr>
          <w:rFonts w:hint="eastAsia" w:eastAsia="FangSong" w:asciiTheme="minorAscii" w:hAnsiTheme="minorAscii"/>
          <w:sz w:val="32"/>
          <w:highlight w:val="none"/>
          <w:lang w:eastAsia="zh-CN"/>
        </w:rPr>
        <w:t>。</w:t>
      </w:r>
      <w:r>
        <w:rPr>
          <w:rFonts w:hint="eastAsia" w:eastAsia="FangSong" w:asciiTheme="minorAscii" w:hAnsiTheme="minorAscii"/>
          <w:sz w:val="32"/>
          <w:lang w:eastAsia="zh-CN"/>
        </w:rPr>
        <w:br w:type="textWrapping"/>
      </w:r>
      <w:commentRangeEnd w:id="2"/>
      <w:r>
        <w:commentReference w:id="2"/>
      </w:r>
      <w:r>
        <w:rPr>
          <w:rFonts w:hint="eastAsia" w:eastAsia="FangSong" w:asciiTheme="minorAscii" w:hAnsiTheme="minorAscii"/>
          <w:sz w:val="32"/>
          <w:lang w:val="en-US" w:eastAsia="zh-CN"/>
        </w:rPr>
        <w:t xml:space="preserve"> </w:t>
      </w:r>
      <w:r>
        <w:rPr>
          <w:rFonts w:hint="eastAsia" w:eastAsia="FangSong" w:asciiTheme="minorAscii" w:hAnsiTheme="minorAscii"/>
          <w:sz w:val="32"/>
          <w:lang w:eastAsia="zh-CN"/>
        </w:rPr>
        <w:t>　（三）一般公共预算当年拨款具体使用情况。</w:t>
      </w:r>
    </w:p>
    <w:p>
      <w:pPr>
        <w:bidi w:val="0"/>
        <w:spacing w:line="600" w:lineRule="exact"/>
        <w:ind w:firstLine="640" w:firstLineChars="200"/>
        <w:jc w:val="left"/>
        <w:rPr>
          <w:rFonts w:hint="eastAsia" w:eastAsia="FangSong" w:asciiTheme="minorAscii" w:hAnsiTheme="minorAscii"/>
          <w:sz w:val="32"/>
          <w:lang w:eastAsia="zh-CN"/>
        </w:rPr>
      </w:pPr>
      <w:commentRangeStart w:id="4"/>
      <w:r>
        <w:rPr>
          <w:rFonts w:hint="eastAsia" w:eastAsia="FangSong" w:asciiTheme="minorAscii" w:hAnsiTheme="minorAscii"/>
          <w:sz w:val="32"/>
          <w:lang w:val="en-US" w:eastAsia="zh-CN"/>
        </w:rPr>
        <w:t>1</w:t>
      </w:r>
      <w:r>
        <w:rPr>
          <w:rFonts w:hint="eastAsia" w:eastAsia="FangSong" w:asciiTheme="minorAscii" w:hAnsiTheme="minorAscii"/>
          <w:sz w:val="32"/>
          <w:lang w:eastAsia="zh-CN"/>
        </w:rPr>
        <w:t>.社会保障和就业（类）行政事业单位离退休（款）机关事业单位基本养老保险缴费支出（项）：202</w:t>
      </w:r>
      <w:r>
        <w:rPr>
          <w:rFonts w:hint="eastAsia" w:eastAsia="FangSong" w:asciiTheme="minorAscii" w:hAnsiTheme="minorAscii"/>
          <w:sz w:val="32"/>
          <w:lang w:val="en-US" w:eastAsia="zh-CN"/>
        </w:rPr>
        <w:t>4</w:t>
      </w:r>
      <w:r>
        <w:rPr>
          <w:rFonts w:hint="eastAsia" w:eastAsia="FangSong" w:asciiTheme="minorAscii" w:hAnsiTheme="minorAscii"/>
          <w:sz w:val="32"/>
          <w:lang w:eastAsia="zh-CN"/>
        </w:rPr>
        <w:t>年预算数为</w:t>
      </w:r>
      <w:r>
        <w:rPr>
          <w:rFonts w:hint="eastAsia" w:eastAsia="FangSong" w:asciiTheme="minorAscii" w:hAnsiTheme="minorAscii"/>
          <w:sz w:val="32"/>
          <w:lang w:val="en-US" w:eastAsia="zh-CN"/>
        </w:rPr>
        <w:t>62.47</w:t>
      </w:r>
      <w:r>
        <w:rPr>
          <w:rFonts w:hint="eastAsia" w:eastAsia="FangSong" w:asciiTheme="minorAscii" w:hAnsiTheme="minorAscii"/>
          <w:sz w:val="32"/>
          <w:lang w:eastAsia="zh-CN"/>
        </w:rPr>
        <w:t>万元，主要用于：实施养老保险制度后，部门按规定由单位缴纳的基本养老保险费支出。</w:t>
      </w:r>
    </w:p>
    <w:p>
      <w:pPr>
        <w:bidi w:val="0"/>
        <w:spacing w:line="600" w:lineRule="exact"/>
        <w:ind w:firstLine="640" w:firstLineChars="200"/>
        <w:jc w:val="left"/>
        <w:rPr>
          <w:rFonts w:hint="eastAsia" w:eastAsia="FangSong" w:asciiTheme="minorAscii" w:hAnsiTheme="minorAscii"/>
          <w:sz w:val="32"/>
          <w:lang w:eastAsia="zh-CN"/>
        </w:rPr>
      </w:pPr>
      <w:r>
        <w:rPr>
          <w:rFonts w:hint="eastAsia" w:eastAsia="FangSong" w:asciiTheme="minorAscii" w:hAnsiTheme="minorAscii"/>
          <w:sz w:val="32"/>
          <w:lang w:val="en-US" w:eastAsia="zh-CN"/>
        </w:rPr>
        <w:t>2</w:t>
      </w:r>
      <w:r>
        <w:rPr>
          <w:rFonts w:hint="eastAsia" w:eastAsia="FangSong" w:asciiTheme="minorAscii" w:hAnsiTheme="minorAscii"/>
          <w:sz w:val="32"/>
          <w:lang w:eastAsia="zh-CN"/>
        </w:rPr>
        <w:t>.社会保障和就业（类）行政事业单位离退休（款）机关事业单位职业年金缴费支出（项）：202</w:t>
      </w:r>
      <w:r>
        <w:rPr>
          <w:rFonts w:hint="eastAsia" w:eastAsia="FangSong" w:asciiTheme="minorAscii" w:hAnsiTheme="minorAscii"/>
          <w:sz w:val="32"/>
          <w:lang w:val="en-US" w:eastAsia="zh-CN"/>
        </w:rPr>
        <w:t>4</w:t>
      </w:r>
      <w:r>
        <w:rPr>
          <w:rFonts w:hint="eastAsia" w:eastAsia="FangSong" w:asciiTheme="minorAscii" w:hAnsiTheme="minorAscii"/>
          <w:sz w:val="32"/>
          <w:lang w:eastAsia="zh-CN"/>
        </w:rPr>
        <w:t>年预算数为</w:t>
      </w:r>
      <w:r>
        <w:rPr>
          <w:rFonts w:hint="eastAsia" w:eastAsia="FangSong" w:asciiTheme="minorAscii" w:hAnsiTheme="minorAscii"/>
          <w:sz w:val="32"/>
          <w:lang w:val="en-US" w:eastAsia="zh-CN"/>
        </w:rPr>
        <w:t>31.24</w:t>
      </w:r>
      <w:r>
        <w:rPr>
          <w:rFonts w:hint="eastAsia" w:eastAsia="FangSong" w:asciiTheme="minorAscii" w:hAnsiTheme="minorAscii"/>
          <w:sz w:val="32"/>
          <w:lang w:eastAsia="zh-CN"/>
        </w:rPr>
        <w:t>万元，主要用于：实施养老保险制度后，部门按规定由单位缴纳的职业年金支出。</w:t>
      </w:r>
    </w:p>
    <w:p>
      <w:pPr>
        <w:bidi w:val="0"/>
        <w:spacing w:line="600" w:lineRule="exact"/>
        <w:ind w:firstLine="640" w:firstLineChars="200"/>
        <w:jc w:val="left"/>
        <w:rPr>
          <w:rFonts w:hint="eastAsia" w:eastAsia="FangSong" w:asciiTheme="minorAscii" w:hAnsiTheme="minorAscii"/>
          <w:sz w:val="32"/>
          <w:lang w:eastAsia="zh-CN"/>
        </w:rPr>
      </w:pPr>
      <w:r>
        <w:rPr>
          <w:rFonts w:hint="eastAsia" w:eastAsia="FangSong" w:asciiTheme="minorAscii" w:hAnsiTheme="minorAscii"/>
          <w:sz w:val="32"/>
          <w:lang w:val="en-US" w:eastAsia="zh-CN"/>
        </w:rPr>
        <w:t>3.</w:t>
      </w:r>
      <w:r>
        <w:rPr>
          <w:rFonts w:hint="eastAsia" w:eastAsia="FangSong" w:asciiTheme="minorAscii" w:hAnsiTheme="minorAscii"/>
          <w:sz w:val="32"/>
          <w:lang w:eastAsia="zh-CN"/>
        </w:rPr>
        <w:t>社会保障和就业（类）其他社会保障和就业支出（款）  其他社会保障和就业支出（项）：202</w:t>
      </w:r>
      <w:r>
        <w:rPr>
          <w:rFonts w:hint="eastAsia" w:eastAsia="FangSong" w:asciiTheme="minorAscii" w:hAnsiTheme="minorAscii"/>
          <w:sz w:val="32"/>
          <w:lang w:val="en-US" w:eastAsia="zh-CN"/>
        </w:rPr>
        <w:t>4</w:t>
      </w:r>
      <w:r>
        <w:rPr>
          <w:rFonts w:hint="eastAsia" w:eastAsia="FangSong" w:asciiTheme="minorAscii" w:hAnsiTheme="minorAscii"/>
          <w:sz w:val="32"/>
          <w:lang w:eastAsia="zh-CN"/>
        </w:rPr>
        <w:t>年年预算数为</w:t>
      </w:r>
      <w:r>
        <w:rPr>
          <w:rFonts w:hint="eastAsia" w:eastAsia="FangSong" w:asciiTheme="minorAscii" w:hAnsiTheme="minorAscii"/>
          <w:sz w:val="32"/>
          <w:lang w:val="en-US" w:eastAsia="zh-CN"/>
        </w:rPr>
        <w:t>5.09</w:t>
      </w:r>
      <w:r>
        <w:rPr>
          <w:rFonts w:hint="eastAsia" w:eastAsia="FangSong" w:asciiTheme="minorAscii" w:hAnsiTheme="minorAscii"/>
          <w:sz w:val="32"/>
          <w:lang w:eastAsia="zh-CN"/>
        </w:rPr>
        <w:t>万元，主要用于：其他社会保障和就业方面的支出。</w:t>
      </w:r>
    </w:p>
    <w:p>
      <w:pPr>
        <w:bidi w:val="0"/>
        <w:spacing w:line="600" w:lineRule="exact"/>
        <w:ind w:firstLine="640" w:firstLineChars="200"/>
        <w:jc w:val="left"/>
        <w:rPr>
          <w:rFonts w:hint="eastAsia" w:eastAsia="FangSong" w:asciiTheme="minorAscii" w:hAnsiTheme="minorAscii"/>
          <w:sz w:val="32"/>
          <w:lang w:eastAsia="zh-CN"/>
        </w:rPr>
      </w:pPr>
      <w:r>
        <w:rPr>
          <w:rFonts w:hint="eastAsia" w:eastAsia="FangSong" w:asciiTheme="minorAscii" w:hAnsiTheme="minorAscii"/>
          <w:sz w:val="32"/>
          <w:lang w:val="en-US" w:eastAsia="zh-CN"/>
        </w:rPr>
        <w:t>4</w:t>
      </w:r>
      <w:r>
        <w:rPr>
          <w:rFonts w:hint="eastAsia" w:eastAsia="FangSong" w:asciiTheme="minorAscii" w:hAnsiTheme="minorAscii"/>
          <w:sz w:val="32"/>
          <w:lang w:eastAsia="zh-CN"/>
        </w:rPr>
        <w:t>.卫生健康支出（类）行政事业单位医疗（款）事业单位医疗（项）：202</w:t>
      </w:r>
      <w:r>
        <w:rPr>
          <w:rFonts w:hint="eastAsia" w:eastAsia="FangSong" w:asciiTheme="minorAscii" w:hAnsiTheme="minorAscii"/>
          <w:sz w:val="32"/>
          <w:lang w:val="en-US" w:eastAsia="zh-CN"/>
        </w:rPr>
        <w:t>4</w:t>
      </w:r>
      <w:r>
        <w:rPr>
          <w:rFonts w:hint="eastAsia" w:eastAsia="FangSong" w:asciiTheme="minorAscii" w:hAnsiTheme="minorAscii"/>
          <w:sz w:val="32"/>
          <w:lang w:eastAsia="zh-CN"/>
        </w:rPr>
        <w:t>年预算数为</w:t>
      </w:r>
      <w:r>
        <w:rPr>
          <w:rFonts w:hint="eastAsia" w:eastAsia="FangSong" w:asciiTheme="minorAscii" w:hAnsiTheme="minorAscii"/>
          <w:sz w:val="32"/>
          <w:lang w:val="en-US" w:eastAsia="zh-CN"/>
        </w:rPr>
        <w:t>23.82</w:t>
      </w:r>
      <w:r>
        <w:rPr>
          <w:rFonts w:hint="eastAsia" w:eastAsia="FangSong" w:asciiTheme="minorAscii" w:hAnsiTheme="minorAscii"/>
          <w:sz w:val="32"/>
          <w:lang w:eastAsia="zh-CN"/>
        </w:rPr>
        <w:t>万元，主要用于：部门下属事业单位基本医疗保险缴费支出。</w:t>
      </w:r>
    </w:p>
    <w:p>
      <w:pPr>
        <w:bidi w:val="0"/>
        <w:spacing w:line="600" w:lineRule="exact"/>
        <w:ind w:firstLine="640" w:firstLineChars="200"/>
        <w:jc w:val="left"/>
        <w:rPr>
          <w:rFonts w:hint="eastAsia" w:eastAsia="FangSong" w:asciiTheme="minorAscii" w:hAnsiTheme="minorAscii"/>
          <w:sz w:val="32"/>
          <w:lang w:eastAsia="zh-CN"/>
        </w:rPr>
      </w:pPr>
      <w:r>
        <w:rPr>
          <w:rFonts w:hint="eastAsia" w:eastAsia="FangSong" w:asciiTheme="minorAscii" w:hAnsiTheme="minorAscii"/>
          <w:sz w:val="32"/>
          <w:lang w:val="en-US" w:eastAsia="zh-CN"/>
        </w:rPr>
        <w:t>5.</w:t>
      </w:r>
      <w:r>
        <w:rPr>
          <w:rFonts w:hint="eastAsia" w:eastAsia="FangSong" w:asciiTheme="minorAscii" w:hAnsiTheme="minorAscii"/>
          <w:sz w:val="32"/>
          <w:lang w:eastAsia="zh-CN"/>
        </w:rPr>
        <w:t>城乡社区支出（类）城乡社区管理事务（款）城管执法（项）：202</w:t>
      </w:r>
      <w:r>
        <w:rPr>
          <w:rFonts w:hint="eastAsia" w:eastAsia="FangSong" w:asciiTheme="minorAscii" w:hAnsiTheme="minorAscii"/>
          <w:sz w:val="32"/>
          <w:lang w:val="en-US" w:eastAsia="zh-CN"/>
        </w:rPr>
        <w:t>4</w:t>
      </w:r>
      <w:r>
        <w:rPr>
          <w:rFonts w:hint="eastAsia" w:eastAsia="FangSong" w:asciiTheme="minorAscii" w:hAnsiTheme="minorAscii"/>
          <w:sz w:val="32"/>
          <w:lang w:eastAsia="zh-CN"/>
        </w:rPr>
        <w:t>年</w:t>
      </w:r>
      <w:r>
        <w:rPr>
          <w:rFonts w:hint="eastAsia" w:eastAsia="FangSong" w:asciiTheme="minorAscii" w:hAnsiTheme="minorAscii"/>
          <w:sz w:val="32"/>
          <w:lang w:val="en-US" w:eastAsia="zh-CN"/>
        </w:rPr>
        <w:t>预算数为1500</w:t>
      </w:r>
      <w:r>
        <w:rPr>
          <w:rFonts w:hint="eastAsia" w:eastAsia="FangSong" w:asciiTheme="minorAscii" w:hAnsiTheme="minorAscii"/>
          <w:sz w:val="32"/>
          <w:lang w:eastAsia="zh-CN"/>
        </w:rPr>
        <w:t>万元，主要用于：城市管理综合执法、加强城市市容市貌和环境卫生管理等方面的支出。</w:t>
      </w:r>
    </w:p>
    <w:p>
      <w:pPr>
        <w:bidi w:val="0"/>
        <w:spacing w:line="600" w:lineRule="exact"/>
        <w:ind w:firstLine="640" w:firstLineChars="200"/>
        <w:jc w:val="left"/>
        <w:rPr>
          <w:rFonts w:hint="eastAsia" w:eastAsia="FangSong" w:asciiTheme="minorAscii" w:hAnsiTheme="minorAscii"/>
          <w:sz w:val="32"/>
          <w:lang w:eastAsia="zh-CN"/>
        </w:rPr>
      </w:pPr>
      <w:r>
        <w:rPr>
          <w:rFonts w:hint="eastAsia" w:eastAsia="FangSong" w:asciiTheme="minorAscii" w:hAnsiTheme="minorAscii"/>
          <w:sz w:val="32"/>
          <w:lang w:val="en-US" w:eastAsia="zh-CN"/>
        </w:rPr>
        <w:t>6</w:t>
      </w:r>
      <w:r>
        <w:rPr>
          <w:rFonts w:hint="eastAsia" w:eastAsia="FangSong" w:asciiTheme="minorAscii" w:hAnsiTheme="minorAscii"/>
          <w:sz w:val="32"/>
          <w:lang w:eastAsia="zh-CN"/>
        </w:rPr>
        <w:t>.住房保障（类）住房改革（款）住房公积金支出（项）：202</w:t>
      </w:r>
      <w:r>
        <w:rPr>
          <w:rFonts w:hint="eastAsia" w:eastAsia="FangSong" w:asciiTheme="minorAscii" w:hAnsiTheme="minorAscii"/>
          <w:sz w:val="32"/>
          <w:lang w:val="en-US" w:eastAsia="zh-CN"/>
        </w:rPr>
        <w:t>4</w:t>
      </w:r>
      <w:r>
        <w:rPr>
          <w:rFonts w:hint="eastAsia" w:eastAsia="FangSong" w:asciiTheme="minorAscii" w:hAnsiTheme="minorAscii"/>
          <w:sz w:val="32"/>
          <w:lang w:eastAsia="zh-CN"/>
        </w:rPr>
        <w:t>年预算数为</w:t>
      </w:r>
      <w:r>
        <w:rPr>
          <w:rFonts w:hint="eastAsia" w:eastAsia="FangSong" w:asciiTheme="minorAscii" w:hAnsiTheme="minorAscii"/>
          <w:sz w:val="32"/>
          <w:lang w:val="en-US" w:eastAsia="zh-CN"/>
        </w:rPr>
        <w:t>50.48</w:t>
      </w:r>
      <w:r>
        <w:rPr>
          <w:rFonts w:hint="eastAsia" w:eastAsia="FangSong" w:asciiTheme="minorAscii" w:hAnsiTheme="minorAscii"/>
          <w:sz w:val="32"/>
          <w:lang w:eastAsia="zh-CN"/>
        </w:rPr>
        <w:t>万元，主要用于：按人力资源和社会保障部、财政部规定的基本工资和津贴补贴以及规定比例为职工缴纳的住房公积金支出。</w:t>
      </w:r>
      <w:commentRangeEnd w:id="4"/>
      <w:r>
        <w:commentReference w:id="4"/>
      </w:r>
    </w:p>
    <w:p>
      <w:pPr>
        <w:keepNext w:val="0"/>
        <w:keepLines w:val="0"/>
        <w:pageBreakBefore w:val="0"/>
        <w:kinsoku/>
        <w:wordWrap/>
        <w:overflowPunct/>
        <w:autoSpaceDE/>
        <w:autoSpaceDN/>
        <w:bidi w:val="0"/>
        <w:adjustRightInd/>
        <w:snapToGrid/>
        <w:ind w:firstLine="643" w:firstLineChars="200"/>
        <w:textAlignment w:val="auto"/>
        <w:rPr>
          <w:rFonts w:hint="eastAsia" w:ascii="FangSong" w:hAnsi="FangSong" w:eastAsia="FangSong" w:cs="SimSun"/>
          <w:b/>
          <w:color w:val="auto"/>
          <w:kern w:val="0"/>
          <w:sz w:val="32"/>
          <w:szCs w:val="32"/>
          <w:highlight w:val="none"/>
        </w:rPr>
      </w:pPr>
      <w:r>
        <w:rPr>
          <w:rFonts w:hint="eastAsia" w:ascii="FangSong" w:hAnsi="FangSong" w:eastAsia="FangSong" w:cs="SimSun"/>
          <w:b/>
          <w:bCs/>
          <w:color w:val="auto"/>
          <w:kern w:val="0"/>
          <w:sz w:val="32"/>
          <w:szCs w:val="32"/>
          <w:highlight w:val="none"/>
          <w:lang w:eastAsia="zh-CN"/>
        </w:rPr>
        <w:t>四</w:t>
      </w:r>
      <w:r>
        <w:rPr>
          <w:rFonts w:hint="eastAsia" w:ascii="FangSong" w:hAnsi="FangSong" w:eastAsia="FangSong" w:cs="SimSun"/>
          <w:b/>
          <w:bCs/>
          <w:color w:val="auto"/>
          <w:kern w:val="0"/>
          <w:sz w:val="32"/>
          <w:szCs w:val="32"/>
          <w:highlight w:val="none"/>
        </w:rPr>
        <w:t>、一</w:t>
      </w:r>
      <w:r>
        <w:rPr>
          <w:rFonts w:hint="eastAsia" w:ascii="FangSong" w:hAnsi="FangSong" w:eastAsia="FangSong" w:cs="SimSun"/>
          <w:b/>
          <w:color w:val="auto"/>
          <w:kern w:val="0"/>
          <w:sz w:val="32"/>
          <w:szCs w:val="32"/>
          <w:highlight w:val="none"/>
        </w:rPr>
        <w:t>般公共预算基本支出情况说明</w:t>
      </w:r>
      <w:r>
        <w:rPr>
          <w:rFonts w:ascii="FangSong" w:hAnsi="SimSun" w:eastAsia="FangSong" w:cs="SimSun"/>
          <w:b/>
          <w:color w:val="auto"/>
          <w:kern w:val="0"/>
          <w:sz w:val="32"/>
          <w:szCs w:val="32"/>
          <w:highlight w:val="none"/>
        </w:rPr>
        <w:t> </w:t>
      </w:r>
      <w:r>
        <w:rPr>
          <w:rFonts w:ascii="FangSong" w:hAnsi="FangSong" w:eastAsia="FangSong" w:cs="SimSun"/>
          <w:b/>
          <w:color w:val="auto"/>
          <w:kern w:val="0"/>
          <w:sz w:val="32"/>
          <w:szCs w:val="32"/>
          <w:highlight w:val="none"/>
        </w:rPr>
        <w:br w:type="textWrapping"/>
      </w:r>
      <w:r>
        <w:rPr>
          <w:rFonts w:hint="eastAsia" w:ascii="FangSong" w:hAnsi="FangSong" w:eastAsia="FangSong" w:cs="SimSun"/>
          <w:color w:val="auto"/>
          <w:kern w:val="0"/>
          <w:sz w:val="32"/>
          <w:szCs w:val="32"/>
          <w:highlight w:val="none"/>
        </w:rPr>
        <w:t xml:space="preserve">　 </w:t>
      </w:r>
      <w:r>
        <w:rPr>
          <w:rFonts w:hint="eastAsia" w:eastAsia="FangSong" w:asciiTheme="minorAscii" w:hAnsiTheme="minorAscii"/>
          <w:sz w:val="32"/>
          <w:lang w:eastAsia="zh-CN"/>
        </w:rPr>
        <w:t>综合行政执法局202</w:t>
      </w:r>
      <w:r>
        <w:rPr>
          <w:rFonts w:hint="eastAsia" w:eastAsia="FangSong" w:asciiTheme="minorAscii" w:hAnsiTheme="minorAscii"/>
          <w:sz w:val="32"/>
          <w:lang w:val="en-US" w:eastAsia="zh-CN"/>
        </w:rPr>
        <w:t>4</w:t>
      </w:r>
      <w:r>
        <w:rPr>
          <w:rFonts w:hint="eastAsia" w:eastAsia="FangSong" w:asciiTheme="minorAscii" w:hAnsiTheme="minorAscii"/>
          <w:sz w:val="32"/>
          <w:lang w:eastAsia="zh-CN"/>
        </w:rPr>
        <w:t>年一般公共预算基本支出</w:t>
      </w:r>
      <w:r>
        <w:commentReference w:id="5"/>
      </w:r>
      <w:r>
        <w:rPr>
          <w:rFonts w:hint="eastAsia" w:eastAsia="FangSong" w:asciiTheme="minorAscii" w:hAnsiTheme="minorAscii"/>
          <w:sz w:val="32"/>
          <w:lang w:val="en-US" w:eastAsia="zh-CN"/>
        </w:rPr>
        <w:t>675.6</w:t>
      </w:r>
      <w:r>
        <w:rPr>
          <w:rFonts w:hint="eastAsia" w:eastAsia="FangSong" w:asciiTheme="minorAscii" w:hAnsiTheme="minorAscii"/>
          <w:sz w:val="32"/>
          <w:lang w:eastAsia="zh-CN"/>
        </w:rPr>
        <w:t>万元，其中：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人员经费</w:t>
      </w:r>
      <w:r>
        <w:rPr>
          <w:rFonts w:hint="eastAsia" w:eastAsia="FangSong" w:asciiTheme="minorAscii" w:hAnsiTheme="minorAscii"/>
          <w:sz w:val="32"/>
          <w:lang w:val="en-US" w:eastAsia="zh-CN"/>
        </w:rPr>
        <w:t>584.62</w:t>
      </w:r>
      <w:r>
        <w:rPr>
          <w:rFonts w:hint="eastAsia" w:eastAsia="FangSong" w:asciiTheme="minorAscii" w:hAnsiTheme="minorAscii"/>
          <w:sz w:val="32"/>
          <w:lang w:eastAsia="zh-CN"/>
        </w:rPr>
        <w:t>万元，主要包括：基本工资、津贴补贴、奖金、伙食补助费、其他社会保障缴费、绩效工资、机关事业单位基本养老保险缴费、职业年金缴费、职工基本医疗保险缴费、住房公积金。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公用经费</w:t>
      </w:r>
      <w:r>
        <w:rPr>
          <w:rFonts w:hint="eastAsia" w:eastAsia="FangSong" w:asciiTheme="minorAscii" w:hAnsiTheme="minorAscii"/>
          <w:sz w:val="32"/>
          <w:lang w:val="en-US" w:eastAsia="zh-CN"/>
        </w:rPr>
        <w:t>90.97</w:t>
      </w:r>
      <w:r>
        <w:rPr>
          <w:rFonts w:hint="eastAsia" w:eastAsia="FangSong" w:asciiTheme="minorAscii" w:hAnsiTheme="minorAscii"/>
          <w:sz w:val="32"/>
          <w:lang w:eastAsia="zh-CN"/>
        </w:rPr>
        <w:t>万元，主要包括：办公费、水费、电费、邮电费、差旅费、租赁费、公务接待费、工会经费、福利费、其他交通费、其他商品和服务支出。 </w:t>
      </w:r>
      <w:r>
        <w:rPr>
          <w:rFonts w:hint="eastAsia" w:eastAsia="FangSong" w:asciiTheme="minorAscii" w:hAnsiTheme="minorAscii"/>
          <w:sz w:val="32"/>
          <w:lang w:eastAsia="zh-CN"/>
        </w:rPr>
        <w:br w:type="textWrapping"/>
      </w:r>
      <w:r>
        <w:rPr>
          <w:rFonts w:hint="eastAsia" w:ascii="FangSong" w:hAnsi="FangSong" w:eastAsia="FangSong" w:cs="SimSun"/>
          <w:color w:val="auto"/>
          <w:kern w:val="0"/>
          <w:sz w:val="32"/>
          <w:szCs w:val="32"/>
          <w:highlight w:val="none"/>
        </w:rPr>
        <w:t xml:space="preserve">　 </w:t>
      </w:r>
      <w:r>
        <w:rPr>
          <w:rFonts w:hint="eastAsia" w:ascii="FangSong" w:hAnsi="FangSong" w:eastAsia="FangSong" w:cs="SimSun"/>
          <w:color w:val="auto"/>
          <w:kern w:val="0"/>
          <w:sz w:val="32"/>
          <w:szCs w:val="32"/>
          <w:highlight w:val="none"/>
          <w:lang w:val="en-US" w:eastAsia="zh-CN"/>
        </w:rPr>
        <w:t xml:space="preserve"> </w:t>
      </w:r>
      <w:r>
        <w:rPr>
          <w:rFonts w:hint="eastAsia" w:ascii="FangSong" w:hAnsi="FangSong" w:eastAsia="FangSong" w:cs="SimSun"/>
          <w:b/>
          <w:color w:val="auto"/>
          <w:kern w:val="0"/>
          <w:sz w:val="32"/>
          <w:szCs w:val="32"/>
          <w:highlight w:val="none"/>
          <w:lang w:eastAsia="zh-CN"/>
        </w:rPr>
        <w:t>五</w:t>
      </w:r>
      <w:r>
        <w:rPr>
          <w:rFonts w:hint="eastAsia" w:ascii="FangSong" w:hAnsi="FangSong" w:eastAsia="FangSong" w:cs="SimSun"/>
          <w:b/>
          <w:color w:val="auto"/>
          <w:kern w:val="0"/>
          <w:sz w:val="32"/>
          <w:szCs w:val="32"/>
          <w:highlight w:val="none"/>
        </w:rPr>
        <w:t>、政府性基金预算支出规模及变化情况说明</w:t>
      </w:r>
      <w:r>
        <w:rPr>
          <w:rFonts w:ascii="FangSong" w:hAnsi="SimSun" w:eastAsia="FangSong" w:cs="SimSun"/>
          <w:b/>
          <w:color w:val="auto"/>
          <w:kern w:val="0"/>
          <w:sz w:val="32"/>
          <w:szCs w:val="32"/>
          <w:highlight w:val="none"/>
        </w:rPr>
        <w:t> </w:t>
      </w:r>
      <w:r>
        <w:rPr>
          <w:rFonts w:ascii="FangSong" w:hAnsi="FangSong" w:eastAsia="FangSong" w:cs="SimSun"/>
          <w:b/>
          <w:color w:val="auto"/>
          <w:kern w:val="0"/>
          <w:sz w:val="32"/>
          <w:szCs w:val="32"/>
          <w:highlight w:val="none"/>
        </w:rPr>
        <w:br w:type="textWrapping"/>
      </w:r>
      <w:r>
        <w:rPr>
          <w:rFonts w:hint="eastAsia" w:ascii="FangSong" w:hAnsi="FangSong" w:eastAsia="FangSong" w:cs="SimSun"/>
          <w:color w:val="auto"/>
          <w:kern w:val="0"/>
          <w:sz w:val="32"/>
          <w:szCs w:val="32"/>
          <w:highlight w:val="none"/>
        </w:rPr>
        <w:t>　</w:t>
      </w:r>
      <w:r>
        <w:rPr>
          <w:rFonts w:hint="eastAsia" w:ascii="FangSong" w:hAnsi="FangSong" w:eastAsia="FangSong" w:cs="SimSun"/>
          <w:color w:val="auto"/>
          <w:kern w:val="0"/>
          <w:sz w:val="32"/>
          <w:szCs w:val="32"/>
          <w:highlight w:val="none"/>
          <w:lang w:val="en-US" w:eastAsia="zh-CN"/>
        </w:rPr>
        <w:t xml:space="preserve"> </w:t>
      </w:r>
      <w:r>
        <w:rPr>
          <w:rFonts w:hint="eastAsia" w:eastAsia="FangSong" w:asciiTheme="minorAscii" w:hAnsiTheme="minorAscii"/>
          <w:sz w:val="32"/>
          <w:lang w:eastAsia="zh-CN"/>
        </w:rPr>
        <w:t xml:space="preserve"> 202</w:t>
      </w:r>
      <w:r>
        <w:rPr>
          <w:rFonts w:hint="eastAsia" w:eastAsia="FangSong" w:asciiTheme="minorAscii" w:hAnsiTheme="minorAscii"/>
          <w:sz w:val="32"/>
          <w:lang w:val="en-US" w:eastAsia="zh-CN"/>
        </w:rPr>
        <w:t>4</w:t>
      </w:r>
      <w:r>
        <w:rPr>
          <w:rFonts w:hint="eastAsia" w:eastAsia="FangSong" w:asciiTheme="minorAscii" w:hAnsiTheme="minorAscii"/>
          <w:sz w:val="32"/>
          <w:lang w:eastAsia="zh-CN"/>
        </w:rPr>
        <w:t>年，综合行政执法局政府性基金预算支出</w:t>
      </w:r>
      <w:r>
        <w:rPr>
          <w:rFonts w:hint="eastAsia" w:eastAsia="FangSong" w:asciiTheme="minorAscii" w:hAnsiTheme="minorAscii"/>
          <w:sz w:val="32"/>
          <w:lang w:val="en-US" w:eastAsia="zh-CN"/>
        </w:rPr>
        <w:t>0万元</w:t>
      </w:r>
      <w:r>
        <w:rPr>
          <w:rFonts w:hint="eastAsia" w:eastAsia="FangSong" w:asciiTheme="minorAscii" w:hAnsiTheme="minorAscii"/>
          <w:sz w:val="32"/>
          <w:lang w:eastAsia="zh-CN"/>
        </w:rPr>
        <w:t>。 </w:t>
      </w:r>
      <w:r>
        <w:rPr>
          <w:rFonts w:hint="eastAsia" w:eastAsia="FangSong" w:asciiTheme="minorAscii" w:hAnsiTheme="minorAscii"/>
          <w:sz w:val="32"/>
          <w:lang w:eastAsia="zh-CN"/>
        </w:rPr>
        <w:br w:type="textWrapping"/>
      </w:r>
      <w:r>
        <w:rPr>
          <w:rFonts w:hint="eastAsia" w:ascii="FangSong" w:hAnsi="FangSong" w:eastAsia="FangSong" w:cs="SimSun"/>
          <w:color w:val="auto"/>
          <w:kern w:val="0"/>
          <w:sz w:val="32"/>
          <w:szCs w:val="32"/>
          <w:highlight w:val="none"/>
        </w:rPr>
        <w:t>　</w:t>
      </w:r>
      <w:r>
        <w:rPr>
          <w:rFonts w:hint="eastAsia" w:ascii="FangSong" w:hAnsi="FangSong" w:eastAsia="FangSong" w:cs="SimSun"/>
          <w:color w:val="auto"/>
          <w:kern w:val="0"/>
          <w:sz w:val="32"/>
          <w:szCs w:val="32"/>
          <w:highlight w:val="none"/>
          <w:lang w:val="en-US" w:eastAsia="zh-CN"/>
        </w:rPr>
        <w:t xml:space="preserve"> </w:t>
      </w:r>
      <w:r>
        <w:rPr>
          <w:rFonts w:hint="eastAsia" w:ascii="FangSong" w:hAnsi="FangSong" w:eastAsia="FangSong" w:cs="SimSun"/>
          <w:color w:val="auto"/>
          <w:kern w:val="0"/>
          <w:sz w:val="32"/>
          <w:szCs w:val="32"/>
          <w:highlight w:val="none"/>
        </w:rPr>
        <w:t xml:space="preserve"> </w:t>
      </w:r>
      <w:r>
        <w:rPr>
          <w:rFonts w:hint="eastAsia" w:ascii="FangSong" w:hAnsi="FangSong" w:eastAsia="FangSong" w:cs="SimSun"/>
          <w:b/>
          <w:color w:val="auto"/>
          <w:kern w:val="0"/>
          <w:sz w:val="32"/>
          <w:szCs w:val="32"/>
          <w:highlight w:val="none"/>
          <w:lang w:eastAsia="zh-CN"/>
        </w:rPr>
        <w:t>六</w:t>
      </w:r>
      <w:r>
        <w:rPr>
          <w:rFonts w:hint="eastAsia" w:ascii="FangSong" w:hAnsi="FangSong" w:eastAsia="FangSong" w:cs="SimSun"/>
          <w:b/>
          <w:color w:val="auto"/>
          <w:kern w:val="0"/>
          <w:sz w:val="32"/>
          <w:szCs w:val="32"/>
          <w:highlight w:val="none"/>
        </w:rPr>
        <w:t>、国有资本经营预算支出规模及变化情况说明</w:t>
      </w:r>
    </w:p>
    <w:p>
      <w:pPr>
        <w:bidi w:val="0"/>
        <w:spacing w:line="600" w:lineRule="exact"/>
        <w:ind w:firstLine="640" w:firstLineChars="200"/>
        <w:jc w:val="left"/>
        <w:rPr>
          <w:rFonts w:hint="eastAsia" w:eastAsia="FangSong" w:asciiTheme="minorAscii" w:hAnsiTheme="minorAscii"/>
          <w:sz w:val="32"/>
          <w:lang w:eastAsia="zh-CN"/>
        </w:rPr>
      </w:pPr>
      <w:r>
        <w:rPr>
          <w:rFonts w:hint="eastAsia" w:eastAsia="FangSong" w:asciiTheme="minorAscii" w:hAnsiTheme="minorAscii"/>
          <w:sz w:val="32"/>
          <w:lang w:eastAsia="zh-CN"/>
        </w:rPr>
        <w:t>2023年，综合行政执法局国有资本经营预算支出</w:t>
      </w:r>
      <w:r>
        <w:rPr>
          <w:rFonts w:hint="eastAsia" w:eastAsia="FangSong" w:asciiTheme="minorAscii" w:hAnsiTheme="minorAscii"/>
          <w:sz w:val="32"/>
          <w:lang w:val="en-US" w:eastAsia="zh-CN"/>
        </w:rPr>
        <w:t>0万元。</w:t>
      </w:r>
    </w:p>
    <w:p>
      <w:pPr>
        <w:keepNext w:val="0"/>
        <w:keepLines w:val="0"/>
        <w:pageBreakBefore w:val="0"/>
        <w:kinsoku/>
        <w:wordWrap/>
        <w:overflowPunct/>
        <w:autoSpaceDE/>
        <w:autoSpaceDN/>
        <w:bidi w:val="0"/>
        <w:adjustRightInd/>
        <w:snapToGrid/>
        <w:ind w:firstLine="643" w:firstLineChars="200"/>
        <w:textAlignment w:val="auto"/>
        <w:rPr>
          <w:rFonts w:hint="eastAsia" w:ascii="FangSong" w:hAnsi="FangSong" w:eastAsia="FangSong" w:cs="SimSun"/>
          <w:b/>
          <w:color w:val="auto"/>
          <w:kern w:val="0"/>
          <w:sz w:val="32"/>
          <w:szCs w:val="32"/>
          <w:highlight w:val="none"/>
        </w:rPr>
      </w:pPr>
      <w:r>
        <w:rPr>
          <w:rFonts w:hint="eastAsia" w:ascii="FangSong" w:hAnsi="FangSong" w:eastAsia="FangSong" w:cs="SimSun"/>
          <w:b/>
          <w:color w:val="auto"/>
          <w:kern w:val="0"/>
          <w:sz w:val="32"/>
          <w:szCs w:val="32"/>
          <w:highlight w:val="none"/>
          <w:lang w:eastAsia="zh-CN"/>
        </w:rPr>
        <w:t>七</w:t>
      </w:r>
      <w:r>
        <w:rPr>
          <w:rFonts w:hint="eastAsia" w:ascii="FangSong" w:hAnsi="FangSong" w:eastAsia="FangSong" w:cs="SimSun"/>
          <w:b/>
          <w:color w:val="auto"/>
          <w:kern w:val="0"/>
          <w:sz w:val="32"/>
          <w:szCs w:val="32"/>
          <w:highlight w:val="none"/>
        </w:rPr>
        <w:t>、社会保险基金预算支出规模及变化情况说明</w:t>
      </w:r>
    </w:p>
    <w:p>
      <w:pPr>
        <w:bidi w:val="0"/>
        <w:spacing w:line="600" w:lineRule="exact"/>
        <w:ind w:firstLine="640" w:firstLineChars="200"/>
        <w:jc w:val="left"/>
        <w:rPr>
          <w:rFonts w:hint="eastAsia" w:eastAsia="FangSong" w:asciiTheme="minorAscii" w:hAnsiTheme="minorAscii"/>
          <w:sz w:val="32"/>
          <w:lang w:val="en-US" w:eastAsia="zh-CN"/>
        </w:rPr>
      </w:pPr>
      <w:r>
        <w:rPr>
          <w:rFonts w:hint="eastAsia" w:eastAsia="FangSong" w:asciiTheme="minorAscii" w:hAnsiTheme="minorAscii"/>
          <w:sz w:val="32"/>
          <w:lang w:eastAsia="zh-CN"/>
        </w:rPr>
        <w:t>2023年，综合行政执法局社会保险基金预算支出</w:t>
      </w:r>
      <w:r>
        <w:rPr>
          <w:rFonts w:hint="eastAsia" w:eastAsia="FangSong" w:asciiTheme="minorAscii" w:hAnsiTheme="minorAscii"/>
          <w:sz w:val="32"/>
          <w:lang w:val="en-US" w:eastAsia="zh-CN"/>
        </w:rPr>
        <w:t>0万元。</w:t>
      </w:r>
    </w:p>
    <w:p>
      <w:pPr>
        <w:bidi w:val="0"/>
        <w:spacing w:line="600" w:lineRule="exact"/>
        <w:ind w:firstLine="643" w:firstLineChars="200"/>
        <w:jc w:val="left"/>
        <w:rPr>
          <w:rFonts w:hint="eastAsia" w:eastAsia="FangSong" w:asciiTheme="minorAscii" w:hAnsiTheme="minorAscii"/>
          <w:sz w:val="32"/>
          <w:lang w:eastAsia="zh-CN"/>
        </w:rPr>
      </w:pPr>
      <w:r>
        <w:rPr>
          <w:rFonts w:hint="eastAsia" w:ascii="FangSong" w:hAnsi="FangSong" w:eastAsia="FangSong" w:cs="SimSun"/>
          <w:b/>
          <w:color w:val="auto"/>
          <w:kern w:val="0"/>
          <w:sz w:val="32"/>
          <w:szCs w:val="32"/>
          <w:highlight w:val="none"/>
          <w:lang w:eastAsia="zh-CN"/>
        </w:rPr>
        <w:t>八</w:t>
      </w:r>
      <w:r>
        <w:rPr>
          <w:rFonts w:hint="eastAsia" w:ascii="FangSong" w:hAnsi="FangSong" w:eastAsia="FangSong" w:cs="SimSun"/>
          <w:b/>
          <w:color w:val="auto"/>
          <w:kern w:val="0"/>
          <w:sz w:val="32"/>
          <w:szCs w:val="32"/>
          <w:highlight w:val="none"/>
        </w:rPr>
        <w:t>、“三公”经费预算安排情况说明</w:t>
      </w:r>
      <w:r>
        <w:rPr>
          <w:rFonts w:ascii="FangSong" w:hAnsi="SimSun" w:eastAsia="FangSong" w:cs="SimSun"/>
          <w:b/>
          <w:color w:val="auto"/>
          <w:kern w:val="0"/>
          <w:sz w:val="32"/>
          <w:szCs w:val="32"/>
          <w:highlight w:val="none"/>
        </w:rPr>
        <w:t> </w:t>
      </w:r>
      <w:r>
        <w:rPr>
          <w:rFonts w:ascii="FangSong" w:hAnsi="FangSong" w:eastAsia="FangSong" w:cs="SimSun"/>
          <w:b/>
          <w:color w:val="auto"/>
          <w:kern w:val="0"/>
          <w:sz w:val="32"/>
          <w:szCs w:val="32"/>
          <w:highlight w:val="none"/>
        </w:rPr>
        <w:br w:type="textWrapping"/>
      </w:r>
      <w:r>
        <w:rPr>
          <w:rFonts w:hint="eastAsia" w:ascii="FangSong" w:hAnsi="FangSong" w:eastAsia="FangSong" w:cs="SimSun"/>
          <w:color w:val="auto"/>
          <w:kern w:val="0"/>
          <w:sz w:val="32"/>
          <w:szCs w:val="32"/>
          <w:highlight w:val="none"/>
        </w:rPr>
        <w:t>　　</w:t>
      </w:r>
      <w:r>
        <w:rPr>
          <w:rFonts w:hint="eastAsia" w:eastAsia="FangSong" w:asciiTheme="minorAscii" w:hAnsiTheme="minorAscii"/>
          <w:sz w:val="32"/>
          <w:lang w:eastAsia="zh-CN"/>
        </w:rPr>
        <w:t>综合行政执法局2023年“三公”经费预算数</w:t>
      </w:r>
      <w:r>
        <w:rPr>
          <w:rFonts w:hint="eastAsia" w:eastAsia="FangSong" w:asciiTheme="minorAscii" w:hAnsiTheme="minorAscii"/>
          <w:sz w:val="32"/>
          <w:lang w:val="en-US" w:eastAsia="zh-CN"/>
        </w:rPr>
        <w:t>7.4</w:t>
      </w:r>
      <w:r>
        <w:rPr>
          <w:rFonts w:hint="eastAsia" w:eastAsia="FangSong" w:asciiTheme="minorAscii" w:hAnsiTheme="minorAscii"/>
          <w:sz w:val="32"/>
          <w:lang w:eastAsia="zh-CN"/>
        </w:rPr>
        <w:t>万元，较上年“三公”经费预算数减少</w:t>
      </w:r>
      <w:commentRangeStart w:id="6"/>
      <w:r>
        <w:rPr>
          <w:rFonts w:hint="eastAsia" w:eastAsia="FangSong" w:asciiTheme="minorAscii" w:hAnsiTheme="minorAscii"/>
          <w:color w:val="auto"/>
          <w:sz w:val="32"/>
          <w:shd w:val="clear" w:color="auto" w:fill="auto"/>
          <w:lang w:val="en-US" w:eastAsia="zh-CN"/>
        </w:rPr>
        <w:t>0.</w:t>
      </w:r>
      <w:commentRangeEnd w:id="6"/>
      <w:r>
        <w:rPr>
          <w:color w:val="auto"/>
          <w:shd w:val="clear" w:color="auto" w:fill="auto"/>
        </w:rPr>
        <w:commentReference w:id="6"/>
      </w:r>
      <w:r>
        <w:rPr>
          <w:rFonts w:hint="eastAsia" w:eastAsia="FangSong" w:asciiTheme="minorAscii" w:hAnsiTheme="minorAscii"/>
          <w:color w:val="auto"/>
          <w:sz w:val="32"/>
          <w:lang w:val="en-US" w:eastAsia="zh-CN"/>
        </w:rPr>
        <w:t>2</w:t>
      </w:r>
      <w:r>
        <w:rPr>
          <w:rFonts w:hint="eastAsia" w:eastAsia="FangSong" w:asciiTheme="minorAscii" w:hAnsiTheme="minorAscii"/>
          <w:color w:val="auto"/>
          <w:sz w:val="32"/>
          <w:lang w:eastAsia="zh-CN"/>
        </w:rPr>
        <w:t>万</w:t>
      </w:r>
      <w:r>
        <w:rPr>
          <w:rFonts w:hint="eastAsia" w:eastAsia="FangSong" w:asciiTheme="minorAscii" w:hAnsiTheme="minorAscii"/>
          <w:sz w:val="32"/>
          <w:lang w:eastAsia="zh-CN"/>
        </w:rPr>
        <w:t>元。其中财政拨款安排“三公”经费</w:t>
      </w:r>
      <w:r>
        <w:rPr>
          <w:rFonts w:hint="eastAsia" w:eastAsia="FangSong" w:asciiTheme="minorAscii" w:hAnsiTheme="minorAscii"/>
          <w:sz w:val="32"/>
          <w:lang w:val="en-US" w:eastAsia="zh-CN"/>
        </w:rPr>
        <w:t>7.4</w:t>
      </w:r>
      <w:r>
        <w:rPr>
          <w:rFonts w:hint="eastAsia" w:eastAsia="FangSong" w:asciiTheme="minorAscii" w:hAnsiTheme="minorAscii"/>
          <w:sz w:val="32"/>
          <w:lang w:eastAsia="zh-CN"/>
        </w:rPr>
        <w:t>万元。因公出国（境）经费</w:t>
      </w:r>
      <w:r>
        <w:rPr>
          <w:rFonts w:hint="eastAsia" w:eastAsia="FangSong" w:asciiTheme="minorAscii" w:hAnsiTheme="minorAscii"/>
          <w:sz w:val="32"/>
          <w:lang w:val="en-US" w:eastAsia="zh-CN"/>
        </w:rPr>
        <w:t>0</w:t>
      </w:r>
      <w:r>
        <w:rPr>
          <w:rFonts w:hint="eastAsia" w:eastAsia="FangSong" w:asciiTheme="minorAscii" w:hAnsiTheme="minorAscii"/>
          <w:sz w:val="32"/>
          <w:lang w:eastAsia="zh-CN"/>
        </w:rPr>
        <w:t>万元，公务接待费</w:t>
      </w:r>
      <w:r>
        <w:rPr>
          <w:rFonts w:hint="eastAsia" w:eastAsia="FangSong" w:asciiTheme="minorAscii" w:hAnsiTheme="minorAscii"/>
          <w:sz w:val="32"/>
          <w:lang w:val="en-US" w:eastAsia="zh-CN"/>
        </w:rPr>
        <w:t>7.4</w:t>
      </w:r>
      <w:r>
        <w:rPr>
          <w:rFonts w:hint="eastAsia" w:eastAsia="FangSong" w:asciiTheme="minorAscii" w:hAnsiTheme="minorAscii"/>
          <w:sz w:val="32"/>
          <w:lang w:eastAsia="zh-CN"/>
        </w:rPr>
        <w:t>万元，公务用车购置及运行维护费</w:t>
      </w:r>
      <w:r>
        <w:rPr>
          <w:rFonts w:hint="eastAsia" w:eastAsia="FangSong" w:asciiTheme="minorAscii" w:hAnsiTheme="minorAscii"/>
          <w:sz w:val="32"/>
          <w:lang w:val="en-US" w:eastAsia="zh-CN"/>
        </w:rPr>
        <w:t>0</w:t>
      </w:r>
      <w:r>
        <w:rPr>
          <w:rFonts w:hint="eastAsia" w:eastAsia="FangSong" w:asciiTheme="minorAscii" w:hAnsiTheme="minorAscii"/>
          <w:sz w:val="32"/>
          <w:lang w:eastAsia="zh-CN"/>
        </w:rPr>
        <w:t>万元。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1.因公出国（境）经费较上年预算持平。主要原因是2023年和202</w:t>
      </w:r>
      <w:r>
        <w:rPr>
          <w:rFonts w:hint="eastAsia" w:eastAsia="FangSong" w:asciiTheme="minorAscii" w:hAnsiTheme="minorAscii"/>
          <w:sz w:val="32"/>
          <w:lang w:val="en-US" w:eastAsia="zh-CN"/>
        </w:rPr>
        <w:t>2</w:t>
      </w:r>
      <w:r>
        <w:rPr>
          <w:rFonts w:hint="eastAsia" w:eastAsia="FangSong" w:asciiTheme="minorAscii" w:hAnsiTheme="minorAscii"/>
          <w:sz w:val="32"/>
          <w:lang w:eastAsia="zh-CN"/>
        </w:rPr>
        <w:t>年均无因公出国（境）费用支出。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2.公务接待费较上年预算减</w:t>
      </w:r>
      <w:commentRangeStart w:id="7"/>
      <w:r>
        <w:rPr>
          <w:rFonts w:hint="eastAsia" w:eastAsia="FangSong" w:asciiTheme="minorAscii" w:hAnsiTheme="minorAscii"/>
          <w:sz w:val="32"/>
          <w:lang w:eastAsia="zh-CN"/>
        </w:rPr>
        <w:t>少</w:t>
      </w:r>
      <w:r>
        <w:rPr>
          <w:rFonts w:hint="eastAsia" w:eastAsia="FangSong" w:asciiTheme="minorAscii" w:hAnsiTheme="minorAscii"/>
          <w:sz w:val="32"/>
          <w:lang w:val="en-US" w:eastAsia="zh-CN"/>
        </w:rPr>
        <w:t>0.2</w:t>
      </w:r>
      <w:r>
        <w:rPr>
          <w:rFonts w:hint="eastAsia" w:eastAsia="FangSong" w:asciiTheme="minorAscii" w:hAnsiTheme="minorAscii"/>
          <w:sz w:val="32"/>
          <w:lang w:eastAsia="zh-CN"/>
        </w:rPr>
        <w:t>万</w:t>
      </w:r>
      <w:commentRangeEnd w:id="7"/>
      <w:r>
        <w:commentReference w:id="7"/>
      </w:r>
      <w:r>
        <w:rPr>
          <w:rFonts w:hint="eastAsia" w:eastAsia="FangSong" w:asciiTheme="minorAscii" w:hAnsiTheme="minorAscii"/>
          <w:sz w:val="32"/>
          <w:lang w:eastAsia="zh-CN"/>
        </w:rPr>
        <w:t>元，下降</w:t>
      </w:r>
      <w:r>
        <w:rPr>
          <w:rFonts w:hint="eastAsia" w:eastAsia="FangSong" w:asciiTheme="minorAscii" w:hAnsiTheme="minorAscii"/>
          <w:sz w:val="32"/>
          <w:lang w:val="en-US" w:eastAsia="zh-CN"/>
        </w:rPr>
        <w:t>0.07</w:t>
      </w:r>
      <w:r>
        <w:rPr>
          <w:rFonts w:hint="eastAsia" w:eastAsia="FangSong" w:asciiTheme="minorAscii" w:hAnsiTheme="minorAscii"/>
          <w:sz w:val="32"/>
          <w:lang w:eastAsia="zh-CN"/>
        </w:rPr>
        <w:t>%。主要原因是按照中央八项规定及厉行节约、反对浪费的要求，简化接待程序，严格控制用餐及住宿标准，减少公务接待开支。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202</w:t>
      </w:r>
      <w:r>
        <w:rPr>
          <w:rFonts w:hint="eastAsia" w:eastAsia="FangSong" w:asciiTheme="minorAscii" w:hAnsiTheme="minorAscii"/>
          <w:sz w:val="32"/>
          <w:lang w:val="en-US" w:eastAsia="zh-CN"/>
        </w:rPr>
        <w:t>4</w:t>
      </w:r>
      <w:r>
        <w:rPr>
          <w:rFonts w:hint="eastAsia" w:eastAsia="FangSong" w:asciiTheme="minorAscii" w:hAnsiTheme="minorAscii"/>
          <w:sz w:val="32"/>
          <w:lang w:eastAsia="zh-CN"/>
        </w:rPr>
        <w:t>年公务接待费计划用于上级调研指导工作和其他单位来我单位交流学习等。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3.公务用车购置及运行维护费较上年预算减少</w:t>
      </w:r>
      <w:r>
        <w:rPr>
          <w:rFonts w:hint="eastAsia" w:eastAsia="FangSong" w:asciiTheme="minorAscii" w:hAnsiTheme="minorAscii"/>
          <w:sz w:val="32"/>
          <w:lang w:val="en-US" w:eastAsia="zh-CN"/>
        </w:rPr>
        <w:t>0</w:t>
      </w:r>
      <w:r>
        <w:rPr>
          <w:rFonts w:hint="eastAsia" w:eastAsia="FangSong" w:asciiTheme="minorAscii" w:hAnsiTheme="minorAscii"/>
          <w:sz w:val="32"/>
          <w:lang w:eastAsia="zh-CN"/>
        </w:rPr>
        <w:t>万元，下降</w:t>
      </w:r>
      <w:r>
        <w:rPr>
          <w:rFonts w:hint="eastAsia" w:eastAsia="FangSong" w:asciiTheme="minorAscii" w:hAnsiTheme="minorAscii"/>
          <w:sz w:val="32"/>
          <w:lang w:val="en-US" w:eastAsia="zh-CN"/>
        </w:rPr>
        <w:t>0</w:t>
      </w:r>
      <w:r>
        <w:rPr>
          <w:rFonts w:hint="eastAsia" w:eastAsia="FangSong" w:asciiTheme="minorAscii" w:hAnsiTheme="minorAscii"/>
          <w:sz w:val="32"/>
          <w:lang w:eastAsia="zh-CN"/>
        </w:rPr>
        <w:t>%。主要原因是无公务用车。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单位现有公务用车</w:t>
      </w:r>
      <w:r>
        <w:rPr>
          <w:rFonts w:hint="eastAsia" w:eastAsia="FangSong" w:asciiTheme="minorAscii" w:hAnsiTheme="minorAscii"/>
          <w:sz w:val="32"/>
          <w:lang w:val="en-US" w:eastAsia="zh-CN"/>
        </w:rPr>
        <w:t>0</w:t>
      </w:r>
      <w:r>
        <w:rPr>
          <w:rFonts w:hint="eastAsia" w:eastAsia="FangSong" w:asciiTheme="minorAscii" w:hAnsiTheme="minorAscii"/>
          <w:sz w:val="32"/>
          <w:lang w:eastAsia="zh-CN"/>
        </w:rPr>
        <w:t>辆，其中：轿车</w:t>
      </w:r>
      <w:r>
        <w:rPr>
          <w:rFonts w:hint="eastAsia" w:eastAsia="FangSong" w:asciiTheme="minorAscii" w:hAnsiTheme="minorAscii"/>
          <w:sz w:val="32"/>
          <w:lang w:val="en-US" w:eastAsia="zh-CN"/>
        </w:rPr>
        <w:t>0</w:t>
      </w:r>
      <w:r>
        <w:rPr>
          <w:rFonts w:hint="eastAsia" w:eastAsia="FangSong" w:asciiTheme="minorAscii" w:hAnsiTheme="minorAscii"/>
          <w:sz w:val="32"/>
          <w:lang w:eastAsia="zh-CN"/>
        </w:rPr>
        <w:t>辆，越野车</w:t>
      </w:r>
      <w:r>
        <w:rPr>
          <w:rFonts w:hint="eastAsia" w:eastAsia="FangSong" w:asciiTheme="minorAscii" w:hAnsiTheme="minorAscii"/>
          <w:sz w:val="32"/>
          <w:lang w:val="en-US" w:eastAsia="zh-CN"/>
        </w:rPr>
        <w:t>0</w:t>
      </w:r>
      <w:r>
        <w:rPr>
          <w:rFonts w:hint="eastAsia" w:eastAsia="FangSong" w:asciiTheme="minorAscii" w:hAnsiTheme="minorAscii"/>
          <w:sz w:val="32"/>
          <w:lang w:eastAsia="zh-CN"/>
        </w:rPr>
        <w:t>辆，其他车型</w:t>
      </w:r>
      <w:r>
        <w:rPr>
          <w:rFonts w:hint="eastAsia" w:eastAsia="FangSong" w:asciiTheme="minorAscii" w:hAnsiTheme="minorAscii"/>
          <w:sz w:val="32"/>
          <w:lang w:val="en-US" w:eastAsia="zh-CN"/>
        </w:rPr>
        <w:t>0</w:t>
      </w:r>
      <w:r>
        <w:rPr>
          <w:rFonts w:hint="eastAsia" w:eastAsia="FangSong" w:asciiTheme="minorAscii" w:hAnsiTheme="minorAscii"/>
          <w:sz w:val="32"/>
          <w:lang w:eastAsia="zh-CN"/>
        </w:rPr>
        <w:t>辆。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202</w:t>
      </w:r>
      <w:r>
        <w:rPr>
          <w:rFonts w:hint="eastAsia" w:eastAsia="FangSong" w:asciiTheme="minorAscii" w:hAnsiTheme="minorAscii"/>
          <w:sz w:val="32"/>
          <w:lang w:val="en-US" w:eastAsia="zh-CN"/>
        </w:rPr>
        <w:t>4</w:t>
      </w:r>
      <w:r>
        <w:rPr>
          <w:rFonts w:hint="eastAsia" w:eastAsia="FangSong" w:asciiTheme="minorAscii" w:hAnsiTheme="minorAscii"/>
          <w:sz w:val="32"/>
          <w:lang w:eastAsia="zh-CN"/>
        </w:rPr>
        <w:t>年安排公务用车运行维护费</w:t>
      </w:r>
      <w:r>
        <w:rPr>
          <w:rFonts w:hint="eastAsia" w:eastAsia="FangSong" w:asciiTheme="minorAscii" w:hAnsiTheme="minorAscii"/>
          <w:sz w:val="32"/>
          <w:lang w:val="en-US" w:eastAsia="zh-CN"/>
        </w:rPr>
        <w:t>0</w:t>
      </w:r>
      <w:r>
        <w:rPr>
          <w:rFonts w:hint="eastAsia" w:eastAsia="FangSong" w:asciiTheme="minorAscii" w:hAnsiTheme="minorAscii"/>
          <w:sz w:val="32"/>
          <w:lang w:eastAsia="zh-CN"/>
        </w:rPr>
        <w:t>万元，用于公务用车燃油、维修、保险及其他车辆支出。 </w:t>
      </w:r>
      <w:r>
        <w:rPr>
          <w:rFonts w:hint="eastAsia" w:eastAsia="FangSong" w:asciiTheme="minorAscii" w:hAnsiTheme="minorAscii"/>
          <w:sz w:val="32"/>
          <w:lang w:eastAsia="zh-CN"/>
        </w:rPr>
        <w:br w:type="textWrapping"/>
      </w:r>
      <w:r>
        <w:rPr>
          <w:rFonts w:hint="eastAsia" w:ascii="FangSong" w:hAnsi="FangSong" w:eastAsia="FangSong" w:cs="SimSun"/>
          <w:color w:val="auto"/>
          <w:kern w:val="0"/>
          <w:sz w:val="32"/>
          <w:szCs w:val="32"/>
          <w:highlight w:val="none"/>
        </w:rPr>
        <w:t>　</w:t>
      </w:r>
      <w:r>
        <w:rPr>
          <w:rFonts w:hint="eastAsia" w:ascii="FangSong" w:hAnsi="FangSong" w:eastAsia="FangSong" w:cs="SimSun"/>
          <w:b/>
          <w:color w:val="auto"/>
          <w:kern w:val="0"/>
          <w:sz w:val="32"/>
          <w:szCs w:val="32"/>
          <w:highlight w:val="none"/>
        </w:rPr>
        <w:t>　</w:t>
      </w:r>
      <w:r>
        <w:rPr>
          <w:rFonts w:hint="eastAsia" w:ascii="FangSong" w:hAnsi="FangSong" w:eastAsia="FangSong" w:cs="SimSun"/>
          <w:b/>
          <w:color w:val="auto"/>
          <w:kern w:val="0"/>
          <w:sz w:val="32"/>
          <w:szCs w:val="32"/>
          <w:highlight w:val="none"/>
          <w:lang w:eastAsia="zh-CN"/>
        </w:rPr>
        <w:t>九</w:t>
      </w:r>
      <w:r>
        <w:rPr>
          <w:rFonts w:hint="eastAsia" w:ascii="FangSong" w:hAnsi="FangSong" w:eastAsia="FangSong" w:cs="SimSun"/>
          <w:b/>
          <w:color w:val="auto"/>
          <w:kern w:val="0"/>
          <w:sz w:val="32"/>
          <w:szCs w:val="32"/>
          <w:highlight w:val="none"/>
        </w:rPr>
        <w:t>、其他重要事项的情况说明</w:t>
      </w:r>
      <w:r>
        <w:rPr>
          <w:rFonts w:ascii="FangSong" w:hAnsi="SimSun" w:eastAsia="FangSong" w:cs="SimSun"/>
          <w:color w:val="auto"/>
          <w:kern w:val="0"/>
          <w:sz w:val="32"/>
          <w:szCs w:val="32"/>
          <w:highlight w:val="none"/>
        </w:rPr>
        <w:t> </w:t>
      </w:r>
      <w:r>
        <w:rPr>
          <w:rFonts w:ascii="FangSong" w:hAnsi="FangSong" w:eastAsia="FangSong" w:cs="SimSun"/>
          <w:color w:val="auto"/>
          <w:kern w:val="0"/>
          <w:sz w:val="32"/>
          <w:szCs w:val="32"/>
          <w:highlight w:val="none"/>
        </w:rPr>
        <w:br w:type="textWrapping"/>
      </w:r>
      <w:r>
        <w:rPr>
          <w:rFonts w:hint="eastAsia" w:ascii="FangSong" w:hAnsi="FangSong" w:eastAsia="FangSong" w:cs="SimSun"/>
          <w:color w:val="auto"/>
          <w:kern w:val="0"/>
          <w:sz w:val="32"/>
          <w:szCs w:val="32"/>
          <w:highlight w:val="none"/>
        </w:rPr>
        <w:t xml:space="preserve">　 </w:t>
      </w:r>
      <w:r>
        <w:rPr>
          <w:rFonts w:hint="eastAsia" w:eastAsia="FangSong" w:asciiTheme="minorAscii" w:hAnsiTheme="minorAscii"/>
          <w:sz w:val="32"/>
          <w:lang w:eastAsia="zh-CN"/>
        </w:rPr>
        <w:t>（一）机关运行经费。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xml:space="preserve">    按照《关于印发〈地方预决算公开操作规程〉的通知》（财预〔2016〕143号），部门机关运行经费是指各部门的公用经费，包括办公及印刷费、邮电费、差旅费、会议费、福利费、日常维修费、专用材料及一般设备购置费、办公用房水电费、办公用房取暖费，以及其他费用。综合行政执法局202</w:t>
      </w:r>
      <w:r>
        <w:rPr>
          <w:rFonts w:hint="eastAsia" w:eastAsia="FangSong" w:asciiTheme="minorAscii" w:hAnsiTheme="minorAscii"/>
          <w:sz w:val="32"/>
          <w:lang w:val="en-US" w:eastAsia="zh-CN"/>
        </w:rPr>
        <w:t>4</w:t>
      </w:r>
      <w:r>
        <w:rPr>
          <w:rFonts w:hint="eastAsia" w:eastAsia="FangSong" w:asciiTheme="minorAscii" w:hAnsiTheme="minorAscii"/>
          <w:sz w:val="32"/>
          <w:lang w:eastAsia="zh-CN"/>
        </w:rPr>
        <w:t>年履行一般行政管理职能，合计</w:t>
      </w:r>
      <w:r>
        <w:rPr>
          <w:rFonts w:hint="eastAsia" w:eastAsia="FangSong" w:asciiTheme="minorAscii" w:hAnsiTheme="minorAscii"/>
          <w:sz w:val="32"/>
          <w:lang w:val="en-US" w:eastAsia="zh-CN"/>
        </w:rPr>
        <w:t>90.97</w:t>
      </w:r>
      <w:r>
        <w:rPr>
          <w:rFonts w:hint="eastAsia" w:eastAsia="FangSong" w:asciiTheme="minorAscii" w:hAnsiTheme="minorAscii"/>
          <w:sz w:val="32"/>
          <w:lang w:eastAsia="zh-CN"/>
        </w:rPr>
        <w:t>万元。</w:t>
      </w:r>
    </w:p>
    <w:p>
      <w:pPr>
        <w:bidi w:val="0"/>
        <w:spacing w:line="600" w:lineRule="exact"/>
        <w:ind w:firstLine="640" w:firstLineChars="200"/>
        <w:jc w:val="left"/>
        <w:rPr>
          <w:rFonts w:hint="eastAsia" w:eastAsia="FangSong" w:asciiTheme="minorAscii" w:hAnsiTheme="minorAscii"/>
          <w:sz w:val="32"/>
          <w:lang w:eastAsia="zh-CN"/>
        </w:rPr>
      </w:pPr>
      <w:r>
        <w:rPr>
          <w:rFonts w:hint="eastAsia" w:eastAsia="FangSong" w:asciiTheme="minorAscii" w:hAnsiTheme="minorAscii"/>
          <w:sz w:val="32"/>
          <w:lang w:eastAsia="zh-CN"/>
        </w:rPr>
        <w:t>（二）政府采购情况。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2023年，综合行政执法局安排政府采购预算</w:t>
      </w:r>
      <w:r>
        <w:rPr>
          <w:rFonts w:hint="eastAsia" w:eastAsia="FangSong" w:asciiTheme="minorAscii" w:hAnsiTheme="minorAscii"/>
          <w:sz w:val="32"/>
          <w:lang w:val="en-US" w:eastAsia="zh-CN"/>
        </w:rPr>
        <w:t>0</w:t>
      </w:r>
      <w:r>
        <w:rPr>
          <w:rFonts w:hint="eastAsia" w:eastAsia="FangSong" w:asciiTheme="minorAscii" w:hAnsiTheme="minorAscii"/>
          <w:sz w:val="32"/>
          <w:lang w:eastAsia="zh-CN"/>
        </w:rPr>
        <w:t>万元。 </w:t>
      </w:r>
    </w:p>
    <w:p>
      <w:pPr>
        <w:bidi w:val="0"/>
        <w:spacing w:line="600" w:lineRule="exact"/>
        <w:ind w:firstLine="640" w:firstLineChars="200"/>
        <w:jc w:val="left"/>
        <w:rPr>
          <w:rFonts w:hint="eastAsia" w:eastAsia="FangSong" w:asciiTheme="minorAscii" w:hAnsiTheme="minorAscii"/>
          <w:sz w:val="32"/>
          <w:lang w:eastAsia="zh-CN"/>
        </w:rPr>
      </w:pPr>
      <w:r>
        <w:rPr>
          <w:rFonts w:hint="eastAsia" w:eastAsia="FangSong" w:asciiTheme="minorAscii" w:hAnsiTheme="minorAscii"/>
          <w:sz w:val="32"/>
          <w:lang w:eastAsia="zh-CN"/>
        </w:rPr>
        <w:t>（三）绩效目标设置情况。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2023年，综合行政执法局按要求实行绩效目标管理，部门整体绩效目标涉及预算安排</w:t>
      </w:r>
      <w:r>
        <w:rPr>
          <w:rFonts w:hint="eastAsia" w:eastAsia="FangSong" w:asciiTheme="minorAscii" w:hAnsiTheme="minorAscii"/>
          <w:sz w:val="32"/>
          <w:lang w:val="en-US" w:eastAsia="zh-CN"/>
        </w:rPr>
        <w:t>2547.6</w:t>
      </w:r>
      <w:r>
        <w:rPr>
          <w:rFonts w:hint="eastAsia" w:eastAsia="FangSong" w:asciiTheme="minorAscii" w:hAnsiTheme="minorAscii"/>
          <w:sz w:val="32"/>
          <w:lang w:eastAsia="zh-CN"/>
        </w:rPr>
        <w:t>万元，其中编制了项目绩效目标的预算</w:t>
      </w:r>
      <w:r>
        <w:rPr>
          <w:rFonts w:hint="eastAsia" w:eastAsia="FangSong" w:asciiTheme="minorAscii" w:hAnsiTheme="minorAscii"/>
          <w:sz w:val="32"/>
          <w:lang w:val="en-US" w:eastAsia="zh-CN"/>
        </w:rPr>
        <w:t>2547.6</w:t>
      </w:r>
      <w:r>
        <w:rPr>
          <w:rFonts w:hint="eastAsia" w:eastAsia="FangSong" w:asciiTheme="minorAscii" w:hAnsiTheme="minorAscii"/>
          <w:sz w:val="32"/>
          <w:lang w:eastAsia="zh-CN"/>
        </w:rPr>
        <w:t>万元，主要是基本支出、城市管理专项经费、垃圾“一张网”运营维护及人居环境专项经费等。 </w:t>
      </w:r>
    </w:p>
    <w:p>
      <w:pPr>
        <w:bidi w:val="0"/>
        <w:spacing w:line="600" w:lineRule="exact"/>
        <w:ind w:firstLine="640" w:firstLineChars="200"/>
        <w:jc w:val="left"/>
        <w:rPr>
          <w:rFonts w:hint="eastAsia" w:eastAsia="FangSong" w:asciiTheme="minorAscii" w:hAnsiTheme="minorAscii"/>
          <w:sz w:val="32"/>
          <w:lang w:eastAsia="zh-CN"/>
        </w:rPr>
      </w:pPr>
      <w:r>
        <w:rPr>
          <w:rFonts w:hint="eastAsia" w:eastAsia="FangSong" w:asciiTheme="minorAscii" w:hAnsiTheme="minorAscii"/>
          <w:sz w:val="32"/>
          <w:lang w:eastAsia="zh-CN"/>
        </w:rPr>
        <w:t>（四）国有资产占有使用情况。</w:t>
      </w:r>
    </w:p>
    <w:p>
      <w:pPr>
        <w:bidi w:val="0"/>
        <w:spacing w:line="600" w:lineRule="exact"/>
        <w:ind w:firstLine="640" w:firstLineChars="200"/>
        <w:jc w:val="left"/>
        <w:rPr>
          <w:rFonts w:hint="eastAsia" w:eastAsia="FangSong" w:asciiTheme="minorAscii" w:hAnsiTheme="minorAscii"/>
          <w:sz w:val="32"/>
          <w:lang w:eastAsia="zh-CN"/>
        </w:rPr>
      </w:pPr>
      <w:r>
        <w:rPr>
          <w:rFonts w:hint="eastAsia" w:eastAsia="FangSong" w:asciiTheme="minorAscii" w:hAnsiTheme="minorAscii"/>
          <w:sz w:val="32"/>
          <w:lang w:eastAsia="zh-CN"/>
        </w:rPr>
        <w:t>按照资产管理与预算管理相结合的要求，单位资产</w:t>
      </w:r>
      <w:r>
        <w:rPr>
          <w:rFonts w:hint="eastAsia" w:eastAsia="FangSong" w:asciiTheme="minorAscii" w:hAnsiTheme="minorAscii"/>
          <w:sz w:val="32"/>
          <w:highlight w:val="none"/>
          <w:lang w:val="en-US" w:eastAsia="zh-CN"/>
        </w:rPr>
        <w:t>376.07</w:t>
      </w:r>
      <w:r>
        <w:rPr>
          <w:rFonts w:hint="eastAsia" w:eastAsia="FangSong" w:asciiTheme="minorAscii" w:hAnsiTheme="minorAscii"/>
          <w:sz w:val="32"/>
          <w:highlight w:val="none"/>
          <w:lang w:eastAsia="zh-CN"/>
        </w:rPr>
        <w:t>万</w:t>
      </w:r>
      <w:r>
        <w:rPr>
          <w:rFonts w:hint="eastAsia" w:eastAsia="FangSong" w:asciiTheme="minorAscii" w:hAnsiTheme="minorAscii"/>
          <w:sz w:val="32"/>
          <w:lang w:eastAsia="zh-CN"/>
        </w:rPr>
        <w:t>元，其中：共有车辆</w:t>
      </w:r>
      <w:r>
        <w:rPr>
          <w:rFonts w:hint="eastAsia" w:eastAsia="FangSong" w:asciiTheme="minorAscii" w:hAnsiTheme="minorAscii"/>
          <w:sz w:val="32"/>
          <w:lang w:val="en-US" w:eastAsia="zh-CN"/>
        </w:rPr>
        <w:t>6</w:t>
      </w:r>
      <w:r>
        <w:rPr>
          <w:rFonts w:hint="eastAsia" w:eastAsia="FangSong" w:asciiTheme="minorAscii" w:hAnsiTheme="minorAscii"/>
          <w:sz w:val="32"/>
          <w:lang w:eastAsia="zh-CN"/>
        </w:rPr>
        <w:t>辆，单位价值200万元以上大型设备</w:t>
      </w:r>
      <w:r>
        <w:rPr>
          <w:rFonts w:hint="eastAsia" w:eastAsia="FangSong" w:asciiTheme="minorAscii" w:hAnsiTheme="minorAscii"/>
          <w:sz w:val="32"/>
          <w:lang w:val="en-US" w:eastAsia="zh-CN"/>
        </w:rPr>
        <w:t>0</w:t>
      </w:r>
      <w:r>
        <w:rPr>
          <w:rFonts w:hint="eastAsia" w:eastAsia="FangSong" w:asciiTheme="minorAscii" w:hAnsiTheme="minorAscii"/>
          <w:sz w:val="32"/>
          <w:lang w:eastAsia="zh-CN"/>
        </w:rPr>
        <w:t>台。</w:t>
      </w:r>
    </w:p>
    <w:p>
      <w:pPr>
        <w:bidi w:val="0"/>
        <w:spacing w:line="600" w:lineRule="exact"/>
        <w:ind w:firstLine="640" w:firstLineChars="200"/>
        <w:jc w:val="left"/>
        <w:rPr>
          <w:rFonts w:hint="eastAsia" w:eastAsia="FangSong" w:asciiTheme="minorAscii" w:hAnsiTheme="minorAscii"/>
          <w:sz w:val="32"/>
          <w:lang w:eastAsia="zh-CN"/>
        </w:rPr>
      </w:pPr>
      <w:r>
        <w:rPr>
          <w:rFonts w:hint="eastAsia" w:eastAsia="FangSong" w:asciiTheme="minorAscii" w:hAnsiTheme="minorAscii"/>
          <w:sz w:val="32"/>
          <w:lang w:eastAsia="zh-CN"/>
        </w:rPr>
        <w:t>202</w:t>
      </w:r>
      <w:r>
        <w:rPr>
          <w:rFonts w:hint="eastAsia" w:eastAsia="FangSong" w:asciiTheme="minorAscii" w:hAnsiTheme="minorAscii"/>
          <w:sz w:val="32"/>
          <w:lang w:val="en-US" w:eastAsia="zh-CN"/>
        </w:rPr>
        <w:t>4</w:t>
      </w:r>
      <w:r>
        <w:rPr>
          <w:rFonts w:hint="eastAsia" w:eastAsia="FangSong" w:asciiTheme="minorAscii" w:hAnsiTheme="minorAscii"/>
          <w:sz w:val="32"/>
          <w:lang w:eastAsia="zh-CN"/>
        </w:rPr>
        <w:t>年，部门预算未安排购置车辆及单位价值200万元以上大型设备。</w:t>
      </w:r>
    </w:p>
    <w:p>
      <w:pPr>
        <w:widowControl/>
        <w:shd w:val="clear" w:color="auto" w:fill="FFFFFF"/>
        <w:ind w:firstLine="643" w:firstLineChars="200"/>
        <w:jc w:val="left"/>
        <w:rPr>
          <w:rFonts w:ascii="FangSong" w:hAnsi="FangSong" w:eastAsia="FangSong" w:cs="SimSun"/>
          <w:b/>
          <w:color w:val="auto"/>
          <w:kern w:val="0"/>
          <w:sz w:val="32"/>
          <w:szCs w:val="32"/>
          <w:highlight w:val="none"/>
        </w:rPr>
      </w:pPr>
    </w:p>
    <w:p>
      <w:pPr>
        <w:widowControl/>
        <w:shd w:val="clear" w:color="auto" w:fill="FFFFFF"/>
        <w:ind w:firstLine="643" w:firstLineChars="200"/>
        <w:jc w:val="left"/>
        <w:rPr>
          <w:rFonts w:ascii="FangSong" w:hAnsi="FangSong" w:eastAsia="FangSong" w:cs="SimSun"/>
          <w:b/>
          <w:color w:val="auto"/>
          <w:kern w:val="0"/>
          <w:sz w:val="32"/>
          <w:szCs w:val="32"/>
          <w:highlight w:val="none"/>
        </w:rPr>
      </w:pPr>
    </w:p>
    <w:p>
      <w:pPr>
        <w:widowControl/>
        <w:shd w:val="clear" w:color="auto" w:fill="FFFFFF"/>
        <w:jc w:val="left"/>
        <w:rPr>
          <w:rFonts w:ascii="FangSong" w:hAnsi="FangSong" w:eastAsia="FangSong" w:cs="SimSun"/>
          <w:b/>
          <w:color w:val="auto"/>
          <w:kern w:val="0"/>
          <w:sz w:val="32"/>
          <w:szCs w:val="32"/>
          <w:highlight w:val="none"/>
        </w:rPr>
      </w:pP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ind w:left="0" w:leftChars="0" w:firstLine="0" w:firstLineChars="0"/>
        <w:jc w:val="center"/>
        <w:textAlignment w:val="auto"/>
        <w:rPr>
          <w:rFonts w:hint="eastAsia"/>
          <w:b/>
          <w:bCs/>
          <w:color w:val="auto"/>
          <w:sz w:val="52"/>
          <w:szCs w:val="52"/>
          <w:highlight w:val="none"/>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0" w:firstLineChars="0"/>
        <w:jc w:val="center"/>
        <w:textAlignment w:val="auto"/>
        <w:rPr>
          <w:rFonts w:hint="eastAsia"/>
          <w:b/>
          <w:bCs/>
          <w:color w:val="auto"/>
          <w:sz w:val="52"/>
          <w:szCs w:val="52"/>
          <w:highlight w:val="none"/>
          <w:lang w:val="en-US" w:eastAsia="zh-CN"/>
        </w:rPr>
      </w:pPr>
      <w:r>
        <w:rPr>
          <w:rFonts w:hint="eastAsia"/>
          <w:b/>
          <w:bCs/>
          <w:color w:val="auto"/>
          <w:sz w:val="52"/>
          <w:szCs w:val="52"/>
          <w:highlight w:val="none"/>
          <w:lang w:val="en-US" w:eastAsia="zh-CN"/>
        </w:rPr>
        <w:t>峨边彝族自治县综合行政执法局</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0" w:firstLineChars="0"/>
        <w:jc w:val="center"/>
        <w:textAlignment w:val="auto"/>
        <w:rPr>
          <w:rFonts w:hint="eastAsia"/>
          <w:b/>
          <w:bCs/>
          <w:color w:val="auto"/>
          <w:sz w:val="52"/>
          <w:szCs w:val="52"/>
          <w:highlight w:val="none"/>
          <w:lang w:val="en-US" w:eastAsia="zh-CN"/>
        </w:rPr>
      </w:pPr>
      <w:r>
        <w:rPr>
          <w:rFonts w:hint="eastAsia"/>
          <w:b/>
          <w:bCs/>
          <w:color w:val="auto"/>
          <w:sz w:val="52"/>
          <w:szCs w:val="52"/>
          <w:highlight w:val="none"/>
          <w:lang w:val="en-US" w:eastAsia="zh-CN"/>
        </w:rPr>
        <w:t>2024年</w:t>
      </w:r>
      <w:r>
        <w:rPr>
          <w:rFonts w:hint="default"/>
          <w:b/>
          <w:bCs/>
          <w:color w:val="auto"/>
          <w:sz w:val="52"/>
          <w:szCs w:val="52"/>
          <w:highlight w:val="none"/>
          <w:lang w:val="en-US" w:eastAsia="zh-CN"/>
        </w:rPr>
        <w:t>部门预算</w:t>
      </w:r>
      <w:r>
        <w:rPr>
          <w:rFonts w:hint="eastAsia"/>
          <w:b/>
          <w:bCs/>
          <w:color w:val="auto"/>
          <w:sz w:val="52"/>
          <w:szCs w:val="52"/>
          <w:highlight w:val="none"/>
          <w:lang w:val="en-US" w:eastAsia="zh-CN"/>
        </w:rPr>
        <w:t>名词解释</w:t>
      </w:r>
    </w:p>
    <w:p>
      <w:pPr>
        <w:ind w:firstLine="640" w:firstLineChars="200"/>
        <w:rPr>
          <w:rFonts w:hint="eastAsia" w:eastAsia="FangSong" w:asciiTheme="minorAscii" w:hAnsiTheme="minorAscii"/>
          <w:sz w:val="32"/>
          <w:lang w:eastAsia="zh-CN"/>
        </w:rPr>
      </w:pPr>
    </w:p>
    <w:p>
      <w:pPr>
        <w:ind w:firstLine="640" w:firstLineChars="200"/>
        <w:rPr>
          <w:rFonts w:hint="eastAsia" w:eastAsia="FangSong" w:asciiTheme="minorAscii" w:hAnsiTheme="minorAscii"/>
          <w:sz w:val="32"/>
          <w:lang w:eastAsia="zh-CN"/>
        </w:rPr>
      </w:pPr>
    </w:p>
    <w:p>
      <w:pPr>
        <w:ind w:firstLine="640" w:firstLineChars="200"/>
        <w:rPr>
          <w:rFonts w:hint="eastAsia" w:eastAsia="FangSong" w:asciiTheme="minorAscii" w:hAnsiTheme="minorAscii"/>
          <w:sz w:val="32"/>
          <w:lang w:eastAsia="zh-CN"/>
        </w:rPr>
      </w:pPr>
    </w:p>
    <w:p>
      <w:pPr>
        <w:ind w:firstLine="640" w:firstLineChars="200"/>
        <w:rPr>
          <w:rFonts w:hint="eastAsia" w:eastAsia="FangSong" w:asciiTheme="minorAscii" w:hAnsiTheme="minorAscii"/>
          <w:sz w:val="32"/>
          <w:lang w:eastAsia="zh-CN"/>
        </w:rPr>
      </w:pPr>
    </w:p>
    <w:p>
      <w:pPr>
        <w:ind w:firstLine="640" w:firstLineChars="200"/>
        <w:rPr>
          <w:rFonts w:hint="eastAsia" w:eastAsia="FangSong" w:asciiTheme="minorAscii" w:hAnsiTheme="minorAscii"/>
          <w:sz w:val="32"/>
          <w:lang w:eastAsia="zh-CN"/>
        </w:rPr>
      </w:pPr>
    </w:p>
    <w:p>
      <w:pPr>
        <w:ind w:firstLine="640" w:firstLineChars="200"/>
        <w:rPr>
          <w:rFonts w:hint="eastAsia" w:eastAsia="FangSong" w:asciiTheme="minorAscii" w:hAnsiTheme="minorAscii"/>
          <w:sz w:val="32"/>
          <w:lang w:eastAsia="zh-CN"/>
        </w:rPr>
      </w:pPr>
    </w:p>
    <w:p>
      <w:pPr>
        <w:ind w:firstLine="640" w:firstLineChars="200"/>
        <w:rPr>
          <w:rFonts w:hint="eastAsia" w:eastAsia="FangSong" w:asciiTheme="minorAscii" w:hAnsiTheme="minorAscii"/>
          <w:sz w:val="32"/>
          <w:lang w:eastAsia="zh-CN"/>
        </w:rPr>
      </w:pPr>
    </w:p>
    <w:p>
      <w:pPr>
        <w:ind w:firstLine="640" w:firstLineChars="200"/>
        <w:rPr>
          <w:rFonts w:hint="eastAsia" w:eastAsia="FangSong" w:asciiTheme="minorAscii" w:hAnsiTheme="minorAscii"/>
          <w:sz w:val="32"/>
          <w:lang w:eastAsia="zh-CN"/>
        </w:rPr>
      </w:pPr>
    </w:p>
    <w:p>
      <w:pPr>
        <w:ind w:firstLine="640" w:firstLineChars="200"/>
        <w:rPr>
          <w:rFonts w:hint="eastAsia" w:eastAsia="FangSong" w:asciiTheme="minorAscii" w:hAnsiTheme="minorAscii"/>
          <w:sz w:val="32"/>
          <w:lang w:eastAsia="zh-CN"/>
        </w:rPr>
      </w:pPr>
    </w:p>
    <w:p>
      <w:pPr>
        <w:ind w:firstLine="640" w:firstLineChars="200"/>
        <w:rPr>
          <w:rFonts w:hint="eastAsia" w:eastAsia="FangSong" w:asciiTheme="minorAscii" w:hAnsiTheme="minorAscii"/>
          <w:sz w:val="32"/>
          <w:lang w:eastAsia="zh-CN"/>
        </w:rPr>
      </w:pPr>
    </w:p>
    <w:p>
      <w:pPr>
        <w:ind w:firstLine="640" w:firstLineChars="200"/>
        <w:rPr>
          <w:rFonts w:hint="eastAsia" w:eastAsia="FangSong" w:asciiTheme="minorAscii" w:hAnsiTheme="minorAscii"/>
          <w:sz w:val="32"/>
          <w:lang w:eastAsia="zh-CN"/>
        </w:rPr>
      </w:pPr>
    </w:p>
    <w:p>
      <w:pPr>
        <w:ind w:firstLine="640" w:firstLineChars="200"/>
        <w:rPr>
          <w:rFonts w:hint="eastAsia" w:eastAsia="FangSong" w:asciiTheme="minorAscii" w:hAnsiTheme="minorAscii"/>
          <w:sz w:val="32"/>
          <w:lang w:eastAsia="zh-CN"/>
        </w:rPr>
      </w:pPr>
    </w:p>
    <w:p>
      <w:pPr>
        <w:ind w:firstLine="640" w:firstLineChars="200"/>
        <w:rPr>
          <w:rFonts w:hint="eastAsia" w:eastAsia="FangSong" w:asciiTheme="minorAscii" w:hAnsiTheme="minorAscii"/>
          <w:sz w:val="32"/>
          <w:lang w:eastAsia="zh-CN"/>
        </w:rPr>
      </w:pPr>
    </w:p>
    <w:p>
      <w:pPr>
        <w:ind w:firstLine="640" w:firstLineChars="200"/>
        <w:rPr>
          <w:rFonts w:hint="eastAsia" w:eastAsia="FangSong" w:asciiTheme="minorAscii" w:hAnsiTheme="minorAscii"/>
          <w:sz w:val="32"/>
          <w:lang w:eastAsia="zh-CN"/>
        </w:rPr>
      </w:pPr>
    </w:p>
    <w:p>
      <w:pPr>
        <w:ind w:firstLine="640" w:firstLineChars="200"/>
        <w:rPr>
          <w:rFonts w:hint="eastAsia" w:eastAsia="FangSong" w:asciiTheme="minorAscii" w:hAnsiTheme="minorAscii"/>
          <w:sz w:val="32"/>
          <w:lang w:eastAsia="zh-CN"/>
        </w:rPr>
      </w:pPr>
    </w:p>
    <w:p>
      <w:pPr>
        <w:ind w:firstLine="640" w:firstLineChars="200"/>
        <w:rPr>
          <w:rFonts w:hint="eastAsia" w:eastAsia="FangSong" w:asciiTheme="minorAscii" w:hAnsiTheme="minorAscii"/>
          <w:sz w:val="32"/>
          <w:lang w:eastAsia="zh-CN"/>
        </w:rPr>
      </w:pPr>
    </w:p>
    <w:p>
      <w:pPr>
        <w:ind w:firstLine="640" w:firstLineChars="200"/>
        <w:rPr>
          <w:rFonts w:hint="eastAsia" w:eastAsia="FangSong" w:asciiTheme="minorAscii" w:hAnsiTheme="minorAscii"/>
          <w:sz w:val="32"/>
          <w:lang w:eastAsia="zh-CN"/>
        </w:rPr>
      </w:pPr>
    </w:p>
    <w:p>
      <w:pPr>
        <w:ind w:firstLine="640" w:firstLineChars="200"/>
        <w:rPr>
          <w:rFonts w:hint="eastAsia" w:ascii="FangSong" w:hAnsi="SimSun" w:eastAsia="FangSong" w:cs="SimSun"/>
          <w:color w:val="auto"/>
          <w:kern w:val="0"/>
          <w:sz w:val="32"/>
          <w:szCs w:val="32"/>
          <w:highlight w:val="none"/>
        </w:rPr>
      </w:pPr>
      <w:r>
        <w:rPr>
          <w:rFonts w:hint="eastAsia" w:eastAsia="FangSong" w:asciiTheme="minorAscii" w:hAnsiTheme="minorAscii"/>
          <w:sz w:val="32"/>
          <w:lang w:eastAsia="zh-CN"/>
        </w:rPr>
        <w:t>1.财政拨款收支情况：是指一般公共预算、政府性基金预算、国有资本经营预算拨款收支情况。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2.一般公共预算拨款收入：指市级财政当年拨付的资金。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3.事业收入：指事业单位开展专业业务活动及辅助活动所取得的收入。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4.事业单位经营收入：指事业单位在专业业务活动及其辅助活动之外开展非独立核算经营活动取得的收入。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5.其他收入：指除上述“一般公共预算拨款收入”“事业收入”“事业单位经营收入”等以外的收入。主要是利息收入、国有资产出租收入等。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6.用事业基金弥补收支差额：指事业单位在当年的收入不足以安排当年支出的情况下，使用以前年度积累的事业基金（事业单位当年收支相抵后按国家规定提取、用于弥补以后年度收支差额的基金）弥补本年度收支缺口的资金。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7.上年结转：指以前年度尚未完成，结转到本年仍按原规定用途继续使用的资金。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8.社会保障和就业（类）行政事业单位离退休（款）事业单位离退休（项）：指离退休人员的支出。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9.社会保障和就业（类）行政事业单位离退休（款）未归口管理的行政单位离退休（项）：指离退休人员的支出。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10.社会保障和就业（类）行政事业单位离退休（款）机关事业单位基本养老保险缴费支出（项）：指部门实施养老保险制度由单位缴纳的养老保险费的支出。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11.社会保障和就业（类）行政事业单位离退休（款）机关事业单位职业年金缴费支出（项）：指部门实施养老保险制度由单位缴纳的职业年金的支出。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12.社会保障和就业（类）其他社会保障和就业（款）其他社会保障和就业支出（项）：指除上述项目外，其他用于行政事业单位离退休方面的支出。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13.医疗卫生与计划生育（类）行政事业单位医疗（款）行政单位医疗（项）：指行政单位及参公管理事业单位用于缴纳单位基本医疗保险支出。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14.医疗卫生与计划生育（类）行政事业单位医疗（款）事业单位医疗（项）：指事业单位用于缴纳单位基本医疗保险支出。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15.医疗卫生与计划生育（类）行政事业单位医疗（款）公务员医疗补助（项）：指行政单位及参公管理事业单位用于集中缴纳公务员医疗补助支出。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16.住房保障（类）住房改革支出（款）住房公积金（项）：指由单位及其在职职工按规定缴存的住房公积金支出。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17.住房保障（类）城乡社区住宅（款）住房公积金管理（项）：指经财政部门批准用于住房公积金管理机关的管理费用支出。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18.基本支出：指为保证机构正常运转，完成日常工作任务而发生的人员支出和公用支出。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19.项目支出：指在基本支出之外为完成特定行政任务和事业发展目标所发生的支出。 </w:t>
      </w:r>
      <w:r>
        <w:rPr>
          <w:rFonts w:hint="eastAsia" w:eastAsia="FangSong" w:asciiTheme="minorAscii" w:hAnsiTheme="minorAscii"/>
          <w:sz w:val="32"/>
          <w:lang w:eastAsia="zh-CN"/>
        </w:rPr>
        <w:br w:type="textWrapping"/>
      </w:r>
      <w:r>
        <w:rPr>
          <w:rFonts w:hint="eastAsia" w:eastAsia="FangSong" w:asciiTheme="minorAscii" w:hAnsiTheme="minorAscii"/>
          <w:sz w:val="32"/>
          <w:lang w:eastAsia="zh-CN"/>
        </w:rPr>
        <w:t>　　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eastAsia="FangSong" w:asciiTheme="minorAscii" w:hAnsiTheme="minorAscii"/>
          <w:sz w:val="32"/>
          <w:lang w:eastAsia="zh-CN"/>
        </w:rPr>
        <w:br w:type="textWrapping"/>
      </w:r>
    </w:p>
    <w:p>
      <w:pPr>
        <w:rPr>
          <w:rFonts w:hint="eastAsia" w:ascii="FangSong" w:hAnsi="FangSong" w:eastAsia="FangSong"/>
          <w:color w:val="auto"/>
          <w:sz w:val="32"/>
          <w:szCs w:val="32"/>
          <w:highlight w:val="none"/>
        </w:rPr>
      </w:pPr>
      <w:r>
        <w:rPr>
          <w:rFonts w:hint="eastAsia" w:ascii="FangSong" w:hAnsi="FangSong" w:eastAsia="FangSong"/>
          <w:color w:val="auto"/>
          <w:sz w:val="32"/>
          <w:szCs w:val="32"/>
          <w:highlight w:val="none"/>
        </w:rPr>
        <w:t xml:space="preserve">                             </w:t>
      </w:r>
    </w:p>
    <w:p>
      <w:pPr>
        <w:rPr>
          <w:rFonts w:hint="eastAsia" w:ascii="FangSong" w:hAnsi="FangSong" w:eastAsia="FangSong"/>
          <w:color w:val="auto"/>
          <w:sz w:val="32"/>
          <w:szCs w:val="32"/>
          <w:highlight w:val="none"/>
        </w:rPr>
      </w:pPr>
    </w:p>
    <w:p>
      <w:pPr>
        <w:numPr>
          <w:ilvl w:val="0"/>
          <w:numId w:val="0"/>
        </w:numPr>
        <w:spacing w:line="600" w:lineRule="exact"/>
        <w:rPr>
          <w:rFonts w:hint="default" w:ascii="FangSong" w:hAnsi="FangSong" w:eastAsia="FangSong" w:cs="Times New Roman"/>
          <w:color w:val="auto"/>
          <w:sz w:val="32"/>
          <w:szCs w:val="32"/>
          <w:highlight w:val="none"/>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bzhanglj" w:date="2024-03-05T17:18:22Z" w:initials="e">
    <w:p w14:paraId="16091C7B">
      <w:pPr>
        <w:pStyle w:val="2"/>
        <w:rPr>
          <w:rFonts w:hint="default" w:eastAsiaTheme="minorEastAsia"/>
          <w:lang w:val="en-US" w:eastAsia="zh-CN"/>
        </w:rPr>
      </w:pPr>
      <w:r>
        <w:rPr>
          <w:rFonts w:hint="eastAsia"/>
          <w:lang w:val="en-US" w:eastAsia="zh-CN"/>
        </w:rPr>
        <w:t>2547.6-3199.62=652.02</w:t>
      </w:r>
    </w:p>
  </w:comment>
  <w:comment w:id="1" w:author="ebzhanglj" w:date="2024-03-06T10:59:33Z" w:initials="e">
    <w:p w14:paraId="1E22295B">
      <w:pPr>
        <w:pStyle w:val="2"/>
        <w:rPr>
          <w:rFonts w:hint="default" w:eastAsiaTheme="minorEastAsia"/>
          <w:lang w:val="en-US" w:eastAsia="zh-CN"/>
        </w:rPr>
      </w:pPr>
      <w:r>
        <w:rPr>
          <w:rFonts w:hint="eastAsia"/>
          <w:lang w:eastAsia="zh-CN"/>
        </w:rPr>
        <w:t>支出合计需要等于</w:t>
      </w:r>
      <w:r>
        <w:rPr>
          <w:rFonts w:hint="eastAsia"/>
          <w:lang w:val="en-US" w:eastAsia="zh-CN"/>
        </w:rPr>
        <w:t>2295.6</w:t>
      </w:r>
    </w:p>
  </w:comment>
  <w:comment w:id="3" w:author="ebzhanglj" w:date="2024-03-06T10:59:33Z" w:initials="e">
    <w:p w14:paraId="38556788">
      <w:pPr>
        <w:pStyle w:val="2"/>
        <w:rPr>
          <w:rFonts w:hint="default" w:eastAsiaTheme="minorEastAsia"/>
          <w:lang w:val="en-US" w:eastAsia="zh-CN"/>
        </w:rPr>
      </w:pPr>
      <w:r>
        <w:rPr>
          <w:rFonts w:hint="eastAsia"/>
          <w:lang w:eastAsia="zh-CN"/>
        </w:rPr>
        <w:t>支出合计需要等于</w:t>
      </w:r>
      <w:r>
        <w:rPr>
          <w:rFonts w:hint="eastAsia"/>
          <w:lang w:val="en-US" w:eastAsia="zh-CN"/>
        </w:rPr>
        <w:t>2295.6</w:t>
      </w:r>
    </w:p>
  </w:comment>
  <w:comment w:id="2" w:author="ebzhanglj" w:date="2024-03-06T11:02:15Z" w:initials="e">
    <w:p w14:paraId="64891263">
      <w:pPr>
        <w:pStyle w:val="2"/>
        <w:rPr>
          <w:rFonts w:hint="default" w:eastAsiaTheme="minorEastAsia"/>
          <w:lang w:val="en-US" w:eastAsia="zh-CN"/>
        </w:rPr>
      </w:pPr>
      <w:r>
        <w:rPr>
          <w:rFonts w:hint="eastAsia"/>
          <w:lang w:eastAsia="zh-CN"/>
        </w:rPr>
        <w:t>合计数需要等于</w:t>
      </w:r>
      <w:r>
        <w:rPr>
          <w:rFonts w:hint="eastAsia"/>
          <w:lang w:val="en-US" w:eastAsia="zh-CN"/>
        </w:rPr>
        <w:t>2295.6</w:t>
      </w:r>
    </w:p>
  </w:comment>
  <w:comment w:id="4" w:author="ebzhanglj" w:date="2024-03-06T11:03:09Z" w:initials="e">
    <w:p w14:paraId="3E923C18">
      <w:pPr>
        <w:pStyle w:val="2"/>
        <w:rPr>
          <w:rFonts w:hint="default" w:eastAsiaTheme="minorEastAsia"/>
          <w:lang w:val="en-US" w:eastAsia="zh-CN"/>
        </w:rPr>
      </w:pPr>
      <w:r>
        <w:rPr>
          <w:rFonts w:hint="eastAsia"/>
          <w:lang w:eastAsia="zh-CN"/>
        </w:rPr>
        <w:t>合计数需要等于</w:t>
      </w:r>
      <w:r>
        <w:rPr>
          <w:rFonts w:hint="eastAsia"/>
          <w:lang w:val="en-US" w:eastAsia="zh-CN"/>
        </w:rPr>
        <w:t>2295.6</w:t>
      </w:r>
    </w:p>
  </w:comment>
  <w:comment w:id="5" w:author="ebzhanglj" w:date="2024-03-06T11:04:21Z" w:initials="e">
    <w:p w14:paraId="63340220">
      <w:pPr>
        <w:pStyle w:val="2"/>
        <w:rPr>
          <w:rFonts w:hint="default" w:eastAsiaTheme="minorEastAsia"/>
          <w:lang w:val="en-US" w:eastAsia="zh-CN"/>
        </w:rPr>
      </w:pPr>
      <w:r>
        <w:rPr>
          <w:rFonts w:hint="eastAsia"/>
          <w:lang w:val="en-US" w:eastAsia="zh-CN"/>
        </w:rPr>
        <w:t>675.6</w:t>
      </w:r>
    </w:p>
  </w:comment>
  <w:comment w:id="6" w:author="ebzhanglj" w:date="2024-03-06T11:05:56Z" w:initials="e">
    <w:p w14:paraId="2A4956AF">
      <w:pPr>
        <w:pStyle w:val="2"/>
        <w:rPr>
          <w:rFonts w:hint="default" w:eastAsiaTheme="minorEastAsia"/>
          <w:lang w:val="en-US" w:eastAsia="zh-CN"/>
        </w:rPr>
      </w:pPr>
      <w:r>
        <w:rPr>
          <w:rFonts w:hint="eastAsia"/>
          <w:lang w:val="en-US" w:eastAsia="zh-CN"/>
        </w:rPr>
        <w:t>0.2</w:t>
      </w:r>
    </w:p>
  </w:comment>
  <w:comment w:id="7" w:author="ebzhanglj" w:date="2024-03-06T11:06:03Z" w:initials="e">
    <w:p w14:paraId="470E0ECA">
      <w:pPr>
        <w:pStyle w:val="2"/>
        <w:rPr>
          <w:rFonts w:hint="default" w:eastAsiaTheme="minorEastAsia"/>
          <w:lang w:val="en-US" w:eastAsia="zh-CN"/>
        </w:rPr>
      </w:pPr>
      <w:r>
        <w:rPr>
          <w:rFonts w:hint="eastAsia"/>
          <w:lang w:val="en-US" w:eastAsia="zh-CN"/>
        </w:rPr>
        <w:t>0.2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6091C7B" w15:done="0"/>
  <w15:commentEx w15:paraId="1E22295B" w15:done="0"/>
  <w15:commentEx w15:paraId="38556788" w15:done="0"/>
  <w15:commentEx w15:paraId="64891263" w15:done="0"/>
  <w15:commentEx w15:paraId="3E923C18" w15:done="0"/>
  <w15:commentEx w15:paraId="63340220" w15:done="0"/>
  <w15:commentEx w15:paraId="2A4956AF" w15:done="0"/>
  <w15:commentEx w15:paraId="470E0EC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embedRegular r:id="rId1" w:fontKey="{A8C8CF1B-3798-422C-A7E8-E9961D066632}"/>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3596706-DD10-41C8-BDE1-A835EF58FC28}"/>
  </w:font>
  <w:font w:name="FangSong">
    <w:panose1 w:val="02010609060101010101"/>
    <w:charset w:val="86"/>
    <w:family w:val="modern"/>
    <w:pitch w:val="default"/>
    <w:sig w:usb0="800002BF" w:usb1="38CF7CFA" w:usb2="00000016" w:usb3="00000000" w:csb0="00040001" w:csb1="00000000"/>
    <w:embedRegular r:id="rId3" w:fontKey="{0E68C475-DED5-439D-95A7-BB18904DA738}"/>
  </w:font>
  <w:font w:name="SimSun">
    <w:panose1 w:val="02010600030101010101"/>
    <w:charset w:val="7A"/>
    <w:family w:val="auto"/>
    <w:pitch w:val="default"/>
    <w:sig w:usb0="00000003" w:usb1="288F0000" w:usb2="00000006" w:usb3="00000000" w:csb0="00040001" w:csb1="00000000"/>
    <w:embedRegular r:id="rId4" w:fontKey="{E378574A-3782-4F72-9169-DD83CC4E998F}"/>
  </w:font>
  <w:font w:name="FangSong_GB2312">
    <w:panose1 w:val="02010609030101010101"/>
    <w:charset w:val="86"/>
    <w:family w:val="modern"/>
    <w:pitch w:val="default"/>
    <w:sig w:usb0="00000001" w:usb1="080E0000" w:usb2="00000000" w:usb3="00000000" w:csb0="00040000" w:csb1="00000000"/>
    <w:embedRegular r:id="rId5" w:fontKey="{F254D2CB-B1E5-4907-A769-1C9347ACA582}"/>
  </w:font>
  <w:font w:name="Calibri Light">
    <w:panose1 w:val="020F0302020204030204"/>
    <w:charset w:val="00"/>
    <w:family w:val="swiss"/>
    <w:pitch w:val="default"/>
    <w:sig w:usb0="A00002EF" w:usb1="4000207B" w:usb2="00000000" w:usb3="00000000" w:csb0="2000019F" w:csb1="00000000"/>
  </w:font>
  <w:font w:name="FZXiaoBiaoSong-B05S">
    <w:panose1 w:val="02000000000000000000"/>
    <w:charset w:val="86"/>
    <w:family w:val="auto"/>
    <w:pitch w:val="default"/>
    <w:sig w:usb0="00000001" w:usb1="080E0000" w:usb2="00000000" w:usb3="00000000" w:csb0="00040000" w:csb1="00000000"/>
    <w:embedRegular r:id="rId6" w:fontKey="{E59F0840-2B05-4EA9-ADD7-9C488CF4E951}"/>
  </w:font>
  <w:font w:name="KaiTi_GB2312">
    <w:panose1 w:val="02010609030101010101"/>
    <w:charset w:val="86"/>
    <w:family w:val="auto"/>
    <w:pitch w:val="default"/>
    <w:sig w:usb0="00000001" w:usb1="080E0000" w:usb2="00000000" w:usb3="00000000" w:csb0="00040000" w:csb1="00000000"/>
    <w:embedRegular r:id="rId7" w:fontKey="{91DCB5FA-8B8B-4292-8FB3-41BD5C678D90}"/>
  </w:font>
  <w:font w:name="MS PGothic">
    <w:panose1 w:val="020B0600070205080204"/>
    <w:charset w:val="80"/>
    <w:family w:val="auto"/>
    <w:pitch w:val="default"/>
    <w:sig w:usb0="E00002FF" w:usb1="6AC7FDFB" w:usb2="00000012" w:usb3="00000000" w:csb0="4002009F" w:csb1="DFD70000"/>
  </w:font>
  <w:font w:name="Microsoft YaHei">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553A9"/>
    <w:multiLevelType w:val="singleLevel"/>
    <w:tmpl w:val="341553A9"/>
    <w:lvl w:ilvl="0" w:tentative="0">
      <w:start w:val="4"/>
      <w:numFmt w:val="chineseCounting"/>
      <w:suff w:val="space"/>
      <w:lvlText w:val="第%1部分"/>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bzhanglj">
    <w15:presenceInfo w15:providerId="None" w15:userId="ebzhangl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683477C0"/>
    <w:rsid w:val="013E7E80"/>
    <w:rsid w:val="02AD31C8"/>
    <w:rsid w:val="03A656D8"/>
    <w:rsid w:val="06A135AB"/>
    <w:rsid w:val="073308C6"/>
    <w:rsid w:val="07E62D0A"/>
    <w:rsid w:val="094B16EF"/>
    <w:rsid w:val="09777856"/>
    <w:rsid w:val="09EE2847"/>
    <w:rsid w:val="0A666CB1"/>
    <w:rsid w:val="0B5E244D"/>
    <w:rsid w:val="0D583BA0"/>
    <w:rsid w:val="0DAA0990"/>
    <w:rsid w:val="0EE42092"/>
    <w:rsid w:val="101D5901"/>
    <w:rsid w:val="10444FAC"/>
    <w:rsid w:val="12845B56"/>
    <w:rsid w:val="129A486C"/>
    <w:rsid w:val="12B4016A"/>
    <w:rsid w:val="14B5271F"/>
    <w:rsid w:val="14DE3959"/>
    <w:rsid w:val="169636D0"/>
    <w:rsid w:val="16DE1532"/>
    <w:rsid w:val="18047B44"/>
    <w:rsid w:val="18BF5C6E"/>
    <w:rsid w:val="194C3510"/>
    <w:rsid w:val="1A514CA7"/>
    <w:rsid w:val="1A7209E6"/>
    <w:rsid w:val="1A7542CB"/>
    <w:rsid w:val="1B7A331E"/>
    <w:rsid w:val="1CE34AB1"/>
    <w:rsid w:val="1FC72655"/>
    <w:rsid w:val="20AA25E4"/>
    <w:rsid w:val="225B16D7"/>
    <w:rsid w:val="240A0EF9"/>
    <w:rsid w:val="28581B46"/>
    <w:rsid w:val="290715E3"/>
    <w:rsid w:val="2B7F5C05"/>
    <w:rsid w:val="2BC4722D"/>
    <w:rsid w:val="2C4B6139"/>
    <w:rsid w:val="2CB61C37"/>
    <w:rsid w:val="2E50613B"/>
    <w:rsid w:val="2E75471A"/>
    <w:rsid w:val="321F57AE"/>
    <w:rsid w:val="3239744E"/>
    <w:rsid w:val="32AB34E4"/>
    <w:rsid w:val="3329363A"/>
    <w:rsid w:val="343C761E"/>
    <w:rsid w:val="357F51C8"/>
    <w:rsid w:val="369F7537"/>
    <w:rsid w:val="375B0054"/>
    <w:rsid w:val="38500E6C"/>
    <w:rsid w:val="38A5046A"/>
    <w:rsid w:val="38C17FE6"/>
    <w:rsid w:val="391764DA"/>
    <w:rsid w:val="393B0863"/>
    <w:rsid w:val="398716C5"/>
    <w:rsid w:val="3A4B353D"/>
    <w:rsid w:val="3ABC5240"/>
    <w:rsid w:val="3C0858B4"/>
    <w:rsid w:val="3C84661B"/>
    <w:rsid w:val="3CCB21E7"/>
    <w:rsid w:val="3D1A6F4C"/>
    <w:rsid w:val="3DB15404"/>
    <w:rsid w:val="40275488"/>
    <w:rsid w:val="41C719C2"/>
    <w:rsid w:val="42D44725"/>
    <w:rsid w:val="44963D50"/>
    <w:rsid w:val="44C31C12"/>
    <w:rsid w:val="44C53CB3"/>
    <w:rsid w:val="44CF43DE"/>
    <w:rsid w:val="45124B69"/>
    <w:rsid w:val="45ED3463"/>
    <w:rsid w:val="462A714E"/>
    <w:rsid w:val="47526EA3"/>
    <w:rsid w:val="4787081D"/>
    <w:rsid w:val="47A75029"/>
    <w:rsid w:val="4A333EA9"/>
    <w:rsid w:val="4AD6445C"/>
    <w:rsid w:val="4B653FB7"/>
    <w:rsid w:val="4B864AF9"/>
    <w:rsid w:val="4C2F2AC0"/>
    <w:rsid w:val="4C3D0938"/>
    <w:rsid w:val="4C501736"/>
    <w:rsid w:val="4EFD75F8"/>
    <w:rsid w:val="4F8049DC"/>
    <w:rsid w:val="4F936F45"/>
    <w:rsid w:val="51D12644"/>
    <w:rsid w:val="51E03FE5"/>
    <w:rsid w:val="53F03024"/>
    <w:rsid w:val="54100E45"/>
    <w:rsid w:val="543B2FC8"/>
    <w:rsid w:val="56207029"/>
    <w:rsid w:val="56BE1B51"/>
    <w:rsid w:val="58220098"/>
    <w:rsid w:val="585E59ED"/>
    <w:rsid w:val="593E1003"/>
    <w:rsid w:val="597D30F4"/>
    <w:rsid w:val="59F3548C"/>
    <w:rsid w:val="5ED63BAD"/>
    <w:rsid w:val="603D0FB1"/>
    <w:rsid w:val="613003F3"/>
    <w:rsid w:val="6159599F"/>
    <w:rsid w:val="64805605"/>
    <w:rsid w:val="65CC6D86"/>
    <w:rsid w:val="661D2A9F"/>
    <w:rsid w:val="674F236F"/>
    <w:rsid w:val="683477C0"/>
    <w:rsid w:val="6B246055"/>
    <w:rsid w:val="6C234E81"/>
    <w:rsid w:val="6CF62808"/>
    <w:rsid w:val="6D4D6170"/>
    <w:rsid w:val="6DE80A6E"/>
    <w:rsid w:val="6E3B3630"/>
    <w:rsid w:val="6F02730B"/>
    <w:rsid w:val="70A51BB8"/>
    <w:rsid w:val="72211C45"/>
    <w:rsid w:val="723D6F75"/>
    <w:rsid w:val="74AA79C2"/>
    <w:rsid w:val="76EC7118"/>
    <w:rsid w:val="77D23152"/>
    <w:rsid w:val="78801825"/>
    <w:rsid w:val="79844290"/>
    <w:rsid w:val="7AD367DA"/>
    <w:rsid w:val="7B800591"/>
    <w:rsid w:val="7E1164E3"/>
    <w:rsid w:val="7E1C2CF0"/>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Indent"/>
    <w:basedOn w:val="1"/>
    <w:qFormat/>
    <w:uiPriority w:val="99"/>
    <w:pPr>
      <w:spacing w:line="360" w:lineRule="auto"/>
      <w:ind w:firstLine="480" w:firstLineChars="200"/>
    </w:pPr>
    <w:rPr>
      <w:rFonts w:ascii="FangSong_GB2312" w:hAnsi="SimSun" w:eastAsia="FangSong_GB2312"/>
      <w:color w:val="3366FF"/>
      <w:sz w:val="24"/>
    </w:r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10"/>
    <w:pPr>
      <w:spacing w:before="240" w:after="60"/>
      <w:jc w:val="center"/>
      <w:outlineLvl w:val="0"/>
    </w:pPr>
    <w:rPr>
      <w:rFonts w:ascii="Calibri Light" w:hAnsi="Calibri Light" w:cs="Times New Roman"/>
      <w:b/>
      <w:bCs/>
      <w:sz w:val="32"/>
      <w:szCs w:val="32"/>
    </w:rPr>
  </w:style>
  <w:style w:type="paragraph" w:styleId="8">
    <w:name w:val="Body Text First Indent 2"/>
    <w:basedOn w:val="3"/>
    <w:autoRedefine/>
    <w:qFormat/>
    <w:uiPriority w:val="99"/>
    <w:pPr>
      <w:spacing w:after="120"/>
      <w:ind w:left="420" w:leftChars="200" w:firstLine="420"/>
    </w:pPr>
  </w:style>
  <w:style w:type="paragraph" w:customStyle="1" w:styleId="11">
    <w:name w:val="〖C01〗正文"/>
    <w:basedOn w:val="1"/>
    <w:autoRedefine/>
    <w:qFormat/>
    <w:uiPriority w:val="0"/>
    <w:pPr>
      <w:topLinePunct/>
      <w:spacing w:line="600" w:lineRule="exact"/>
      <w:ind w:firstLine="640" w:firstLineChars="200"/>
    </w:pPr>
    <w:rPr>
      <w:rFonts w:ascii="FangSong_GB2312" w:eastAsia="FangSong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emf"/><Relationship Id="rId20" Type="http://schemas.openxmlformats.org/officeDocument/2006/relationships/image" Target="media/image14.emf"/><Relationship Id="rId2" Type="http://schemas.openxmlformats.org/officeDocument/2006/relationships/settings" Target="settings.xml"/><Relationship Id="rId19" Type="http://schemas.openxmlformats.org/officeDocument/2006/relationships/image" Target="media/image13.emf"/><Relationship Id="rId18" Type="http://schemas.openxmlformats.org/officeDocument/2006/relationships/image" Target="media/image12.emf"/><Relationship Id="rId17" Type="http://schemas.openxmlformats.org/officeDocument/2006/relationships/image" Target="media/image11.emf"/><Relationship Id="rId16" Type="http://schemas.openxmlformats.org/officeDocument/2006/relationships/image" Target="media/image10.emf"/><Relationship Id="rId15" Type="http://schemas.openxmlformats.org/officeDocument/2006/relationships/image" Target="media/image9.emf"/><Relationship Id="rId14" Type="http://schemas.openxmlformats.org/officeDocument/2006/relationships/image" Target="media/image8.emf"/><Relationship Id="rId13" Type="http://schemas.openxmlformats.org/officeDocument/2006/relationships/image" Target="media/image7.emf"/><Relationship Id="rId12" Type="http://schemas.openxmlformats.org/officeDocument/2006/relationships/image" Target="media/image6.emf"/><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4939</Words>
  <Characters>5311</Characters>
  <Lines>0</Lines>
  <Paragraphs>0</Paragraphs>
  <TotalTime>50</TotalTime>
  <ScaleCrop>false</ScaleCrop>
  <LinksUpToDate>false</LinksUpToDate>
  <CharactersWithSpaces>5499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碧云天</cp:lastModifiedBy>
  <dcterms:modified xsi:type="dcterms:W3CDTF">2024-03-08T03:17:52Z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6B8A97DB3B234494869D9F7C70CEC3FF</vt:lpwstr>
  </property>
</Properties>
</file>