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仿宋_GB2312"/>
          <w:highlight w:val="none"/>
          <w:lang w:val="en-US" w:eastAsia="zh-CN"/>
        </w:rPr>
      </w:pPr>
      <w:r>
        <w:rPr>
          <w:rFonts w:hint="eastAsia" w:ascii="仿宋_GB2312" w:hAnsi="宋体"/>
          <w:szCs w:val="32"/>
          <w:highlight w:val="none"/>
          <w:lang w:val="zh-CN"/>
        </w:rPr>
        <w:t>附件</w:t>
      </w:r>
      <w:r>
        <w:rPr>
          <w:rFonts w:hint="eastAsia" w:ascii="仿宋_GB2312" w:hAnsi="宋体"/>
          <w:szCs w:val="32"/>
          <w:highlight w:val="none"/>
          <w:lang w:val="en-US" w:eastAsia="zh-CN"/>
        </w:rPr>
        <w:t>2</w:t>
      </w:r>
      <w:bookmarkStart w:id="0" w:name="_GoBack"/>
      <w:bookmarkEnd w:id="0"/>
    </w:p>
    <w:p>
      <w:pPr>
        <w:widowControl/>
        <w:spacing w:line="580" w:lineRule="exact"/>
        <w:ind w:firstLine="1767" w:firstLineChars="400"/>
        <w:contextualSpacing/>
        <w:jc w:val="both"/>
        <w:rPr>
          <w:rFonts w:hint="default" w:ascii="宋体" w:hAnsi="宋体" w:eastAsia="宋体"/>
          <w:b/>
          <w:sz w:val="44"/>
          <w:szCs w:val="44"/>
          <w:highlight w:val="none"/>
          <w:shd w:val="clear" w:color="auto" w:fill="FFFFFF"/>
          <w:lang w:val="en-US" w:eastAsia="zh-CN"/>
        </w:rPr>
      </w:pPr>
      <w:r>
        <w:rPr>
          <w:rFonts w:hint="eastAsia" w:ascii="宋体" w:hAnsi="宋体" w:eastAsia="宋体"/>
          <w:b/>
          <w:sz w:val="44"/>
          <w:szCs w:val="44"/>
          <w:highlight w:val="none"/>
          <w:shd w:val="clear" w:color="auto" w:fill="FFFFFF"/>
          <w:lang w:eastAsia="zh-CN"/>
        </w:rPr>
        <w:t>峨边彝族自治县</w:t>
      </w:r>
      <w:r>
        <w:rPr>
          <w:rFonts w:hint="eastAsia" w:ascii="宋体" w:hAnsi="宋体" w:eastAsia="宋体"/>
          <w:b/>
          <w:sz w:val="44"/>
          <w:szCs w:val="44"/>
          <w:highlight w:val="none"/>
          <w:shd w:val="clear" w:color="auto" w:fill="FFFFFF"/>
          <w:lang w:val="en-US" w:eastAsia="zh-CN"/>
        </w:rPr>
        <w:t>综合行政执法局</w:t>
      </w:r>
    </w:p>
    <w:p>
      <w:pPr>
        <w:widowControl/>
        <w:spacing w:line="580" w:lineRule="exact"/>
        <w:contextualSpacing/>
        <w:jc w:val="center"/>
        <w:rPr>
          <w:rFonts w:ascii="宋体" w:hAnsi="宋体" w:eastAsia="宋体"/>
          <w:b/>
          <w:sz w:val="44"/>
          <w:szCs w:val="44"/>
          <w:highlight w:val="none"/>
          <w:shd w:val="clear" w:color="auto" w:fill="FFFFFF"/>
        </w:rPr>
      </w:pPr>
      <w:r>
        <w:rPr>
          <w:rFonts w:hint="eastAsia" w:ascii="宋体" w:hAnsi="宋体" w:eastAsia="宋体"/>
          <w:b/>
          <w:sz w:val="44"/>
          <w:szCs w:val="44"/>
          <w:highlight w:val="none"/>
          <w:shd w:val="clear" w:color="auto" w:fill="FFFFFF"/>
          <w:lang w:val="en-US" w:eastAsia="zh-CN"/>
        </w:rPr>
        <w:t xml:space="preserve">  </w:t>
      </w:r>
      <w:r>
        <w:rPr>
          <w:rFonts w:hint="eastAsia" w:ascii="宋体" w:hAnsi="宋体" w:eastAsia="宋体"/>
          <w:b/>
          <w:sz w:val="44"/>
          <w:szCs w:val="44"/>
          <w:highlight w:val="none"/>
          <w:shd w:val="clear" w:color="auto" w:fill="FFFFFF"/>
        </w:rPr>
        <w:t>20</w:t>
      </w:r>
      <w:r>
        <w:rPr>
          <w:rFonts w:hint="eastAsia" w:ascii="宋体" w:hAnsi="宋体" w:eastAsia="宋体"/>
          <w:b/>
          <w:sz w:val="44"/>
          <w:szCs w:val="44"/>
          <w:highlight w:val="none"/>
          <w:shd w:val="clear" w:color="auto" w:fill="FFFFFF"/>
          <w:lang w:val="en-US" w:eastAsia="zh-CN"/>
        </w:rPr>
        <w:t>22</w:t>
      </w:r>
      <w:r>
        <w:rPr>
          <w:rFonts w:hint="eastAsia" w:ascii="宋体" w:hAnsi="宋体" w:eastAsia="宋体"/>
          <w:b/>
          <w:sz w:val="44"/>
          <w:szCs w:val="44"/>
          <w:highlight w:val="none"/>
          <w:shd w:val="clear" w:color="auto" w:fill="FFFFFF"/>
        </w:rPr>
        <w:t>年度部门整体支出绩效评价</w:t>
      </w:r>
    </w:p>
    <w:p>
      <w:pPr>
        <w:widowControl/>
        <w:spacing w:line="580" w:lineRule="exact"/>
        <w:contextualSpacing/>
        <w:jc w:val="center"/>
        <w:rPr>
          <w:rFonts w:ascii="宋体" w:hAnsi="宋体" w:eastAsia="宋体"/>
          <w:b/>
          <w:sz w:val="44"/>
          <w:szCs w:val="44"/>
          <w:highlight w:val="none"/>
          <w:shd w:val="clear" w:color="auto" w:fill="FFFFFF"/>
        </w:rPr>
      </w:pPr>
      <w:r>
        <w:rPr>
          <w:rFonts w:hint="eastAsia" w:ascii="宋体" w:hAnsi="宋体" w:eastAsia="宋体"/>
          <w:b/>
          <w:sz w:val="44"/>
          <w:szCs w:val="44"/>
          <w:highlight w:val="none"/>
          <w:shd w:val="clear" w:color="auto" w:fill="FFFFFF"/>
        </w:rPr>
        <w:t>报</w:t>
      </w:r>
      <w:r>
        <w:rPr>
          <w:rFonts w:hint="eastAsia" w:ascii="宋体" w:hAnsi="宋体" w:eastAsia="宋体"/>
          <w:b/>
          <w:sz w:val="44"/>
          <w:szCs w:val="44"/>
          <w:highlight w:val="none"/>
          <w:shd w:val="clear" w:color="auto" w:fill="FFFFFF"/>
          <w:lang w:val="en-US" w:eastAsia="zh-CN"/>
        </w:rPr>
        <w:t xml:space="preserve">  </w:t>
      </w:r>
      <w:r>
        <w:rPr>
          <w:rFonts w:hint="eastAsia" w:ascii="宋体" w:hAnsi="宋体" w:eastAsia="宋体"/>
          <w:b/>
          <w:sz w:val="44"/>
          <w:szCs w:val="44"/>
          <w:highlight w:val="none"/>
          <w:shd w:val="clear" w:color="auto" w:fill="FFFFFF"/>
        </w:rPr>
        <w:t>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highlight w:val="none"/>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highlight w:val="none"/>
          <w:shd w:val="clear" w:color="auto" w:fill="FFFFFF"/>
          <w:lang w:val="zh-CN"/>
        </w:rPr>
      </w:pPr>
      <w:r>
        <w:rPr>
          <w:rFonts w:hint="eastAsia" w:ascii="黑体" w:hAnsi="宋体" w:eastAsia="黑体" w:cs="宋体"/>
          <w:color w:val="000000"/>
          <w:kern w:val="0"/>
          <w:szCs w:val="32"/>
          <w:highlight w:val="none"/>
          <w:shd w:val="clear" w:color="auto" w:fill="FFFFFF"/>
        </w:rPr>
        <w:t>一、</w:t>
      </w:r>
      <w:r>
        <w:rPr>
          <w:rFonts w:hint="eastAsia" w:ascii="黑体" w:hAnsi="宋体" w:eastAsia="黑体" w:cs="宋体"/>
          <w:color w:val="000000"/>
          <w:kern w:val="0"/>
          <w:szCs w:val="32"/>
          <w:highlight w:val="none"/>
          <w:shd w:val="clear" w:color="auto" w:fill="FFFFFF"/>
          <w:lang w:val="zh-CN"/>
        </w:rPr>
        <w:t>部门（单位）概况</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（一）机构组成。</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 xml:space="preserve">1、办公室：负责综合协调机关的行政事务工作和文秘、人事、统计、档案、信访、对外联络、接待、机关后勤和部门离退休人员服务管理等工作。负责本部门财务管理和固定资产管理；制定和组织本部门工作目标管理；负责部门党风．廉政建设和精神文明建设工作。    </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2、综合管理股：负责组织实施市容市貌和环境卫生管理，城市建筑物容貌管理、户外广告定点管理、城市园林绿化管理、城市建设工程文明施工管理；负责市容环境卫生、园林绿化中长期规划、年度计划的制定和实施，起草城市综合管理方面公益性文件，并经批准后组织实施；指导抓好门前三包管理工作；负责市政设施维护、管理和城市道路占用控掘审批工作；负责市政设施损失赔偿、处罚工作。</w:t>
      </w:r>
    </w:p>
    <w:p>
      <w:pPr>
        <w:widowControl/>
        <w:numPr>
          <w:ilvl w:val="0"/>
          <w:numId w:val="1"/>
        </w:numPr>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机构职能。</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en-US" w:eastAsia="zh-CN"/>
        </w:rPr>
        <w:t>1、</w:t>
      </w:r>
      <w:r>
        <w:rPr>
          <w:rFonts w:hint="eastAsia" w:ascii="仿宋_GB2312" w:hAnsi="宋体" w:cs="宋体"/>
          <w:color w:val="000000"/>
          <w:kern w:val="0"/>
          <w:szCs w:val="32"/>
          <w:highlight w:val="none"/>
          <w:shd w:val="clear" w:color="auto" w:fill="FFFFFF"/>
          <w:lang w:val="zh-CN"/>
        </w:rPr>
        <w:t>负责城市园林绿化、环境卫生、市容市貌和市政设施维护等工作。</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2、负责建立健全城市综合管理方面的规章制度。草拟城市管理办法，经批准后组织实施。</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 xml:space="preserve">3、负责市容环境卫生管理工作，组织实施对城市建成区街道、人行道、旅游干道、园林绿化带的清扫保洁；负责市容环境卫生的监察工作；负责城市生活垃圾清运及无害化处理；负责城区市容环境卫生公共设施的规划、建设、维护和管理；负责城区建筑物容貌的管理工作。主管城区的渣土处置运输及建设工程、装饰工程、旧房拆迂工程的卫生监督管理工作；负责督导门前三包工作。    </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4、负责城区规划、建设的监督、监察执法及文明施工管理，参与建设工程和园林绿化工程的竣工验收工作。</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 xml:space="preserve">5、主管本辖区行政区域的城市园林绿化工作，负责组织实施城市园林绿化、规划、建设、管护工作。按城市发展总体规划编制城市园林绿化计划，并组织实施；主持和参与城市规划及城市园林景点规划、建设、管理工作；负责建设附属绿化地方案的审批；组织开展创建园林式单位(居住区)活动；负责城市园林绿化施工队伍资质审查及施工管理工作；负责城市绿地的管理和公共绿地的规划和日常管理工作；负责城区古树、名树的管理工作。  </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6、负责城区市政设施的维护和管理，负责城区街道卫生管理和城市道路占用控掘审批工作。</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7、负责城区街道摊点设置和审批管理工作；负责城镇户外广告、宣传栏、各类标志、标识牌、管线等规划和管理工作；负责城市领空使用管理审批工作；负责管理非机动车辆乱停乱放工作；负责城区停车场、点的管理工作。</w:t>
      </w:r>
    </w:p>
    <w:p>
      <w:pPr>
        <w:widowControl/>
        <w:numPr>
          <w:ilvl w:val="0"/>
          <w:numId w:val="1"/>
        </w:numPr>
        <w:adjustRightInd w:val="0"/>
        <w:snapToGrid w:val="0"/>
        <w:spacing w:line="580" w:lineRule="exact"/>
        <w:ind w:left="0" w:leftChars="0" w:firstLine="640" w:firstLineChars="200"/>
        <w:contextualSpacing/>
        <w:jc w:val="left"/>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人员概况。</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default" w:ascii="仿宋_GB2312" w:hAnsi="宋体" w:eastAsia="仿宋_GB2312"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zh-CN"/>
        </w:rPr>
        <w:t xml:space="preserve"> 自治县综合行政执法局执法局核定行政编制</w:t>
      </w:r>
      <w:r>
        <w:rPr>
          <w:rFonts w:hint="eastAsia" w:ascii="仿宋_GB2312" w:hAnsi="宋体" w:cs="宋体"/>
          <w:color w:val="000000"/>
          <w:kern w:val="0"/>
          <w:szCs w:val="32"/>
          <w:highlight w:val="none"/>
          <w:shd w:val="clear" w:color="auto" w:fill="FFFFFF"/>
          <w:lang w:val="en-US" w:eastAsia="zh-CN"/>
        </w:rPr>
        <w:t>8名，其中</w:t>
      </w:r>
      <w:r>
        <w:rPr>
          <w:rFonts w:hint="eastAsia" w:ascii="仿宋_GB2312" w:hAnsi="宋体" w:cs="宋体"/>
          <w:color w:val="000000"/>
          <w:kern w:val="0"/>
          <w:szCs w:val="32"/>
          <w:highlight w:val="none"/>
          <w:shd w:val="clear" w:color="auto" w:fill="FFFFFF"/>
          <w:lang w:val="zh-CN"/>
        </w:rPr>
        <w:t>局长1名，副局长</w:t>
      </w:r>
      <w:r>
        <w:rPr>
          <w:rFonts w:hint="eastAsia" w:ascii="仿宋_GB2312" w:hAnsi="宋体" w:cs="宋体"/>
          <w:color w:val="000000"/>
          <w:kern w:val="0"/>
          <w:szCs w:val="32"/>
          <w:highlight w:val="none"/>
          <w:shd w:val="clear" w:color="auto" w:fill="FFFFFF"/>
          <w:lang w:val="en-US" w:eastAsia="zh-CN"/>
        </w:rPr>
        <w:t>3</w:t>
      </w:r>
      <w:r>
        <w:rPr>
          <w:rFonts w:hint="eastAsia" w:ascii="仿宋_GB2312" w:hAnsi="宋体" w:cs="宋体"/>
          <w:color w:val="000000"/>
          <w:kern w:val="0"/>
          <w:szCs w:val="32"/>
          <w:highlight w:val="none"/>
          <w:shd w:val="clear" w:color="auto" w:fill="FFFFFF"/>
          <w:lang w:val="zh-CN"/>
        </w:rPr>
        <w:t>名，中层职数</w:t>
      </w:r>
      <w:r>
        <w:rPr>
          <w:rFonts w:hint="eastAsia" w:ascii="仿宋_GB2312" w:hAnsi="宋体" w:cs="宋体"/>
          <w:color w:val="000000"/>
          <w:kern w:val="0"/>
          <w:szCs w:val="32"/>
          <w:highlight w:val="none"/>
          <w:shd w:val="clear" w:color="auto" w:fill="FFFFFF"/>
          <w:lang w:val="en-US" w:eastAsia="zh-CN"/>
        </w:rPr>
        <w:t>4名</w:t>
      </w:r>
      <w:r>
        <w:rPr>
          <w:rFonts w:hint="eastAsia" w:ascii="仿宋_GB2312" w:hAnsi="宋体" w:cs="宋体"/>
          <w:color w:val="000000"/>
          <w:kern w:val="0"/>
          <w:szCs w:val="32"/>
          <w:highlight w:val="none"/>
          <w:shd w:val="clear" w:color="auto" w:fill="FFFFFF"/>
          <w:lang w:val="zh-CN"/>
        </w:rPr>
        <w:t>；事业编制</w:t>
      </w:r>
      <w:r>
        <w:rPr>
          <w:rFonts w:hint="eastAsia" w:ascii="仿宋_GB2312" w:hAnsi="宋体" w:cs="宋体"/>
          <w:color w:val="000000"/>
          <w:kern w:val="0"/>
          <w:szCs w:val="32"/>
          <w:highlight w:val="none"/>
          <w:shd w:val="clear" w:color="auto" w:fill="FFFFFF"/>
          <w:lang w:val="en-US" w:eastAsia="zh-CN"/>
        </w:rPr>
        <w:t>32名。</w:t>
      </w:r>
    </w:p>
    <w:p>
      <w:pPr>
        <w:widowControl/>
        <w:numPr>
          <w:ilvl w:val="0"/>
          <w:numId w:val="0"/>
        </w:numPr>
        <w:adjustRightInd w:val="0"/>
        <w:snapToGrid w:val="0"/>
        <w:spacing w:line="580" w:lineRule="exact"/>
        <w:ind w:leftChars="200"/>
        <w:contextualSpacing/>
        <w:jc w:val="left"/>
        <w:rPr>
          <w:rFonts w:hint="eastAsia" w:ascii="仿宋_GB2312" w:hAnsi="宋体" w:cs="宋体"/>
          <w:color w:val="000000"/>
          <w:kern w:val="0"/>
          <w:szCs w:val="32"/>
          <w:highlight w:val="none"/>
          <w:shd w:val="clear" w:color="auto" w:fill="FFFFFF"/>
          <w:lang w:val="zh-CN"/>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highlight w:val="none"/>
          <w:shd w:val="clear" w:color="auto" w:fill="FFFFFF"/>
        </w:rPr>
      </w:pPr>
      <w:r>
        <w:rPr>
          <w:rFonts w:hint="eastAsia" w:ascii="黑体" w:hAnsi="宋体" w:eastAsia="黑体" w:cs="宋体"/>
          <w:color w:val="000000"/>
          <w:kern w:val="0"/>
          <w:szCs w:val="32"/>
          <w:highlight w:val="none"/>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2022年财政拨款预算收入3174.24万元，其中</w:t>
      </w:r>
      <w:r>
        <w:rPr>
          <w:rFonts w:hint="eastAsia" w:ascii="仿宋_GB2312" w:hAnsi="仿宋" w:cs="仿宋"/>
          <w:bCs/>
          <w:color w:val="auto"/>
          <w:sz w:val="32"/>
          <w:szCs w:val="32"/>
          <w:highlight w:val="none"/>
          <w:lang w:eastAsia="zh-CN"/>
        </w:rPr>
        <w:t>基本</w:t>
      </w:r>
      <w:r>
        <w:rPr>
          <w:rFonts w:hint="eastAsia" w:ascii="仿宋_GB2312" w:hAnsi="宋体" w:cs="宋体"/>
          <w:color w:val="000000"/>
          <w:kern w:val="0"/>
          <w:szCs w:val="32"/>
          <w:highlight w:val="none"/>
          <w:shd w:val="clear" w:color="auto" w:fill="FFFFFF"/>
          <w:lang w:val="en-US" w:eastAsia="zh-CN"/>
        </w:rPr>
        <w:t>财政拨款预算</w:t>
      </w:r>
      <w:r>
        <w:rPr>
          <w:rFonts w:hint="eastAsia" w:ascii="仿宋_GB2312" w:hAnsi="仿宋" w:eastAsia="仿宋_GB2312" w:cs="仿宋"/>
          <w:color w:val="auto"/>
          <w:sz w:val="32"/>
          <w:szCs w:val="32"/>
          <w:highlight w:val="none"/>
        </w:rPr>
        <w:t>收入</w:t>
      </w:r>
      <w:r>
        <w:rPr>
          <w:rFonts w:hint="eastAsia" w:ascii="仿宋_GB2312" w:hAnsi="仿宋" w:cs="仿宋"/>
          <w:color w:val="auto"/>
          <w:sz w:val="32"/>
          <w:szCs w:val="32"/>
          <w:highlight w:val="none"/>
          <w:lang w:val="en-US" w:eastAsia="zh-CN"/>
        </w:rPr>
        <w:t>838.04</w:t>
      </w:r>
      <w:r>
        <w:rPr>
          <w:rFonts w:hint="eastAsia" w:ascii="仿宋_GB2312" w:hAnsi="仿宋" w:eastAsia="仿宋_GB2312" w:cs="仿宋"/>
          <w:color w:val="auto"/>
          <w:sz w:val="32"/>
          <w:szCs w:val="32"/>
          <w:highlight w:val="none"/>
        </w:rPr>
        <w:t>万元，</w:t>
      </w:r>
      <w:r>
        <w:rPr>
          <w:rFonts w:hint="eastAsia" w:ascii="仿宋_GB2312" w:hAnsi="仿宋" w:cs="仿宋"/>
          <w:color w:val="auto"/>
          <w:sz w:val="32"/>
          <w:szCs w:val="32"/>
          <w:highlight w:val="none"/>
          <w:lang w:eastAsia="zh-CN"/>
        </w:rPr>
        <w:t>项目</w:t>
      </w:r>
      <w:r>
        <w:rPr>
          <w:rFonts w:hint="eastAsia" w:ascii="仿宋_GB2312" w:hAnsi="仿宋" w:eastAsia="仿宋_GB2312" w:cs="仿宋"/>
          <w:color w:val="auto"/>
          <w:sz w:val="32"/>
          <w:szCs w:val="32"/>
          <w:highlight w:val="none"/>
        </w:rPr>
        <w:t>预算财政拨款收入</w:t>
      </w:r>
      <w:r>
        <w:rPr>
          <w:rFonts w:hint="eastAsia" w:ascii="仿宋_GB2312" w:hAnsi="仿宋" w:cs="仿宋"/>
          <w:color w:val="auto"/>
          <w:sz w:val="32"/>
          <w:szCs w:val="32"/>
          <w:highlight w:val="none"/>
          <w:lang w:val="en-US" w:eastAsia="zh-CN"/>
        </w:rPr>
        <w:t>2336.2</w:t>
      </w:r>
      <w:r>
        <w:rPr>
          <w:rFonts w:hint="eastAsia" w:ascii="仿宋_GB2312" w:hAnsi="仿宋" w:eastAsia="仿宋_GB2312" w:cs="仿宋"/>
          <w:color w:val="auto"/>
          <w:sz w:val="32"/>
          <w:szCs w:val="32"/>
          <w:highlight w:val="none"/>
        </w:rPr>
        <w:t>万元</w:t>
      </w:r>
      <w:r>
        <w:rPr>
          <w:rFonts w:hint="eastAsia" w:ascii="仿宋_GB2312" w:hAnsi="仿宋" w:cs="仿宋"/>
          <w:color w:val="auto"/>
          <w:sz w:val="32"/>
          <w:szCs w:val="32"/>
          <w:highlight w:val="none"/>
          <w:lang w:eastAsia="zh-CN"/>
        </w:rPr>
        <w:t>。</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（二）部门财政资金支出情况。</w:t>
      </w:r>
    </w:p>
    <w:p>
      <w:pPr>
        <w:widowControl/>
        <w:adjustRightInd w:val="0"/>
        <w:snapToGrid w:val="0"/>
        <w:spacing w:line="580" w:lineRule="exact"/>
        <w:ind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2022年支出其中</w:t>
      </w:r>
      <w:r>
        <w:rPr>
          <w:rFonts w:hint="eastAsia" w:ascii="仿宋_GB2312" w:hAnsi="宋体" w:cs="宋体"/>
          <w:color w:val="000000"/>
          <w:kern w:val="0"/>
          <w:szCs w:val="32"/>
          <w:highlight w:val="none"/>
          <w:shd w:val="clear" w:color="auto" w:fill="FFFFFF"/>
          <w:lang w:val="zh-CN"/>
        </w:rPr>
        <w:t>基本支出</w:t>
      </w:r>
      <w:r>
        <w:rPr>
          <w:rFonts w:hint="eastAsia" w:ascii="仿宋_GB2312" w:hAnsi="仿宋" w:cs="仿宋"/>
          <w:color w:val="auto"/>
          <w:sz w:val="32"/>
          <w:szCs w:val="32"/>
          <w:highlight w:val="none"/>
          <w:lang w:val="en-US" w:eastAsia="zh-CN"/>
        </w:rPr>
        <w:t>838.04</w:t>
      </w:r>
      <w:r>
        <w:rPr>
          <w:rFonts w:hint="eastAsia" w:ascii="仿宋_GB2312" w:hAnsi="宋体" w:cs="宋体"/>
          <w:color w:val="000000"/>
          <w:kern w:val="0"/>
          <w:szCs w:val="32"/>
          <w:highlight w:val="none"/>
          <w:shd w:val="clear" w:color="auto" w:fill="FFFFFF"/>
          <w:lang w:val="en-US" w:eastAsia="zh-CN"/>
        </w:rPr>
        <w:t>万元；项目支出</w:t>
      </w:r>
      <w:r>
        <w:rPr>
          <w:rFonts w:hint="eastAsia" w:ascii="仿宋_GB2312" w:hAnsi="仿宋" w:cs="仿宋"/>
          <w:color w:val="auto"/>
          <w:sz w:val="32"/>
          <w:szCs w:val="32"/>
          <w:highlight w:val="none"/>
          <w:lang w:val="en-US" w:eastAsia="zh-CN"/>
        </w:rPr>
        <w:t>2336.2</w:t>
      </w:r>
      <w:r>
        <w:rPr>
          <w:rFonts w:hint="eastAsia" w:ascii="仿宋_GB2312" w:hAnsi="宋体" w:cs="宋体"/>
          <w:color w:val="000000"/>
          <w:kern w:val="0"/>
          <w:szCs w:val="32"/>
          <w:highlight w:val="none"/>
          <w:shd w:val="clear" w:color="auto" w:fill="FFFFFF"/>
          <w:lang w:val="en-US" w:eastAsia="zh-CN"/>
        </w:rPr>
        <w:t>万元，共计15个项目。具体支出为：城市亮化150万元；市政设施维修费150万元；垃圾外运及处置费111.84万元；农村垃圾治理和中转站运行费46.07万元；城管、环卫劳务费154.45万元；城乡绿化费160.52万元；环卫车燃料、维修、保险费29.94万元；垃圾定点收集、中转、清扫承包费994.82万元；县城垃圾卫生填埋场生产费238.57万元；解决临聘人员解聘经济补偿金[2022]15号28.52万元；人居环境整治暨移风易俗指挥部运行经费32.33万元；政府批示（[2021]115号）解决2017年应急抢险救灾工程项目羊子岩垃圾填埋场新建渗滤液处理系统工程余款181.25万元；政府批示（峨边府批复[2021]63号）生活垃圾外运到乐山城市生活垃圾环保发电项目（第一期）焚烧发电的批复）36.99万元；政府批示（政府批示[2022]49号）解决峨边县博雅保洁服务公司保洁服务费11.51万元；综合行政执法局2022年乡村振兴补助资金项目（中央）9.39万元。</w:t>
      </w:r>
    </w:p>
    <w:p>
      <w:pPr>
        <w:widowControl/>
        <w:adjustRightInd w:val="0"/>
        <w:snapToGrid w:val="0"/>
        <w:spacing w:line="580" w:lineRule="exact"/>
        <w:ind w:firstLine="640" w:firstLineChars="200"/>
        <w:contextualSpacing/>
        <w:jc w:val="left"/>
        <w:rPr>
          <w:rFonts w:hint="eastAsia" w:ascii="黑体" w:hAnsi="宋体" w:eastAsia="黑体" w:cs="宋体"/>
          <w:color w:val="000000"/>
          <w:kern w:val="0"/>
          <w:szCs w:val="32"/>
          <w:highlight w:val="none"/>
          <w:shd w:val="clear" w:color="auto" w:fill="FFFFFF"/>
          <w:lang w:eastAsia="zh-CN"/>
        </w:rPr>
      </w:pPr>
      <w:r>
        <w:rPr>
          <w:rFonts w:hint="eastAsia" w:ascii="黑体" w:hAnsi="宋体" w:eastAsia="黑体" w:cs="宋体"/>
          <w:color w:val="000000"/>
          <w:kern w:val="0"/>
          <w:szCs w:val="32"/>
          <w:highlight w:val="none"/>
          <w:shd w:val="clear" w:color="auto" w:fill="FFFFFF"/>
        </w:rPr>
        <w:t>三、部门整体预算绩效管理情况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highlight w:val="none"/>
          <w:shd w:val="clear" w:color="auto" w:fill="FFFFFF"/>
          <w:lang w:val="zh-CN"/>
        </w:rPr>
      </w:pPr>
      <w:r>
        <w:rPr>
          <w:rFonts w:hint="eastAsia" w:ascii="楷体_GB2312" w:hAnsi="宋体" w:eastAsia="楷体_GB2312" w:cs="宋体"/>
          <w:color w:val="000000"/>
          <w:kern w:val="0"/>
          <w:szCs w:val="32"/>
          <w:highlight w:val="none"/>
          <w:shd w:val="clear" w:color="auto" w:fill="FFFFFF"/>
          <w:lang w:val="zh-CN"/>
        </w:rPr>
        <w:t>（一）部门预算管理。</w:t>
      </w:r>
    </w:p>
    <w:p>
      <w:pPr>
        <w:widowControl/>
        <w:adjustRightInd w:val="0"/>
        <w:snapToGrid w:val="0"/>
        <w:spacing w:line="580" w:lineRule="exact"/>
        <w:ind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1）部门绩效目标要素完整、细化量化。2.绩效目标实际完成情况达到预期绩效目标。3.部门年初预算编制科学准确。4.部门支出严格执行财经纪律，单位财务核算做账及时；科目使用准确；支出方向与预算吻合；严格执行八项规定情况，三公经费使用，差旅费报销、津补贴发放符合规定等。5.部门开展绩效运行监控后，将绩效监控结果应用到预算调整的情况很好。</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(2)内部控制管理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1.内控制度建设完整。2.内控制度执行规范性。</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(3)完成结果</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1.</w:t>
      </w:r>
      <w:r>
        <w:rPr>
          <w:rFonts w:hint="default" w:ascii="仿宋_GB2312" w:hAnsi="宋体" w:cs="宋体"/>
          <w:color w:val="000000"/>
          <w:kern w:val="0"/>
          <w:szCs w:val="32"/>
          <w:highlight w:val="none"/>
          <w:shd w:val="clear" w:color="auto" w:fill="FFFFFF"/>
          <w:lang w:val="en-US" w:eastAsia="zh-CN"/>
        </w:rPr>
        <w:t>部门预算全年执行进度达到100%</w:t>
      </w:r>
      <w:r>
        <w:rPr>
          <w:rFonts w:hint="eastAsia" w:ascii="仿宋_GB2312" w:hAnsi="宋体" w:cs="宋体"/>
          <w:color w:val="000000"/>
          <w:kern w:val="0"/>
          <w:szCs w:val="32"/>
          <w:highlight w:val="none"/>
          <w:shd w:val="clear" w:color="auto" w:fill="FFFFFF"/>
          <w:lang w:val="en-US" w:eastAsia="zh-CN"/>
        </w:rPr>
        <w:t>。2.无违规记录的情况反映问题。</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highlight w:val="none"/>
          <w:shd w:val="clear" w:color="auto" w:fill="FFFFFF"/>
          <w:lang w:val="zh-CN"/>
        </w:rPr>
      </w:pPr>
      <w:r>
        <w:rPr>
          <w:rFonts w:hint="eastAsia" w:ascii="楷体_GB2312" w:hAnsi="宋体" w:eastAsia="楷体_GB2312" w:cs="宋体"/>
          <w:color w:val="000000"/>
          <w:kern w:val="0"/>
          <w:szCs w:val="32"/>
          <w:highlight w:val="none"/>
          <w:shd w:val="clear" w:color="auto" w:fill="FFFFFF"/>
          <w:lang w:val="zh-CN"/>
        </w:rPr>
        <w:t>（二）项目预算管理。（有项目预算的部门需要阐述此部分）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eastAsia="仿宋_GB2312" w:cs="宋体"/>
          <w:color w:val="000000"/>
          <w:kern w:val="0"/>
          <w:szCs w:val="32"/>
          <w:highlight w:val="none"/>
          <w:shd w:val="clear" w:color="auto" w:fill="FFFFFF"/>
          <w:lang w:val="zh-CN"/>
        </w:rPr>
        <w:t>包括项目基本情况、项目目标完成情况、项目效果情况等。</w:t>
      </w:r>
      <w:r>
        <w:rPr>
          <w:rFonts w:hint="eastAsia" w:ascii="仿宋_GB2312" w:hAnsi="宋体" w:cs="宋体"/>
          <w:color w:val="000000"/>
          <w:kern w:val="0"/>
          <w:szCs w:val="32"/>
          <w:highlight w:val="none"/>
          <w:shd w:val="clear" w:color="auto" w:fill="FFFFFF"/>
          <w:lang w:val="en-US" w:eastAsia="zh-CN"/>
        </w:rPr>
        <w:t>项目支出</w:t>
      </w:r>
      <w:r>
        <w:rPr>
          <w:rFonts w:hint="eastAsia" w:ascii="仿宋_GB2312" w:hAnsi="仿宋" w:cs="仿宋"/>
          <w:color w:val="auto"/>
          <w:sz w:val="32"/>
          <w:szCs w:val="32"/>
          <w:highlight w:val="none"/>
          <w:lang w:val="en-US" w:eastAsia="zh-CN"/>
        </w:rPr>
        <w:t>2336.2</w:t>
      </w:r>
      <w:r>
        <w:rPr>
          <w:rFonts w:hint="eastAsia" w:ascii="仿宋_GB2312" w:hAnsi="宋体" w:cs="宋体"/>
          <w:color w:val="000000"/>
          <w:kern w:val="0"/>
          <w:szCs w:val="32"/>
          <w:highlight w:val="none"/>
          <w:shd w:val="clear" w:color="auto" w:fill="FFFFFF"/>
          <w:lang w:val="en-US" w:eastAsia="zh-CN"/>
        </w:rPr>
        <w:t>万元，共计15个项目。具体支出为：</w:t>
      </w:r>
    </w:p>
    <w:p>
      <w:pPr>
        <w:widowControl/>
        <w:numPr>
          <w:ilvl w:val="0"/>
          <w:numId w:val="2"/>
        </w:numPr>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城管环卫劳务费154.45万元，执法大队、绿化队、市政维护等人员37人，确保城市秩序的日常维护等方面。</w:t>
      </w:r>
    </w:p>
    <w:p>
      <w:pPr>
        <w:widowControl/>
        <w:numPr>
          <w:ilvl w:val="0"/>
          <w:numId w:val="2"/>
        </w:numPr>
        <w:adjustRightInd w:val="0"/>
        <w:snapToGrid w:val="0"/>
        <w:spacing w:line="580" w:lineRule="exact"/>
        <w:ind w:left="0" w:leftChars="0"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环卫车燃料、维修保险费29.94万元;执法大队巡逻车、多功能抑尘车的保险、燃油维修费。执法大队巡逻车对城市的日常巡逻。多功能抑尘车的、洒水车的洒水降尘，疫情防控消杀等。</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县城垃圾卫生填埋场生产费238.57万元：县城垃圾填埋场的翻填覆土，排污处理、电费等日常运转。</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农村垃圾治理和中转站运行费46.07万元：2个中转站的维修维护费、农村垃圾治理分类垃圾桶。</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垃圾定点收集、中转、清扫承包费994.82万元：城区范围内的公共区域清扫、保洁人员经费、垃圾转运费，餐厨垃圾收集转运、公共区域水费等方面。</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城市亮化费150万元：城区亮化的维修、维护费、电费等。</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市政维修费150万元：城区市政设施日常的维修、维护。</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城乡绿化费160.52万元：公共区域的绿化栽种、维护、修剪等方面。</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解决临聘人员解聘经济补偿金[2022]15号28.52万元：解聘人员的经济补偿金。</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政府批示（[2021]115号）解决2017年应急抢险救灾工程项目羊子岩垃圾填埋场新建渗滤液处理系统工程余款181.25万元：解决2017年应急抢险救灾工程项目羊子岩垃圾填埋场新建渗滤液处理系统工程。</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政府批示（峨边府批复[2021]63号）生活垃圾外运到乐山城市生活垃圾环保发电项目（第一期）焚烧发电的批复）36.99万元：生活垃圾外运至乐山光大焚烧发电厂的焚烧处置费。</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人居环境整治暨移风易俗指挥部运行经费32.33万元：保障2022年全年人居环境暨移风易俗指挥部日常运行。</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政府批示（政府批示[2022]49号）解决峨边县博雅保洁服务公司保洁服务费11.51万元：解决博雅公司遗留问题保洁服务费。</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综合行政执法局2022年乡村振兴补助资金项目（中央）9.39万元：改建黑竹沟、毛坪中转站。</w:t>
      </w:r>
    </w:p>
    <w:p>
      <w:pPr>
        <w:widowControl/>
        <w:numPr>
          <w:ilvl w:val="0"/>
          <w:numId w:val="2"/>
        </w:numPr>
        <w:adjustRightInd w:val="0"/>
        <w:snapToGrid w:val="0"/>
        <w:spacing w:line="580" w:lineRule="exact"/>
        <w:ind w:left="0" w:leftChars="0"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垃圾外运及处置费111.84万元：生活垃圾外运至乐山光大焚烧发电厂的运费及焚烧处置费。</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2.绩效结果应用</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eastAsia="黑体" w:cs="宋体"/>
          <w:color w:val="000000"/>
          <w:kern w:val="0"/>
          <w:szCs w:val="32"/>
          <w:highlight w:val="none"/>
          <w:shd w:val="clear" w:color="auto" w:fill="FFFFFF"/>
          <w:lang w:val="en-US" w:eastAsia="zh-CN"/>
        </w:rPr>
        <w:t>(</w:t>
      </w:r>
      <w:r>
        <w:rPr>
          <w:rFonts w:hint="eastAsia" w:ascii="仿宋_GB2312" w:hAnsi="宋体" w:cs="宋体"/>
          <w:color w:val="000000"/>
          <w:kern w:val="0"/>
          <w:szCs w:val="32"/>
          <w:highlight w:val="none"/>
          <w:shd w:val="clear" w:color="auto" w:fill="FFFFFF"/>
          <w:lang w:val="en-US" w:eastAsia="zh-CN"/>
        </w:rPr>
        <w:t>1)信息公开</w:t>
      </w:r>
    </w:p>
    <w:p>
      <w:pPr>
        <w:widowControl/>
        <w:adjustRightInd w:val="0"/>
        <w:snapToGrid w:val="0"/>
        <w:spacing w:line="580" w:lineRule="exact"/>
        <w:ind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1.部门绩效目标按要求向社会公开。2.部门按要求将部门整体绩效自评情况和自行组织的评价情况向社会公开。</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(2)自评质量</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部门整体支出自评准确率与评价组抽查得分差异在5%以内。</w:t>
      </w:r>
    </w:p>
    <w:p>
      <w:pPr>
        <w:widowControl/>
        <w:numPr>
          <w:ilvl w:val="0"/>
          <w:numId w:val="3"/>
        </w:numPr>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整改反馈</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1.</w:t>
      </w:r>
      <w:r>
        <w:rPr>
          <w:rFonts w:hint="default" w:ascii="仿宋_GB2312" w:hAnsi="宋体" w:cs="宋体"/>
          <w:color w:val="000000"/>
          <w:kern w:val="0"/>
          <w:szCs w:val="32"/>
          <w:highlight w:val="none"/>
          <w:shd w:val="clear" w:color="auto" w:fill="FFFFFF"/>
          <w:lang w:val="en-US" w:eastAsia="zh-CN"/>
        </w:rPr>
        <w:t>部门根据绩效管理结果整改问题、完善政策、改进管理的</w:t>
      </w:r>
      <w:r>
        <w:rPr>
          <w:rFonts w:hint="eastAsia" w:ascii="仿宋_GB2312" w:hAnsi="宋体" w:cs="宋体"/>
          <w:color w:val="000000"/>
          <w:kern w:val="0"/>
          <w:szCs w:val="32"/>
          <w:highlight w:val="none"/>
          <w:shd w:val="clear" w:color="auto" w:fill="FFFFFF"/>
          <w:lang w:val="en-US" w:eastAsia="zh-CN"/>
        </w:rPr>
        <w:t>问题及时整改</w:t>
      </w:r>
      <w:r>
        <w:rPr>
          <w:rFonts w:hint="default" w:ascii="仿宋_GB2312" w:hAnsi="宋体" w:cs="宋体"/>
          <w:color w:val="000000"/>
          <w:kern w:val="0"/>
          <w:szCs w:val="32"/>
          <w:highlight w:val="none"/>
          <w:shd w:val="clear" w:color="auto" w:fill="FFFFFF"/>
          <w:lang w:val="en-US" w:eastAsia="zh-CN"/>
        </w:rPr>
        <w:t>。</w:t>
      </w:r>
      <w:r>
        <w:rPr>
          <w:rFonts w:hint="eastAsia" w:ascii="仿宋_GB2312" w:hAnsi="宋体" w:cs="宋体"/>
          <w:color w:val="000000"/>
          <w:kern w:val="0"/>
          <w:szCs w:val="32"/>
          <w:highlight w:val="none"/>
          <w:shd w:val="clear" w:color="auto" w:fill="FFFFFF"/>
          <w:lang w:val="en-US" w:eastAsia="zh-CN"/>
        </w:rPr>
        <w:t>2.部门在规定时间内向财政部门反馈应用绩效结果报告的。</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highlight w:val="none"/>
          <w:shd w:val="clear" w:color="auto" w:fill="FFFFFF"/>
        </w:rPr>
      </w:pPr>
      <w:r>
        <w:rPr>
          <w:rFonts w:hint="eastAsia" w:ascii="黑体" w:hAnsi="宋体" w:eastAsia="黑体" w:cs="宋体"/>
          <w:color w:val="000000"/>
          <w:kern w:val="0"/>
          <w:szCs w:val="32"/>
          <w:highlight w:val="none"/>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（一）评价结论。根据《峨边彝族自治县财政局关于开展20</w:t>
      </w:r>
      <w:r>
        <w:rPr>
          <w:rFonts w:hint="eastAsia" w:ascii="仿宋_GB2312" w:hAnsi="宋体" w:cs="宋体"/>
          <w:color w:val="000000"/>
          <w:kern w:val="0"/>
          <w:szCs w:val="32"/>
          <w:highlight w:val="none"/>
          <w:shd w:val="clear" w:color="auto" w:fill="FFFFFF"/>
          <w:lang w:val="en-US" w:eastAsia="zh-CN"/>
        </w:rPr>
        <w:t>22</w:t>
      </w:r>
      <w:r>
        <w:rPr>
          <w:rFonts w:hint="eastAsia" w:ascii="仿宋_GB2312" w:hAnsi="宋体" w:cs="宋体"/>
          <w:color w:val="000000"/>
          <w:kern w:val="0"/>
          <w:szCs w:val="32"/>
          <w:highlight w:val="none"/>
          <w:shd w:val="clear" w:color="auto" w:fill="FFFFFF"/>
          <w:lang w:val="zh-CN"/>
        </w:rPr>
        <w:t>年财政绩效评价工作的通知》文件精神，</w:t>
      </w:r>
      <w:r>
        <w:rPr>
          <w:rFonts w:hint="eastAsia" w:ascii="仿宋_GB2312" w:hAnsi="宋体" w:cs="宋体"/>
          <w:color w:val="000000"/>
          <w:kern w:val="0"/>
          <w:szCs w:val="32"/>
          <w:highlight w:val="none"/>
          <w:shd w:val="clear" w:color="auto" w:fill="FFFFFF"/>
          <w:lang w:val="en-US" w:eastAsia="zh-CN"/>
        </w:rPr>
        <w:t>综合行政执法局认真组织开展了部门整体支出绩效评价工作，绩效评价</w:t>
      </w:r>
      <w:r>
        <w:rPr>
          <w:rFonts w:hint="eastAsia" w:ascii="仿宋_GB2312" w:hAnsi="宋体" w:cs="宋体"/>
          <w:color w:val="000000"/>
          <w:kern w:val="0"/>
          <w:szCs w:val="32"/>
          <w:highlight w:val="none"/>
          <w:shd w:val="clear" w:color="auto" w:fill="FFFFFF"/>
          <w:lang w:val="zh-CN"/>
        </w:rPr>
        <w:t>得分：</w:t>
      </w:r>
      <w:r>
        <w:rPr>
          <w:rFonts w:hint="eastAsia" w:ascii="仿宋_GB2312" w:hAnsi="宋体" w:cs="宋体"/>
          <w:color w:val="000000"/>
          <w:kern w:val="0"/>
          <w:szCs w:val="32"/>
          <w:highlight w:val="none"/>
          <w:shd w:val="clear" w:color="auto" w:fill="FFFFFF"/>
          <w:lang w:val="en-US" w:eastAsia="zh-CN"/>
        </w:rPr>
        <w:t>99</w:t>
      </w:r>
      <w:r>
        <w:rPr>
          <w:rFonts w:hint="eastAsia" w:ascii="仿宋_GB2312" w:hAnsi="宋体" w:cs="宋体"/>
          <w:color w:val="000000"/>
          <w:kern w:val="0"/>
          <w:szCs w:val="32"/>
          <w:highlight w:val="none"/>
          <w:shd w:val="clear" w:color="auto" w:fill="FFFFFF"/>
          <w:lang w:val="zh-CN"/>
        </w:rPr>
        <w:t>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en-US" w:eastAsia="zh-CN"/>
        </w:rPr>
        <w:t>年初预算准确度不高，与实际执行数有一定的差距，年中需要做预算调整。</w:t>
      </w:r>
    </w:p>
    <w:p>
      <w:pPr>
        <w:widowControl/>
        <w:numPr>
          <w:ilvl w:val="0"/>
          <w:numId w:val="4"/>
        </w:numPr>
        <w:adjustRightInd w:val="0"/>
        <w:snapToGrid w:val="0"/>
        <w:spacing w:line="580" w:lineRule="exact"/>
        <w:ind w:firstLine="640" w:firstLineChars="200"/>
        <w:contextualSpacing/>
        <w:jc w:val="left"/>
        <w:rPr>
          <w:rFonts w:hint="eastAsia" w:ascii="仿宋_GB2312" w:hAnsi="宋体" w:cs="宋体"/>
          <w:color w:val="000000"/>
          <w:kern w:val="0"/>
          <w:szCs w:val="32"/>
          <w:highlight w:val="none"/>
          <w:shd w:val="clear" w:color="auto" w:fill="FFFFFF"/>
          <w:lang w:val="zh-CN"/>
        </w:rPr>
      </w:pPr>
      <w:r>
        <w:rPr>
          <w:rFonts w:hint="eastAsia" w:ascii="仿宋_GB2312" w:hAnsi="宋体" w:cs="宋体"/>
          <w:color w:val="000000"/>
          <w:kern w:val="0"/>
          <w:szCs w:val="32"/>
          <w:highlight w:val="none"/>
          <w:shd w:val="clear" w:color="auto" w:fill="FFFFFF"/>
          <w:lang w:val="zh-CN"/>
        </w:rPr>
        <w:t>改进建议。</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 xml:space="preserve">  进一步加强学习，</w:t>
      </w:r>
      <w:r>
        <w:rPr>
          <w:rFonts w:hint="eastAsia" w:ascii="仿宋_GB2312" w:hAnsi="宋体" w:cs="宋体"/>
          <w:color w:val="000000"/>
          <w:kern w:val="0"/>
          <w:szCs w:val="32"/>
          <w:highlight w:val="none"/>
          <w:shd w:val="clear" w:color="auto" w:fill="FFFFFF"/>
          <w:lang w:val="zh-CN"/>
        </w:rPr>
        <w:t>遵循先有预算、后有支出的原则，加强财务管理和内部控制监督，严禁超预算和无预算安排支出，严格开支范围和标准，严格支出报销审核。</w:t>
      </w:r>
    </w:p>
    <w:p>
      <w:pPr>
        <w:rPr>
          <w:highlight w:val="none"/>
        </w:rPr>
      </w:pP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highlight w:val="none"/>
          <w:shd w:val="clear" w:color="auto" w:fill="FFFFFF"/>
          <w:lang w:val="en-US" w:eastAsia="zh-CN"/>
        </w:rPr>
      </w:pP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highlight w:val="none"/>
          <w:shd w:val="clear" w:color="auto" w:fill="FFFFFF"/>
          <w:lang w:val="en-US" w:eastAsia="zh-CN"/>
        </w:rPr>
      </w:pPr>
    </w:p>
    <w:p>
      <w:pPr>
        <w:widowControl/>
        <w:numPr>
          <w:ilvl w:val="0"/>
          <w:numId w:val="0"/>
        </w:numPr>
        <w:adjustRightInd w:val="0"/>
        <w:snapToGrid w:val="0"/>
        <w:spacing w:line="240" w:lineRule="auto"/>
        <w:ind w:left="6080" w:hanging="6080" w:hangingChars="1900"/>
        <w:contextualSpacing/>
        <w:jc w:val="left"/>
        <w:rPr>
          <w:rFonts w:hint="default" w:ascii="仿宋_GB2312" w:hAnsi="宋体" w:cs="宋体"/>
          <w:color w:val="000000"/>
          <w:kern w:val="0"/>
          <w:szCs w:val="32"/>
          <w:highlight w:val="none"/>
          <w:shd w:val="clear" w:color="auto" w:fill="FFFFFF"/>
          <w:lang w:val="en-US" w:eastAsia="zh-CN"/>
        </w:rPr>
      </w:pPr>
      <w:r>
        <w:rPr>
          <w:rFonts w:hint="eastAsia" w:ascii="仿宋_GB2312" w:hAnsi="宋体" w:cs="宋体"/>
          <w:color w:val="000000"/>
          <w:kern w:val="0"/>
          <w:szCs w:val="32"/>
          <w:highlight w:val="none"/>
          <w:shd w:val="clear" w:color="auto" w:fill="FFFFFF"/>
          <w:lang w:val="en-US" w:eastAsia="zh-CN"/>
        </w:rPr>
        <w:t xml:space="preserve">                                      县综合行政执法局                                  2023年7月26日</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docPartObj>
        <w:docPartGallery w:val="autotext"/>
      </w:docPartObj>
    </w:sdtPr>
    <w:sdtContent>
      <w:p>
        <w:pPr>
          <w:pStyle w:val="4"/>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4"/>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6F693"/>
    <w:multiLevelType w:val="singleLevel"/>
    <w:tmpl w:val="8096F693"/>
    <w:lvl w:ilvl="0" w:tentative="0">
      <w:start w:val="1"/>
      <w:numFmt w:val="decimal"/>
      <w:lvlText w:val="%1."/>
      <w:lvlJc w:val="left"/>
      <w:pPr>
        <w:tabs>
          <w:tab w:val="left" w:pos="312"/>
        </w:tabs>
      </w:pPr>
    </w:lvl>
  </w:abstractNum>
  <w:abstractNum w:abstractNumId="1">
    <w:nsid w:val="FC77CE77"/>
    <w:multiLevelType w:val="singleLevel"/>
    <w:tmpl w:val="FC77CE77"/>
    <w:lvl w:ilvl="0" w:tentative="0">
      <w:start w:val="3"/>
      <w:numFmt w:val="chineseCounting"/>
      <w:suff w:val="nothing"/>
      <w:lvlText w:val="（%1）"/>
      <w:lvlJc w:val="left"/>
      <w:rPr>
        <w:rFonts w:hint="eastAsia"/>
      </w:rPr>
    </w:lvl>
  </w:abstractNum>
  <w:abstractNum w:abstractNumId="2">
    <w:nsid w:val="171D9561"/>
    <w:multiLevelType w:val="singleLevel"/>
    <w:tmpl w:val="171D9561"/>
    <w:lvl w:ilvl="0" w:tentative="0">
      <w:start w:val="2"/>
      <w:numFmt w:val="chineseCounting"/>
      <w:suff w:val="nothing"/>
      <w:lvlText w:val="（%1）"/>
      <w:lvlJc w:val="left"/>
      <w:rPr>
        <w:rFonts w:hint="eastAsia"/>
      </w:rPr>
    </w:lvl>
  </w:abstractNum>
  <w:abstractNum w:abstractNumId="3">
    <w:nsid w:val="1ED14139"/>
    <w:multiLevelType w:val="singleLevel"/>
    <w:tmpl w:val="1ED14139"/>
    <w:lvl w:ilvl="0" w:tentative="0">
      <w:start w:val="3"/>
      <w:numFmt w:val="decimal"/>
      <w:lvlText w:val="(%1)"/>
      <w:lvlJc w:val="left"/>
      <w:pPr>
        <w:tabs>
          <w:tab w:val="left" w:pos="312"/>
        </w:tabs>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8561A"/>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0F79"/>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57A35"/>
    <w:rsid w:val="00562165"/>
    <w:rsid w:val="005645BC"/>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294D"/>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22C6"/>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9B2DDD"/>
    <w:rsid w:val="0214168C"/>
    <w:rsid w:val="0687007B"/>
    <w:rsid w:val="07A53CFD"/>
    <w:rsid w:val="08B52F23"/>
    <w:rsid w:val="0A9D5096"/>
    <w:rsid w:val="0BFA0FE6"/>
    <w:rsid w:val="0D137BEC"/>
    <w:rsid w:val="0DA246FF"/>
    <w:rsid w:val="0FBC7A8A"/>
    <w:rsid w:val="12A37F0D"/>
    <w:rsid w:val="162E5398"/>
    <w:rsid w:val="163679A6"/>
    <w:rsid w:val="16402092"/>
    <w:rsid w:val="16783E8C"/>
    <w:rsid w:val="170C0A9B"/>
    <w:rsid w:val="1B563D61"/>
    <w:rsid w:val="1C744224"/>
    <w:rsid w:val="1D594CC5"/>
    <w:rsid w:val="1FB36E66"/>
    <w:rsid w:val="2294022F"/>
    <w:rsid w:val="259308F6"/>
    <w:rsid w:val="261F2828"/>
    <w:rsid w:val="26DA6268"/>
    <w:rsid w:val="292C3A53"/>
    <w:rsid w:val="29E36FD4"/>
    <w:rsid w:val="2A1D3E9C"/>
    <w:rsid w:val="2A5D7BA2"/>
    <w:rsid w:val="2D5F7483"/>
    <w:rsid w:val="30F210F0"/>
    <w:rsid w:val="32B45A90"/>
    <w:rsid w:val="34921D39"/>
    <w:rsid w:val="35481E88"/>
    <w:rsid w:val="369D41A0"/>
    <w:rsid w:val="38FA5B32"/>
    <w:rsid w:val="39017F47"/>
    <w:rsid w:val="39703CCB"/>
    <w:rsid w:val="3A19022F"/>
    <w:rsid w:val="3A6E4D71"/>
    <w:rsid w:val="3D015D1B"/>
    <w:rsid w:val="3F7C16E7"/>
    <w:rsid w:val="40273E03"/>
    <w:rsid w:val="41843FA6"/>
    <w:rsid w:val="41BC497F"/>
    <w:rsid w:val="429C74FB"/>
    <w:rsid w:val="43BC772C"/>
    <w:rsid w:val="43D36CA4"/>
    <w:rsid w:val="4802155C"/>
    <w:rsid w:val="48C80C76"/>
    <w:rsid w:val="493F6689"/>
    <w:rsid w:val="497B2B59"/>
    <w:rsid w:val="4BE14125"/>
    <w:rsid w:val="4C1C01AC"/>
    <w:rsid w:val="4C860339"/>
    <w:rsid w:val="51080E91"/>
    <w:rsid w:val="51676880"/>
    <w:rsid w:val="538144E9"/>
    <w:rsid w:val="561D3752"/>
    <w:rsid w:val="58044D62"/>
    <w:rsid w:val="5ADC5AE6"/>
    <w:rsid w:val="5B056F42"/>
    <w:rsid w:val="5D881CA5"/>
    <w:rsid w:val="5F456AFD"/>
    <w:rsid w:val="60255173"/>
    <w:rsid w:val="65046871"/>
    <w:rsid w:val="652B0DCD"/>
    <w:rsid w:val="65D00873"/>
    <w:rsid w:val="670007C4"/>
    <w:rsid w:val="672D2FF9"/>
    <w:rsid w:val="6AE74889"/>
    <w:rsid w:val="6B7E698D"/>
    <w:rsid w:val="6C0C2870"/>
    <w:rsid w:val="6DA9391B"/>
    <w:rsid w:val="6EF941B5"/>
    <w:rsid w:val="702A4314"/>
    <w:rsid w:val="708C700C"/>
    <w:rsid w:val="73125D4C"/>
    <w:rsid w:val="73596DAF"/>
    <w:rsid w:val="73675220"/>
    <w:rsid w:val="7433426D"/>
    <w:rsid w:val="74DD6F66"/>
    <w:rsid w:val="76C829EB"/>
    <w:rsid w:val="7B6D0176"/>
    <w:rsid w:val="7D4C6F09"/>
    <w:rsid w:val="7E425276"/>
    <w:rsid w:val="7F0C33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qFormat/>
    <w:uiPriority w:val="0"/>
    <w:rPr>
      <w:rFonts w:ascii="宋体" w:eastAsia="宋体"/>
      <w:sz w:val="18"/>
      <w:szCs w:val="18"/>
    </w:rPr>
  </w:style>
  <w:style w:type="paragraph" w:styleId="3">
    <w:name w:val="Balloon Text"/>
    <w:basedOn w:val="1"/>
    <w:semiHidden/>
    <w:qFormat/>
    <w:uiPriority w:val="0"/>
    <w:rPr>
      <w:sz w:val="18"/>
      <w:szCs w:val="18"/>
    </w:rPr>
  </w:style>
  <w:style w:type="paragraph" w:styleId="4">
    <w:name w:val="footer"/>
    <w:basedOn w:val="1"/>
    <w:link w:val="14"/>
    <w:qFormat/>
    <w:uiPriority w:val="99"/>
    <w:pPr>
      <w:tabs>
        <w:tab w:val="center" w:pos="4153"/>
        <w:tab w:val="right" w:pos="8306"/>
      </w:tabs>
      <w:snapToGrid w:val="0"/>
      <w:jc w:val="left"/>
    </w:pPr>
    <w:rPr>
      <w:rFonts w:eastAsia="宋体"/>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paragraph" w:customStyle="1" w:styleId="10">
    <w:name w:val="四号正文"/>
    <w:basedOn w:val="1"/>
    <w:link w:val="11"/>
    <w:qFormat/>
    <w:uiPriority w:val="0"/>
    <w:pPr>
      <w:spacing w:line="360" w:lineRule="auto"/>
    </w:pPr>
    <w:rPr>
      <w:rFonts w:ascii="??" w:hAnsi="??" w:eastAsia="宋体" w:cs="宋体"/>
      <w:color w:val="000000"/>
      <w:kern w:val="0"/>
      <w:sz w:val="28"/>
      <w:szCs w:val="21"/>
    </w:rPr>
  </w:style>
  <w:style w:type="character" w:customStyle="1" w:styleId="11">
    <w:name w:val="四号正文 Char"/>
    <w:basedOn w:val="8"/>
    <w:link w:val="10"/>
    <w:qFormat/>
    <w:uiPriority w:val="0"/>
    <w:rPr>
      <w:rFonts w:ascii="??" w:hAnsi="??" w:eastAsia="宋体" w:cs="宋体"/>
      <w:color w:val="000000"/>
      <w:sz w:val="28"/>
      <w:szCs w:val="21"/>
      <w:lang w:val="en-US" w:eastAsia="zh-CN" w:bidi="ar-SA"/>
    </w:rPr>
  </w:style>
  <w:style w:type="character" w:customStyle="1" w:styleId="12">
    <w:name w:val="文档结构图 Char"/>
    <w:basedOn w:val="8"/>
    <w:link w:val="2"/>
    <w:qFormat/>
    <w:uiPriority w:val="0"/>
    <w:rPr>
      <w:rFonts w:ascii="宋体"/>
      <w:kern w:val="2"/>
      <w:sz w:val="18"/>
      <w:szCs w:val="18"/>
    </w:rPr>
  </w:style>
  <w:style w:type="paragraph" w:customStyle="1" w:styleId="13">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4">
    <w:name w:val="页脚 Char"/>
    <w:basedOn w:val="8"/>
    <w:link w:val="4"/>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PSZX</Company>
  <Pages>1</Pages>
  <Words>41</Words>
  <Characters>237</Characters>
  <Lines>1</Lines>
  <Paragraphs>1</Paragraphs>
  <TotalTime>31</TotalTime>
  <ScaleCrop>false</ScaleCrop>
  <LinksUpToDate>false</LinksUpToDate>
  <CharactersWithSpaces>277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2019-10-29T08:36:00Z</dcterms:created>
  <dc:creator>陈萍</dc:creator>
  <cp:lastModifiedBy>ebzhanglj</cp:lastModifiedBy>
  <cp:lastPrinted>2019-05-23T02:35:00Z</cp:lastPrinted>
  <dcterms:modified xsi:type="dcterms:W3CDTF">2023-07-26T03:16:49Z</dcterms:modified>
  <dc:title>区域性就业培训基地建设项目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BE6F274E08F44B31879DF4499B1C4B64</vt:lpwstr>
  </property>
</Properties>
</file>