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7F342">
      <w:pPr>
        <w:rPr>
          <w:rFonts w:ascii="Times New Roman" w:hAnsi="Times New Roman"/>
        </w:rPr>
      </w:pPr>
      <w:bookmarkStart w:id="0" w:name="_Toc15377193"/>
      <w:bookmarkStart w:id="1" w:name="_Toc15396475"/>
      <w:bookmarkStart w:id="2" w:name="_Toc15396597"/>
      <w:bookmarkStart w:id="3" w:name="_Toc15377425"/>
      <w:bookmarkStart w:id="4" w:name="_Toc15306267"/>
      <w:bookmarkStart w:id="5" w:name="_Toc15378441"/>
    </w:p>
    <w:p w14:paraId="79CA733A">
      <w:pPr>
        <w:pStyle w:val="2"/>
        <w:rPr>
          <w:rFonts w:ascii="Times New Roman" w:hAnsi="Times New Roman"/>
        </w:rPr>
      </w:pPr>
    </w:p>
    <w:p w14:paraId="1510CF84">
      <w:pPr>
        <w:rPr>
          <w:rFonts w:ascii="Times New Roman" w:hAnsi="Times New Roman"/>
        </w:rPr>
      </w:pPr>
    </w:p>
    <w:p w14:paraId="6BAF9EE4">
      <w:pPr>
        <w:pStyle w:val="2"/>
        <w:rPr>
          <w:rFonts w:ascii="Times New Roman" w:hAnsi="Times New Roman"/>
        </w:rPr>
      </w:pPr>
    </w:p>
    <w:p w14:paraId="5E98BB8B">
      <w:pPr>
        <w:rPr>
          <w:rFonts w:ascii="Times New Roman" w:hAnsi="Times New Roman"/>
        </w:rPr>
      </w:pPr>
    </w:p>
    <w:p w14:paraId="65D3302E">
      <w:pPr>
        <w:pStyle w:val="2"/>
        <w:rPr>
          <w:rFonts w:ascii="Times New Roman" w:hAnsi="Times New Roman"/>
        </w:rPr>
      </w:pPr>
    </w:p>
    <w:p w14:paraId="41A38D39">
      <w:pPr>
        <w:rPr>
          <w:rFonts w:ascii="Times New Roman" w:hAnsi="Times New Roman"/>
        </w:rPr>
      </w:pPr>
    </w:p>
    <w:p w14:paraId="0A3FD0FF">
      <w:pPr>
        <w:pStyle w:val="2"/>
      </w:pPr>
    </w:p>
    <w:bookmarkEnd w:id="0"/>
    <w:bookmarkEnd w:id="1"/>
    <w:bookmarkEnd w:id="2"/>
    <w:bookmarkEnd w:id="3"/>
    <w:bookmarkEnd w:id="4"/>
    <w:bookmarkEnd w:id="5"/>
    <w:p w14:paraId="78A4E602">
      <w:pPr>
        <w:pStyle w:val="6"/>
        <w:jc w:val="both"/>
        <w:rPr>
          <w:rFonts w:hint="eastAsia" w:ascii="方正小标宋简体" w:hAnsi="宋体" w:eastAsia="方正小标宋简体" w:cs="Times New Roman"/>
          <w:color w:val="auto"/>
          <w:kern w:val="2"/>
          <w:sz w:val="44"/>
          <w:szCs w:val="44"/>
          <w:highlight w:val="none"/>
          <w:lang w:val="en-US" w:eastAsia="zh-CN" w:bidi="ar-SA"/>
        </w:rPr>
      </w:pPr>
    </w:p>
    <w:p w14:paraId="6808A1CA">
      <w:pPr>
        <w:pStyle w:val="6"/>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2024年度</w:t>
      </w:r>
      <w:bookmarkStart w:id="6" w:name="_Toc15396598"/>
      <w:bookmarkStart w:id="7" w:name="_Toc15378442"/>
      <w:bookmarkStart w:id="8" w:name="_Toc15377426"/>
      <w:bookmarkStart w:id="9" w:name="_Toc15396476"/>
      <w:bookmarkStart w:id="10" w:name="_Toc15377194"/>
      <w:r>
        <w:rPr>
          <w:rFonts w:hint="eastAsia" w:ascii="方正小标宋简体" w:hAnsi="宋体" w:eastAsia="方正小标宋简体" w:cs="Times New Roman"/>
          <w:color w:val="auto"/>
          <w:kern w:val="2"/>
          <w:sz w:val="44"/>
          <w:szCs w:val="44"/>
          <w:highlight w:val="none"/>
          <w:lang w:val="en-US" w:eastAsia="zh-CN" w:bidi="ar-SA"/>
        </w:rPr>
        <w:t>峨边彝族自治县</w:t>
      </w:r>
      <w:bookmarkStart w:id="11" w:name="_Toc15306268"/>
      <w:r>
        <w:rPr>
          <w:rFonts w:hint="eastAsia" w:ascii="方正小标宋简体" w:hAnsi="宋体" w:eastAsia="方正小标宋简体" w:cs="Times New Roman"/>
          <w:color w:val="auto"/>
          <w:kern w:val="2"/>
          <w:sz w:val="44"/>
          <w:szCs w:val="44"/>
          <w:highlight w:val="none"/>
          <w:lang w:val="en-US" w:eastAsia="zh-CN" w:bidi="ar-SA"/>
        </w:rPr>
        <w:t>医疗保障局</w:t>
      </w:r>
    </w:p>
    <w:p w14:paraId="153FA056">
      <w:pPr>
        <w:pStyle w:val="6"/>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部门决算</w:t>
      </w:r>
      <w:bookmarkEnd w:id="6"/>
      <w:bookmarkEnd w:id="7"/>
      <w:bookmarkEnd w:id="8"/>
      <w:bookmarkEnd w:id="9"/>
      <w:bookmarkEnd w:id="10"/>
      <w:bookmarkEnd w:id="11"/>
    </w:p>
    <w:p w14:paraId="6E44E707">
      <w:pPr>
        <w:widowControl/>
        <w:jc w:val="center"/>
        <w:rPr>
          <w:rFonts w:hint="eastAsia" w:ascii="Times New Roman" w:hAnsi="Times New Roman" w:eastAsia="黑体"/>
          <w:color w:val="auto"/>
          <w:sz w:val="48"/>
          <w:szCs w:val="48"/>
          <w:highlight w:val="none"/>
        </w:rPr>
      </w:pPr>
    </w:p>
    <w:p w14:paraId="0CDF11DD">
      <w:pPr>
        <w:widowControl/>
        <w:jc w:val="center"/>
        <w:rPr>
          <w:rFonts w:hint="eastAsia" w:ascii="Times New Roman" w:hAnsi="Times New Roman" w:eastAsia="黑体"/>
          <w:color w:val="auto"/>
          <w:sz w:val="48"/>
          <w:szCs w:val="48"/>
          <w:highlight w:val="none"/>
        </w:rPr>
      </w:pPr>
    </w:p>
    <w:p w14:paraId="494FB84F">
      <w:pPr>
        <w:widowControl/>
        <w:jc w:val="center"/>
        <w:rPr>
          <w:rFonts w:hint="eastAsia" w:ascii="Times New Roman" w:hAnsi="Times New Roman" w:eastAsia="黑体"/>
          <w:color w:val="auto"/>
          <w:sz w:val="48"/>
          <w:szCs w:val="48"/>
          <w:highlight w:val="none"/>
        </w:rPr>
      </w:pPr>
    </w:p>
    <w:p w14:paraId="5C8C404B">
      <w:pPr>
        <w:widowControl/>
        <w:jc w:val="center"/>
        <w:rPr>
          <w:rFonts w:hint="eastAsia" w:ascii="Times New Roman" w:hAnsi="Times New Roman" w:eastAsia="黑体"/>
          <w:color w:val="auto"/>
          <w:sz w:val="48"/>
          <w:szCs w:val="48"/>
          <w:highlight w:val="none"/>
        </w:rPr>
      </w:pPr>
    </w:p>
    <w:p w14:paraId="0B6DAE03">
      <w:pPr>
        <w:widowControl/>
        <w:jc w:val="center"/>
        <w:rPr>
          <w:rFonts w:hint="eastAsia" w:ascii="Times New Roman" w:hAnsi="Times New Roman" w:eastAsia="黑体"/>
          <w:color w:val="auto"/>
          <w:sz w:val="48"/>
          <w:szCs w:val="48"/>
          <w:highlight w:val="none"/>
        </w:rPr>
      </w:pPr>
    </w:p>
    <w:p w14:paraId="53DA4F4B">
      <w:pPr>
        <w:widowControl/>
        <w:jc w:val="center"/>
        <w:rPr>
          <w:rFonts w:hint="eastAsia" w:ascii="Times New Roman" w:hAnsi="Times New Roman" w:eastAsia="黑体"/>
          <w:color w:val="auto"/>
          <w:sz w:val="48"/>
          <w:szCs w:val="48"/>
          <w:highlight w:val="none"/>
        </w:rPr>
      </w:pPr>
    </w:p>
    <w:p w14:paraId="1EDE94BD">
      <w:pPr>
        <w:widowControl/>
        <w:jc w:val="both"/>
        <w:rPr>
          <w:rFonts w:hint="eastAsia" w:ascii="Times New Roman" w:hAnsi="Times New Roman" w:eastAsia="黑体"/>
          <w:color w:val="auto"/>
          <w:sz w:val="48"/>
          <w:szCs w:val="48"/>
          <w:highlight w:val="none"/>
        </w:rPr>
      </w:pPr>
    </w:p>
    <w:p w14:paraId="588583AA">
      <w:pPr>
        <w:widowControl/>
        <w:jc w:val="both"/>
        <w:rPr>
          <w:rFonts w:hint="eastAsia" w:ascii="Times New Roman" w:hAnsi="Times New Roman" w:eastAsia="黑体"/>
          <w:color w:val="auto"/>
          <w:sz w:val="48"/>
          <w:szCs w:val="48"/>
          <w:highlight w:val="none"/>
        </w:rPr>
      </w:pPr>
    </w:p>
    <w:p w14:paraId="6993771A">
      <w:pPr>
        <w:widowControl/>
        <w:jc w:val="both"/>
        <w:rPr>
          <w:rFonts w:hint="eastAsia" w:ascii="Times New Roman" w:hAnsi="Times New Roman" w:eastAsia="黑体"/>
          <w:color w:val="auto"/>
          <w:sz w:val="48"/>
          <w:szCs w:val="48"/>
          <w:highlight w:val="none"/>
        </w:rPr>
      </w:pPr>
    </w:p>
    <w:p w14:paraId="1202371B">
      <w:pPr>
        <w:widowControl/>
        <w:jc w:val="both"/>
        <w:rPr>
          <w:rFonts w:hint="eastAsia" w:ascii="Times New Roman" w:hAnsi="Times New Roman" w:eastAsia="黑体"/>
          <w:color w:val="auto"/>
          <w:sz w:val="48"/>
          <w:szCs w:val="48"/>
          <w:highlight w:val="none"/>
        </w:rPr>
      </w:pPr>
    </w:p>
    <w:p w14:paraId="51B133CB">
      <w:pPr>
        <w:widowControl/>
        <w:jc w:val="both"/>
        <w:rPr>
          <w:rFonts w:hint="eastAsia" w:ascii="Times New Roman" w:hAnsi="Times New Roman" w:eastAsia="黑体"/>
          <w:color w:val="auto"/>
          <w:sz w:val="48"/>
          <w:szCs w:val="48"/>
          <w:highlight w:val="none"/>
        </w:rPr>
      </w:pPr>
    </w:p>
    <w:p w14:paraId="5A54B34B">
      <w:pPr>
        <w:widowControl/>
        <w:ind w:firstLine="3360" w:firstLineChars="700"/>
        <w:jc w:val="both"/>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w:t>
      </w:r>
      <w:r>
        <w:rPr>
          <w:rFonts w:hint="eastAsia" w:eastAsia="黑体"/>
          <w:color w:val="auto"/>
          <w:sz w:val="48"/>
          <w:szCs w:val="48"/>
          <w:highlight w:val="none"/>
          <w:lang w:val="en-US" w:eastAsia="zh-CN"/>
        </w:rPr>
        <w:t xml:space="preserve">   </w:t>
      </w:r>
      <w:r>
        <w:rPr>
          <w:rFonts w:hint="eastAsia" w:ascii="Times New Roman" w:hAnsi="Times New Roman" w:eastAsia="黑体"/>
          <w:color w:val="auto"/>
          <w:sz w:val="48"/>
          <w:szCs w:val="48"/>
          <w:highlight w:val="none"/>
        </w:rPr>
        <w:t>录</w:t>
      </w:r>
    </w:p>
    <w:p w14:paraId="5843CAA1">
      <w:pPr>
        <w:widowControl/>
        <w:jc w:val="center"/>
        <w:rPr>
          <w:rFonts w:ascii="Times New Roman" w:hAnsi="Times New Roman" w:eastAsia="黑体" w:cstheme="minorBidi"/>
          <w:color w:val="auto"/>
          <w:sz w:val="28"/>
          <w:szCs w:val="28"/>
          <w:highlight w:val="none"/>
        </w:rPr>
      </w:pPr>
    </w:p>
    <w:p w14:paraId="53550318">
      <w:pPr>
        <w:pStyle w:val="13"/>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 10 </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 17 </w:t>
      </w:r>
      <w:r>
        <w:rPr>
          <w:rFonts w:hint="eastAsia" w:ascii="Times New Roman" w:hAnsi="Times New Roman" w:eastAsia="仿宋_GB2312" w:cs="仿宋_GB2312"/>
          <w:color w:val="auto"/>
          <w:sz w:val="32"/>
          <w:szCs w:val="32"/>
          <w:highlight w:val="none"/>
        </w:rPr>
        <w:t>日</w:t>
      </w:r>
    </w:p>
    <w:p w14:paraId="161F4F67">
      <w:pPr>
        <w:rPr>
          <w:rFonts w:ascii="Times New Roman" w:hAnsi="Times New Roman"/>
          <w:color w:val="auto"/>
          <w:highlight w:val="none"/>
        </w:rPr>
      </w:pPr>
    </w:p>
    <w:p w14:paraId="30FD5D75">
      <w:pPr>
        <w:pStyle w:val="13"/>
        <w:keepNext w:val="0"/>
        <w:keepLines w:val="0"/>
        <w:pageBreakBefore w:val="0"/>
        <w:widowControl w:val="0"/>
        <w:tabs>
          <w:tab w:val="right" w:leader="hyphen" w:pos="8190"/>
        </w:tabs>
        <w:kinsoku/>
        <w:wordWrap/>
        <w:overflowPunct/>
        <w:topLinePunct w:val="0"/>
        <w:autoSpaceDE/>
        <w:autoSpaceDN/>
        <w:bidi w:val="0"/>
        <w:adjustRightInd w:val="0"/>
        <w:snapToGrid w:val="0"/>
        <w:spacing w:before="0" w:line="560" w:lineRule="exact"/>
        <w:ind w:firstLine="640" w:firstLineChars="200"/>
        <w:jc w:val="left"/>
        <w:textAlignment w:val="auto"/>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第一部分 部门概况</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w:t>
      </w:r>
    </w:p>
    <w:p w14:paraId="4A8F32D7">
      <w:pPr>
        <w:pStyle w:val="15"/>
        <w:keepNext w:val="0"/>
        <w:keepLines w:val="0"/>
        <w:pageBreakBefore w:val="0"/>
        <w:widowControl w:val="0"/>
        <w:tabs>
          <w:tab w:val="right" w:leader="hyphen" w:pos="819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w:t>
      </w:r>
    </w:p>
    <w:p w14:paraId="6A89CF4B">
      <w:pPr>
        <w:pStyle w:val="15"/>
        <w:keepNext w:val="0"/>
        <w:keepLines w:val="0"/>
        <w:pageBreakBefore w:val="0"/>
        <w:widowControl w:val="0"/>
        <w:tabs>
          <w:tab w:val="right" w:leader="hyphen" w:pos="819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二、机构设置</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2</w:t>
      </w:r>
    </w:p>
    <w:p w14:paraId="65D6AD0C">
      <w:pPr>
        <w:pStyle w:val="13"/>
        <w:keepNext w:val="0"/>
        <w:keepLines w:val="0"/>
        <w:pageBreakBefore w:val="0"/>
        <w:widowControl w:val="0"/>
        <w:tabs>
          <w:tab w:val="right" w:leader="hyphen" w:pos="8190"/>
        </w:tabs>
        <w:kinsoku/>
        <w:wordWrap/>
        <w:overflowPunct/>
        <w:topLinePunct w:val="0"/>
        <w:autoSpaceDE/>
        <w:autoSpaceDN/>
        <w:bidi w:val="0"/>
        <w:adjustRightInd w:val="0"/>
        <w:snapToGrid w:val="0"/>
        <w:spacing w:before="0" w:line="560" w:lineRule="exact"/>
        <w:ind w:firstLine="640" w:firstLineChars="200"/>
        <w:jc w:val="left"/>
        <w:textAlignment w:val="auto"/>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3</w:t>
      </w:r>
    </w:p>
    <w:p w14:paraId="12096A20">
      <w:pPr>
        <w:pStyle w:val="15"/>
        <w:keepNext w:val="0"/>
        <w:keepLines w:val="0"/>
        <w:pageBreakBefore w:val="0"/>
        <w:widowControl w:val="0"/>
        <w:tabs>
          <w:tab w:val="right" w:leader="hyphen" w:pos="819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一、收入支出决算总体情况说明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w:t>
      </w:r>
    </w:p>
    <w:p w14:paraId="192FDFFC">
      <w:pPr>
        <w:pStyle w:val="15"/>
        <w:keepNext w:val="0"/>
        <w:keepLines w:val="0"/>
        <w:pageBreakBefore w:val="0"/>
        <w:widowControl w:val="0"/>
        <w:tabs>
          <w:tab w:val="right" w:leader="hyphen" w:pos="819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w:t>
      </w:r>
    </w:p>
    <w:p w14:paraId="63F5452A">
      <w:pPr>
        <w:pStyle w:val="15"/>
        <w:keepNext w:val="0"/>
        <w:keepLines w:val="0"/>
        <w:pageBreakBefore w:val="0"/>
        <w:widowControl w:val="0"/>
        <w:tabs>
          <w:tab w:val="right" w:leader="hyphen" w:pos="819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w:t>
      </w:r>
    </w:p>
    <w:p w14:paraId="28611ECC">
      <w:pPr>
        <w:pStyle w:val="15"/>
        <w:keepNext w:val="0"/>
        <w:keepLines w:val="0"/>
        <w:pageBreakBefore w:val="0"/>
        <w:widowControl w:val="0"/>
        <w:tabs>
          <w:tab w:val="right" w:leader="hyphen" w:pos="819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w:t>
      </w:r>
    </w:p>
    <w:p w14:paraId="4A327A5A">
      <w:pPr>
        <w:pStyle w:val="15"/>
        <w:keepNext w:val="0"/>
        <w:keepLines w:val="0"/>
        <w:pageBreakBefore w:val="0"/>
        <w:widowControl w:val="0"/>
        <w:tabs>
          <w:tab w:val="right" w:leader="hyphen" w:pos="819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5</w:t>
      </w:r>
    </w:p>
    <w:p w14:paraId="513B7866">
      <w:pPr>
        <w:pStyle w:val="15"/>
        <w:keepNext w:val="0"/>
        <w:keepLines w:val="0"/>
        <w:pageBreakBefore w:val="0"/>
        <w:widowControl w:val="0"/>
        <w:tabs>
          <w:tab w:val="right" w:leader="hyphen" w:pos="819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7</w:t>
      </w:r>
    </w:p>
    <w:p w14:paraId="65670137">
      <w:pPr>
        <w:pStyle w:val="15"/>
        <w:keepNext w:val="0"/>
        <w:keepLines w:val="0"/>
        <w:pageBreakBefore w:val="0"/>
        <w:widowControl w:val="0"/>
        <w:tabs>
          <w:tab w:val="right" w:leader="hyphen" w:pos="819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8</w:t>
      </w:r>
    </w:p>
    <w:p w14:paraId="439CEAC5">
      <w:pPr>
        <w:pStyle w:val="15"/>
        <w:keepNext w:val="0"/>
        <w:keepLines w:val="0"/>
        <w:pageBreakBefore w:val="0"/>
        <w:widowControl w:val="0"/>
        <w:tabs>
          <w:tab w:val="right" w:leader="hyphen" w:pos="819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八、政府性基金预算支出决算情况说明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10</w:t>
      </w:r>
    </w:p>
    <w:p w14:paraId="043CFF5C">
      <w:pPr>
        <w:pStyle w:val="15"/>
        <w:keepNext w:val="0"/>
        <w:keepLines w:val="0"/>
        <w:pageBreakBefore w:val="0"/>
        <w:widowControl w:val="0"/>
        <w:tabs>
          <w:tab w:val="right" w:leader="hyphen" w:pos="819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10</w:t>
      </w:r>
    </w:p>
    <w:p w14:paraId="086E11AF">
      <w:pPr>
        <w:pStyle w:val="15"/>
        <w:keepNext w:val="0"/>
        <w:keepLines w:val="0"/>
        <w:pageBreakBefore w:val="0"/>
        <w:widowControl w:val="0"/>
        <w:tabs>
          <w:tab w:val="right" w:leader="hyphen" w:pos="819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10</w:t>
      </w:r>
    </w:p>
    <w:p w14:paraId="3196C8EF">
      <w:pPr>
        <w:pStyle w:val="13"/>
        <w:keepNext w:val="0"/>
        <w:keepLines w:val="0"/>
        <w:pageBreakBefore w:val="0"/>
        <w:widowControl w:val="0"/>
        <w:tabs>
          <w:tab w:val="right" w:leader="hyphen" w:pos="8190"/>
        </w:tabs>
        <w:kinsoku/>
        <w:wordWrap/>
        <w:overflowPunct/>
        <w:topLinePunct w:val="0"/>
        <w:autoSpaceDE/>
        <w:autoSpaceDN/>
        <w:bidi w:val="0"/>
        <w:adjustRightInd w:val="0"/>
        <w:snapToGrid w:val="0"/>
        <w:spacing w:before="0" w:line="560" w:lineRule="exact"/>
        <w:ind w:firstLine="640" w:firstLineChars="200"/>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第三部分 名词解释</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12</w:t>
      </w:r>
    </w:p>
    <w:p w14:paraId="487FB558">
      <w:pPr>
        <w:pStyle w:val="13"/>
        <w:keepNext w:val="0"/>
        <w:keepLines w:val="0"/>
        <w:pageBreakBefore w:val="0"/>
        <w:widowControl w:val="0"/>
        <w:tabs>
          <w:tab w:val="right" w:leader="hyphen" w:pos="8190"/>
        </w:tabs>
        <w:kinsoku/>
        <w:wordWrap/>
        <w:overflowPunct/>
        <w:topLinePunct w:val="0"/>
        <w:autoSpaceDE/>
        <w:autoSpaceDN/>
        <w:bidi w:val="0"/>
        <w:adjustRightInd w:val="0"/>
        <w:snapToGrid w:val="0"/>
        <w:spacing w:before="0" w:line="560" w:lineRule="exact"/>
        <w:ind w:firstLine="640" w:firstLineChars="200"/>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第四部分 附件</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15</w:t>
      </w:r>
    </w:p>
    <w:p w14:paraId="19A27ED7">
      <w:pPr>
        <w:pStyle w:val="13"/>
        <w:keepNext w:val="0"/>
        <w:keepLines w:val="0"/>
        <w:pageBreakBefore w:val="0"/>
        <w:widowControl w:val="0"/>
        <w:tabs>
          <w:tab w:val="right" w:leader="hyphen" w:pos="8190"/>
        </w:tabs>
        <w:kinsoku/>
        <w:wordWrap/>
        <w:overflowPunct/>
        <w:topLinePunct w:val="0"/>
        <w:autoSpaceDE/>
        <w:autoSpaceDN/>
        <w:bidi w:val="0"/>
        <w:adjustRightInd w:val="0"/>
        <w:snapToGrid w:val="0"/>
        <w:spacing w:before="0" w:line="560" w:lineRule="exact"/>
        <w:ind w:firstLine="640" w:firstLineChars="200"/>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第五部分 附表</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32</w:t>
      </w:r>
    </w:p>
    <w:p w14:paraId="71029661">
      <w:pPr>
        <w:pStyle w:val="15"/>
        <w:keepNext w:val="0"/>
        <w:keepLines w:val="0"/>
        <w:pageBreakBefore w:val="0"/>
        <w:widowControl w:val="0"/>
        <w:tabs>
          <w:tab w:val="right" w:leader="hyphen" w:pos="819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p>
    <w:p w14:paraId="1AB3710A">
      <w:pPr>
        <w:pStyle w:val="15"/>
        <w:keepNext w:val="0"/>
        <w:keepLines w:val="0"/>
        <w:pageBreakBefore w:val="0"/>
        <w:widowControl w:val="0"/>
        <w:tabs>
          <w:tab w:val="right" w:leader="hyphen" w:pos="819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二、收入决算表</w:t>
      </w:r>
    </w:p>
    <w:p w14:paraId="0B5098EE">
      <w:pPr>
        <w:pStyle w:val="15"/>
        <w:keepNext w:val="0"/>
        <w:keepLines w:val="0"/>
        <w:pageBreakBefore w:val="0"/>
        <w:widowControl w:val="0"/>
        <w:tabs>
          <w:tab w:val="right" w:leader="hyphen" w:pos="819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三、支出决算表</w:t>
      </w:r>
    </w:p>
    <w:p w14:paraId="5F124275">
      <w:pPr>
        <w:pStyle w:val="15"/>
        <w:keepNext w:val="0"/>
        <w:keepLines w:val="0"/>
        <w:pageBreakBefore w:val="0"/>
        <w:widowControl w:val="0"/>
        <w:tabs>
          <w:tab w:val="right" w:leader="hyphen" w:pos="819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四、财政拨款收入支出决算总表</w:t>
      </w:r>
    </w:p>
    <w:p w14:paraId="6554815B">
      <w:pPr>
        <w:pStyle w:val="15"/>
        <w:keepNext w:val="0"/>
        <w:keepLines w:val="0"/>
        <w:pageBreakBefore w:val="0"/>
        <w:widowControl w:val="0"/>
        <w:tabs>
          <w:tab w:val="right" w:leader="hyphen" w:pos="819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五、财政拨款支出决算明细表</w:t>
      </w:r>
    </w:p>
    <w:p w14:paraId="5C3AEA05">
      <w:pPr>
        <w:pStyle w:val="15"/>
        <w:keepNext w:val="0"/>
        <w:keepLines w:val="0"/>
        <w:pageBreakBefore w:val="0"/>
        <w:widowControl w:val="0"/>
        <w:tabs>
          <w:tab w:val="right" w:leader="hyphen" w:pos="819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p>
    <w:p w14:paraId="409B7291">
      <w:pPr>
        <w:pStyle w:val="15"/>
        <w:keepNext w:val="0"/>
        <w:keepLines w:val="0"/>
        <w:pageBreakBefore w:val="0"/>
        <w:widowControl w:val="0"/>
        <w:tabs>
          <w:tab w:val="right" w:leader="hyphen" w:pos="819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七、一般公共预算财政拨款支出决算明细表</w:t>
      </w:r>
    </w:p>
    <w:p w14:paraId="5E31A2FB">
      <w:pPr>
        <w:pStyle w:val="15"/>
        <w:keepNext w:val="0"/>
        <w:keepLines w:val="0"/>
        <w:pageBreakBefore w:val="0"/>
        <w:widowControl w:val="0"/>
        <w:tabs>
          <w:tab w:val="right" w:leader="hyphen" w:pos="819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p>
    <w:p w14:paraId="085C6F15">
      <w:pPr>
        <w:pStyle w:val="15"/>
        <w:keepNext w:val="0"/>
        <w:keepLines w:val="0"/>
        <w:pageBreakBefore w:val="0"/>
        <w:widowControl w:val="0"/>
        <w:tabs>
          <w:tab w:val="right" w:leader="hyphen" w:pos="819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九、一般公共预算财政拨款项目支出决算表</w:t>
      </w:r>
    </w:p>
    <w:p w14:paraId="44834874">
      <w:pPr>
        <w:pStyle w:val="15"/>
        <w:keepNext w:val="0"/>
        <w:keepLines w:val="0"/>
        <w:pageBreakBefore w:val="0"/>
        <w:widowControl w:val="0"/>
        <w:tabs>
          <w:tab w:val="right" w:leader="hyphen" w:pos="819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十、政府性基金预算财政拨款收入支出决算表</w:t>
      </w:r>
    </w:p>
    <w:p w14:paraId="7E9E6BC0">
      <w:pPr>
        <w:pStyle w:val="15"/>
        <w:keepNext w:val="0"/>
        <w:keepLines w:val="0"/>
        <w:pageBreakBefore w:val="0"/>
        <w:widowControl w:val="0"/>
        <w:tabs>
          <w:tab w:val="right" w:leader="hyphen" w:pos="819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十一、国有资本经营预算财政拨款收入支出决算表</w:t>
      </w:r>
    </w:p>
    <w:p w14:paraId="1AB6AB27">
      <w:pPr>
        <w:pStyle w:val="15"/>
        <w:keepNext w:val="0"/>
        <w:keepLines w:val="0"/>
        <w:pageBreakBefore w:val="0"/>
        <w:widowControl w:val="0"/>
        <w:tabs>
          <w:tab w:val="right" w:leader="hyphen" w:pos="819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p>
    <w:p w14:paraId="4C836EF1">
      <w:pPr>
        <w:pStyle w:val="15"/>
        <w:keepNext w:val="0"/>
        <w:keepLines w:val="0"/>
        <w:pageBreakBefore w:val="0"/>
        <w:widowControl w:val="0"/>
        <w:tabs>
          <w:tab w:val="right" w:leader="hyphen" w:pos="819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十三、财政拨款“三公”经费支出决算表</w:t>
      </w:r>
    </w:p>
    <w:p w14:paraId="2BD2848A">
      <w:pPr>
        <w:pStyle w:val="15"/>
        <w:keepNext w:val="0"/>
        <w:keepLines w:val="0"/>
        <w:pageBreakBefore w:val="0"/>
        <w:widowControl w:val="0"/>
        <w:tabs>
          <w:tab w:val="right" w:leader="hyphen" w:pos="8190"/>
        </w:tabs>
        <w:kinsoku/>
        <w:wordWrap/>
        <w:overflowPunct/>
        <w:topLinePunct w:val="0"/>
        <w:autoSpaceDE/>
        <w:autoSpaceDN/>
        <w:bidi w:val="0"/>
        <w:adjustRightInd w:val="0"/>
        <w:snapToGrid w:val="0"/>
        <w:spacing w:line="560" w:lineRule="exact"/>
        <w:ind w:left="0" w:leftChars="0" w:firstLine="643" w:firstLineChars="200"/>
        <w:jc w:val="left"/>
        <w:textAlignment w:val="auto"/>
        <w:rPr>
          <w:rFonts w:hint="eastAsia" w:ascii="Times New Roman" w:hAnsi="Times New Roman" w:eastAsia="仿宋_GB2312" w:cs="仿宋_GB2312"/>
          <w:b/>
          <w:bCs/>
          <w:color w:val="auto"/>
          <w:sz w:val="32"/>
          <w:szCs w:val="32"/>
          <w:highlight w:val="none"/>
          <w:lang w:eastAsia="zh-CN"/>
        </w:rPr>
      </w:pPr>
      <w:r>
        <w:rPr>
          <w:rFonts w:hint="eastAsia" w:ascii="Times New Roman" w:hAnsi="Times New Roman" w:eastAsia="仿宋_GB2312" w:cs="仿宋_GB2312"/>
          <w:b/>
          <w:bCs/>
          <w:color w:val="auto"/>
          <w:sz w:val="32"/>
          <w:szCs w:val="32"/>
          <w:highlight w:val="none"/>
          <w:lang w:eastAsia="zh-CN"/>
        </w:rPr>
        <w:t>（</w:t>
      </w:r>
      <w:r>
        <w:rPr>
          <w:rFonts w:hint="eastAsia" w:ascii="Times New Roman" w:hAnsi="Times New Roman" w:eastAsia="仿宋_GB2312" w:cs="仿宋_GB2312"/>
          <w:b/>
          <w:bCs/>
          <w:color w:val="auto"/>
          <w:sz w:val="32"/>
          <w:szCs w:val="32"/>
          <w:highlight w:val="none"/>
        </w:rPr>
        <w:t>注：请部门根据实际注明页码</w:t>
      </w:r>
      <w:r>
        <w:rPr>
          <w:rFonts w:hint="eastAsia" w:ascii="Times New Roman" w:hAnsi="Times New Roman" w:eastAsia="仿宋_GB2312" w:cs="仿宋_GB2312"/>
          <w:b/>
          <w:bCs/>
          <w:color w:val="auto"/>
          <w:sz w:val="32"/>
          <w:szCs w:val="32"/>
          <w:highlight w:val="none"/>
          <w:lang w:eastAsia="zh-CN"/>
        </w:rPr>
        <w:t>）</w:t>
      </w:r>
    </w:p>
    <w:p w14:paraId="614E4796">
      <w:pPr>
        <w:pStyle w:val="3"/>
        <w:jc w:val="center"/>
        <w:rPr>
          <w:rFonts w:hint="eastAsia" w:ascii="Times New Roman" w:hAnsi="Times New Roman" w:eastAsia="方正小标宋简体" w:cs="方正小标宋简体"/>
          <w:b w:val="0"/>
          <w:color w:val="auto"/>
          <w:highlight w:val="none"/>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bookmarkStart w:id="12" w:name="_Toc15377196"/>
      <w:bookmarkStart w:id="13" w:name="_Toc15396599"/>
    </w:p>
    <w:p w14:paraId="247DDD8D">
      <w:pPr>
        <w:pStyle w:val="3"/>
        <w:jc w:val="center"/>
        <w:rPr>
          <w:rFonts w:ascii="Times New Roman" w:hAnsi="Times New Roman" w:eastAsia="黑体"/>
          <w:color w:val="auto"/>
          <w:sz w:val="32"/>
          <w:szCs w:val="32"/>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9"/>
          <w:rFonts w:hint="eastAsia" w:ascii="Times New Roman" w:hAnsi="Times New Roman" w:eastAsia="方正小标宋简体" w:cs="方正小标宋简体"/>
          <w:b w:val="0"/>
          <w:bCs w:val="0"/>
          <w:color w:val="auto"/>
          <w:highlight w:val="none"/>
        </w:rPr>
        <w:t>部门概况</w:t>
      </w:r>
      <w:bookmarkEnd w:id="12"/>
      <w:bookmarkEnd w:id="13"/>
    </w:p>
    <w:p w14:paraId="7CAD931C">
      <w:pPr>
        <w:pStyle w:val="4"/>
        <w:pageBreakBefore w:val="0"/>
        <w:widowControl w:val="0"/>
        <w:numPr>
          <w:ilvl w:val="0"/>
          <w:numId w:val="0"/>
        </w:numPr>
        <w:kinsoku/>
        <w:wordWrap/>
        <w:overflowPunct/>
        <w:topLinePunct w:val="0"/>
        <w:autoSpaceDE/>
        <w:autoSpaceDN/>
        <w:bidi w:val="0"/>
        <w:adjustRightInd/>
        <w:spacing w:before="0" w:after="0" w:line="600" w:lineRule="exact"/>
        <w:ind w:firstLine="640" w:firstLineChars="200"/>
        <w:textAlignment w:val="auto"/>
        <w:rPr>
          <w:rFonts w:hint="eastAsia" w:ascii="Times New Roman" w:hAnsi="Times New Roman" w:eastAsia="黑体"/>
          <w:b w:val="0"/>
          <w:color w:val="auto"/>
          <w:sz w:val="32"/>
          <w:szCs w:val="32"/>
          <w:highlight w:val="none"/>
          <w:lang w:eastAsia="zh-CN"/>
        </w:rPr>
      </w:pPr>
      <w:r>
        <w:rPr>
          <w:rFonts w:hint="eastAsia" w:ascii="Times New Roman" w:hAnsi="Times New Roman" w:eastAsia="黑体" w:cstheme="majorBidi"/>
          <w:b w:val="0"/>
          <w:bCs/>
          <w:color w:val="auto"/>
          <w:kern w:val="2"/>
          <w:sz w:val="32"/>
          <w:szCs w:val="32"/>
          <w:lang w:val="en-US" w:eastAsia="zh-CN" w:bidi="ar-SA"/>
        </w:rPr>
        <w:t>一、</w:t>
      </w:r>
      <w:r>
        <w:rPr>
          <w:rFonts w:hint="eastAsia" w:ascii="Times New Roman" w:hAnsi="Times New Roman" w:eastAsia="黑体"/>
          <w:b w:val="0"/>
          <w:color w:val="auto"/>
          <w:sz w:val="32"/>
          <w:szCs w:val="32"/>
          <w:highlight w:val="none"/>
          <w:lang w:eastAsia="zh-CN"/>
        </w:rPr>
        <w:t>部门职责</w:t>
      </w:r>
    </w:p>
    <w:p w14:paraId="0ED6D0DD">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楷体_GB2312" w:hAnsi="楷体_GB2312" w:eastAsia="楷体_GB2312" w:cs="楷体_GB2312"/>
          <w:color w:val="auto"/>
          <w:sz w:val="32"/>
          <w:szCs w:val="32"/>
          <w:lang w:val="en-US" w:eastAsia="zh-CN"/>
        </w:rPr>
      </w:pPr>
      <w:bookmarkStart w:id="14" w:name="_Toc15378445"/>
      <w:bookmarkStart w:id="15" w:name="_Toc15377198"/>
      <w:r>
        <w:rPr>
          <w:rFonts w:hint="eastAsia" w:ascii="楷体_GB2312" w:hAnsi="楷体_GB2312" w:eastAsia="楷体_GB2312" w:cs="楷体_GB2312"/>
          <w:color w:val="auto"/>
          <w:sz w:val="32"/>
          <w:szCs w:val="32"/>
          <w:lang w:val="en-US" w:eastAsia="zh-CN"/>
        </w:rPr>
        <w:t>（一）主要职能</w:t>
      </w:r>
    </w:p>
    <w:p w14:paraId="29B8D4FD">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1.拟定相关的规范性文件，组织实施市级统筹医疗保险、生育保险、医疗救助等医疗保障方面的政策和监督检查。</w:t>
      </w:r>
    </w:p>
    <w:p w14:paraId="53092CAB">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2.组织制定并实施医疗保障基金监督管理制度，建立健全医疗保障基金安全防控机制，监督强化全县医疗保障基金的运行管理。</w:t>
      </w:r>
    </w:p>
    <w:p w14:paraId="35B44586">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3.组织执行省、市城乡统一的药品、医用耗材、医疗服务项目、医疗服务设施等医疗保障目录和支付标准，监督管理全县药品、医用耗材的招标采购政策的实施。</w:t>
      </w:r>
    </w:p>
    <w:p w14:paraId="0EADFDAF">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4.组织实施药品、医用耗材价格和医疗服务项目、医疗服务设施收费等政策，建立价格信息监测和信息发布制度。</w:t>
      </w:r>
    </w:p>
    <w:p w14:paraId="4C7F0243">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推进医疗保障基金支付方式改革，拟定全县定点医药机构协议和支付管理办法并组织实施，指导全县医疗保障定点机构管理。建立健全医疗保障信用评价体系和信息披露制度，监督管理纳入医疗保障范围内的医疗服务行为和医疗费用，依法查处医疗保障领域违法违规行为。</w:t>
      </w:r>
    </w:p>
    <w:p w14:paraId="517D5DFB">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6.负责全县医疗保障经办管理和公共服务体系建设。组织实施异地就医管理和费用结算政策。建立健全医疗保障关系转移接续制度，拟定全民参保计划，推进医疗、生育保险费征收管理，监督管理全县医保经办服务工作。开展医疗保障领域对外合作交流。</w:t>
      </w:r>
    </w:p>
    <w:p w14:paraId="114587F1">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7.负责规划实施全县医疗保障信息化建设。组织开展医疗保障大数据管理和应用。</w:t>
      </w:r>
    </w:p>
    <w:p w14:paraId="36095E38">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8.负责职责范围内的安全生产和职业健康、生态环境保护、服务便民化等工作。</w:t>
      </w:r>
    </w:p>
    <w:p w14:paraId="4CA1D6CC">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9.与县卫生健康局的职责分工。两部门在医疗、医保、医药等方面加强制度、政策衔接，建立沟通协商机制，协同推进改革，提高医疗资源使用效率和医疗保障水平。</w:t>
      </w:r>
    </w:p>
    <w:p w14:paraId="398015CD">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sz w:val="32"/>
          <w:szCs w:val="32"/>
          <w:lang w:eastAsia="zh-CN"/>
        </w:rPr>
      </w:pPr>
      <w:r>
        <w:rPr>
          <w:rFonts w:hint="eastAsia" w:ascii="仿宋" w:hAnsi="仿宋" w:eastAsia="仿宋" w:cs="仿宋"/>
          <w:color w:val="auto"/>
          <w:sz w:val="32"/>
          <w:szCs w:val="32"/>
          <w:lang w:val="en-US" w:eastAsia="zh-CN"/>
        </w:rPr>
        <w:t>10.完成县委、县政府交办的其他工作。</w:t>
      </w:r>
      <w:bookmarkEnd w:id="14"/>
      <w:bookmarkEnd w:id="15"/>
    </w:p>
    <w:p w14:paraId="0CB26D46">
      <w:pPr>
        <w:pStyle w:val="4"/>
        <w:pageBreakBefore w:val="0"/>
        <w:widowControl w:val="0"/>
        <w:kinsoku/>
        <w:wordWrap/>
        <w:overflowPunct/>
        <w:topLinePunct w:val="0"/>
        <w:autoSpaceDE/>
        <w:autoSpaceDN/>
        <w:bidi w:val="0"/>
        <w:adjustRightInd/>
        <w:spacing w:before="0" w:after="0" w:line="600" w:lineRule="exact"/>
        <w:ind w:firstLine="640" w:firstLineChars="200"/>
        <w:textAlignment w:val="auto"/>
        <w:rPr>
          <w:rStyle w:val="30"/>
          <w:rFonts w:ascii="Times New Roman" w:hAnsi="Times New Roman"/>
          <w:b w:val="0"/>
          <w:bCs w:val="0"/>
          <w:color w:val="auto"/>
          <w:sz w:val="32"/>
          <w:szCs w:val="32"/>
          <w:highlight w:val="none"/>
        </w:rPr>
      </w:pPr>
      <w:bookmarkStart w:id="16" w:name="_Toc15377200"/>
      <w:bookmarkStart w:id="17" w:name="_Toc15396601"/>
      <w:r>
        <w:rPr>
          <w:rFonts w:hint="eastAsia" w:ascii="Times New Roman" w:hAnsi="Times New Roman" w:eastAsia="黑体"/>
          <w:b w:val="0"/>
          <w:color w:val="auto"/>
          <w:sz w:val="32"/>
          <w:szCs w:val="32"/>
          <w:highlight w:val="none"/>
        </w:rPr>
        <w:t>二、机</w:t>
      </w:r>
      <w:r>
        <w:rPr>
          <w:rStyle w:val="30"/>
          <w:rFonts w:hint="eastAsia" w:ascii="Times New Roman" w:hAnsi="Times New Roman" w:eastAsia="黑体"/>
          <w:b w:val="0"/>
          <w:bCs w:val="0"/>
          <w:color w:val="auto"/>
          <w:sz w:val="32"/>
          <w:szCs w:val="32"/>
          <w:highlight w:val="none"/>
        </w:rPr>
        <w:t>构设置</w:t>
      </w:r>
      <w:bookmarkEnd w:id="16"/>
      <w:bookmarkEnd w:id="17"/>
    </w:p>
    <w:p w14:paraId="59F49664">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 w:hAnsi="仿宋" w:eastAsia="仿宋"/>
          <w:sz w:val="32"/>
          <w:szCs w:val="32"/>
          <w:lang w:val="en-US" w:eastAsia="zh-CN"/>
        </w:rPr>
      </w:pPr>
      <w:r>
        <w:rPr>
          <w:rFonts w:hint="eastAsia" w:ascii="仿宋_GB2312" w:hAnsi="仿宋_GB2312" w:eastAsia="仿宋_GB2312" w:cs="仿宋_GB2312"/>
          <w:color w:val="auto"/>
          <w:sz w:val="32"/>
          <w:szCs w:val="32"/>
          <w:highlight w:val="none"/>
          <w:lang w:eastAsia="zh-CN"/>
        </w:rPr>
        <w:t>峨边彝族自治县</w:t>
      </w:r>
      <w:r>
        <w:rPr>
          <w:rFonts w:hint="eastAsia" w:ascii="仿宋" w:hAnsi="仿宋" w:eastAsia="仿宋"/>
          <w:sz w:val="32"/>
          <w:szCs w:val="32"/>
          <w:lang w:eastAsia="zh-CN"/>
        </w:rPr>
        <w:t>医疗保障局</w:t>
      </w:r>
      <w:r>
        <w:rPr>
          <w:rFonts w:hint="eastAsia" w:ascii="仿宋" w:hAnsi="仿宋" w:eastAsia="仿宋"/>
          <w:sz w:val="32"/>
          <w:szCs w:val="32"/>
        </w:rPr>
        <w:t>下属二级单位</w:t>
      </w:r>
      <w:r>
        <w:rPr>
          <w:rFonts w:hint="eastAsia" w:ascii="仿宋" w:hAnsi="仿宋" w:eastAsia="仿宋"/>
          <w:sz w:val="32"/>
          <w:szCs w:val="32"/>
          <w:lang w:val="en-US" w:eastAsia="zh-CN"/>
        </w:rPr>
        <w:t>0</w:t>
      </w:r>
      <w:r>
        <w:rPr>
          <w:rFonts w:hint="eastAsia" w:ascii="仿宋" w:hAnsi="仿宋" w:eastAsia="仿宋"/>
          <w:sz w:val="32"/>
          <w:szCs w:val="32"/>
        </w:rPr>
        <w:t>个，其中行政单位</w:t>
      </w:r>
      <w:r>
        <w:rPr>
          <w:rFonts w:hint="eastAsia" w:ascii="仿宋" w:hAnsi="仿宋" w:eastAsia="仿宋"/>
          <w:sz w:val="32"/>
          <w:szCs w:val="32"/>
          <w:lang w:val="en-US" w:eastAsia="zh-CN"/>
        </w:rPr>
        <w:t>0</w:t>
      </w:r>
      <w:r>
        <w:rPr>
          <w:rFonts w:hint="eastAsia" w:ascii="仿宋" w:hAnsi="仿宋" w:eastAsia="仿宋"/>
          <w:sz w:val="32"/>
          <w:szCs w:val="32"/>
        </w:rPr>
        <w:t>个，参照公务员法管理的事业单位</w:t>
      </w:r>
      <w:r>
        <w:rPr>
          <w:rFonts w:hint="eastAsia" w:ascii="仿宋" w:hAnsi="仿宋" w:eastAsia="仿宋"/>
          <w:sz w:val="32"/>
          <w:szCs w:val="32"/>
          <w:lang w:val="en-US" w:eastAsia="zh-CN"/>
        </w:rPr>
        <w:t>0</w:t>
      </w:r>
      <w:r>
        <w:rPr>
          <w:rFonts w:hint="eastAsia" w:ascii="仿宋" w:hAnsi="仿宋" w:eastAsia="仿宋"/>
          <w:sz w:val="32"/>
          <w:szCs w:val="32"/>
        </w:rPr>
        <w:t>个，其他事业单位</w:t>
      </w:r>
      <w:r>
        <w:rPr>
          <w:rFonts w:hint="eastAsia" w:ascii="仿宋" w:hAnsi="仿宋" w:eastAsia="仿宋"/>
          <w:sz w:val="32"/>
          <w:szCs w:val="32"/>
          <w:lang w:val="en-US" w:eastAsia="zh-CN"/>
        </w:rPr>
        <w:t>0</w:t>
      </w:r>
      <w:r>
        <w:rPr>
          <w:rFonts w:hint="eastAsia" w:ascii="仿宋" w:hAnsi="仿宋" w:eastAsia="仿宋"/>
          <w:sz w:val="32"/>
          <w:szCs w:val="32"/>
        </w:rPr>
        <w:t>个。</w:t>
      </w:r>
      <w:r>
        <w:rPr>
          <w:rFonts w:hint="eastAsia" w:ascii="仿宋" w:hAnsi="仿宋" w:eastAsia="仿宋"/>
          <w:sz w:val="32"/>
          <w:szCs w:val="32"/>
          <w:lang w:val="en-US" w:eastAsia="zh-CN"/>
        </w:rPr>
        <w:t xml:space="preserve">  </w:t>
      </w:r>
    </w:p>
    <w:p w14:paraId="0D861EB9">
      <w:pPr>
        <w:pStyle w:val="6"/>
        <w:keepNext w:val="0"/>
        <w:keepLines w:val="0"/>
        <w:pageBreakBefore w:val="0"/>
        <w:widowControl w:val="0"/>
        <w:kinsoku/>
        <w:wordWrap/>
        <w:overflowPunct/>
        <w:topLinePunct w:val="0"/>
        <w:autoSpaceDE/>
        <w:autoSpaceDN/>
        <w:bidi w:val="0"/>
        <w:adjustRightInd/>
        <w:snapToGrid w:val="0"/>
        <w:spacing w:beforeLines="0" w:line="600" w:lineRule="exact"/>
        <w:ind w:firstLine="640" w:firstLineChars="200"/>
        <w:textAlignment w:val="auto"/>
        <w:rPr>
          <w:rFonts w:hint="eastAsia" w:ascii="仿宋" w:hAnsi="仿宋" w:eastAsia="仿宋"/>
          <w:color w:val="auto"/>
          <w:sz w:val="32"/>
          <w:szCs w:val="32"/>
          <w:lang w:val="en-US" w:eastAsia="zh-CN"/>
        </w:rPr>
      </w:pPr>
      <w:r>
        <w:rPr>
          <w:rFonts w:hint="eastAsia" w:ascii="仿宋" w:hAnsi="仿宋" w:eastAsia="仿宋"/>
          <w:color w:val="auto"/>
          <w:sz w:val="32"/>
          <w:szCs w:val="32"/>
        </w:rPr>
        <w:t>纳入</w:t>
      </w:r>
      <w:r>
        <w:rPr>
          <w:rFonts w:hint="eastAsia" w:ascii="仿宋" w:hAnsi="仿宋" w:eastAsia="仿宋"/>
          <w:color w:val="auto"/>
          <w:sz w:val="32"/>
          <w:szCs w:val="32"/>
          <w:lang w:eastAsia="zh-CN"/>
        </w:rPr>
        <w:t>医疗保障局</w:t>
      </w:r>
      <w:r>
        <w:rPr>
          <w:rFonts w:hint="eastAsia" w:ascii="仿宋" w:hAnsi="仿宋" w:eastAsia="仿宋"/>
          <w:color w:val="auto"/>
          <w:sz w:val="32"/>
          <w:szCs w:val="32"/>
        </w:rPr>
        <w:t>20</w:t>
      </w:r>
      <w:r>
        <w:rPr>
          <w:rFonts w:hint="eastAsia" w:ascii="仿宋" w:hAnsi="仿宋" w:eastAsia="仿宋"/>
          <w:color w:val="auto"/>
          <w:sz w:val="32"/>
          <w:szCs w:val="32"/>
          <w:lang w:val="en-US" w:eastAsia="zh-CN"/>
        </w:rPr>
        <w:t>24</w:t>
      </w:r>
      <w:r>
        <w:rPr>
          <w:rFonts w:hint="eastAsia" w:ascii="仿宋" w:hAnsi="仿宋" w:eastAsia="仿宋"/>
          <w:color w:val="auto"/>
          <w:sz w:val="32"/>
          <w:szCs w:val="32"/>
        </w:rPr>
        <w:t>年度部门决算编制范围的二级预算单位包括：</w:t>
      </w:r>
      <w:r>
        <w:rPr>
          <w:rFonts w:hint="eastAsia" w:ascii="仿宋" w:hAnsi="仿宋" w:eastAsia="仿宋"/>
          <w:color w:val="auto"/>
          <w:sz w:val="32"/>
          <w:szCs w:val="32"/>
          <w:lang w:val="en-US" w:eastAsia="zh-CN"/>
        </w:rPr>
        <w:t>0个。</w:t>
      </w:r>
    </w:p>
    <w:p w14:paraId="0EA72E4E">
      <w:pPr>
        <w:pStyle w:val="6"/>
        <w:keepNext w:val="0"/>
        <w:keepLines w:val="0"/>
        <w:pageBreakBefore w:val="0"/>
        <w:widowControl w:val="0"/>
        <w:kinsoku/>
        <w:wordWrap/>
        <w:overflowPunct/>
        <w:topLinePunct w:val="0"/>
        <w:bidi w:val="0"/>
        <w:snapToGrid w:val="0"/>
        <w:spacing w:before="93" w:afterLines="0" w:line="500" w:lineRule="exact"/>
        <w:ind w:firstLine="672" w:firstLineChars="210"/>
        <w:textAlignment w:val="auto"/>
        <w:rPr>
          <w:rFonts w:hint="eastAsia" w:ascii="仿宋" w:hAnsi="仿宋" w:eastAsia="仿宋"/>
          <w:color w:val="auto"/>
          <w:sz w:val="32"/>
          <w:szCs w:val="24"/>
          <w:lang w:val="en-US" w:eastAsia="zh-CN"/>
        </w:rPr>
      </w:pPr>
    </w:p>
    <w:p w14:paraId="2018E274">
      <w:pPr>
        <w:pStyle w:val="6"/>
        <w:keepNext w:val="0"/>
        <w:keepLines w:val="0"/>
        <w:pageBreakBefore w:val="0"/>
        <w:widowControl w:val="0"/>
        <w:kinsoku/>
        <w:wordWrap/>
        <w:overflowPunct/>
        <w:topLinePunct w:val="0"/>
        <w:bidi w:val="0"/>
        <w:snapToGrid w:val="0"/>
        <w:spacing w:before="93" w:afterLines="0" w:line="500" w:lineRule="exact"/>
        <w:ind w:firstLine="672" w:firstLineChars="210"/>
        <w:textAlignment w:val="auto"/>
        <w:rPr>
          <w:rFonts w:hint="eastAsia" w:ascii="仿宋" w:hAnsi="仿宋" w:eastAsia="仿宋"/>
          <w:color w:val="auto"/>
          <w:sz w:val="32"/>
          <w:szCs w:val="24"/>
          <w:lang w:val="en-US" w:eastAsia="zh-CN"/>
        </w:rPr>
      </w:pPr>
    </w:p>
    <w:p w14:paraId="352DB230">
      <w:pPr>
        <w:pStyle w:val="6"/>
        <w:keepNext w:val="0"/>
        <w:keepLines w:val="0"/>
        <w:pageBreakBefore w:val="0"/>
        <w:widowControl w:val="0"/>
        <w:kinsoku/>
        <w:wordWrap/>
        <w:overflowPunct/>
        <w:topLinePunct w:val="0"/>
        <w:bidi w:val="0"/>
        <w:snapToGrid w:val="0"/>
        <w:spacing w:before="93" w:afterLines="0" w:line="500" w:lineRule="exact"/>
        <w:ind w:firstLine="672" w:firstLineChars="210"/>
        <w:textAlignment w:val="auto"/>
        <w:rPr>
          <w:rFonts w:hint="eastAsia" w:ascii="仿宋" w:hAnsi="仿宋" w:eastAsia="仿宋"/>
          <w:color w:val="auto"/>
          <w:sz w:val="32"/>
          <w:szCs w:val="24"/>
          <w:lang w:val="en-US" w:eastAsia="zh-CN"/>
        </w:rPr>
      </w:pPr>
    </w:p>
    <w:p w14:paraId="2DFBED8F">
      <w:pPr>
        <w:pStyle w:val="6"/>
        <w:keepNext w:val="0"/>
        <w:keepLines w:val="0"/>
        <w:pageBreakBefore w:val="0"/>
        <w:widowControl w:val="0"/>
        <w:kinsoku/>
        <w:wordWrap/>
        <w:overflowPunct/>
        <w:topLinePunct w:val="0"/>
        <w:bidi w:val="0"/>
        <w:snapToGrid w:val="0"/>
        <w:spacing w:before="93" w:afterLines="0" w:line="500" w:lineRule="exact"/>
        <w:ind w:firstLine="672" w:firstLineChars="210"/>
        <w:textAlignment w:val="auto"/>
        <w:rPr>
          <w:rFonts w:hint="eastAsia" w:ascii="仿宋" w:hAnsi="仿宋" w:eastAsia="仿宋"/>
          <w:color w:val="auto"/>
          <w:sz w:val="32"/>
          <w:szCs w:val="24"/>
          <w:lang w:val="en-US" w:eastAsia="zh-CN"/>
        </w:rPr>
      </w:pPr>
    </w:p>
    <w:p w14:paraId="484A502F">
      <w:pPr>
        <w:pStyle w:val="6"/>
        <w:keepNext w:val="0"/>
        <w:keepLines w:val="0"/>
        <w:pageBreakBefore w:val="0"/>
        <w:widowControl w:val="0"/>
        <w:kinsoku/>
        <w:wordWrap/>
        <w:overflowPunct/>
        <w:topLinePunct w:val="0"/>
        <w:bidi w:val="0"/>
        <w:snapToGrid w:val="0"/>
        <w:spacing w:before="93" w:afterLines="0" w:line="500" w:lineRule="exact"/>
        <w:ind w:firstLine="672" w:firstLineChars="210"/>
        <w:textAlignment w:val="auto"/>
        <w:rPr>
          <w:rFonts w:hint="eastAsia" w:ascii="仿宋" w:hAnsi="仿宋" w:eastAsia="仿宋"/>
          <w:color w:val="auto"/>
          <w:sz w:val="32"/>
          <w:szCs w:val="24"/>
          <w:lang w:val="en-US" w:eastAsia="zh-CN"/>
        </w:rPr>
      </w:pPr>
    </w:p>
    <w:p w14:paraId="330D39A9">
      <w:pPr>
        <w:pStyle w:val="6"/>
        <w:keepNext w:val="0"/>
        <w:keepLines w:val="0"/>
        <w:pageBreakBefore w:val="0"/>
        <w:widowControl w:val="0"/>
        <w:kinsoku/>
        <w:wordWrap/>
        <w:overflowPunct/>
        <w:topLinePunct w:val="0"/>
        <w:bidi w:val="0"/>
        <w:snapToGrid w:val="0"/>
        <w:spacing w:before="93" w:afterLines="0" w:line="500" w:lineRule="exact"/>
        <w:ind w:firstLine="672" w:firstLineChars="210"/>
        <w:textAlignment w:val="auto"/>
        <w:rPr>
          <w:rFonts w:hint="eastAsia" w:ascii="仿宋" w:hAnsi="仿宋" w:eastAsia="仿宋"/>
          <w:color w:val="auto"/>
          <w:sz w:val="32"/>
          <w:szCs w:val="24"/>
          <w:lang w:val="en-US" w:eastAsia="zh-CN"/>
        </w:rPr>
      </w:pPr>
    </w:p>
    <w:p w14:paraId="4AEC4D39">
      <w:pPr>
        <w:pStyle w:val="6"/>
        <w:keepNext w:val="0"/>
        <w:keepLines w:val="0"/>
        <w:pageBreakBefore w:val="0"/>
        <w:widowControl w:val="0"/>
        <w:kinsoku/>
        <w:wordWrap/>
        <w:overflowPunct/>
        <w:topLinePunct w:val="0"/>
        <w:bidi w:val="0"/>
        <w:snapToGrid w:val="0"/>
        <w:spacing w:before="93" w:afterLines="0" w:line="500" w:lineRule="exact"/>
        <w:ind w:firstLine="672" w:firstLineChars="210"/>
        <w:textAlignment w:val="auto"/>
        <w:rPr>
          <w:rFonts w:hint="eastAsia" w:ascii="仿宋" w:hAnsi="仿宋" w:eastAsia="仿宋"/>
          <w:color w:val="auto"/>
          <w:sz w:val="32"/>
          <w:szCs w:val="24"/>
          <w:lang w:val="en-US" w:eastAsia="zh-CN"/>
        </w:rPr>
      </w:pPr>
    </w:p>
    <w:p w14:paraId="3A8DA326">
      <w:pPr>
        <w:pStyle w:val="6"/>
        <w:keepNext w:val="0"/>
        <w:keepLines w:val="0"/>
        <w:pageBreakBefore w:val="0"/>
        <w:widowControl w:val="0"/>
        <w:kinsoku/>
        <w:wordWrap/>
        <w:overflowPunct/>
        <w:topLinePunct w:val="0"/>
        <w:bidi w:val="0"/>
        <w:snapToGrid w:val="0"/>
        <w:spacing w:before="93" w:afterLines="0" w:line="500" w:lineRule="exact"/>
        <w:ind w:firstLine="672" w:firstLineChars="210"/>
        <w:textAlignment w:val="auto"/>
        <w:rPr>
          <w:rFonts w:hint="eastAsia" w:ascii="仿宋" w:hAnsi="仿宋" w:eastAsia="仿宋"/>
          <w:color w:val="auto"/>
          <w:sz w:val="32"/>
          <w:szCs w:val="24"/>
          <w:lang w:val="en-US" w:eastAsia="zh-CN"/>
        </w:rPr>
      </w:pPr>
    </w:p>
    <w:p w14:paraId="3E865878">
      <w:pPr>
        <w:pStyle w:val="3"/>
        <w:jc w:val="center"/>
        <w:rPr>
          <w:rFonts w:hint="eastAsia" w:ascii="Times New Roman" w:hAnsi="Times New Roman" w:eastAsia="方正小标宋简体" w:cs="方正小标宋简体"/>
          <w:b w:val="0"/>
          <w:color w:val="auto"/>
          <w:highlight w:val="none"/>
        </w:rPr>
      </w:pPr>
      <w:bookmarkStart w:id="18" w:name="_Toc15396602"/>
      <w:bookmarkStart w:id="19" w:name="_Toc15377204"/>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8"/>
      <w:bookmarkEnd w:id="19"/>
    </w:p>
    <w:p w14:paraId="06A70595">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20" w:name="_Toc15377205"/>
      <w:bookmarkStart w:id="21"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0"/>
          <w:rFonts w:hint="eastAsia" w:ascii="Times New Roman" w:hAnsi="Times New Roman" w:eastAsia="黑体"/>
          <w:b w:val="0"/>
          <w:color w:val="auto"/>
          <w:highlight w:val="none"/>
        </w:rPr>
        <w:t>入支出决算总体情况说明</w:t>
      </w:r>
      <w:bookmarkEnd w:id="20"/>
      <w:bookmarkEnd w:id="21"/>
    </w:p>
    <w:p w14:paraId="45E58B92">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支出均为</w:t>
      </w:r>
      <w:r>
        <w:rPr>
          <w:rFonts w:hint="eastAsia" w:eastAsia="仿宋_GB2312" w:cs="仿宋_GB2312"/>
          <w:color w:val="auto"/>
          <w:sz w:val="32"/>
          <w:szCs w:val="32"/>
          <w:highlight w:val="none"/>
          <w:lang w:val="en-US" w:eastAsia="zh-CN"/>
        </w:rPr>
        <w:t>885.7</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总计各减少</w:t>
      </w:r>
      <w:r>
        <w:rPr>
          <w:rFonts w:hint="eastAsia" w:eastAsia="仿宋_GB2312" w:cs="仿宋_GB2312"/>
          <w:color w:val="auto"/>
          <w:sz w:val="32"/>
          <w:szCs w:val="32"/>
          <w:highlight w:val="none"/>
          <w:lang w:val="en-US" w:eastAsia="zh-CN"/>
        </w:rPr>
        <w:t>141.15</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13.75</w:t>
      </w:r>
      <w:r>
        <w:rPr>
          <w:rFonts w:hint="eastAsia" w:ascii="Times New Roman" w:hAnsi="Times New Roman" w:eastAsia="仿宋_GB2312" w:cs="仿宋_GB2312"/>
          <w:color w:val="auto"/>
          <w:sz w:val="32"/>
          <w:szCs w:val="32"/>
          <w:highlight w:val="none"/>
        </w:rPr>
        <w:t>%。主要变动原因是社会保险经办机构</w:t>
      </w:r>
      <w:r>
        <w:rPr>
          <w:rFonts w:hint="eastAsia" w:eastAsia="仿宋_GB2312" w:cs="仿宋_GB2312"/>
          <w:color w:val="auto"/>
          <w:sz w:val="32"/>
          <w:szCs w:val="32"/>
          <w:highlight w:val="none"/>
          <w:lang w:val="en-US" w:eastAsia="zh-CN"/>
        </w:rPr>
        <w:t>项目</w:t>
      </w:r>
      <w:r>
        <w:rPr>
          <w:rFonts w:hint="eastAsia" w:ascii="仿宋_GB2312" w:hAnsi="仿宋" w:eastAsia="仿宋_GB2312" w:cs="仿宋"/>
          <w:sz w:val="32"/>
          <w:szCs w:val="32"/>
          <w:lang w:val="en-US" w:eastAsia="zh-CN"/>
        </w:rPr>
        <w:t>脱贫户参保政府代缴资金</w:t>
      </w:r>
      <w:r>
        <w:rPr>
          <w:rFonts w:hint="eastAsia" w:eastAsia="仿宋_GB2312" w:cs="仿宋_GB2312"/>
          <w:color w:val="auto"/>
          <w:sz w:val="32"/>
          <w:szCs w:val="32"/>
          <w:highlight w:val="none"/>
          <w:lang w:val="en-US" w:eastAsia="zh-CN"/>
        </w:rPr>
        <w:t>支出减少。</w:t>
      </w:r>
      <w:bookmarkStart w:id="22" w:name="_Toc15377206"/>
      <w:bookmarkStart w:id="23" w:name="_Toc15396604"/>
    </w:p>
    <w:p w14:paraId="42D0A5D6">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r>
        <w:rPr>
          <w:rFonts w:hint="eastAsia" w:eastAsia="仿宋_GB2312" w:cs="仿宋_GB2312"/>
          <w:color w:val="auto"/>
          <w:sz w:val="32"/>
          <w:szCs w:val="32"/>
          <w:highlight w:val="none"/>
          <w:lang w:val="en-US" w:eastAsia="zh-CN"/>
        </w:rPr>
        <w:drawing>
          <wp:anchor distT="0" distB="0" distL="114300" distR="114300" simplePos="0" relativeHeight="251659264" behindDoc="0" locked="0" layoutInCell="1" allowOverlap="1">
            <wp:simplePos x="0" y="0"/>
            <wp:positionH relativeFrom="column">
              <wp:posOffset>535305</wp:posOffset>
            </wp:positionH>
            <wp:positionV relativeFrom="paragraph">
              <wp:posOffset>163195</wp:posOffset>
            </wp:positionV>
            <wp:extent cx="3729990" cy="1868170"/>
            <wp:effectExtent l="4445" t="4445" r="18415" b="13335"/>
            <wp:wrapNone/>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783F7D7F">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p>
    <w:p w14:paraId="6AEFBE37">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p>
    <w:p w14:paraId="36E795D8">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p>
    <w:p w14:paraId="0E947DF4">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p>
    <w:p w14:paraId="67A3E32C">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p>
    <w:p w14:paraId="3B9A5A33">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r>
        <w:rPr>
          <w:rFonts w:hint="eastAsia" w:ascii="Times New Roman" w:hAnsi="Times New Roman" w:eastAsia="黑体"/>
          <w:color w:val="auto"/>
          <w:sz w:val="32"/>
          <w:szCs w:val="32"/>
          <w:highlight w:val="none"/>
          <w:lang w:eastAsia="zh-CN"/>
        </w:rPr>
        <w:t>二、收入决算情况说明</w:t>
      </w:r>
      <w:bookmarkEnd w:id="22"/>
      <w:bookmarkEnd w:id="23"/>
    </w:p>
    <w:p w14:paraId="626CB2C6">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eastAsia="仿宋_GB2312" w:cs="仿宋_GB2312"/>
          <w:color w:val="auto"/>
          <w:sz w:val="32"/>
          <w:szCs w:val="32"/>
          <w:highlight w:val="none"/>
          <w:lang w:val="en-US" w:eastAsia="zh-CN"/>
        </w:rPr>
        <w:t>885.7</w:t>
      </w:r>
      <w:r>
        <w:rPr>
          <w:rFonts w:hint="eastAsia" w:ascii="仿宋_GB2312" w:hAnsi="仿宋_GB2312" w:eastAsia="仿宋_GB2312" w:cs="仿宋_GB2312"/>
          <w:sz w:val="32"/>
          <w:szCs w:val="32"/>
        </w:rPr>
        <w:t>万元，其中：一般公共预算财政拨款收入</w:t>
      </w:r>
      <w:r>
        <w:rPr>
          <w:rFonts w:hint="eastAsia" w:eastAsia="仿宋_GB2312" w:cs="仿宋_GB2312"/>
          <w:color w:val="auto"/>
          <w:sz w:val="32"/>
          <w:szCs w:val="32"/>
          <w:highlight w:val="none"/>
          <w:lang w:val="en-US" w:eastAsia="zh-CN"/>
        </w:rPr>
        <w:t>885.7</w:t>
      </w:r>
      <w:r>
        <w:rPr>
          <w:rFonts w:hint="eastAsia" w:ascii="仿宋_GB2312" w:hAnsi="仿宋_GB2312"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lang w:eastAsia="zh-CN"/>
        </w:rPr>
        <w:t>%。</w:t>
      </w:r>
    </w:p>
    <w:p w14:paraId="506B9372">
      <w:pPr>
        <w:ind w:firstLine="800" w:firstLineChars="250"/>
        <w:rPr>
          <w:rFonts w:hint="default"/>
          <w:lang w:val="en-US" w:eastAsia="zh-CN"/>
        </w:rPr>
      </w:pPr>
      <w:r>
        <w:rPr>
          <w:rFonts w:hint="eastAsia" w:eastAsia="仿宋_GB2312" w:cs="仿宋_GB2312"/>
          <w:color w:val="auto"/>
          <w:sz w:val="32"/>
          <w:szCs w:val="32"/>
          <w:highlight w:val="none"/>
          <w:lang w:val="en-US" w:eastAsia="zh-CN"/>
        </w:rPr>
        <w:t xml:space="preserve">  </w:t>
      </w:r>
      <w:r>
        <w:rPr>
          <w:rFonts w:hint="eastAsia" w:eastAsia="仿宋_GB2312" w:cs="仿宋_GB2312"/>
          <w:color w:val="auto"/>
          <w:sz w:val="32"/>
          <w:szCs w:val="32"/>
          <w:highlight w:val="none"/>
          <w:lang w:val="en-US" w:eastAsia="zh-CN"/>
        </w:rPr>
        <w:drawing>
          <wp:inline distT="0" distB="0" distL="114300" distR="114300">
            <wp:extent cx="4192270" cy="2283460"/>
            <wp:effectExtent l="4445" t="4445" r="13335" b="1714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27E8D74">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24" w:name="_Toc15377207"/>
      <w:bookmarkStart w:id="25" w:name="_Toc15396605"/>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0"/>
          <w:rFonts w:hint="eastAsia" w:ascii="Times New Roman" w:hAnsi="Times New Roman" w:eastAsia="黑体"/>
          <w:b w:val="0"/>
          <w:color w:val="auto"/>
          <w:highlight w:val="none"/>
        </w:rPr>
        <w:t>出决算情况说明</w:t>
      </w:r>
      <w:bookmarkEnd w:id="24"/>
      <w:bookmarkEnd w:id="25"/>
    </w:p>
    <w:p w14:paraId="6E1D595F">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eastAsia="仿宋_GB2312" w:cs="仿宋_GB2312"/>
          <w:color w:val="auto"/>
          <w:sz w:val="32"/>
          <w:szCs w:val="32"/>
          <w:highlight w:val="none"/>
          <w:lang w:val="en-US" w:eastAsia="zh-CN"/>
        </w:rPr>
        <w:t>885.7</w:t>
      </w:r>
      <w:r>
        <w:rPr>
          <w:rFonts w:hint="eastAsia" w:ascii="仿宋_GB2312" w:hAnsi="仿宋_GB2312" w:eastAsia="仿宋_GB2312" w:cs="仿宋_GB2312"/>
          <w:color w:val="auto"/>
          <w:sz w:val="32"/>
          <w:szCs w:val="32"/>
          <w:highlight w:val="none"/>
          <w:lang w:eastAsia="zh-CN"/>
        </w:rPr>
        <w:t>万元，其中：基本支出</w:t>
      </w:r>
      <w:r>
        <w:rPr>
          <w:rFonts w:hint="eastAsia" w:eastAsia="仿宋_GB2312" w:cs="仿宋_GB2312"/>
          <w:color w:val="auto"/>
          <w:sz w:val="32"/>
          <w:szCs w:val="32"/>
          <w:highlight w:val="none"/>
          <w:lang w:val="en-US" w:eastAsia="zh-CN"/>
        </w:rPr>
        <w:t>372.34</w:t>
      </w:r>
      <w:r>
        <w:rPr>
          <w:rFonts w:hint="eastAsia" w:ascii="仿宋_GB2312" w:hAnsi="仿宋_GB2312"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42.04</w:t>
      </w:r>
      <w:r>
        <w:rPr>
          <w:rFonts w:hint="eastAsia" w:ascii="仿宋_GB2312" w:hAnsi="仿宋_GB2312" w:eastAsia="仿宋_GB2312" w:cs="仿宋_GB2312"/>
          <w:color w:val="auto"/>
          <w:sz w:val="32"/>
          <w:szCs w:val="32"/>
          <w:highlight w:val="none"/>
          <w:lang w:eastAsia="zh-CN"/>
        </w:rPr>
        <w:t>%；项目支出</w:t>
      </w:r>
      <w:r>
        <w:rPr>
          <w:rFonts w:hint="eastAsia" w:eastAsia="仿宋_GB2312" w:cs="仿宋_GB2312"/>
          <w:color w:val="auto"/>
          <w:sz w:val="32"/>
          <w:szCs w:val="32"/>
          <w:highlight w:val="none"/>
          <w:lang w:val="en-US" w:eastAsia="zh-CN"/>
        </w:rPr>
        <w:t>508.18</w:t>
      </w:r>
      <w:r>
        <w:rPr>
          <w:rFonts w:hint="eastAsia" w:ascii="仿宋_GB2312" w:hAnsi="仿宋_GB2312"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57.38</w:t>
      </w:r>
      <w:r>
        <w:rPr>
          <w:rFonts w:hint="eastAsia" w:ascii="仿宋_GB2312" w:hAnsi="仿宋_GB2312" w:eastAsia="仿宋_GB2312" w:cs="仿宋_GB2312"/>
          <w:color w:val="auto"/>
          <w:sz w:val="32"/>
          <w:szCs w:val="32"/>
          <w:highlight w:val="none"/>
          <w:lang w:eastAsia="zh-CN"/>
        </w:rPr>
        <w:t>%；年末结转和结余</w:t>
      </w:r>
      <w:r>
        <w:rPr>
          <w:rFonts w:hint="eastAsia" w:ascii="仿宋_GB2312" w:hAnsi="仿宋_GB2312" w:eastAsia="仿宋_GB2312" w:cs="仿宋_GB2312"/>
          <w:color w:val="auto"/>
          <w:sz w:val="32"/>
          <w:szCs w:val="32"/>
          <w:highlight w:val="none"/>
          <w:lang w:val="en-US" w:eastAsia="zh-CN"/>
        </w:rPr>
        <w:t>5.18</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sz w:val="32"/>
          <w:szCs w:val="32"/>
          <w:highlight w:val="none"/>
          <w:lang w:eastAsia="zh-CN"/>
        </w:rPr>
        <w:t>，占</w:t>
      </w:r>
      <w:r>
        <w:rPr>
          <w:rFonts w:hint="eastAsia" w:ascii="仿宋_GB2312" w:hAnsi="仿宋_GB2312" w:eastAsia="仿宋_GB2312" w:cs="仿宋_GB2312"/>
          <w:sz w:val="32"/>
          <w:szCs w:val="32"/>
          <w:lang w:val="en-US" w:eastAsia="zh-CN"/>
        </w:rPr>
        <w:t>0.58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highlight w:val="none"/>
          <w:lang w:eastAsia="zh-CN"/>
        </w:rPr>
        <w:t>。</w:t>
      </w:r>
    </w:p>
    <w:p w14:paraId="6C58E288">
      <w:pPr>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5256530" cy="2988310"/>
            <wp:effectExtent l="5080" t="4445" r="15240" b="1714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1B618FD">
      <w:pPr>
        <w:spacing w:line="600" w:lineRule="exact"/>
        <w:ind w:firstLine="640" w:firstLineChars="200"/>
        <w:outlineLvl w:val="1"/>
        <w:rPr>
          <w:rStyle w:val="30"/>
          <w:rFonts w:ascii="Times New Roman" w:hAnsi="Times New Roman" w:eastAsia="黑体"/>
          <w:b w:val="0"/>
          <w:color w:val="auto"/>
          <w:highlight w:val="none"/>
        </w:rPr>
      </w:pPr>
      <w:bookmarkStart w:id="26" w:name="_Toc15396606"/>
      <w:bookmarkStart w:id="27" w:name="_Toc15377208"/>
      <w:r>
        <w:rPr>
          <w:rFonts w:hint="eastAsia" w:ascii="Times New Roman" w:hAnsi="Times New Roman" w:eastAsia="黑体"/>
          <w:color w:val="auto"/>
          <w:sz w:val="32"/>
          <w:szCs w:val="32"/>
          <w:highlight w:val="none"/>
        </w:rPr>
        <w:t>四、财</w:t>
      </w:r>
      <w:r>
        <w:rPr>
          <w:rStyle w:val="30"/>
          <w:rFonts w:hint="eastAsia" w:ascii="Times New Roman" w:hAnsi="Times New Roman" w:eastAsia="黑体"/>
          <w:b w:val="0"/>
          <w:color w:val="auto"/>
          <w:highlight w:val="none"/>
        </w:rPr>
        <w:t>政拨款收入支出决算总体情况说明</w:t>
      </w:r>
      <w:bookmarkEnd w:id="26"/>
      <w:bookmarkEnd w:id="27"/>
    </w:p>
    <w:p w14:paraId="371A8B15">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eastAsia="仿宋_GB2312" w:cs="仿宋_GB2312"/>
          <w:color w:val="auto"/>
          <w:sz w:val="32"/>
          <w:szCs w:val="32"/>
          <w:highlight w:val="none"/>
          <w:lang w:val="en-US" w:eastAsia="zh-CN"/>
        </w:rPr>
        <w:t>885.7</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万元。与2023年度相比，财政拨款收入总计、支出总计各减少</w:t>
      </w:r>
      <w:r>
        <w:rPr>
          <w:rFonts w:hint="eastAsia" w:eastAsia="仿宋_GB2312" w:cs="仿宋_GB2312"/>
          <w:color w:val="auto"/>
          <w:sz w:val="32"/>
          <w:szCs w:val="32"/>
          <w:highlight w:val="none"/>
          <w:lang w:val="en-US" w:eastAsia="zh-CN"/>
        </w:rPr>
        <w:t>141.15</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13.75</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ascii="Times New Roman" w:hAnsi="Times New Roman" w:eastAsia="仿宋_GB2312" w:cs="仿宋_GB2312"/>
          <w:color w:val="auto"/>
          <w:sz w:val="32"/>
          <w:szCs w:val="32"/>
          <w:highlight w:val="none"/>
        </w:rPr>
        <w:t>社会保险经办机构</w:t>
      </w:r>
      <w:r>
        <w:rPr>
          <w:rFonts w:hint="eastAsia" w:eastAsia="仿宋_GB2312" w:cs="仿宋_GB2312"/>
          <w:color w:val="auto"/>
          <w:sz w:val="32"/>
          <w:szCs w:val="32"/>
          <w:highlight w:val="none"/>
          <w:lang w:val="en-US" w:eastAsia="zh-CN"/>
        </w:rPr>
        <w:t>项目</w:t>
      </w:r>
      <w:r>
        <w:rPr>
          <w:rFonts w:hint="eastAsia" w:ascii="仿宋_GB2312" w:hAnsi="仿宋" w:eastAsia="仿宋_GB2312" w:cs="仿宋"/>
          <w:sz w:val="32"/>
          <w:szCs w:val="32"/>
          <w:lang w:val="en-US" w:eastAsia="zh-CN"/>
        </w:rPr>
        <w:t>脱贫户参保政府代缴资金</w:t>
      </w:r>
      <w:r>
        <w:rPr>
          <w:rFonts w:hint="eastAsia" w:eastAsia="仿宋_GB2312" w:cs="仿宋_GB2312"/>
          <w:color w:val="auto"/>
          <w:sz w:val="32"/>
          <w:szCs w:val="32"/>
          <w:highlight w:val="none"/>
          <w:lang w:val="en-US" w:eastAsia="zh-CN"/>
        </w:rPr>
        <w:t>支出减少。</w:t>
      </w:r>
    </w:p>
    <w:p w14:paraId="27361A5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sz w:val="32"/>
          <w:szCs w:val="32"/>
          <w:highlight w:val="none"/>
          <w:lang w:val="en-US" w:eastAsia="zh-CN"/>
        </w:rPr>
        <w:drawing>
          <wp:anchor distT="0" distB="0" distL="114300" distR="114300" simplePos="0" relativeHeight="251660288" behindDoc="0" locked="0" layoutInCell="1" allowOverlap="1">
            <wp:simplePos x="0" y="0"/>
            <wp:positionH relativeFrom="column">
              <wp:posOffset>596900</wp:posOffset>
            </wp:positionH>
            <wp:positionV relativeFrom="paragraph">
              <wp:posOffset>158115</wp:posOffset>
            </wp:positionV>
            <wp:extent cx="3819525" cy="2035810"/>
            <wp:effectExtent l="4445" t="4445" r="5080" b="17145"/>
            <wp:wrapNone/>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20C2B6D2">
      <w:pPr>
        <w:pStyle w:val="2"/>
        <w:rPr>
          <w:rFonts w:hint="eastAsia" w:ascii="Times New Roman" w:hAnsi="Times New Roman" w:eastAsia="仿宋_GB2312" w:cs="仿宋_GB2312"/>
          <w:color w:val="auto"/>
          <w:kern w:val="2"/>
          <w:sz w:val="32"/>
          <w:szCs w:val="32"/>
          <w:highlight w:val="none"/>
          <w:lang w:val="en-US" w:eastAsia="zh-CN" w:bidi="ar-SA"/>
        </w:rPr>
      </w:pPr>
    </w:p>
    <w:p w14:paraId="24411569">
      <w:pPr>
        <w:rPr>
          <w:rFonts w:hint="eastAsia" w:ascii="Times New Roman" w:hAnsi="Times New Roman" w:eastAsia="仿宋_GB2312" w:cs="仿宋_GB2312"/>
          <w:color w:val="auto"/>
          <w:kern w:val="2"/>
          <w:sz w:val="32"/>
          <w:szCs w:val="32"/>
          <w:highlight w:val="none"/>
          <w:lang w:val="en-US" w:eastAsia="zh-CN" w:bidi="ar-SA"/>
        </w:rPr>
      </w:pPr>
    </w:p>
    <w:p w14:paraId="58A06F4B">
      <w:pPr>
        <w:pStyle w:val="2"/>
        <w:rPr>
          <w:rFonts w:hint="eastAsia"/>
          <w:lang w:val="en-US" w:eastAsia="zh-CN"/>
        </w:rPr>
      </w:pPr>
    </w:p>
    <w:p w14:paraId="3CC1DC09">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14:paraId="1E07C321">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14:paraId="59E01808">
      <w:pPr>
        <w:spacing w:line="600" w:lineRule="exact"/>
        <w:ind w:firstLine="640" w:firstLineChars="200"/>
        <w:outlineLvl w:val="1"/>
        <w:rPr>
          <w:rStyle w:val="30"/>
          <w:rFonts w:ascii="Times New Roman" w:hAnsi="Times New Roman" w:eastAsia="黑体"/>
          <w:b w:val="0"/>
          <w:color w:val="auto"/>
          <w:highlight w:val="none"/>
        </w:rPr>
      </w:pPr>
      <w:bookmarkStart w:id="28" w:name="_Toc15396607"/>
      <w:bookmarkStart w:id="29"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般公共预算财政拨款支出决算情况说明</w:t>
      </w:r>
      <w:bookmarkEnd w:id="28"/>
      <w:bookmarkEnd w:id="29"/>
    </w:p>
    <w:p w14:paraId="5C525C5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0"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30"/>
    </w:p>
    <w:p w14:paraId="6EE054D1">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eastAsia="仿宋_GB2312" w:cs="仿宋_GB2312"/>
          <w:color w:val="auto"/>
          <w:sz w:val="32"/>
          <w:szCs w:val="32"/>
          <w:highlight w:val="none"/>
          <w:lang w:val="en-US" w:eastAsia="zh-CN"/>
        </w:rPr>
        <w:t>885.7</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eastAsia="仿宋_GB2312" w:cs="仿宋_GB2312"/>
          <w:color w:val="auto"/>
          <w:sz w:val="32"/>
          <w:szCs w:val="32"/>
          <w:highlight w:val="none"/>
          <w:lang w:val="en-US" w:eastAsia="zh-CN"/>
        </w:rPr>
        <w:t>100</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%。与2023年度相比，一般公共预算财政拨款支出减少141.15万元，下降13.75%。主要变动原因是</w:t>
      </w:r>
      <w:r>
        <w:rPr>
          <w:rFonts w:hint="eastAsia" w:ascii="Times New Roman" w:hAnsi="Times New Roman" w:eastAsia="仿宋_GB2312" w:cs="仿宋_GB2312"/>
          <w:color w:val="auto"/>
          <w:sz w:val="32"/>
          <w:szCs w:val="32"/>
          <w:highlight w:val="none"/>
        </w:rPr>
        <w:t>社会保险经办机构</w:t>
      </w:r>
      <w:r>
        <w:rPr>
          <w:rFonts w:hint="eastAsia" w:eastAsia="仿宋_GB2312" w:cs="仿宋_GB2312"/>
          <w:color w:val="auto"/>
          <w:sz w:val="32"/>
          <w:szCs w:val="32"/>
          <w:highlight w:val="none"/>
          <w:lang w:val="en-US" w:eastAsia="zh-CN"/>
        </w:rPr>
        <w:t>项目</w:t>
      </w:r>
      <w:r>
        <w:rPr>
          <w:rFonts w:hint="eastAsia" w:ascii="仿宋_GB2312" w:hAnsi="仿宋" w:eastAsia="仿宋_GB2312" w:cs="仿宋"/>
          <w:sz w:val="32"/>
          <w:szCs w:val="32"/>
          <w:lang w:val="en-US" w:eastAsia="zh-CN"/>
        </w:rPr>
        <w:t>脱贫户参保政府代缴资金</w:t>
      </w:r>
      <w:r>
        <w:rPr>
          <w:rFonts w:hint="eastAsia" w:eastAsia="仿宋_GB2312" w:cs="仿宋_GB2312"/>
          <w:color w:val="auto"/>
          <w:sz w:val="32"/>
          <w:szCs w:val="32"/>
          <w:highlight w:val="none"/>
          <w:lang w:val="en-US" w:eastAsia="zh-CN"/>
        </w:rPr>
        <w:t>支出减少。</w:t>
      </w:r>
    </w:p>
    <w:p w14:paraId="7A93488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anchor distT="0" distB="0" distL="114300" distR="114300" simplePos="0" relativeHeight="251661312" behindDoc="0" locked="0" layoutInCell="1" allowOverlap="1">
            <wp:simplePos x="0" y="0"/>
            <wp:positionH relativeFrom="column">
              <wp:posOffset>21590</wp:posOffset>
            </wp:positionH>
            <wp:positionV relativeFrom="paragraph">
              <wp:posOffset>220345</wp:posOffset>
            </wp:positionV>
            <wp:extent cx="5256530" cy="2797810"/>
            <wp:effectExtent l="4445" t="4445" r="15875" b="17145"/>
            <wp:wrapNone/>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1730BF81">
      <w:pPr>
        <w:pStyle w:val="2"/>
        <w:rPr>
          <w:rFonts w:hint="eastAsia" w:ascii="Times New Roman" w:hAnsi="Times New Roman" w:eastAsia="仿宋_GB2312" w:cs="仿宋_GB2312"/>
          <w:color w:val="auto"/>
          <w:kern w:val="2"/>
          <w:sz w:val="32"/>
          <w:szCs w:val="32"/>
          <w:highlight w:val="none"/>
          <w:lang w:val="en-US" w:eastAsia="zh-CN" w:bidi="ar-SA"/>
        </w:rPr>
      </w:pPr>
    </w:p>
    <w:p w14:paraId="7632987F">
      <w:pPr>
        <w:rPr>
          <w:rFonts w:hint="eastAsia" w:ascii="Times New Roman" w:hAnsi="Times New Roman" w:eastAsia="仿宋_GB2312" w:cs="仿宋_GB2312"/>
          <w:color w:val="auto"/>
          <w:kern w:val="2"/>
          <w:sz w:val="32"/>
          <w:szCs w:val="32"/>
          <w:highlight w:val="none"/>
          <w:lang w:val="en-US" w:eastAsia="zh-CN" w:bidi="ar-SA"/>
        </w:rPr>
      </w:pPr>
    </w:p>
    <w:p w14:paraId="1A6B99F1">
      <w:pPr>
        <w:pStyle w:val="2"/>
        <w:rPr>
          <w:rFonts w:hint="eastAsia" w:ascii="Times New Roman" w:hAnsi="Times New Roman" w:eastAsia="仿宋_GB2312" w:cs="仿宋_GB2312"/>
          <w:color w:val="auto"/>
          <w:kern w:val="2"/>
          <w:sz w:val="32"/>
          <w:szCs w:val="32"/>
          <w:highlight w:val="none"/>
          <w:lang w:val="en-US" w:eastAsia="zh-CN" w:bidi="ar-SA"/>
        </w:rPr>
      </w:pPr>
    </w:p>
    <w:p w14:paraId="67CD9B02">
      <w:pPr>
        <w:rPr>
          <w:rFonts w:hint="eastAsia"/>
          <w:lang w:val="en-US" w:eastAsia="zh-CN"/>
        </w:rPr>
      </w:pPr>
    </w:p>
    <w:p w14:paraId="13352F0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14:paraId="23ACA6A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0E77F6E">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1"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31"/>
    </w:p>
    <w:p w14:paraId="7CDF2C47">
      <w:pPr>
        <w:spacing w:line="600" w:lineRule="exact"/>
        <w:ind w:firstLine="640"/>
        <w:rPr>
          <w:rFonts w:hint="eastAsia" w:ascii="仿宋_GB2312" w:hAnsi="仿宋_GB2312" w:eastAsia="仿宋_GB2312" w:cs="仿宋_GB2312"/>
          <w:color w:val="auto"/>
          <w:sz w:val="32"/>
          <w:szCs w:val="32"/>
          <w:highlight w:val="none"/>
          <w:lang w:eastAsia="zh-CN"/>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eastAsia="仿宋_GB2312" w:cs="仿宋_GB2312"/>
          <w:color w:val="auto"/>
          <w:sz w:val="32"/>
          <w:szCs w:val="32"/>
          <w:highlight w:val="none"/>
          <w:lang w:val="en-US" w:eastAsia="zh-CN"/>
        </w:rPr>
        <w:t>885.7</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社会保障和就业支出333.65万元，占</w:t>
      </w:r>
      <w:r>
        <w:rPr>
          <w:rFonts w:hint="eastAsia" w:ascii="仿宋_GB2312" w:hAnsi="仿宋" w:eastAsia="仿宋_GB2312"/>
          <w:sz w:val="32"/>
          <w:szCs w:val="32"/>
          <w:lang w:val="en-US" w:eastAsia="zh-CN"/>
        </w:rPr>
        <w:t>37.67%</w:t>
      </w:r>
      <w:r>
        <w:rPr>
          <w:rFonts w:hint="eastAsia" w:ascii="Times New Roman" w:hAnsi="Times New Roman" w:eastAsia="仿宋_GB2312" w:cs="仿宋_GB2312"/>
          <w:color w:val="auto"/>
          <w:kern w:val="2"/>
          <w:sz w:val="32"/>
          <w:szCs w:val="32"/>
          <w:highlight w:val="none"/>
          <w:lang w:val="en-US" w:eastAsia="zh-CN" w:bidi="ar-SA"/>
        </w:rPr>
        <w:t>；卫生健康支出316.70万元，占</w:t>
      </w:r>
      <w:r>
        <w:rPr>
          <w:rFonts w:hint="eastAsia" w:ascii="仿宋_GB2312" w:hAnsi="仿宋" w:eastAsia="仿宋_GB2312"/>
          <w:sz w:val="32"/>
          <w:szCs w:val="32"/>
          <w:lang w:val="en-US" w:eastAsia="zh-CN"/>
        </w:rPr>
        <w:t>35.76%</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_GB2312" w:hAnsi="仿宋_GB2312" w:eastAsia="仿宋_GB2312"/>
          <w:color w:val="000000"/>
          <w:kern w:val="2"/>
          <w:sz w:val="32"/>
          <w:szCs w:val="24"/>
          <w:lang w:val="zh-CN"/>
        </w:rPr>
        <w:t>农林水支出</w:t>
      </w:r>
      <w:r>
        <w:rPr>
          <w:rFonts w:hint="eastAsia" w:ascii="Times New Roman" w:hAnsi="Times New Roman" w:eastAsia="仿宋_GB2312" w:cs="仿宋_GB2312"/>
          <w:color w:val="auto"/>
          <w:kern w:val="2"/>
          <w:sz w:val="32"/>
          <w:szCs w:val="32"/>
          <w:highlight w:val="none"/>
          <w:lang w:val="en-US" w:eastAsia="zh-CN" w:bidi="ar-SA"/>
        </w:rPr>
        <w:t>202.67</w:t>
      </w:r>
      <w:r>
        <w:rPr>
          <w:rFonts w:hint="eastAsia" w:ascii="仿宋_GB2312" w:hAnsi="仿宋_GB2312" w:eastAsia="仿宋_GB2312"/>
          <w:color w:val="000000"/>
          <w:kern w:val="2"/>
          <w:sz w:val="32"/>
          <w:szCs w:val="24"/>
          <w:lang w:val="zh-CN"/>
        </w:rPr>
        <w:t>万元，占</w:t>
      </w:r>
      <w:r>
        <w:rPr>
          <w:rFonts w:hint="eastAsia" w:ascii="仿宋_GB2312" w:hAnsi="仿宋_GB2312" w:eastAsia="仿宋_GB2312"/>
          <w:color w:val="000000"/>
          <w:kern w:val="2"/>
          <w:sz w:val="32"/>
          <w:szCs w:val="24"/>
          <w:lang w:val="en-US" w:eastAsia="zh-CN"/>
        </w:rPr>
        <w:t>22.89</w:t>
      </w:r>
      <w:r>
        <w:rPr>
          <w:rFonts w:hint="eastAsia" w:ascii="仿宋_GB2312" w:hAnsi="仿宋_GB2312" w:eastAsia="仿宋_GB2312"/>
          <w:color w:val="000000"/>
          <w:kern w:val="2"/>
          <w:sz w:val="32"/>
          <w:szCs w:val="24"/>
          <w:lang w:val="zh-CN"/>
        </w:rPr>
        <w:t>%；</w:t>
      </w:r>
      <w:r>
        <w:rPr>
          <w:rFonts w:hint="eastAsia" w:ascii="Times New Roman" w:hAnsi="Times New Roman" w:eastAsia="仿宋_GB2312" w:cs="仿宋_GB2312"/>
          <w:color w:val="auto"/>
          <w:kern w:val="2"/>
          <w:sz w:val="32"/>
          <w:szCs w:val="32"/>
          <w:highlight w:val="none"/>
          <w:lang w:val="en-US" w:eastAsia="zh-CN" w:bidi="ar-SA"/>
        </w:rPr>
        <w:t>住房保障支出27.51万元，占</w:t>
      </w:r>
      <w:r>
        <w:rPr>
          <w:rFonts w:hint="eastAsia" w:ascii="仿宋_GB2312" w:hAnsi="仿宋" w:eastAsia="仿宋_GB2312"/>
          <w:sz w:val="32"/>
          <w:szCs w:val="32"/>
          <w:lang w:val="en-US" w:eastAsia="zh-CN"/>
        </w:rPr>
        <w:t>3.1</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sz w:val="32"/>
          <w:szCs w:val="32"/>
          <w:highlight w:val="none"/>
          <w:lang w:eastAsia="zh-CN"/>
        </w:rPr>
        <w:t>年末结转和结余</w:t>
      </w:r>
      <w:r>
        <w:rPr>
          <w:rFonts w:hint="eastAsia" w:ascii="仿宋_GB2312" w:hAnsi="仿宋_GB2312" w:eastAsia="仿宋_GB2312" w:cs="仿宋_GB2312"/>
          <w:color w:val="auto"/>
          <w:sz w:val="32"/>
          <w:szCs w:val="32"/>
          <w:highlight w:val="none"/>
          <w:lang w:val="en-US" w:eastAsia="zh-CN"/>
        </w:rPr>
        <w:t>5.18</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sz w:val="32"/>
          <w:szCs w:val="32"/>
          <w:highlight w:val="none"/>
          <w:lang w:eastAsia="zh-CN"/>
        </w:rPr>
        <w:t>，占</w:t>
      </w:r>
      <w:r>
        <w:rPr>
          <w:rFonts w:hint="eastAsia" w:ascii="仿宋_GB2312" w:hAnsi="仿宋_GB2312" w:eastAsia="仿宋_GB2312" w:cs="仿宋_GB2312"/>
          <w:sz w:val="32"/>
          <w:szCs w:val="32"/>
          <w:lang w:val="en-US" w:eastAsia="zh-CN"/>
        </w:rPr>
        <w:t>0.58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highlight w:val="none"/>
          <w:lang w:eastAsia="zh-CN"/>
        </w:rPr>
        <w:t>。</w:t>
      </w:r>
    </w:p>
    <w:p w14:paraId="745A4628">
      <w:pPr>
        <w:pStyle w:val="2"/>
        <w:rPr>
          <w:rFonts w:hint="eastAsia" w:ascii="仿宋_GB2312" w:hAnsi="仿宋_GB2312" w:eastAsia="仿宋_GB2312" w:cs="仿宋_GB2312"/>
          <w:color w:val="auto"/>
          <w:sz w:val="32"/>
          <w:szCs w:val="32"/>
          <w:highlight w:val="none"/>
          <w:lang w:eastAsia="zh-CN"/>
        </w:rPr>
      </w:pPr>
    </w:p>
    <w:p w14:paraId="32103B34">
      <w:pPr>
        <w:spacing w:line="600" w:lineRule="exact"/>
        <w:ind w:firstLine="64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drawing>
          <wp:anchor distT="0" distB="0" distL="114300" distR="114300" simplePos="0" relativeHeight="251662336" behindDoc="0" locked="0" layoutInCell="1" allowOverlap="1">
            <wp:simplePos x="0" y="0"/>
            <wp:positionH relativeFrom="column">
              <wp:posOffset>22225</wp:posOffset>
            </wp:positionH>
            <wp:positionV relativeFrom="paragraph">
              <wp:posOffset>85725</wp:posOffset>
            </wp:positionV>
            <wp:extent cx="5256530" cy="2988310"/>
            <wp:effectExtent l="5080" t="4445" r="15240" b="17145"/>
            <wp:wrapNone/>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4D769011">
      <w:pPr>
        <w:spacing w:line="600" w:lineRule="exact"/>
        <w:ind w:firstLine="640"/>
        <w:rPr>
          <w:rFonts w:hint="eastAsia" w:ascii="仿宋_GB2312" w:hAnsi="仿宋_GB2312" w:eastAsia="仿宋_GB2312" w:cs="仿宋_GB2312"/>
          <w:color w:val="auto"/>
          <w:sz w:val="32"/>
          <w:szCs w:val="32"/>
          <w:highlight w:val="none"/>
          <w:lang w:eastAsia="zh-CN"/>
        </w:rPr>
      </w:pPr>
    </w:p>
    <w:p w14:paraId="2CBE1A91">
      <w:pPr>
        <w:pStyle w:val="2"/>
        <w:rPr>
          <w:rFonts w:hint="eastAsia" w:ascii="仿宋_GB2312" w:hAnsi="仿宋_GB2312" w:eastAsia="仿宋_GB2312" w:cs="仿宋_GB2312"/>
          <w:color w:val="auto"/>
          <w:sz w:val="32"/>
          <w:szCs w:val="32"/>
          <w:highlight w:val="none"/>
          <w:lang w:eastAsia="zh-CN"/>
        </w:rPr>
      </w:pPr>
    </w:p>
    <w:p w14:paraId="31C85B92">
      <w:pPr>
        <w:rPr>
          <w:rFonts w:hint="eastAsia" w:ascii="仿宋_GB2312" w:hAnsi="仿宋_GB2312" w:eastAsia="仿宋_GB2312" w:cs="仿宋_GB2312"/>
          <w:color w:val="auto"/>
          <w:sz w:val="32"/>
          <w:szCs w:val="32"/>
          <w:highlight w:val="none"/>
          <w:lang w:eastAsia="zh-CN"/>
        </w:rPr>
      </w:pPr>
    </w:p>
    <w:p w14:paraId="361D9DB7">
      <w:pPr>
        <w:pStyle w:val="2"/>
        <w:rPr>
          <w:rFonts w:hint="eastAsia"/>
          <w:lang w:eastAsia="zh-CN"/>
        </w:rPr>
      </w:pPr>
    </w:p>
    <w:p w14:paraId="0FED66BD">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14:paraId="0A1D6D32">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2" w:name="_Toc15377212"/>
    </w:p>
    <w:p w14:paraId="4F2BCE6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（三）一般公共预算财政拨款支出决算具体情况</w:t>
      </w:r>
      <w:bookmarkEnd w:id="32"/>
    </w:p>
    <w:p w14:paraId="59492F7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bookmarkStart w:id="33" w:name="_Toc15377444"/>
      <w:bookmarkStart w:id="34" w:name="_Toc15378460"/>
      <w:bookmarkStart w:id="35" w:name="_Toc15377213"/>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eastAsia="仿宋_GB2312" w:cs="仿宋_GB2312"/>
          <w:color w:val="auto"/>
          <w:sz w:val="32"/>
          <w:szCs w:val="32"/>
          <w:highlight w:val="none"/>
          <w:lang w:val="en-US" w:eastAsia="zh-CN"/>
        </w:rPr>
        <w:t>880.52</w:t>
      </w:r>
      <w:r>
        <w:rPr>
          <w:rFonts w:hint="eastAsia" w:eastAsia="仿宋_GB2312" w:cs="仿宋_GB2312"/>
          <w:color w:val="auto"/>
          <w:sz w:val="32"/>
          <w:szCs w:val="32"/>
          <w:highlight w:val="none"/>
          <w:lang w:eastAsia="zh-CN"/>
        </w:rPr>
        <w:t>万元</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33"/>
      <w:bookmarkEnd w:id="34"/>
      <w:bookmarkEnd w:id="35"/>
    </w:p>
    <w:p w14:paraId="20DB1B9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一般公共服务（类）社会保障和就业支出（款）社会保险经办机构（项）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285.42</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3D69552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2.一般公共服务（类）行政事业单位养老支出（款）机关事业单位基本养老保险缴费支出（项）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29.85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4315867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3.一般公共服务（类）行政事业单位养老支出（款）机关事业单位职业年金缴费支出（项）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15.27</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1478F97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4.一般公共服务（类）其他社会保障和就业支出（款）其他社会保障和就业支出（项）：支出决算为1</w:t>
      </w:r>
      <w:r>
        <w:rPr>
          <w:rFonts w:hint="eastAsia" w:eastAsia="仿宋_GB2312" w:cs="仿宋_GB2312"/>
          <w:color w:val="auto"/>
          <w:kern w:val="2"/>
          <w:sz w:val="32"/>
          <w:szCs w:val="32"/>
          <w:highlight w:val="none"/>
          <w:lang w:val="en-US" w:eastAsia="zh-CN" w:bidi="ar-SA"/>
        </w:rPr>
        <w:t>5.27</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1AAE826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b/>
          <w:color w:val="000000"/>
          <w:sz w:val="32"/>
          <w:szCs w:val="32"/>
        </w:rPr>
      </w:pPr>
      <w:r>
        <w:rPr>
          <w:rStyle w:val="18"/>
          <w:rFonts w:hint="eastAsia" w:ascii="仿宋" w:hAnsi="仿宋" w:eastAsia="仿宋"/>
          <w:color w:val="000000"/>
          <w:sz w:val="32"/>
          <w:szCs w:val="32"/>
          <w:lang w:val="en-US" w:eastAsia="zh-CN"/>
        </w:rPr>
        <w:t>5.</w:t>
      </w:r>
      <w:r>
        <w:rPr>
          <w:rFonts w:hint="eastAsia" w:ascii="仿宋" w:hAnsi="仿宋" w:eastAsia="仿宋"/>
          <w:b/>
          <w:color w:val="000000"/>
          <w:sz w:val="32"/>
          <w:szCs w:val="32"/>
        </w:rPr>
        <w:t>卫生健康</w:t>
      </w:r>
      <w:r>
        <w:rPr>
          <w:rFonts w:hint="eastAsia" w:ascii="仿宋" w:hAnsi="仿宋" w:eastAsia="仿宋"/>
          <w:b/>
          <w:color w:val="000000"/>
          <w:sz w:val="32"/>
          <w:szCs w:val="32"/>
          <w:lang w:eastAsia="zh-CN"/>
        </w:rPr>
        <w:t>支出</w:t>
      </w:r>
      <w:r>
        <w:rPr>
          <w:rStyle w:val="18"/>
          <w:rFonts w:hint="eastAsia" w:ascii="仿宋" w:hAnsi="仿宋" w:eastAsia="仿宋"/>
          <w:color w:val="000000"/>
          <w:sz w:val="32"/>
          <w:szCs w:val="32"/>
        </w:rPr>
        <w:t>（类）</w:t>
      </w:r>
      <w:r>
        <w:rPr>
          <w:rStyle w:val="18"/>
          <w:rFonts w:hint="eastAsia" w:ascii="仿宋" w:hAnsi="仿宋" w:eastAsia="仿宋"/>
          <w:color w:val="000000"/>
          <w:sz w:val="32"/>
          <w:szCs w:val="32"/>
          <w:lang w:eastAsia="zh-CN"/>
        </w:rPr>
        <w:t>行政事业单位医疗</w:t>
      </w:r>
      <w:r>
        <w:rPr>
          <w:rStyle w:val="18"/>
          <w:rFonts w:hint="eastAsia" w:ascii="仿宋" w:hAnsi="仿宋" w:eastAsia="仿宋"/>
          <w:color w:val="000000"/>
          <w:sz w:val="32"/>
          <w:szCs w:val="32"/>
        </w:rPr>
        <w:t>（款）</w:t>
      </w:r>
      <w:r>
        <w:rPr>
          <w:rStyle w:val="18"/>
          <w:rFonts w:hint="eastAsia" w:ascii="仿宋" w:hAnsi="仿宋" w:eastAsia="仿宋"/>
          <w:color w:val="000000"/>
          <w:sz w:val="32"/>
          <w:szCs w:val="32"/>
          <w:lang w:eastAsia="zh-CN"/>
        </w:rPr>
        <w:t>行政单位医疗</w:t>
      </w:r>
      <w:r>
        <w:rPr>
          <w:rStyle w:val="18"/>
          <w:rFonts w:hint="eastAsia" w:ascii="仿宋" w:hAnsi="仿宋" w:eastAsia="仿宋"/>
          <w:color w:val="000000"/>
          <w:sz w:val="32"/>
          <w:szCs w:val="32"/>
        </w:rPr>
        <w:t>（项）</w:t>
      </w:r>
      <w:r>
        <w:rPr>
          <w:rStyle w:val="18"/>
          <w:rFonts w:hint="eastAsia" w:ascii="仿宋" w:hAnsi="仿宋" w:eastAsia="仿宋"/>
          <w:color w:val="000000"/>
          <w:sz w:val="32"/>
          <w:szCs w:val="32"/>
          <w:lang w:eastAsia="zh-CN"/>
        </w:rPr>
        <w:t>：</w:t>
      </w:r>
      <w:r>
        <w:rPr>
          <w:rStyle w:val="18"/>
          <w:rFonts w:hint="eastAsia" w:ascii="仿宋" w:hAnsi="仿宋" w:eastAsia="仿宋"/>
          <w:b w:val="0"/>
          <w:color w:val="000000"/>
          <w:sz w:val="32"/>
          <w:szCs w:val="32"/>
        </w:rPr>
        <w:t>支出决算为</w:t>
      </w:r>
      <w:r>
        <w:rPr>
          <w:rStyle w:val="18"/>
          <w:rFonts w:hint="eastAsia" w:ascii="仿宋" w:hAnsi="仿宋" w:eastAsia="仿宋"/>
          <w:b w:val="0"/>
          <w:color w:val="000000"/>
          <w:sz w:val="32"/>
          <w:szCs w:val="32"/>
          <w:lang w:val="en-US" w:eastAsia="zh-CN"/>
        </w:rPr>
        <w:t>8.52</w:t>
      </w:r>
      <w:r>
        <w:rPr>
          <w:rStyle w:val="18"/>
          <w:rFonts w:hint="eastAsia" w:ascii="仿宋" w:hAnsi="仿宋" w:eastAsia="仿宋"/>
          <w:b w:val="0"/>
          <w:color w:val="000000"/>
          <w:sz w:val="32"/>
          <w:szCs w:val="32"/>
        </w:rPr>
        <w:t>万元，完成预算</w:t>
      </w:r>
      <w:r>
        <w:rPr>
          <w:rStyle w:val="18"/>
          <w:rFonts w:hint="eastAsia" w:ascii="仿宋" w:hAnsi="仿宋" w:eastAsia="仿宋"/>
          <w:b w:val="0"/>
          <w:color w:val="000000"/>
          <w:sz w:val="32"/>
          <w:szCs w:val="32"/>
          <w:lang w:val="en-US" w:eastAsia="zh-CN"/>
        </w:rPr>
        <w:t>100</w:t>
      </w:r>
      <w:r>
        <w:rPr>
          <w:rStyle w:val="18"/>
          <w:rFonts w:hint="eastAsia" w:ascii="仿宋" w:hAnsi="仿宋" w:eastAsia="仿宋"/>
          <w:b w:val="0"/>
          <w:color w:val="000000"/>
          <w:sz w:val="32"/>
          <w:szCs w:val="32"/>
        </w:rPr>
        <w:t>%</w:t>
      </w:r>
      <w:r>
        <w:rPr>
          <w:rStyle w:val="18"/>
          <w:rFonts w:hint="eastAsia" w:ascii="仿宋" w:hAnsi="仿宋" w:eastAsia="仿宋"/>
          <w:b w:val="0"/>
          <w:color w:val="000000"/>
          <w:sz w:val="32"/>
          <w:szCs w:val="32"/>
          <w:lang w:eastAsia="zh-CN"/>
        </w:rPr>
        <w:t>，</w:t>
      </w:r>
      <w:r>
        <w:rPr>
          <w:rStyle w:val="18"/>
          <w:rFonts w:hint="eastAsia" w:ascii="仿宋" w:hAnsi="仿宋" w:eastAsia="仿宋"/>
          <w:b w:val="0"/>
          <w:color w:val="000000"/>
          <w:sz w:val="32"/>
          <w:szCs w:val="32"/>
          <w:lang w:val="en-US" w:eastAsia="zh-CN"/>
        </w:rPr>
        <w:t>决算数与预算数持平</w:t>
      </w:r>
      <w:r>
        <w:rPr>
          <w:rStyle w:val="18"/>
          <w:rFonts w:hint="eastAsia" w:ascii="仿宋" w:hAnsi="仿宋" w:eastAsia="仿宋"/>
          <w:b w:val="0"/>
          <w:color w:val="000000"/>
          <w:sz w:val="32"/>
          <w:szCs w:val="32"/>
        </w:rPr>
        <w:t>。</w:t>
      </w:r>
    </w:p>
    <w:p w14:paraId="3697045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Style w:val="18"/>
          <w:rFonts w:hint="eastAsia" w:ascii="仿宋" w:hAnsi="仿宋" w:eastAsia="仿宋"/>
          <w:b w:val="0"/>
          <w:color w:val="000000"/>
          <w:sz w:val="32"/>
          <w:szCs w:val="32"/>
        </w:rPr>
      </w:pPr>
      <w:r>
        <w:rPr>
          <w:rStyle w:val="18"/>
          <w:rFonts w:hint="eastAsia" w:ascii="仿宋" w:hAnsi="仿宋" w:eastAsia="仿宋"/>
          <w:color w:val="000000"/>
          <w:sz w:val="32"/>
          <w:szCs w:val="32"/>
          <w:lang w:val="en-US" w:eastAsia="zh-CN"/>
        </w:rPr>
        <w:t>6</w:t>
      </w:r>
      <w:r>
        <w:rPr>
          <w:rStyle w:val="18"/>
          <w:rFonts w:hint="eastAsia" w:ascii="仿宋" w:hAnsi="仿宋" w:eastAsia="仿宋"/>
          <w:color w:val="000000"/>
          <w:sz w:val="32"/>
          <w:szCs w:val="32"/>
        </w:rPr>
        <w:t>.</w:t>
      </w:r>
      <w:r>
        <w:rPr>
          <w:rFonts w:hint="eastAsia" w:ascii="仿宋" w:hAnsi="仿宋" w:eastAsia="仿宋"/>
          <w:b/>
          <w:color w:val="000000"/>
          <w:sz w:val="32"/>
          <w:szCs w:val="32"/>
        </w:rPr>
        <w:t>卫生健康</w:t>
      </w:r>
      <w:r>
        <w:rPr>
          <w:rFonts w:hint="eastAsia" w:ascii="仿宋" w:hAnsi="仿宋" w:eastAsia="仿宋"/>
          <w:b/>
          <w:color w:val="000000"/>
          <w:sz w:val="32"/>
          <w:szCs w:val="32"/>
          <w:lang w:eastAsia="zh-CN"/>
        </w:rPr>
        <w:t>支出</w:t>
      </w:r>
      <w:r>
        <w:rPr>
          <w:rStyle w:val="18"/>
          <w:rFonts w:hint="eastAsia" w:ascii="仿宋" w:hAnsi="仿宋" w:eastAsia="仿宋"/>
          <w:color w:val="000000"/>
          <w:sz w:val="32"/>
          <w:szCs w:val="32"/>
        </w:rPr>
        <w:t>（类）</w:t>
      </w:r>
      <w:r>
        <w:rPr>
          <w:rStyle w:val="18"/>
          <w:rFonts w:hint="eastAsia" w:ascii="仿宋" w:hAnsi="仿宋" w:eastAsia="仿宋"/>
          <w:color w:val="000000"/>
          <w:sz w:val="32"/>
          <w:szCs w:val="32"/>
          <w:lang w:eastAsia="zh-CN"/>
        </w:rPr>
        <w:t>医疗救助</w:t>
      </w:r>
      <w:r>
        <w:rPr>
          <w:rStyle w:val="18"/>
          <w:rFonts w:hint="eastAsia" w:ascii="仿宋" w:hAnsi="仿宋" w:eastAsia="仿宋"/>
          <w:color w:val="000000"/>
          <w:sz w:val="32"/>
          <w:szCs w:val="32"/>
        </w:rPr>
        <w:t>（款）</w:t>
      </w:r>
      <w:r>
        <w:rPr>
          <w:rStyle w:val="18"/>
          <w:rFonts w:hint="eastAsia" w:ascii="仿宋" w:hAnsi="仿宋" w:eastAsia="仿宋"/>
          <w:color w:val="000000"/>
          <w:sz w:val="32"/>
          <w:szCs w:val="32"/>
          <w:lang w:eastAsia="zh-CN"/>
        </w:rPr>
        <w:t>城乡医疗救助</w:t>
      </w:r>
      <w:r>
        <w:rPr>
          <w:rStyle w:val="18"/>
          <w:rFonts w:hint="eastAsia" w:ascii="仿宋" w:hAnsi="仿宋" w:eastAsia="仿宋"/>
          <w:color w:val="000000"/>
          <w:sz w:val="32"/>
          <w:szCs w:val="32"/>
        </w:rPr>
        <w:t>（项）</w:t>
      </w:r>
      <w:r>
        <w:rPr>
          <w:rStyle w:val="18"/>
          <w:rFonts w:hint="eastAsia" w:ascii="仿宋" w:hAnsi="仿宋" w:eastAsia="仿宋"/>
          <w:color w:val="000000"/>
          <w:sz w:val="32"/>
          <w:szCs w:val="32"/>
          <w:lang w:eastAsia="zh-CN"/>
        </w:rPr>
        <w:t>：</w:t>
      </w:r>
      <w:r>
        <w:rPr>
          <w:rStyle w:val="18"/>
          <w:rFonts w:hint="eastAsia" w:ascii="仿宋" w:hAnsi="仿宋" w:eastAsia="仿宋"/>
          <w:b w:val="0"/>
          <w:color w:val="000000"/>
          <w:sz w:val="32"/>
          <w:szCs w:val="32"/>
        </w:rPr>
        <w:t>支出决算为</w:t>
      </w:r>
      <w:r>
        <w:rPr>
          <w:rStyle w:val="18"/>
          <w:rFonts w:hint="eastAsia" w:ascii="仿宋" w:hAnsi="仿宋" w:eastAsia="仿宋"/>
          <w:b w:val="0"/>
          <w:color w:val="000000"/>
          <w:sz w:val="32"/>
          <w:szCs w:val="32"/>
          <w:lang w:val="en-US" w:eastAsia="zh-CN"/>
        </w:rPr>
        <w:t>270.91</w:t>
      </w:r>
      <w:r>
        <w:rPr>
          <w:rStyle w:val="18"/>
          <w:rFonts w:hint="eastAsia" w:ascii="仿宋" w:hAnsi="仿宋" w:eastAsia="仿宋"/>
          <w:b w:val="0"/>
          <w:color w:val="000000"/>
          <w:sz w:val="32"/>
          <w:szCs w:val="32"/>
        </w:rPr>
        <w:t>万元，完成预算</w:t>
      </w:r>
      <w:r>
        <w:rPr>
          <w:rStyle w:val="18"/>
          <w:rFonts w:hint="eastAsia" w:ascii="仿宋" w:hAnsi="仿宋" w:eastAsia="仿宋"/>
          <w:b w:val="0"/>
          <w:color w:val="000000"/>
          <w:sz w:val="32"/>
          <w:szCs w:val="32"/>
          <w:lang w:val="en-US" w:eastAsia="zh-CN"/>
        </w:rPr>
        <w:t>100</w:t>
      </w:r>
      <w:r>
        <w:rPr>
          <w:rStyle w:val="18"/>
          <w:rFonts w:hint="eastAsia" w:ascii="仿宋" w:hAnsi="仿宋" w:eastAsia="仿宋"/>
          <w:b w:val="0"/>
          <w:color w:val="000000"/>
          <w:sz w:val="32"/>
          <w:szCs w:val="32"/>
        </w:rPr>
        <w:t>%</w:t>
      </w:r>
      <w:r>
        <w:rPr>
          <w:rStyle w:val="18"/>
          <w:rFonts w:hint="eastAsia" w:ascii="仿宋" w:hAnsi="仿宋" w:eastAsia="仿宋"/>
          <w:b w:val="0"/>
          <w:color w:val="000000"/>
          <w:sz w:val="32"/>
          <w:szCs w:val="32"/>
          <w:lang w:eastAsia="zh-CN"/>
        </w:rPr>
        <w:t>，</w:t>
      </w:r>
      <w:r>
        <w:rPr>
          <w:rStyle w:val="18"/>
          <w:rFonts w:hint="eastAsia" w:ascii="仿宋" w:hAnsi="仿宋" w:eastAsia="仿宋"/>
          <w:b w:val="0"/>
          <w:color w:val="000000"/>
          <w:sz w:val="32"/>
          <w:szCs w:val="32"/>
          <w:lang w:val="en-US" w:eastAsia="zh-CN"/>
        </w:rPr>
        <w:t>决算数与预算数持平</w:t>
      </w:r>
      <w:r>
        <w:rPr>
          <w:rStyle w:val="18"/>
          <w:rFonts w:hint="eastAsia" w:ascii="仿宋" w:hAnsi="仿宋" w:eastAsia="仿宋"/>
          <w:b w:val="0"/>
          <w:color w:val="000000"/>
          <w:sz w:val="32"/>
          <w:szCs w:val="32"/>
        </w:rPr>
        <w:t>。</w:t>
      </w:r>
    </w:p>
    <w:p w14:paraId="07419B8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sz w:val="32"/>
          <w:szCs w:val="32"/>
        </w:rPr>
      </w:pPr>
      <w:r>
        <w:rPr>
          <w:rStyle w:val="18"/>
          <w:rFonts w:hint="eastAsia" w:ascii="仿宋" w:hAnsi="仿宋" w:eastAsia="仿宋"/>
          <w:color w:val="000000"/>
          <w:sz w:val="32"/>
          <w:szCs w:val="32"/>
          <w:lang w:val="en-US" w:eastAsia="zh-CN"/>
        </w:rPr>
        <w:t>7</w:t>
      </w:r>
      <w:r>
        <w:rPr>
          <w:rStyle w:val="18"/>
          <w:rFonts w:hint="eastAsia" w:ascii="仿宋" w:hAnsi="仿宋" w:eastAsia="仿宋"/>
          <w:color w:val="000000"/>
          <w:sz w:val="32"/>
          <w:szCs w:val="32"/>
        </w:rPr>
        <w:t>.</w:t>
      </w:r>
      <w:r>
        <w:rPr>
          <w:rFonts w:hint="eastAsia" w:ascii="仿宋" w:hAnsi="仿宋" w:eastAsia="仿宋"/>
          <w:b/>
          <w:color w:val="000000"/>
          <w:sz w:val="32"/>
          <w:szCs w:val="32"/>
        </w:rPr>
        <w:t>卫生健康</w:t>
      </w:r>
      <w:r>
        <w:rPr>
          <w:rFonts w:hint="eastAsia" w:ascii="仿宋" w:hAnsi="仿宋" w:eastAsia="仿宋"/>
          <w:b/>
          <w:color w:val="000000"/>
          <w:sz w:val="32"/>
          <w:szCs w:val="32"/>
          <w:lang w:eastAsia="zh-CN"/>
        </w:rPr>
        <w:t>支出</w:t>
      </w:r>
      <w:r>
        <w:rPr>
          <w:rStyle w:val="18"/>
          <w:rFonts w:hint="eastAsia" w:ascii="仿宋" w:hAnsi="仿宋" w:eastAsia="仿宋"/>
          <w:color w:val="000000"/>
          <w:sz w:val="32"/>
          <w:szCs w:val="32"/>
        </w:rPr>
        <w:t>（类）</w:t>
      </w:r>
      <w:r>
        <w:rPr>
          <w:rStyle w:val="18"/>
          <w:rFonts w:hint="eastAsia" w:ascii="仿宋" w:hAnsi="仿宋" w:eastAsia="仿宋"/>
          <w:color w:val="000000"/>
          <w:sz w:val="32"/>
          <w:szCs w:val="32"/>
          <w:lang w:eastAsia="zh-CN"/>
        </w:rPr>
        <w:t>医疗救助</w:t>
      </w:r>
      <w:r>
        <w:rPr>
          <w:rStyle w:val="18"/>
          <w:rFonts w:hint="eastAsia" w:ascii="仿宋" w:hAnsi="仿宋" w:eastAsia="仿宋"/>
          <w:color w:val="000000"/>
          <w:sz w:val="32"/>
          <w:szCs w:val="32"/>
        </w:rPr>
        <w:t>（款）</w:t>
      </w:r>
      <w:r>
        <w:rPr>
          <w:rStyle w:val="18"/>
          <w:rFonts w:hint="eastAsia" w:ascii="仿宋" w:hAnsi="仿宋" w:eastAsia="仿宋"/>
          <w:color w:val="000000"/>
          <w:sz w:val="32"/>
          <w:szCs w:val="32"/>
          <w:lang w:eastAsia="zh-CN"/>
        </w:rPr>
        <w:t>其他医疗救助支出</w:t>
      </w:r>
      <w:r>
        <w:rPr>
          <w:rStyle w:val="18"/>
          <w:rFonts w:hint="eastAsia" w:ascii="仿宋" w:hAnsi="仿宋" w:eastAsia="仿宋"/>
          <w:color w:val="000000"/>
          <w:sz w:val="32"/>
          <w:szCs w:val="32"/>
        </w:rPr>
        <w:t>（项）</w:t>
      </w:r>
      <w:r>
        <w:rPr>
          <w:rStyle w:val="18"/>
          <w:rFonts w:hint="eastAsia" w:ascii="仿宋" w:hAnsi="仿宋" w:eastAsia="仿宋"/>
          <w:color w:val="000000"/>
          <w:sz w:val="32"/>
          <w:szCs w:val="32"/>
          <w:lang w:eastAsia="zh-CN"/>
        </w:rPr>
        <w:t>：</w:t>
      </w:r>
      <w:r>
        <w:rPr>
          <w:rStyle w:val="18"/>
          <w:rFonts w:hint="eastAsia" w:ascii="仿宋" w:hAnsi="仿宋" w:eastAsia="仿宋"/>
          <w:b w:val="0"/>
          <w:color w:val="000000"/>
          <w:sz w:val="32"/>
          <w:szCs w:val="32"/>
        </w:rPr>
        <w:t>支出决算为</w:t>
      </w:r>
      <w:r>
        <w:rPr>
          <w:rStyle w:val="18"/>
          <w:rFonts w:hint="eastAsia" w:ascii="仿宋" w:hAnsi="仿宋" w:eastAsia="仿宋"/>
          <w:b w:val="0"/>
          <w:color w:val="000000"/>
          <w:sz w:val="32"/>
          <w:szCs w:val="32"/>
          <w:lang w:val="en-US" w:eastAsia="zh-CN"/>
        </w:rPr>
        <w:t>27.26</w:t>
      </w:r>
      <w:r>
        <w:rPr>
          <w:rStyle w:val="18"/>
          <w:rFonts w:hint="eastAsia" w:ascii="仿宋" w:hAnsi="仿宋" w:eastAsia="仿宋"/>
          <w:b w:val="0"/>
          <w:color w:val="000000"/>
          <w:sz w:val="32"/>
          <w:szCs w:val="32"/>
        </w:rPr>
        <w:t>万元，完成预算</w:t>
      </w:r>
      <w:r>
        <w:rPr>
          <w:rStyle w:val="18"/>
          <w:rFonts w:hint="eastAsia" w:ascii="仿宋" w:hAnsi="仿宋" w:eastAsia="仿宋"/>
          <w:b w:val="0"/>
          <w:color w:val="000000"/>
          <w:sz w:val="32"/>
          <w:szCs w:val="32"/>
          <w:lang w:val="en-US" w:eastAsia="zh-CN"/>
        </w:rPr>
        <w:t>100</w:t>
      </w:r>
      <w:r>
        <w:rPr>
          <w:rStyle w:val="18"/>
          <w:rFonts w:hint="eastAsia" w:ascii="仿宋" w:hAnsi="仿宋" w:eastAsia="仿宋"/>
          <w:b w:val="0"/>
          <w:color w:val="000000"/>
          <w:sz w:val="32"/>
          <w:szCs w:val="32"/>
        </w:rPr>
        <w:t>%</w:t>
      </w:r>
      <w:r>
        <w:rPr>
          <w:rStyle w:val="18"/>
          <w:rFonts w:hint="eastAsia" w:ascii="仿宋" w:hAnsi="仿宋" w:eastAsia="仿宋"/>
          <w:b w:val="0"/>
          <w:color w:val="000000"/>
          <w:sz w:val="32"/>
          <w:szCs w:val="32"/>
          <w:lang w:eastAsia="zh-CN"/>
        </w:rPr>
        <w:t>，</w:t>
      </w:r>
      <w:r>
        <w:rPr>
          <w:rStyle w:val="18"/>
          <w:rFonts w:hint="eastAsia" w:ascii="仿宋" w:hAnsi="仿宋" w:eastAsia="仿宋"/>
          <w:b w:val="0"/>
          <w:color w:val="000000"/>
          <w:sz w:val="32"/>
          <w:szCs w:val="32"/>
          <w:lang w:val="en-US" w:eastAsia="zh-CN"/>
        </w:rPr>
        <w:t>决算数与预算数持平</w:t>
      </w:r>
      <w:r>
        <w:rPr>
          <w:rStyle w:val="18"/>
          <w:rFonts w:hint="eastAsia" w:ascii="仿宋" w:hAnsi="仿宋" w:eastAsia="仿宋"/>
          <w:b w:val="0"/>
          <w:color w:val="000000"/>
          <w:sz w:val="32"/>
          <w:szCs w:val="32"/>
        </w:rPr>
        <w:t>。医疗保障管理事务</w:t>
      </w:r>
    </w:p>
    <w:p w14:paraId="0676430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Style w:val="18"/>
          <w:rFonts w:hint="eastAsia" w:ascii="仿宋" w:hAnsi="仿宋" w:eastAsia="仿宋"/>
          <w:b w:val="0"/>
          <w:color w:val="000000"/>
          <w:sz w:val="32"/>
          <w:szCs w:val="32"/>
        </w:rPr>
      </w:pPr>
      <w:r>
        <w:rPr>
          <w:rStyle w:val="18"/>
          <w:rFonts w:hint="eastAsia" w:ascii="仿宋" w:hAnsi="仿宋" w:eastAsia="仿宋"/>
          <w:color w:val="000000"/>
          <w:sz w:val="32"/>
          <w:szCs w:val="32"/>
          <w:lang w:val="en-US" w:eastAsia="zh-CN"/>
        </w:rPr>
        <w:t>8</w:t>
      </w:r>
      <w:r>
        <w:rPr>
          <w:rStyle w:val="18"/>
          <w:rFonts w:hint="eastAsia" w:ascii="仿宋" w:hAnsi="仿宋" w:eastAsia="仿宋"/>
          <w:color w:val="000000"/>
          <w:sz w:val="32"/>
          <w:szCs w:val="32"/>
        </w:rPr>
        <w:t>.</w:t>
      </w:r>
      <w:r>
        <w:rPr>
          <w:rFonts w:hint="eastAsia" w:ascii="仿宋" w:hAnsi="仿宋" w:eastAsia="仿宋"/>
          <w:b/>
          <w:color w:val="000000"/>
          <w:sz w:val="32"/>
          <w:szCs w:val="32"/>
        </w:rPr>
        <w:t>卫生健康</w:t>
      </w:r>
      <w:r>
        <w:rPr>
          <w:rFonts w:hint="eastAsia" w:ascii="仿宋" w:hAnsi="仿宋" w:eastAsia="仿宋"/>
          <w:b/>
          <w:color w:val="000000"/>
          <w:sz w:val="32"/>
          <w:szCs w:val="32"/>
          <w:lang w:eastAsia="zh-CN"/>
        </w:rPr>
        <w:t>支出</w:t>
      </w:r>
      <w:r>
        <w:rPr>
          <w:rStyle w:val="18"/>
          <w:rFonts w:hint="eastAsia" w:ascii="仿宋" w:hAnsi="仿宋" w:eastAsia="仿宋"/>
          <w:color w:val="000000"/>
          <w:sz w:val="32"/>
          <w:szCs w:val="32"/>
        </w:rPr>
        <w:t>（类）</w:t>
      </w:r>
      <w:r>
        <w:rPr>
          <w:rStyle w:val="18"/>
          <w:rFonts w:hint="eastAsia" w:ascii="仿宋" w:hAnsi="仿宋" w:eastAsia="仿宋"/>
          <w:color w:val="000000"/>
          <w:sz w:val="32"/>
          <w:szCs w:val="32"/>
          <w:lang w:eastAsia="zh-CN"/>
        </w:rPr>
        <w:t>医疗保障管理事务</w:t>
      </w:r>
      <w:r>
        <w:rPr>
          <w:rStyle w:val="18"/>
          <w:rFonts w:hint="eastAsia" w:ascii="仿宋" w:hAnsi="仿宋" w:eastAsia="仿宋"/>
          <w:color w:val="000000"/>
          <w:sz w:val="32"/>
          <w:szCs w:val="32"/>
        </w:rPr>
        <w:t>（款）</w:t>
      </w:r>
      <w:r>
        <w:rPr>
          <w:rStyle w:val="18"/>
          <w:rFonts w:hint="eastAsia" w:ascii="仿宋" w:hAnsi="仿宋" w:eastAsia="仿宋"/>
          <w:color w:val="000000"/>
          <w:sz w:val="32"/>
          <w:szCs w:val="32"/>
          <w:lang w:eastAsia="zh-CN"/>
        </w:rPr>
        <w:t>医疗保障经办事务</w:t>
      </w:r>
      <w:r>
        <w:rPr>
          <w:rStyle w:val="18"/>
          <w:rFonts w:hint="eastAsia" w:ascii="仿宋" w:hAnsi="仿宋" w:eastAsia="仿宋"/>
          <w:color w:val="000000"/>
          <w:sz w:val="32"/>
          <w:szCs w:val="32"/>
          <w:lang w:val="en-US" w:eastAsia="zh-CN"/>
        </w:rPr>
        <w:t>支出</w:t>
      </w:r>
      <w:r>
        <w:rPr>
          <w:rStyle w:val="18"/>
          <w:rFonts w:hint="eastAsia" w:ascii="仿宋" w:hAnsi="仿宋" w:eastAsia="仿宋"/>
          <w:color w:val="000000"/>
          <w:sz w:val="32"/>
          <w:szCs w:val="32"/>
        </w:rPr>
        <w:t>（项）</w:t>
      </w:r>
      <w:r>
        <w:rPr>
          <w:rStyle w:val="18"/>
          <w:rFonts w:hint="eastAsia" w:ascii="仿宋" w:hAnsi="仿宋" w:eastAsia="仿宋"/>
          <w:color w:val="000000"/>
          <w:sz w:val="32"/>
          <w:szCs w:val="32"/>
          <w:lang w:eastAsia="zh-CN"/>
        </w:rPr>
        <w:t>：</w:t>
      </w:r>
      <w:r>
        <w:rPr>
          <w:rStyle w:val="18"/>
          <w:rFonts w:hint="eastAsia" w:ascii="仿宋" w:hAnsi="仿宋" w:eastAsia="仿宋"/>
          <w:b w:val="0"/>
          <w:color w:val="000000"/>
          <w:sz w:val="32"/>
          <w:szCs w:val="32"/>
        </w:rPr>
        <w:t>支出决算为</w:t>
      </w:r>
      <w:r>
        <w:rPr>
          <w:rStyle w:val="18"/>
          <w:rFonts w:hint="eastAsia" w:ascii="仿宋" w:hAnsi="仿宋" w:eastAsia="仿宋"/>
          <w:b w:val="0"/>
          <w:color w:val="000000"/>
          <w:sz w:val="32"/>
          <w:szCs w:val="32"/>
          <w:lang w:val="en-US" w:eastAsia="zh-CN"/>
        </w:rPr>
        <w:t>10</w:t>
      </w:r>
      <w:r>
        <w:rPr>
          <w:rStyle w:val="18"/>
          <w:rFonts w:hint="eastAsia" w:ascii="仿宋" w:hAnsi="仿宋" w:eastAsia="仿宋"/>
          <w:b w:val="0"/>
          <w:color w:val="000000"/>
          <w:sz w:val="32"/>
          <w:szCs w:val="32"/>
        </w:rPr>
        <w:t>万元，完成预算</w:t>
      </w:r>
      <w:r>
        <w:rPr>
          <w:rStyle w:val="18"/>
          <w:rFonts w:hint="eastAsia" w:ascii="仿宋" w:hAnsi="仿宋" w:eastAsia="仿宋"/>
          <w:b w:val="0"/>
          <w:color w:val="000000"/>
          <w:sz w:val="32"/>
          <w:szCs w:val="32"/>
          <w:lang w:val="en-US" w:eastAsia="zh-CN"/>
        </w:rPr>
        <w:t>100</w:t>
      </w:r>
      <w:r>
        <w:rPr>
          <w:rStyle w:val="18"/>
          <w:rFonts w:hint="eastAsia" w:ascii="仿宋" w:hAnsi="仿宋" w:eastAsia="仿宋"/>
          <w:b w:val="0"/>
          <w:color w:val="000000"/>
          <w:sz w:val="32"/>
          <w:szCs w:val="32"/>
        </w:rPr>
        <w:t>%</w:t>
      </w:r>
      <w:r>
        <w:rPr>
          <w:rStyle w:val="18"/>
          <w:rFonts w:hint="eastAsia" w:ascii="仿宋" w:hAnsi="仿宋" w:eastAsia="仿宋"/>
          <w:b w:val="0"/>
          <w:color w:val="000000"/>
          <w:sz w:val="32"/>
          <w:szCs w:val="32"/>
          <w:lang w:eastAsia="zh-CN"/>
        </w:rPr>
        <w:t>，</w:t>
      </w:r>
      <w:r>
        <w:rPr>
          <w:rStyle w:val="18"/>
          <w:rFonts w:hint="eastAsia" w:ascii="仿宋" w:hAnsi="仿宋" w:eastAsia="仿宋"/>
          <w:b w:val="0"/>
          <w:color w:val="000000"/>
          <w:sz w:val="32"/>
          <w:szCs w:val="32"/>
          <w:lang w:val="en-US" w:eastAsia="zh-CN"/>
        </w:rPr>
        <w:t>决算数与预算数持平</w:t>
      </w:r>
      <w:r>
        <w:rPr>
          <w:rStyle w:val="18"/>
          <w:rFonts w:hint="eastAsia" w:ascii="仿宋" w:hAnsi="仿宋" w:eastAsia="仿宋"/>
          <w:b w:val="0"/>
          <w:color w:val="000000"/>
          <w:sz w:val="32"/>
          <w:szCs w:val="32"/>
        </w:rPr>
        <w:t>。</w:t>
      </w:r>
    </w:p>
    <w:p w14:paraId="0589EA3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Style w:val="18"/>
          <w:rFonts w:hint="eastAsia" w:ascii="仿宋" w:hAnsi="仿宋" w:eastAsia="仿宋"/>
          <w:b w:val="0"/>
          <w:color w:val="000000"/>
          <w:sz w:val="32"/>
          <w:szCs w:val="32"/>
        </w:rPr>
      </w:pPr>
      <w:r>
        <w:rPr>
          <w:rStyle w:val="18"/>
          <w:rFonts w:hint="eastAsia" w:ascii="仿宋" w:hAnsi="仿宋" w:eastAsia="仿宋"/>
          <w:color w:val="000000"/>
          <w:sz w:val="32"/>
          <w:szCs w:val="32"/>
          <w:lang w:val="en-US" w:eastAsia="zh-CN"/>
        </w:rPr>
        <w:t>9</w:t>
      </w:r>
      <w:r>
        <w:rPr>
          <w:rStyle w:val="18"/>
          <w:rFonts w:hint="eastAsia" w:ascii="仿宋" w:hAnsi="仿宋" w:eastAsia="仿宋"/>
          <w:color w:val="000000"/>
          <w:sz w:val="32"/>
          <w:szCs w:val="32"/>
        </w:rPr>
        <w:t>.</w:t>
      </w:r>
      <w:r>
        <w:rPr>
          <w:rFonts w:hint="eastAsia" w:ascii="仿宋" w:hAnsi="仿宋" w:eastAsia="仿宋"/>
          <w:b/>
          <w:color w:val="000000"/>
          <w:sz w:val="32"/>
          <w:szCs w:val="32"/>
          <w:lang w:eastAsia="zh-CN"/>
        </w:rPr>
        <w:t>农林水支出</w:t>
      </w:r>
      <w:r>
        <w:rPr>
          <w:rStyle w:val="18"/>
          <w:rFonts w:hint="eastAsia" w:ascii="仿宋" w:hAnsi="仿宋" w:eastAsia="仿宋"/>
          <w:color w:val="000000"/>
          <w:sz w:val="32"/>
          <w:szCs w:val="32"/>
        </w:rPr>
        <w:t>（类）</w:t>
      </w:r>
      <w:r>
        <w:rPr>
          <w:rStyle w:val="18"/>
          <w:rFonts w:hint="eastAsia" w:ascii="仿宋" w:hAnsi="仿宋" w:eastAsia="仿宋"/>
          <w:color w:val="000000"/>
          <w:sz w:val="32"/>
          <w:szCs w:val="32"/>
          <w:lang w:eastAsia="zh-CN"/>
        </w:rPr>
        <w:t>巩固脱贫衔接乡村振兴</w:t>
      </w:r>
      <w:r>
        <w:rPr>
          <w:rStyle w:val="18"/>
          <w:rFonts w:hint="eastAsia" w:ascii="仿宋" w:hAnsi="仿宋" w:eastAsia="仿宋"/>
          <w:color w:val="000000"/>
          <w:sz w:val="32"/>
          <w:szCs w:val="32"/>
        </w:rPr>
        <w:t>（款）</w:t>
      </w:r>
      <w:r>
        <w:rPr>
          <w:rStyle w:val="18"/>
          <w:rFonts w:hint="eastAsia" w:ascii="仿宋" w:hAnsi="仿宋" w:eastAsia="仿宋"/>
          <w:color w:val="000000"/>
          <w:sz w:val="32"/>
          <w:szCs w:val="32"/>
          <w:lang w:eastAsia="zh-CN"/>
        </w:rPr>
        <w:t>其他巩固脱贫衔接乡村振兴支出</w:t>
      </w:r>
      <w:r>
        <w:rPr>
          <w:rStyle w:val="18"/>
          <w:rFonts w:hint="eastAsia" w:ascii="仿宋" w:hAnsi="仿宋" w:eastAsia="仿宋"/>
          <w:color w:val="000000"/>
          <w:sz w:val="32"/>
          <w:szCs w:val="32"/>
        </w:rPr>
        <w:t>（项）</w:t>
      </w:r>
      <w:r>
        <w:rPr>
          <w:rStyle w:val="18"/>
          <w:rFonts w:hint="eastAsia" w:ascii="仿宋" w:hAnsi="仿宋" w:eastAsia="仿宋"/>
          <w:color w:val="000000"/>
          <w:sz w:val="32"/>
          <w:szCs w:val="32"/>
          <w:lang w:eastAsia="zh-CN"/>
        </w:rPr>
        <w:t>：</w:t>
      </w:r>
      <w:r>
        <w:rPr>
          <w:rStyle w:val="18"/>
          <w:rFonts w:hint="eastAsia" w:ascii="仿宋" w:hAnsi="仿宋" w:eastAsia="仿宋"/>
          <w:b w:val="0"/>
          <w:color w:val="000000"/>
          <w:sz w:val="32"/>
          <w:szCs w:val="32"/>
        </w:rPr>
        <w:t>支出决算为</w:t>
      </w:r>
      <w:r>
        <w:rPr>
          <w:rStyle w:val="18"/>
          <w:rFonts w:hint="eastAsia" w:ascii="仿宋" w:hAnsi="仿宋" w:eastAsia="仿宋"/>
          <w:b w:val="0"/>
          <w:color w:val="000000"/>
          <w:sz w:val="32"/>
          <w:szCs w:val="32"/>
          <w:lang w:val="en-US" w:eastAsia="zh-CN"/>
        </w:rPr>
        <w:t>202.67</w:t>
      </w:r>
      <w:r>
        <w:rPr>
          <w:rStyle w:val="18"/>
          <w:rFonts w:hint="eastAsia" w:ascii="仿宋" w:hAnsi="仿宋" w:eastAsia="仿宋"/>
          <w:b w:val="0"/>
          <w:color w:val="000000"/>
          <w:sz w:val="32"/>
          <w:szCs w:val="32"/>
        </w:rPr>
        <w:t>万元，完成预算</w:t>
      </w:r>
      <w:r>
        <w:rPr>
          <w:rStyle w:val="18"/>
          <w:rFonts w:hint="eastAsia" w:ascii="仿宋" w:hAnsi="仿宋" w:eastAsia="仿宋"/>
          <w:b w:val="0"/>
          <w:color w:val="000000"/>
          <w:sz w:val="32"/>
          <w:szCs w:val="32"/>
          <w:lang w:val="en-US" w:eastAsia="zh-CN"/>
        </w:rPr>
        <w:t>100</w:t>
      </w:r>
      <w:r>
        <w:rPr>
          <w:rStyle w:val="18"/>
          <w:rFonts w:hint="eastAsia" w:ascii="仿宋" w:hAnsi="仿宋" w:eastAsia="仿宋"/>
          <w:b w:val="0"/>
          <w:color w:val="000000"/>
          <w:sz w:val="32"/>
          <w:szCs w:val="32"/>
        </w:rPr>
        <w:t>%</w:t>
      </w:r>
      <w:r>
        <w:rPr>
          <w:rStyle w:val="18"/>
          <w:rFonts w:hint="eastAsia" w:ascii="仿宋" w:hAnsi="仿宋" w:eastAsia="仿宋"/>
          <w:b w:val="0"/>
          <w:color w:val="000000"/>
          <w:sz w:val="32"/>
          <w:szCs w:val="32"/>
          <w:lang w:eastAsia="zh-CN"/>
        </w:rPr>
        <w:t>，</w:t>
      </w:r>
      <w:r>
        <w:rPr>
          <w:rStyle w:val="18"/>
          <w:rFonts w:hint="eastAsia" w:ascii="仿宋" w:hAnsi="仿宋" w:eastAsia="仿宋"/>
          <w:b w:val="0"/>
          <w:color w:val="000000"/>
          <w:sz w:val="32"/>
          <w:szCs w:val="32"/>
          <w:lang w:val="en-US" w:eastAsia="zh-CN"/>
        </w:rPr>
        <w:t>决算数与预算数持平</w:t>
      </w:r>
      <w:r>
        <w:rPr>
          <w:rStyle w:val="18"/>
          <w:rFonts w:hint="eastAsia" w:ascii="仿宋" w:hAnsi="仿宋" w:eastAsia="仿宋"/>
          <w:b w:val="0"/>
          <w:color w:val="000000"/>
          <w:sz w:val="32"/>
          <w:szCs w:val="32"/>
        </w:rPr>
        <w:t>。</w:t>
      </w:r>
    </w:p>
    <w:p w14:paraId="5DD7357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Style w:val="18"/>
          <w:rFonts w:hint="eastAsia" w:ascii="仿宋" w:hAnsi="仿宋" w:eastAsia="仿宋"/>
          <w:color w:val="000000"/>
          <w:sz w:val="32"/>
          <w:szCs w:val="32"/>
          <w:lang w:val="en-US" w:eastAsia="zh-CN"/>
        </w:rPr>
        <w:t>10</w:t>
      </w:r>
      <w:r>
        <w:rPr>
          <w:rStyle w:val="18"/>
          <w:rFonts w:hint="eastAsia" w:ascii="仿宋" w:hAnsi="仿宋" w:eastAsia="仿宋"/>
          <w:color w:val="000000"/>
          <w:sz w:val="32"/>
          <w:szCs w:val="32"/>
        </w:rPr>
        <w:t>.</w:t>
      </w:r>
      <w:r>
        <w:rPr>
          <w:rFonts w:hint="eastAsia" w:ascii="仿宋" w:hAnsi="仿宋" w:eastAsia="仿宋"/>
          <w:b/>
          <w:color w:val="000000"/>
          <w:sz w:val="32"/>
          <w:szCs w:val="32"/>
          <w:lang w:eastAsia="zh-CN"/>
        </w:rPr>
        <w:t>住房保障支出</w:t>
      </w:r>
      <w:r>
        <w:rPr>
          <w:rStyle w:val="18"/>
          <w:rFonts w:hint="eastAsia" w:ascii="仿宋" w:hAnsi="仿宋" w:eastAsia="仿宋"/>
          <w:color w:val="000000"/>
          <w:sz w:val="32"/>
          <w:szCs w:val="32"/>
        </w:rPr>
        <w:t>（类）</w:t>
      </w:r>
      <w:r>
        <w:rPr>
          <w:rStyle w:val="18"/>
          <w:rFonts w:hint="eastAsia" w:ascii="仿宋" w:hAnsi="仿宋" w:eastAsia="仿宋"/>
          <w:color w:val="000000"/>
          <w:sz w:val="32"/>
          <w:szCs w:val="32"/>
          <w:lang w:eastAsia="zh-CN"/>
        </w:rPr>
        <w:t>住房改革支出</w:t>
      </w:r>
      <w:r>
        <w:rPr>
          <w:rStyle w:val="18"/>
          <w:rFonts w:hint="eastAsia" w:ascii="仿宋" w:hAnsi="仿宋" w:eastAsia="仿宋"/>
          <w:color w:val="000000"/>
          <w:sz w:val="32"/>
          <w:szCs w:val="32"/>
        </w:rPr>
        <w:t>（款）</w:t>
      </w:r>
      <w:r>
        <w:rPr>
          <w:rStyle w:val="18"/>
          <w:rFonts w:hint="eastAsia" w:ascii="仿宋" w:hAnsi="仿宋" w:eastAsia="仿宋"/>
          <w:color w:val="000000"/>
          <w:sz w:val="32"/>
          <w:szCs w:val="32"/>
          <w:lang w:eastAsia="zh-CN"/>
        </w:rPr>
        <w:t>住房公积金</w:t>
      </w:r>
      <w:r>
        <w:rPr>
          <w:rStyle w:val="18"/>
          <w:rFonts w:hint="eastAsia" w:ascii="仿宋" w:hAnsi="仿宋" w:eastAsia="仿宋"/>
          <w:color w:val="000000"/>
          <w:sz w:val="32"/>
          <w:szCs w:val="32"/>
        </w:rPr>
        <w:t>（项）</w:t>
      </w:r>
      <w:r>
        <w:rPr>
          <w:rStyle w:val="18"/>
          <w:rFonts w:hint="eastAsia" w:ascii="仿宋" w:hAnsi="仿宋" w:eastAsia="仿宋"/>
          <w:color w:val="000000"/>
          <w:sz w:val="32"/>
          <w:szCs w:val="32"/>
          <w:lang w:eastAsia="zh-CN"/>
        </w:rPr>
        <w:t>：</w:t>
      </w:r>
      <w:r>
        <w:rPr>
          <w:rStyle w:val="18"/>
          <w:rFonts w:hint="eastAsia" w:ascii="仿宋" w:hAnsi="仿宋" w:eastAsia="仿宋"/>
          <w:b w:val="0"/>
          <w:color w:val="000000"/>
          <w:sz w:val="32"/>
          <w:szCs w:val="32"/>
        </w:rPr>
        <w:t>支出决算为</w:t>
      </w:r>
      <w:r>
        <w:rPr>
          <w:rStyle w:val="18"/>
          <w:rFonts w:hint="eastAsia" w:ascii="仿宋" w:hAnsi="仿宋" w:eastAsia="仿宋"/>
          <w:b w:val="0"/>
          <w:color w:val="000000"/>
          <w:sz w:val="32"/>
          <w:szCs w:val="32"/>
          <w:lang w:val="en-US" w:eastAsia="zh-CN"/>
        </w:rPr>
        <w:t>27.51</w:t>
      </w:r>
      <w:r>
        <w:rPr>
          <w:rStyle w:val="18"/>
          <w:rFonts w:hint="eastAsia" w:ascii="仿宋" w:hAnsi="仿宋" w:eastAsia="仿宋"/>
          <w:b w:val="0"/>
          <w:color w:val="000000"/>
          <w:sz w:val="32"/>
          <w:szCs w:val="32"/>
        </w:rPr>
        <w:t>万元，完成预算</w:t>
      </w:r>
      <w:r>
        <w:rPr>
          <w:rStyle w:val="18"/>
          <w:rFonts w:hint="eastAsia" w:ascii="仿宋" w:hAnsi="仿宋" w:eastAsia="仿宋"/>
          <w:b w:val="0"/>
          <w:color w:val="000000"/>
          <w:sz w:val="32"/>
          <w:szCs w:val="32"/>
          <w:lang w:val="en-US" w:eastAsia="zh-CN"/>
        </w:rPr>
        <w:t>100</w:t>
      </w:r>
      <w:r>
        <w:rPr>
          <w:rStyle w:val="18"/>
          <w:rFonts w:hint="eastAsia" w:ascii="仿宋" w:hAnsi="仿宋" w:eastAsia="仿宋"/>
          <w:b w:val="0"/>
          <w:color w:val="000000"/>
          <w:sz w:val="32"/>
          <w:szCs w:val="32"/>
        </w:rPr>
        <w:t>%</w:t>
      </w:r>
      <w:r>
        <w:rPr>
          <w:rStyle w:val="18"/>
          <w:rFonts w:hint="eastAsia" w:ascii="仿宋" w:hAnsi="仿宋" w:eastAsia="仿宋"/>
          <w:b w:val="0"/>
          <w:color w:val="000000"/>
          <w:sz w:val="32"/>
          <w:szCs w:val="32"/>
          <w:lang w:eastAsia="zh-CN"/>
        </w:rPr>
        <w:t>，</w:t>
      </w:r>
      <w:r>
        <w:rPr>
          <w:rStyle w:val="18"/>
          <w:rFonts w:hint="eastAsia" w:ascii="仿宋" w:hAnsi="仿宋" w:eastAsia="仿宋"/>
          <w:b w:val="0"/>
          <w:color w:val="000000"/>
          <w:sz w:val="32"/>
          <w:szCs w:val="32"/>
          <w:lang w:val="en-US" w:eastAsia="zh-CN"/>
        </w:rPr>
        <w:t>决算数与预算数持平</w:t>
      </w:r>
      <w:r>
        <w:rPr>
          <w:rStyle w:val="18"/>
          <w:rFonts w:hint="eastAsia" w:ascii="仿宋" w:hAnsi="仿宋" w:eastAsia="仿宋"/>
          <w:b w:val="0"/>
          <w:color w:val="000000"/>
          <w:sz w:val="32"/>
          <w:szCs w:val="32"/>
        </w:rPr>
        <w:t>。</w:t>
      </w:r>
    </w:p>
    <w:p w14:paraId="2B6ED2BC">
      <w:pPr>
        <w:keepNext w:val="0"/>
        <w:keepLines w:val="0"/>
        <w:pageBreakBefore w:val="0"/>
        <w:widowControl w:val="0"/>
        <w:tabs>
          <w:tab w:val="right" w:pos="8306"/>
        </w:tabs>
        <w:kinsoku/>
        <w:wordWrap/>
        <w:overflowPunct/>
        <w:topLinePunct w:val="0"/>
        <w:autoSpaceDE/>
        <w:autoSpaceDN/>
        <w:bidi w:val="0"/>
        <w:adjustRightInd/>
        <w:snapToGrid/>
        <w:spacing w:line="600" w:lineRule="exact"/>
        <w:ind w:firstLine="640" w:firstLineChars="200"/>
        <w:textAlignment w:val="auto"/>
        <w:outlineLvl w:val="1"/>
        <w:rPr>
          <w:rStyle w:val="30"/>
          <w:rFonts w:ascii="Times New Roman" w:hAnsi="Times New Roman"/>
          <w:color w:val="auto"/>
          <w:sz w:val="32"/>
          <w:szCs w:val="32"/>
          <w:highlight w:val="none"/>
        </w:rPr>
      </w:pPr>
      <w:bookmarkStart w:id="36" w:name="_Toc15377214"/>
      <w:bookmarkStart w:id="37" w:name="_Toc15396608"/>
      <w:r>
        <w:rPr>
          <w:rStyle w:val="30"/>
          <w:rFonts w:hint="eastAsia" w:ascii="Times New Roman" w:hAnsi="Times New Roman" w:eastAsia="黑体"/>
          <w:b w:val="0"/>
          <w:color w:val="auto"/>
          <w:sz w:val="32"/>
          <w:szCs w:val="32"/>
          <w:highlight w:val="none"/>
        </w:rPr>
        <w:t>六、一般公共预算财政拨款基本支出决算情况说明</w:t>
      </w:r>
      <w:bookmarkEnd w:id="36"/>
      <w:bookmarkEnd w:id="37"/>
      <w:r>
        <w:rPr>
          <w:rStyle w:val="30"/>
          <w:rFonts w:ascii="Times New Roman" w:hAnsi="Times New Roman" w:eastAsia="黑体"/>
          <w:b w:val="0"/>
          <w:color w:val="auto"/>
          <w:sz w:val="32"/>
          <w:szCs w:val="32"/>
          <w:highlight w:val="none"/>
        </w:rPr>
        <w:tab/>
      </w:r>
    </w:p>
    <w:p w14:paraId="79DA2AE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eastAsia="仿宋_GB2312" w:cs="仿宋_GB2312"/>
          <w:color w:val="auto"/>
          <w:sz w:val="32"/>
          <w:szCs w:val="32"/>
          <w:highlight w:val="none"/>
          <w:lang w:val="en-US" w:eastAsia="zh-CN"/>
        </w:rPr>
        <w:t>382.34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64BADD9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eastAsia="仿宋_GB2312" w:cs="仿宋_GB2312"/>
          <w:color w:val="auto"/>
          <w:kern w:val="2"/>
          <w:sz w:val="32"/>
          <w:szCs w:val="32"/>
          <w:highlight w:val="none"/>
          <w:lang w:val="en-US" w:eastAsia="zh-CN" w:bidi="ar-SA"/>
        </w:rPr>
        <w:t>315.44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eastAsia="仿宋_GB2312" w:cs="仿宋_GB2312"/>
          <w:color w:val="auto"/>
          <w:sz w:val="32"/>
          <w:szCs w:val="32"/>
          <w:highlight w:val="none"/>
          <w:lang w:val="en-US" w:eastAsia="zh-CN"/>
        </w:rPr>
        <w:t>56.9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053B502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Style w:val="30"/>
          <w:rFonts w:ascii="Times New Roman" w:hAnsi="Times New Roman" w:eastAsia="黑体"/>
          <w:b w:val="0"/>
          <w:color w:val="auto"/>
          <w:sz w:val="32"/>
          <w:szCs w:val="32"/>
          <w:highlight w:val="none"/>
        </w:rPr>
      </w:pPr>
      <w:bookmarkStart w:id="38" w:name="_Toc15377215"/>
      <w:bookmarkStart w:id="39" w:name="_Toc15396609"/>
      <w:r>
        <w:rPr>
          <w:rFonts w:hint="eastAsia" w:ascii="Times New Roman" w:hAnsi="Times New Roman" w:eastAsia="黑体"/>
          <w:color w:val="auto"/>
          <w:sz w:val="32"/>
          <w:szCs w:val="32"/>
          <w:highlight w:val="none"/>
        </w:rPr>
        <w:t>七、</w:t>
      </w:r>
      <w:r>
        <w:rPr>
          <w:rStyle w:val="30"/>
          <w:rFonts w:hint="eastAsia" w:ascii="Times New Roman" w:hAnsi="Times New Roman" w:eastAsia="黑体"/>
          <w:b w:val="0"/>
          <w:color w:val="auto"/>
          <w:sz w:val="32"/>
          <w:szCs w:val="32"/>
          <w:highlight w:val="none"/>
        </w:rPr>
        <w:t>财政拨款</w:t>
      </w:r>
      <w:r>
        <w:rPr>
          <w:rStyle w:val="30"/>
          <w:rFonts w:hint="eastAsia" w:ascii="Times New Roman" w:hAnsi="Times New Roman" w:eastAsia="黑体"/>
          <w:color w:val="auto"/>
          <w:sz w:val="32"/>
          <w:szCs w:val="32"/>
          <w:highlight w:val="none"/>
        </w:rPr>
        <w:t>“</w:t>
      </w:r>
      <w:r>
        <w:rPr>
          <w:rStyle w:val="30"/>
          <w:rFonts w:hint="eastAsia" w:ascii="Times New Roman" w:hAnsi="Times New Roman" w:eastAsia="黑体"/>
          <w:b w:val="0"/>
          <w:color w:val="auto"/>
          <w:sz w:val="32"/>
          <w:szCs w:val="32"/>
          <w:highlight w:val="none"/>
        </w:rPr>
        <w:t>三公”经费支出决算情况说明</w:t>
      </w:r>
      <w:bookmarkEnd w:id="38"/>
      <w:bookmarkEnd w:id="39"/>
    </w:p>
    <w:p w14:paraId="57BB5F1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40"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40"/>
    </w:p>
    <w:p w14:paraId="3B8DA27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eastAsia="仿宋_GB2312" w:cs="仿宋_GB2312"/>
          <w:color w:val="auto"/>
          <w:sz w:val="32"/>
          <w:szCs w:val="32"/>
          <w:highlight w:val="none"/>
          <w:lang w:val="en-US" w:eastAsia="zh-CN"/>
        </w:rPr>
        <w:t>0.06</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eastAsia="仿宋_GB2312" w:cs="仿宋_GB2312"/>
          <w:color w:val="auto"/>
          <w:sz w:val="32"/>
          <w:szCs w:val="32"/>
          <w:highlight w:val="none"/>
          <w:lang w:val="en-US" w:eastAsia="zh-CN"/>
        </w:rPr>
        <w:t>12</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较上年度减少</w:t>
      </w:r>
      <w:r>
        <w:rPr>
          <w:rFonts w:hint="eastAsia" w:eastAsia="仿宋_GB2312" w:cs="仿宋_GB2312"/>
          <w:color w:val="auto"/>
          <w:kern w:val="2"/>
          <w:sz w:val="32"/>
          <w:szCs w:val="32"/>
          <w:highlight w:val="none"/>
          <w:lang w:val="en-US" w:eastAsia="zh-CN" w:bidi="ar-SA"/>
        </w:rPr>
        <w:t>0.44</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88</w:t>
      </w:r>
      <w:r>
        <w:rPr>
          <w:rFonts w:hint="eastAsia" w:ascii="Times New Roman" w:hAnsi="Times New Roman" w:eastAsia="仿宋_GB2312" w:cs="仿宋_GB2312"/>
          <w:color w:val="auto"/>
          <w:kern w:val="2"/>
          <w:sz w:val="32"/>
          <w:szCs w:val="32"/>
          <w:highlight w:val="none"/>
          <w:lang w:val="en-US" w:eastAsia="zh-CN" w:bidi="ar-SA"/>
        </w:rPr>
        <w:t>%。决算数小于预算数的主要原因是</w:t>
      </w:r>
      <w:r>
        <w:rPr>
          <w:rFonts w:hint="eastAsia" w:eastAsia="仿宋_GB2312" w:cs="仿宋_GB2312"/>
          <w:color w:val="auto"/>
          <w:kern w:val="2"/>
          <w:sz w:val="32"/>
          <w:szCs w:val="32"/>
          <w:highlight w:val="none"/>
          <w:lang w:val="en-US" w:eastAsia="zh-CN" w:bidi="ar-SA"/>
        </w:rPr>
        <w:t>减少接待次数。</w:t>
      </w:r>
    </w:p>
    <w:p w14:paraId="5563743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41"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41"/>
    </w:p>
    <w:p w14:paraId="3B868C1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，占0%；公务用车购置及运行维护费支出决算</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eastAsia="仿宋_GB2312" w:cs="仿宋_GB2312"/>
          <w:color w:val="auto"/>
          <w:sz w:val="32"/>
          <w:szCs w:val="32"/>
          <w:highlight w:val="none"/>
          <w:lang w:val="en-US" w:eastAsia="zh-CN"/>
        </w:rPr>
        <w:t>0.06</w:t>
      </w:r>
      <w:r>
        <w:rPr>
          <w:rFonts w:hint="eastAsia" w:ascii="仿宋_GB2312" w:hAnsi="仿宋_GB2312" w:eastAsia="仿宋_GB2312" w:cs="仿宋_GB2312"/>
          <w:color w:val="auto"/>
          <w:kern w:val="2"/>
          <w:sz w:val="32"/>
          <w:szCs w:val="32"/>
          <w:highlight w:val="none"/>
          <w:lang w:val="en-US" w:eastAsia="zh-CN" w:bidi="ar-SA"/>
        </w:rPr>
        <w:t>万元，占12%。具体情况如下：</w:t>
      </w:r>
    </w:p>
    <w:p w14:paraId="1CBF0526">
      <w:pPr>
        <w:pStyle w:val="2"/>
        <w:rPr>
          <w:rFonts w:hint="eastAsia" w:ascii="仿宋_GB2312" w:hAnsi="仿宋_GB2312" w:eastAsia="仿宋_GB2312" w:cs="仿宋_GB2312"/>
          <w:color w:val="auto"/>
          <w:kern w:val="2"/>
          <w:sz w:val="32"/>
          <w:szCs w:val="32"/>
          <w:highlight w:val="none"/>
          <w:lang w:val="en-US" w:eastAsia="zh-CN" w:bidi="ar-SA"/>
        </w:rPr>
      </w:pPr>
    </w:p>
    <w:p w14:paraId="396D1AA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anchor distT="0" distB="0" distL="114300" distR="114300" simplePos="0" relativeHeight="251663360" behindDoc="0" locked="0" layoutInCell="1" allowOverlap="1">
            <wp:simplePos x="0" y="0"/>
            <wp:positionH relativeFrom="column">
              <wp:posOffset>20955</wp:posOffset>
            </wp:positionH>
            <wp:positionV relativeFrom="paragraph">
              <wp:posOffset>264795</wp:posOffset>
            </wp:positionV>
            <wp:extent cx="5256530" cy="2486660"/>
            <wp:effectExtent l="4445" t="4445" r="15875" b="23495"/>
            <wp:wrapNone/>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5B02F2F3">
      <w:pPr>
        <w:pStyle w:val="2"/>
        <w:rPr>
          <w:rFonts w:hint="eastAsia"/>
          <w:lang w:val="en-US" w:eastAsia="zh-CN"/>
        </w:rPr>
      </w:pPr>
    </w:p>
    <w:p w14:paraId="4C7FF36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841EA0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75F6B4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DB8E99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A60343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C5B8B4F">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14:paraId="5A088509">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14:paraId="3E876ADD">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w:t>
      </w:r>
      <w:r>
        <w:rPr>
          <w:rFonts w:hint="eastAsia" w:eastAsia="仿宋_GB2312" w:cs="仿宋_GB2312"/>
          <w:color w:val="auto"/>
          <w:kern w:val="2"/>
          <w:sz w:val="32"/>
          <w:szCs w:val="32"/>
          <w:highlight w:val="none"/>
          <w:lang w:val="en-US" w:eastAsia="zh-CN" w:bidi="ar-SA"/>
        </w:rPr>
        <w:t>持平。</w:t>
      </w:r>
    </w:p>
    <w:p w14:paraId="384B0015">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b/>
          <w:bCs/>
          <w:color w:val="auto"/>
          <w:kern w:val="2"/>
          <w:sz w:val="32"/>
          <w:szCs w:val="32"/>
          <w:highlight w:val="none"/>
          <w:lang w:val="en-US" w:eastAsia="zh-CN" w:bidi="ar-SA"/>
        </w:rPr>
        <w:t>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w:t>
      </w:r>
      <w:r>
        <w:rPr>
          <w:rFonts w:hint="eastAsia" w:eastAsia="仿宋_GB2312" w:cs="仿宋_GB2312"/>
          <w:color w:val="auto"/>
          <w:kern w:val="2"/>
          <w:sz w:val="32"/>
          <w:szCs w:val="32"/>
          <w:highlight w:val="none"/>
          <w:lang w:val="en-US" w:eastAsia="zh-CN" w:bidi="ar-SA"/>
        </w:rPr>
        <w:t>持平。</w:t>
      </w:r>
    </w:p>
    <w:p w14:paraId="58909C9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Times New Roman" w:hAnsi="Times New Roman" w:eastAsia="仿宋_GB2312" w:cs="仿宋_GB2312"/>
          <w:color w:val="auto"/>
          <w:kern w:val="2"/>
          <w:sz w:val="32"/>
          <w:szCs w:val="32"/>
          <w:highlight w:val="none"/>
          <w:lang w:val="en-US" w:eastAsia="zh-CN" w:bidi="ar-SA"/>
        </w:rPr>
        <w:t>。全年按规定更新购置公务用车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w:t>
      </w:r>
    </w:p>
    <w:p w14:paraId="19A75A4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截至2024年12月31日，单位共有公务用车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26536A4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kern w:val="2"/>
          <w:sz w:val="32"/>
          <w:szCs w:val="32"/>
          <w:highlight w:val="none"/>
          <w:lang w:val="en-US" w:eastAsia="zh-CN" w:bidi="ar-SA"/>
        </w:rPr>
        <w:t>万元。</w:t>
      </w:r>
    </w:p>
    <w:p w14:paraId="77A7C72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eastAsia="仿宋_GB2312" w:cs="仿宋_GB2312"/>
          <w:color w:val="auto"/>
          <w:sz w:val="32"/>
          <w:szCs w:val="32"/>
          <w:highlight w:val="none"/>
          <w:lang w:val="en-US" w:eastAsia="zh-CN"/>
        </w:rPr>
        <w:t>0.06</w:t>
      </w:r>
      <w:r>
        <w:rPr>
          <w:rFonts w:hint="eastAsia" w:ascii="仿宋_GB2312" w:hAnsi="仿宋_GB2312" w:eastAsia="仿宋_GB2312" w:cs="仿宋_GB2312"/>
          <w:b/>
          <w:bCs/>
          <w:color w:val="auto"/>
          <w:kern w:val="2"/>
          <w:sz w:val="32"/>
          <w:szCs w:val="32"/>
          <w:highlight w:val="none"/>
          <w:lang w:val="en-US" w:eastAsia="zh-CN" w:bidi="ar-SA"/>
        </w:rPr>
        <w:t>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12</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公务接待费支出决算比2023年度减少</w:t>
      </w:r>
      <w:r>
        <w:rPr>
          <w:rFonts w:hint="eastAsia" w:eastAsia="仿宋_GB2312" w:cs="仿宋_GB2312"/>
          <w:color w:val="auto"/>
          <w:kern w:val="2"/>
          <w:sz w:val="32"/>
          <w:szCs w:val="32"/>
          <w:highlight w:val="none"/>
          <w:lang w:val="en-US" w:eastAsia="zh-CN" w:bidi="ar-SA"/>
        </w:rPr>
        <w:t>0.73</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92.4</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接待减少</w:t>
      </w:r>
      <w:r>
        <w:rPr>
          <w:rFonts w:hint="eastAsia" w:ascii="Times New Roman" w:hAnsi="Times New Roman" w:eastAsia="仿宋_GB2312" w:cs="仿宋_GB2312"/>
          <w:color w:val="auto"/>
          <w:kern w:val="2"/>
          <w:sz w:val="32"/>
          <w:szCs w:val="32"/>
          <w:highlight w:val="none"/>
          <w:lang w:val="en-US" w:eastAsia="zh-CN" w:bidi="ar-SA"/>
        </w:rPr>
        <w:t>。</w:t>
      </w:r>
    </w:p>
    <w:p w14:paraId="724A4FC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eastAsia="仿宋_GB2312" w:cs="仿宋_GB2312"/>
          <w:color w:val="auto"/>
          <w:sz w:val="32"/>
          <w:szCs w:val="32"/>
          <w:highlight w:val="none"/>
          <w:lang w:val="en-US" w:eastAsia="zh-CN"/>
        </w:rPr>
        <w:t>0.06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eastAsia="仿宋_GB2312" w:cs="仿宋_GB2312"/>
          <w:color w:val="auto"/>
          <w:sz w:val="32"/>
          <w:szCs w:val="32"/>
          <w:highlight w:val="none"/>
          <w:lang w:val="en-US" w:eastAsia="zh-CN"/>
        </w:rPr>
        <w:t>1</w:t>
      </w:r>
      <w:r>
        <w:rPr>
          <w:rFonts w:hint="eastAsia" w:ascii="仿宋_GB2312" w:hAnsi="仿宋_GB2312" w:eastAsia="仿宋_GB2312" w:cs="仿宋_GB2312"/>
          <w:color w:val="auto"/>
          <w:kern w:val="2"/>
          <w:sz w:val="32"/>
          <w:szCs w:val="32"/>
          <w:highlight w:val="none"/>
          <w:lang w:val="en-US" w:eastAsia="zh-CN" w:bidi="ar-SA"/>
        </w:rPr>
        <w:t>批次，</w:t>
      </w:r>
      <w:r>
        <w:rPr>
          <w:rFonts w:hint="eastAsia" w:eastAsia="仿宋_GB2312" w:cs="仿宋_GB2312"/>
          <w:color w:val="auto"/>
          <w:sz w:val="32"/>
          <w:szCs w:val="32"/>
          <w:highlight w:val="none"/>
          <w:lang w:val="en-US" w:eastAsia="zh-CN"/>
        </w:rPr>
        <w:t>5</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0.06</w:t>
      </w:r>
      <w:r>
        <w:rPr>
          <w:rFonts w:hint="eastAsia" w:ascii="Times New Roman" w:hAnsi="Times New Roman" w:eastAsia="仿宋_GB2312" w:cs="仿宋_GB2312"/>
          <w:color w:val="auto"/>
          <w:kern w:val="2"/>
          <w:sz w:val="32"/>
          <w:szCs w:val="32"/>
          <w:highlight w:val="none"/>
          <w:lang w:val="en-US" w:eastAsia="zh-CN" w:bidi="ar-SA"/>
        </w:rPr>
        <w:t>万元，具体内容包括：</w:t>
      </w:r>
      <w:r>
        <w:rPr>
          <w:rFonts w:hint="eastAsia" w:eastAsia="仿宋_GB2312" w:cs="仿宋_GB2312"/>
          <w:color w:val="auto"/>
          <w:kern w:val="2"/>
          <w:sz w:val="32"/>
          <w:szCs w:val="32"/>
          <w:highlight w:val="none"/>
          <w:lang w:val="en-US" w:eastAsia="zh-CN" w:bidi="ar-SA"/>
        </w:rPr>
        <w:t>市医保局领导到峨边开展工作指导0.06万元</w:t>
      </w:r>
      <w:r>
        <w:rPr>
          <w:rFonts w:hint="eastAsia" w:ascii="Times New Roman" w:hAnsi="Times New Roman" w:eastAsia="仿宋_GB2312" w:cs="仿宋_GB2312"/>
          <w:color w:val="auto"/>
          <w:kern w:val="2"/>
          <w:sz w:val="32"/>
          <w:szCs w:val="32"/>
          <w:highlight w:val="none"/>
          <w:lang w:val="en-US" w:eastAsia="zh-CN" w:bidi="ar-SA"/>
        </w:rPr>
        <w:t>。</w:t>
      </w:r>
    </w:p>
    <w:p w14:paraId="54C6BFD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，共计支出0万</w:t>
      </w:r>
      <w:r>
        <w:rPr>
          <w:rFonts w:hint="eastAsia" w:ascii="Times New Roman" w:hAnsi="Times New Roman" w:eastAsia="仿宋_GB2312" w:cs="仿宋_GB2312"/>
          <w:color w:val="auto"/>
          <w:kern w:val="2"/>
          <w:sz w:val="32"/>
          <w:szCs w:val="32"/>
          <w:highlight w:val="none"/>
          <w:lang w:val="en-US" w:eastAsia="zh-CN" w:bidi="ar-SA"/>
        </w:rPr>
        <w:t>元。</w:t>
      </w:r>
    </w:p>
    <w:p w14:paraId="00038A26">
      <w:pPr>
        <w:spacing w:line="600" w:lineRule="exact"/>
        <w:ind w:firstLine="640" w:firstLineChars="200"/>
        <w:outlineLvl w:val="1"/>
        <w:rPr>
          <w:rStyle w:val="30"/>
          <w:rFonts w:ascii="Times New Roman" w:hAnsi="Times New Roman" w:eastAsia="黑体"/>
          <w:color w:val="auto"/>
          <w:highlight w:val="none"/>
        </w:rPr>
      </w:pPr>
      <w:bookmarkStart w:id="42" w:name="_Toc15377218"/>
      <w:bookmarkStart w:id="43" w:name="_Toc15396610"/>
      <w:r>
        <w:rPr>
          <w:rFonts w:hint="eastAsia" w:ascii="Times New Roman" w:hAnsi="Times New Roman" w:eastAsia="黑体"/>
          <w:color w:val="auto"/>
          <w:sz w:val="32"/>
          <w:szCs w:val="32"/>
          <w:highlight w:val="none"/>
        </w:rPr>
        <w:t>八、</w:t>
      </w:r>
      <w:r>
        <w:rPr>
          <w:rStyle w:val="30"/>
          <w:rFonts w:hint="eastAsia" w:ascii="Times New Roman" w:hAnsi="Times New Roman" w:eastAsia="黑体"/>
          <w:b w:val="0"/>
          <w:color w:val="auto"/>
          <w:highlight w:val="none"/>
        </w:rPr>
        <w:t>政府性基金预算支出决算情况说明</w:t>
      </w:r>
      <w:bookmarkEnd w:id="42"/>
      <w:bookmarkEnd w:id="43"/>
    </w:p>
    <w:p w14:paraId="4C2D3515">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，占本年支出合计的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w:t>
      </w:r>
      <w:r>
        <w:rPr>
          <w:rFonts w:hint="eastAsia" w:ascii="仿宋_GB2312" w:hAnsi="仿宋_GB2312" w:eastAsia="仿宋_GB2312" w:cs="仿宋_GB2312"/>
          <w:color w:val="auto"/>
          <w:kern w:val="2"/>
          <w:sz w:val="32"/>
          <w:szCs w:val="32"/>
          <w:highlight w:val="none"/>
          <w:lang w:val="en-US" w:eastAsia="zh-CN" w:bidi="ar-SA"/>
        </w:rPr>
        <w:t>持平。</w:t>
      </w:r>
    </w:p>
    <w:p w14:paraId="41B70311">
      <w:pPr>
        <w:numPr>
          <w:ilvl w:val="0"/>
          <w:numId w:val="0"/>
        </w:numPr>
        <w:spacing w:line="600" w:lineRule="exact"/>
        <w:ind w:firstLine="640" w:firstLineChars="200"/>
        <w:outlineLvl w:val="1"/>
        <w:rPr>
          <w:rStyle w:val="30"/>
          <w:rFonts w:ascii="Times New Roman" w:hAnsi="Times New Roman" w:eastAsia="黑体"/>
          <w:b w:val="0"/>
          <w:color w:val="auto"/>
          <w:highlight w:val="none"/>
        </w:rPr>
      </w:pPr>
      <w:bookmarkStart w:id="44" w:name="_Toc15377219"/>
      <w:bookmarkStart w:id="45" w:name="_Toc15396611"/>
      <w:r>
        <w:rPr>
          <w:rStyle w:val="30"/>
          <w:rFonts w:hint="eastAsia" w:ascii="Times New Roman" w:hAnsi="Times New Roman" w:eastAsia="黑体"/>
          <w:b w:val="0"/>
          <w:color w:val="auto"/>
          <w:highlight w:val="none"/>
          <w:lang w:eastAsia="zh-CN"/>
        </w:rPr>
        <w:t>九、</w:t>
      </w:r>
      <w:r>
        <w:rPr>
          <w:rStyle w:val="30"/>
          <w:rFonts w:hint="eastAsia" w:ascii="Times New Roman" w:hAnsi="Times New Roman" w:eastAsia="黑体"/>
          <w:b w:val="0"/>
          <w:color w:val="auto"/>
          <w:highlight w:val="none"/>
        </w:rPr>
        <w:t>国有资本经营预算支出决算情况说明</w:t>
      </w:r>
      <w:bookmarkEnd w:id="44"/>
      <w:bookmarkEnd w:id="45"/>
    </w:p>
    <w:p w14:paraId="7601407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，占本年支出合计的</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w:t>
      </w:r>
      <w:r>
        <w:rPr>
          <w:rFonts w:hint="eastAsia" w:ascii="仿宋_GB2312" w:hAnsi="仿宋_GB2312" w:eastAsia="仿宋_GB2312" w:cs="仿宋_GB2312"/>
          <w:color w:val="auto"/>
          <w:kern w:val="2"/>
          <w:sz w:val="32"/>
          <w:szCs w:val="32"/>
          <w:highlight w:val="none"/>
          <w:lang w:val="en-US" w:eastAsia="zh-CN" w:bidi="ar-SA"/>
        </w:rPr>
        <w:t>持平。</w:t>
      </w:r>
    </w:p>
    <w:p w14:paraId="6504013A">
      <w:pPr>
        <w:numPr>
          <w:ilvl w:val="0"/>
          <w:numId w:val="0"/>
        </w:numPr>
        <w:spacing w:line="600" w:lineRule="exact"/>
        <w:ind w:firstLine="640" w:firstLineChars="200"/>
        <w:outlineLvl w:val="1"/>
        <w:rPr>
          <w:rStyle w:val="30"/>
          <w:rFonts w:hint="eastAsia" w:ascii="Times New Roman" w:hAnsi="Times New Roman" w:eastAsia="黑体"/>
          <w:b w:val="0"/>
          <w:color w:val="auto"/>
          <w:highlight w:val="none"/>
        </w:rPr>
      </w:pPr>
      <w:bookmarkStart w:id="46" w:name="_Toc15377221"/>
      <w:bookmarkStart w:id="47" w:name="_Toc15396612"/>
      <w:r>
        <w:rPr>
          <w:rStyle w:val="30"/>
          <w:rFonts w:hint="eastAsia" w:ascii="Times New Roman" w:hAnsi="Times New Roman" w:eastAsia="黑体"/>
          <w:b w:val="0"/>
          <w:color w:val="auto"/>
          <w:highlight w:val="none"/>
          <w:lang w:eastAsia="zh-CN"/>
        </w:rPr>
        <w:t>十、</w:t>
      </w:r>
      <w:r>
        <w:rPr>
          <w:rStyle w:val="30"/>
          <w:rFonts w:hint="eastAsia" w:ascii="Times New Roman" w:hAnsi="Times New Roman" w:eastAsia="黑体"/>
          <w:b w:val="0"/>
          <w:color w:val="auto"/>
          <w:highlight w:val="none"/>
        </w:rPr>
        <w:t>其他重要事项的情况说明</w:t>
      </w:r>
      <w:bookmarkEnd w:id="46"/>
      <w:bookmarkEnd w:id="47"/>
    </w:p>
    <w:p w14:paraId="29E054B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8" w:name="_Toc15377222"/>
      <w:r>
        <w:rPr>
          <w:rFonts w:hint="eastAsia" w:ascii="Times New Roman" w:hAnsi="Times New Roman" w:eastAsia="楷体_GB2312" w:cs="楷体_GB2312"/>
          <w:b/>
          <w:color w:val="auto"/>
          <w:sz w:val="32"/>
          <w:szCs w:val="32"/>
          <w:highlight w:val="none"/>
        </w:rPr>
        <w:t>（一）机关运行经费支出情况</w:t>
      </w:r>
      <w:bookmarkEnd w:id="48"/>
    </w:p>
    <w:p w14:paraId="48BD3946">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eastAsia="仿宋_GB2312" w:cs="仿宋_GB2312"/>
          <w:color w:val="auto"/>
          <w:sz w:val="32"/>
          <w:szCs w:val="32"/>
          <w:highlight w:val="none"/>
          <w:lang w:val="en-US" w:eastAsia="zh-CN"/>
        </w:rPr>
        <w:t>56.9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元，比2023年度增加</w:t>
      </w:r>
      <w:r>
        <w:rPr>
          <w:rFonts w:hint="eastAsia" w:eastAsia="仿宋_GB2312" w:cs="仿宋_GB2312"/>
          <w:color w:val="auto"/>
          <w:kern w:val="2"/>
          <w:sz w:val="32"/>
          <w:szCs w:val="32"/>
          <w:highlight w:val="none"/>
          <w:lang w:val="en-US" w:eastAsia="zh-CN" w:bidi="ar-SA"/>
        </w:rPr>
        <w:t>4.26</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人员增加。</w:t>
      </w:r>
    </w:p>
    <w:p w14:paraId="180E4494">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9" w:name="_Toc15377223"/>
      <w:r>
        <w:rPr>
          <w:rFonts w:hint="eastAsia" w:ascii="Times New Roman" w:hAnsi="Times New Roman" w:eastAsia="楷体_GB2312" w:cs="楷体_GB2312"/>
          <w:b/>
          <w:color w:val="auto"/>
          <w:sz w:val="32"/>
          <w:szCs w:val="32"/>
          <w:highlight w:val="none"/>
        </w:rPr>
        <w:t>（二）政府采购支出情况</w:t>
      </w:r>
      <w:bookmarkEnd w:id="49"/>
    </w:p>
    <w:p w14:paraId="4EF359C7">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2024年度，政府采购支出总额</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、政府采购服务支出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w:t>
      </w:r>
    </w:p>
    <w:p w14:paraId="1D47F95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0" w:name="_Toc15377224"/>
      <w:r>
        <w:rPr>
          <w:rFonts w:hint="eastAsia" w:ascii="Times New Roman" w:hAnsi="Times New Roman" w:eastAsia="楷体_GB2312" w:cs="楷体_GB2312"/>
          <w:b/>
          <w:color w:val="auto"/>
          <w:sz w:val="32"/>
          <w:szCs w:val="32"/>
          <w:highlight w:val="none"/>
        </w:rPr>
        <w:t>（三）国有资产占有使用情况</w:t>
      </w:r>
      <w:bookmarkEnd w:id="50"/>
    </w:p>
    <w:p w14:paraId="1AB3E4B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截至2024年12月31日，共有车辆</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辆</w:t>
      </w:r>
      <w:r>
        <w:rPr>
          <w:rFonts w:hint="eastAsia" w:ascii="Times New Roman" w:hAnsi="Times New Roman" w:eastAsia="仿宋_GB2312" w:cs="仿宋_GB2312"/>
          <w:color w:val="auto"/>
          <w:kern w:val="2"/>
          <w:sz w:val="32"/>
          <w:szCs w:val="32"/>
          <w:highlight w:val="none"/>
          <w:lang w:val="en-US" w:eastAsia="zh-CN" w:bidi="ar-SA"/>
        </w:rPr>
        <w:t>。</w:t>
      </w:r>
    </w:p>
    <w:p w14:paraId="47AE70B2">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5204BC5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峨边彝族自治县医疗保障局</w:t>
      </w:r>
      <w:r>
        <w:rPr>
          <w:rFonts w:hint="eastAsia" w:ascii="Times New Roman" w:hAnsi="Times New Roman" w:eastAsia="仿宋_GB2312" w:cs="仿宋_GB2312"/>
          <w:color w:val="auto"/>
          <w:kern w:val="2"/>
          <w:sz w:val="32"/>
          <w:szCs w:val="32"/>
          <w:highlight w:val="none"/>
          <w:lang w:val="en-US" w:eastAsia="zh-CN" w:bidi="ar-SA"/>
        </w:rPr>
        <w:t>在2024年度预算编制阶段，组织对城乡医疗救助等</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个项目编制了绩效目标</w:t>
      </w:r>
      <w:r>
        <w:rPr>
          <w:rFonts w:hint="eastAsia" w:eastAsia="仿宋_GB2312" w:cs="仿宋_GB2312"/>
          <w:color w:val="auto"/>
          <w:kern w:val="2"/>
          <w:sz w:val="32"/>
          <w:szCs w:val="32"/>
          <w:highlight w:val="none"/>
          <w:lang w:val="en-US" w:eastAsia="zh-CN" w:bidi="ar-SA"/>
        </w:rPr>
        <w:t>，在</w:t>
      </w:r>
      <w:r>
        <w:rPr>
          <w:rFonts w:hint="eastAsia" w:ascii="Times New Roman" w:hAnsi="Times New Roman" w:eastAsia="仿宋_GB2312" w:cs="仿宋_GB2312"/>
          <w:color w:val="auto"/>
          <w:kern w:val="2"/>
          <w:sz w:val="32"/>
          <w:szCs w:val="32"/>
          <w:highlight w:val="none"/>
          <w:lang w:val="en-US" w:eastAsia="zh-CN" w:bidi="ar-SA"/>
        </w:rPr>
        <w:t>预算执行过程中，选取</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307B7C3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w:t>
      </w:r>
      <w:r>
        <w:rPr>
          <w:rFonts w:hint="eastAsia" w:eastAsia="仿宋_GB2312" w:cs="仿宋_GB2312"/>
          <w:color w:val="auto"/>
          <w:kern w:val="2"/>
          <w:sz w:val="32"/>
          <w:szCs w:val="32"/>
          <w:highlight w:val="none"/>
          <w:lang w:val="en-US" w:eastAsia="zh-CN" w:bidi="ar-SA"/>
        </w:rPr>
        <w:t>峨边彝族自治县医疗保障局</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部门整体（含部门预算项目）绩效自评报告。</w:t>
      </w:r>
    </w:p>
    <w:p w14:paraId="76FFCCF1">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51" w:name="_Toc15377225"/>
      <w:bookmarkStart w:id="52" w:name="_Toc15396613"/>
    </w:p>
    <w:p w14:paraId="72D75E57">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7082282F">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6D575EC2">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51CA032C">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75E08FA5">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274EB35E">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02FA575A">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446318EB">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3AC95C64">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5A9A37EC">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4EBE6570">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1BCD3735">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1A14F187">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1C13D848">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1523840C">
      <w:pPr>
        <w:numPr>
          <w:ilvl w:val="0"/>
          <w:numId w:val="0"/>
        </w:numPr>
        <w:spacing w:line="600" w:lineRule="exact"/>
        <w:jc w:val="center"/>
        <w:outlineLvl w:val="0"/>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第</w:t>
      </w:r>
      <w:r>
        <w:rPr>
          <w:rFonts w:hint="eastAsia" w:ascii="方正小标宋_GBK" w:hAnsi="方正小标宋_GBK" w:eastAsia="方正小标宋_GBK" w:cs="方正小标宋_GBK"/>
          <w:color w:val="auto"/>
          <w:sz w:val="44"/>
          <w:szCs w:val="44"/>
          <w:highlight w:val="none"/>
          <w:lang w:eastAsia="zh-CN"/>
        </w:rPr>
        <w:t>三</w:t>
      </w:r>
      <w:r>
        <w:rPr>
          <w:rFonts w:hint="eastAsia" w:ascii="方正小标宋_GBK" w:hAnsi="方正小标宋_GBK" w:eastAsia="方正小标宋_GBK" w:cs="方正小标宋_GBK"/>
          <w:color w:val="auto"/>
          <w:sz w:val="44"/>
          <w:szCs w:val="44"/>
          <w:highlight w:val="none"/>
        </w:rPr>
        <w:t>部分</w:t>
      </w:r>
      <w:r>
        <w:rPr>
          <w:rFonts w:hint="eastAsia" w:ascii="方正小标宋_GBK" w:hAnsi="方正小标宋_GBK" w:eastAsia="方正小标宋_GBK" w:cs="方正小标宋_GBK"/>
          <w:color w:val="auto"/>
          <w:sz w:val="44"/>
          <w:szCs w:val="44"/>
          <w:highlight w:val="none"/>
          <w:lang w:val="en-US" w:eastAsia="zh-CN"/>
        </w:rPr>
        <w:t xml:space="preserve">  </w:t>
      </w:r>
      <w:r>
        <w:rPr>
          <w:rFonts w:hint="eastAsia" w:ascii="方正小标宋_GBK" w:hAnsi="方正小标宋_GBK" w:eastAsia="方正小标宋_GBK" w:cs="方正小标宋_GBK"/>
          <w:color w:val="auto"/>
          <w:sz w:val="44"/>
          <w:szCs w:val="44"/>
          <w:highlight w:val="none"/>
        </w:rPr>
        <w:t>名词解释</w:t>
      </w:r>
      <w:bookmarkEnd w:id="51"/>
      <w:bookmarkEnd w:id="52"/>
    </w:p>
    <w:p w14:paraId="70E288FD">
      <w:pPr>
        <w:spacing w:line="600" w:lineRule="exact"/>
        <w:jc w:val="left"/>
        <w:rPr>
          <w:rFonts w:ascii="Times New Roman" w:hAnsi="Times New Roman"/>
          <w:b/>
          <w:color w:val="auto"/>
          <w:sz w:val="44"/>
          <w:szCs w:val="44"/>
          <w:highlight w:val="none"/>
        </w:rPr>
      </w:pPr>
    </w:p>
    <w:p w14:paraId="12B2D1C9">
      <w:pPr>
        <w:spacing w:beforeLines="0" w:afterLines="0" w:line="576" w:lineRule="exact"/>
        <w:ind w:firstLine="640"/>
        <w:rPr>
          <w:rFonts w:hint="eastAsia" w:ascii="仿宋_GB2312" w:hAnsi="仿宋_GB2312" w:eastAsia="仿宋_GB2312"/>
          <w:color w:val="000000"/>
          <w:sz w:val="32"/>
          <w:lang w:val="en-US"/>
        </w:rPr>
      </w:pPr>
      <w:bookmarkStart w:id="53" w:name="_Toc15377226"/>
      <w:r>
        <w:rPr>
          <w:rFonts w:hint="eastAsia" w:ascii="仿宋_GB2312" w:hAnsi="仿宋_GB2312" w:eastAsia="仿宋_GB2312"/>
          <w:color w:val="000000"/>
          <w:sz w:val="32"/>
          <w:lang w:val="en-US"/>
        </w:rPr>
        <w:t>1.财政拨款收入：指单位从同级财政部门取得的财政预算资金。</w:t>
      </w:r>
    </w:p>
    <w:p w14:paraId="2B5B8340">
      <w:pPr>
        <w:spacing w:beforeLines="0" w:afterLines="0" w:line="576" w:lineRule="exact"/>
        <w:ind w:firstLine="640"/>
        <w:rPr>
          <w:rFonts w:hint="eastAsia" w:ascii="仿宋_GB2312" w:hAnsi="仿宋_GB2312" w:eastAsia="仿宋_GB2312"/>
          <w:color w:val="000000"/>
          <w:sz w:val="32"/>
          <w:lang w:val="en-US"/>
        </w:rPr>
      </w:pPr>
      <w:r>
        <w:rPr>
          <w:rFonts w:hint="eastAsia" w:ascii="仿宋_GB2312" w:hAnsi="仿宋_GB2312" w:eastAsia="仿宋_GB2312"/>
          <w:color w:val="000000"/>
          <w:sz w:val="32"/>
          <w:lang w:val="en-US" w:eastAsia="zh-CN"/>
        </w:rPr>
        <w:t>2</w:t>
      </w:r>
      <w:r>
        <w:rPr>
          <w:rFonts w:hint="eastAsia" w:ascii="仿宋_GB2312" w:hAnsi="仿宋_GB2312" w:eastAsia="仿宋_GB2312"/>
          <w:color w:val="000000"/>
          <w:sz w:val="32"/>
          <w:lang w:val="en-US"/>
        </w:rPr>
        <w:t xml:space="preserve">.年初结转和结余：指以前年度尚未完成、结转到本年按有关规定继续使用的资金。 </w:t>
      </w:r>
    </w:p>
    <w:p w14:paraId="375F2186">
      <w:pPr>
        <w:spacing w:beforeLines="0" w:afterLines="0" w:line="576" w:lineRule="exact"/>
        <w:ind w:firstLine="640"/>
        <w:rPr>
          <w:rFonts w:hint="eastAsia" w:ascii="仿宋_GB2312" w:eastAsia="仿宋_GB2312"/>
          <w:sz w:val="32"/>
          <w:szCs w:val="32"/>
        </w:rPr>
      </w:pPr>
      <w:r>
        <w:rPr>
          <w:rFonts w:hint="eastAsia" w:ascii="仿宋_GB2312" w:hAnsi="仿宋_GB2312" w:eastAsia="仿宋_GB2312"/>
          <w:color w:val="000000"/>
          <w:sz w:val="32"/>
          <w:lang w:val="en-US" w:eastAsia="zh-CN"/>
        </w:rPr>
        <w:t>3</w:t>
      </w:r>
      <w:r>
        <w:rPr>
          <w:rFonts w:hint="eastAsia" w:ascii="仿宋_GB2312" w:hAnsi="仿宋_GB2312" w:eastAsia="仿宋_GB2312"/>
          <w:color w:val="000000"/>
          <w:sz w:val="32"/>
          <w:lang w:val="en-US"/>
        </w:rPr>
        <w:t>.年末结转和结余：指单位按有关规定结转到下年或以后年度继续使用的资金。</w:t>
      </w:r>
      <w:r>
        <w:rPr>
          <w:rFonts w:hint="eastAsia" w:ascii="仿宋_GB2312" w:eastAsia="仿宋_GB2312"/>
          <w:sz w:val="32"/>
          <w:szCs w:val="32"/>
        </w:rPr>
        <w:t xml:space="preserve"> </w:t>
      </w:r>
    </w:p>
    <w:p w14:paraId="288A169D">
      <w:pPr>
        <w:widowControl/>
        <w:spacing w:beforeLines="0" w:afterLines="0" w:line="451" w:lineRule="auto"/>
        <w:ind w:firstLine="640" w:firstLineChars="200"/>
        <w:rPr>
          <w:rFonts w:hint="eastAsia" w:ascii="仿宋_GB2312" w:hAnsi="Times New Roman" w:eastAsia="仿宋_GB2312"/>
          <w:sz w:val="32"/>
          <w:szCs w:val="24"/>
        </w:rPr>
      </w:pPr>
      <w:r>
        <w:rPr>
          <w:rFonts w:hint="eastAsia" w:ascii="仿宋_GB2312" w:hAnsi="Times New Roman" w:eastAsia="仿宋_GB2312"/>
          <w:sz w:val="32"/>
          <w:szCs w:val="24"/>
          <w:lang w:val="en-US" w:eastAsia="zh-CN"/>
        </w:rPr>
        <w:t>4.社会保障和就业支出（类）人力资源和社会保障管理事务（款）社会保险经办机构（项）</w:t>
      </w:r>
      <w:r>
        <w:rPr>
          <w:rFonts w:hint="eastAsia" w:ascii="仿宋_GB2312" w:eastAsia="仿宋_GB2312"/>
          <w:sz w:val="32"/>
          <w:szCs w:val="24"/>
          <w:lang w:val="en-US" w:eastAsia="zh-CN"/>
        </w:rPr>
        <w:t>：</w:t>
      </w:r>
      <w:r>
        <w:rPr>
          <w:rFonts w:hint="eastAsia" w:ascii="仿宋_GB2312" w:hAnsi="Times New Roman" w:eastAsia="仿宋_GB2312"/>
          <w:sz w:val="32"/>
          <w:szCs w:val="24"/>
          <w:lang w:val="en-US" w:eastAsia="zh-CN"/>
        </w:rPr>
        <w:t>反映社会保险业务管理和基金监督方面的支出。</w:t>
      </w:r>
    </w:p>
    <w:p w14:paraId="51249D89">
      <w:pPr>
        <w:widowControl/>
        <w:spacing w:beforeLines="0" w:afterLines="0" w:line="451" w:lineRule="auto"/>
        <w:ind w:firstLine="640" w:firstLineChars="200"/>
        <w:rPr>
          <w:rFonts w:hint="eastAsia" w:ascii="仿宋_GB2312" w:hAnsi="Times New Roman" w:eastAsia="仿宋_GB2312"/>
          <w:sz w:val="32"/>
          <w:szCs w:val="24"/>
          <w:lang w:val="en-US" w:eastAsia="zh-CN"/>
        </w:rPr>
      </w:pPr>
      <w:r>
        <w:rPr>
          <w:rFonts w:hint="eastAsia" w:ascii="仿宋_GB2312" w:hAnsi="Times New Roman" w:eastAsia="仿宋_GB2312"/>
          <w:sz w:val="32"/>
          <w:szCs w:val="24"/>
          <w:lang w:val="en-US" w:eastAsia="zh-CN"/>
        </w:rPr>
        <w:t>5.社会保障和就业支出（类）人力资源和社会保障管理事务（款）综合业务管理（项）</w:t>
      </w:r>
      <w:r>
        <w:rPr>
          <w:rFonts w:hint="eastAsia" w:ascii="仿宋_GB2312" w:eastAsia="仿宋_GB2312"/>
          <w:sz w:val="32"/>
          <w:szCs w:val="24"/>
          <w:lang w:val="en-US" w:eastAsia="zh-CN"/>
        </w:rPr>
        <w:t>：</w:t>
      </w:r>
      <w:r>
        <w:rPr>
          <w:rFonts w:hint="eastAsia" w:ascii="仿宋_GB2312" w:hAnsi="Times New Roman" w:eastAsia="仿宋_GB2312"/>
          <w:sz w:val="32"/>
          <w:szCs w:val="24"/>
          <w:lang w:val="en-US" w:eastAsia="zh-CN"/>
        </w:rPr>
        <w:t>反映人力资源和社会保障管理方面综合性管理事务支出。</w:t>
      </w:r>
    </w:p>
    <w:p w14:paraId="1164687C">
      <w:pPr>
        <w:widowControl/>
        <w:spacing w:beforeLines="0" w:afterLines="0" w:line="451" w:lineRule="auto"/>
        <w:ind w:firstLine="640" w:firstLineChars="200"/>
        <w:rPr>
          <w:rFonts w:hint="eastAsia" w:ascii="仿宋_GB2312" w:hAnsi="Times New Roman" w:eastAsia="仿宋_GB2312"/>
          <w:sz w:val="32"/>
          <w:szCs w:val="24"/>
        </w:rPr>
      </w:pPr>
      <w:r>
        <w:rPr>
          <w:rFonts w:hint="eastAsia" w:ascii="仿宋_GB2312" w:hAnsi="Times New Roman" w:eastAsia="仿宋_GB2312"/>
          <w:sz w:val="32"/>
          <w:szCs w:val="24"/>
          <w:lang w:val="en-US" w:eastAsia="zh-CN"/>
        </w:rPr>
        <w:t>6.社会保障和就业支出（类）行政事业单位离退休（款）机关事业单位基本养老保险缴费支出（项）</w:t>
      </w:r>
      <w:r>
        <w:rPr>
          <w:rFonts w:hint="eastAsia" w:ascii="仿宋_GB2312" w:eastAsia="仿宋_GB2312"/>
          <w:sz w:val="32"/>
          <w:szCs w:val="24"/>
          <w:lang w:val="en-US" w:eastAsia="zh-CN"/>
        </w:rPr>
        <w:t>：反映</w:t>
      </w:r>
      <w:r>
        <w:rPr>
          <w:rFonts w:hint="eastAsia" w:ascii="仿宋_GB2312" w:hAnsi="Times New Roman" w:eastAsia="仿宋_GB2312"/>
          <w:sz w:val="32"/>
          <w:szCs w:val="24"/>
          <w:lang w:val="en-US" w:eastAsia="zh-CN"/>
        </w:rPr>
        <w:t>行政单位在职职工基本养老保险缴费支出。</w:t>
      </w:r>
    </w:p>
    <w:p w14:paraId="18E89758">
      <w:pPr>
        <w:widowControl/>
        <w:spacing w:beforeLines="0" w:afterLines="0" w:line="451" w:lineRule="auto"/>
        <w:ind w:firstLine="640" w:firstLineChars="200"/>
        <w:rPr>
          <w:rFonts w:hint="eastAsia" w:ascii="仿宋_GB2312" w:hAnsi="Times New Roman" w:eastAsia="仿宋_GB2312"/>
          <w:sz w:val="32"/>
          <w:szCs w:val="24"/>
        </w:rPr>
      </w:pPr>
      <w:r>
        <w:rPr>
          <w:rFonts w:hint="eastAsia" w:ascii="仿宋_GB2312" w:hAnsi="Times New Roman" w:eastAsia="仿宋_GB2312"/>
          <w:sz w:val="32"/>
          <w:szCs w:val="24"/>
          <w:lang w:val="en-US" w:eastAsia="zh-CN"/>
        </w:rPr>
        <w:t>7.社会保障和就业支出（类）行政事业单位离退休（款）机关事业单位职业年金缴费支出（项）</w:t>
      </w:r>
      <w:r>
        <w:rPr>
          <w:rFonts w:hint="eastAsia" w:ascii="仿宋_GB2312" w:eastAsia="仿宋_GB2312"/>
          <w:sz w:val="32"/>
          <w:szCs w:val="24"/>
          <w:lang w:val="en-US" w:eastAsia="zh-CN"/>
        </w:rPr>
        <w:t>：反映</w:t>
      </w:r>
      <w:r>
        <w:rPr>
          <w:rFonts w:hint="eastAsia" w:ascii="仿宋_GB2312" w:hAnsi="Times New Roman" w:eastAsia="仿宋_GB2312"/>
          <w:sz w:val="32"/>
          <w:szCs w:val="24"/>
          <w:lang w:val="en-US" w:eastAsia="zh-CN"/>
        </w:rPr>
        <w:t>行政单位在职职工职业年金缴费支出。</w:t>
      </w:r>
    </w:p>
    <w:p w14:paraId="00079C03">
      <w:pPr>
        <w:widowControl/>
        <w:spacing w:beforeLines="0" w:afterLines="0" w:line="451" w:lineRule="auto"/>
        <w:ind w:firstLine="640" w:firstLineChars="200"/>
        <w:rPr>
          <w:rFonts w:hint="eastAsia" w:ascii="仿宋_GB2312" w:hAnsi="Times New Roman" w:eastAsia="仿宋_GB2312"/>
          <w:sz w:val="32"/>
          <w:szCs w:val="24"/>
        </w:rPr>
      </w:pPr>
      <w:r>
        <w:rPr>
          <w:rFonts w:hint="eastAsia" w:ascii="仿宋_GB2312" w:hAnsi="Times New Roman" w:eastAsia="仿宋_GB2312"/>
          <w:sz w:val="32"/>
          <w:szCs w:val="24"/>
          <w:lang w:val="en-US" w:eastAsia="zh-CN"/>
        </w:rPr>
        <w:t>18.卫生健康支出（类）行政事业单位医疗（款）行政单位医疗（项）</w:t>
      </w:r>
      <w:r>
        <w:rPr>
          <w:rFonts w:hint="eastAsia" w:ascii="仿宋_GB2312" w:eastAsia="仿宋_GB2312"/>
          <w:sz w:val="32"/>
          <w:szCs w:val="24"/>
          <w:lang w:val="en-US" w:eastAsia="zh-CN"/>
        </w:rPr>
        <w:t>：</w:t>
      </w:r>
      <w:r>
        <w:rPr>
          <w:rFonts w:hint="eastAsia" w:ascii="仿宋_GB2312" w:hAnsi="Times New Roman" w:eastAsia="仿宋_GB2312"/>
          <w:sz w:val="32"/>
          <w:szCs w:val="24"/>
          <w:lang w:val="en-US" w:eastAsia="zh-CN"/>
        </w:rPr>
        <w:t>反映财政部门集中安排行政单位基本医疗保险缴费。</w:t>
      </w:r>
    </w:p>
    <w:p w14:paraId="1CBAE15D">
      <w:pPr>
        <w:widowControl/>
        <w:spacing w:beforeLines="0" w:afterLines="0" w:line="451" w:lineRule="auto"/>
        <w:ind w:firstLine="640" w:firstLineChars="200"/>
        <w:rPr>
          <w:rFonts w:hint="eastAsia" w:ascii="仿宋_GB2312" w:hAnsi="Times New Roman" w:eastAsia="仿宋_GB2312"/>
          <w:sz w:val="32"/>
          <w:szCs w:val="24"/>
          <w:lang w:val="en-US" w:eastAsia="zh-CN"/>
        </w:rPr>
      </w:pPr>
      <w:r>
        <w:rPr>
          <w:rFonts w:hint="eastAsia" w:ascii="仿宋_GB2312" w:hAnsi="Times New Roman" w:eastAsia="仿宋_GB2312"/>
          <w:sz w:val="32"/>
          <w:szCs w:val="24"/>
          <w:lang w:val="en-US" w:eastAsia="zh-CN"/>
        </w:rPr>
        <w:t>9.住房保障支出（类）住房改革支出（款）住房公积金（项）</w:t>
      </w:r>
      <w:r>
        <w:rPr>
          <w:rFonts w:hint="eastAsia" w:ascii="仿宋_GB2312" w:eastAsia="仿宋_GB2312"/>
          <w:sz w:val="32"/>
          <w:szCs w:val="24"/>
          <w:lang w:val="en-US" w:eastAsia="zh-CN"/>
        </w:rPr>
        <w:t>：</w:t>
      </w:r>
      <w:r>
        <w:rPr>
          <w:rFonts w:hint="eastAsia" w:ascii="仿宋_GB2312" w:hAnsi="Times New Roman" w:eastAsia="仿宋_GB2312"/>
          <w:sz w:val="32"/>
          <w:szCs w:val="24"/>
          <w:lang w:val="en-US" w:eastAsia="zh-CN"/>
        </w:rPr>
        <w:t>反映行政事业单位按人力资源和社会保障部门规定的基本工资和津贴补贴及规定比例为职工缴纳的住房公积金。</w:t>
      </w:r>
    </w:p>
    <w:p w14:paraId="110D8BA4">
      <w:pPr>
        <w:widowControl/>
        <w:spacing w:beforeLines="0" w:afterLines="0" w:line="451" w:lineRule="auto"/>
        <w:ind w:firstLine="640" w:firstLineChars="200"/>
        <w:rPr>
          <w:rFonts w:hint="eastAsia" w:ascii="仿宋_GB2312" w:hAnsi="Times New Roman" w:eastAsia="仿宋_GB2312"/>
          <w:sz w:val="32"/>
          <w:szCs w:val="24"/>
          <w:lang w:val="en-US" w:eastAsia="zh-CN"/>
        </w:rPr>
      </w:pPr>
      <w:r>
        <w:rPr>
          <w:rFonts w:hint="eastAsia" w:ascii="仿宋_GB2312" w:hAnsi="Times New Roman" w:eastAsia="仿宋_GB2312"/>
          <w:sz w:val="32"/>
          <w:szCs w:val="24"/>
          <w:lang w:val="en-US" w:eastAsia="zh-CN"/>
        </w:rPr>
        <w:t>10.</w:t>
      </w:r>
      <w:r>
        <w:rPr>
          <w:rFonts w:hint="eastAsia" w:ascii="仿宋_GB2312" w:hAnsi="Times New Roman" w:eastAsia="仿宋_GB2312" w:cs="Times New Roman"/>
          <w:sz w:val="32"/>
          <w:szCs w:val="24"/>
          <w:lang w:val="en-US" w:eastAsia="zh-CN"/>
        </w:rPr>
        <w:t>农林水支出（类）巩固脱贫衔接乡村振兴（款）其他巩固脱贫衔接乡村振兴支出（项）</w:t>
      </w:r>
      <w:r>
        <w:rPr>
          <w:rFonts w:hint="eastAsia" w:ascii="仿宋_GB2312" w:hAnsi="Times New Roman" w:eastAsia="仿宋_GB2312"/>
          <w:sz w:val="32"/>
          <w:szCs w:val="24"/>
          <w:lang w:val="en-US" w:eastAsia="zh-CN"/>
        </w:rPr>
        <w:t>反映：其他用于巩固拓展脱贫攻坚成果同乡村振兴有效衔接方面的支出。</w:t>
      </w:r>
    </w:p>
    <w:p w14:paraId="24CCD217">
      <w:pPr>
        <w:widowControl/>
        <w:spacing w:beforeLines="0" w:afterLines="0" w:line="451" w:lineRule="auto"/>
        <w:ind w:firstLine="640" w:firstLineChars="200"/>
        <w:rPr>
          <w:rFonts w:hint="eastAsia" w:ascii="仿宋_GB2312" w:hAnsi="Times New Roman" w:eastAsia="仿宋_GB2312"/>
          <w:sz w:val="32"/>
          <w:szCs w:val="24"/>
          <w:lang w:val="en-US" w:eastAsia="zh-CN"/>
        </w:rPr>
      </w:pPr>
      <w:r>
        <w:rPr>
          <w:rFonts w:hint="eastAsia" w:ascii="仿宋_GB2312" w:hAnsi="Times New Roman" w:eastAsia="仿宋_GB2312"/>
          <w:sz w:val="32"/>
          <w:szCs w:val="24"/>
          <w:lang w:val="en-US" w:eastAsia="zh-CN"/>
        </w:rPr>
        <w:t>11.社会保障和就业支出（类）其他社会保障和就业支出（款）其他社会保障和就业支出（项）：反映其他用于社会保障和就业方面的支出。</w:t>
      </w:r>
    </w:p>
    <w:p w14:paraId="09B54EE0">
      <w:pPr>
        <w:widowControl/>
        <w:spacing w:beforeLines="0" w:afterLines="0" w:line="451" w:lineRule="auto"/>
        <w:ind w:firstLine="640" w:firstLineChars="200"/>
        <w:rPr>
          <w:rFonts w:hint="eastAsia" w:ascii="仿宋_GB2312" w:hAnsi="Times New Roman" w:eastAsia="仿宋_GB2312"/>
          <w:sz w:val="32"/>
          <w:szCs w:val="24"/>
          <w:lang w:val="en-US" w:eastAsia="zh-CN"/>
        </w:rPr>
      </w:pPr>
      <w:r>
        <w:rPr>
          <w:rFonts w:hint="eastAsia" w:ascii="仿宋_GB2312" w:hAnsi="Times New Roman" w:eastAsia="仿宋_GB2312"/>
          <w:sz w:val="32"/>
          <w:szCs w:val="24"/>
          <w:lang w:val="en-US" w:eastAsia="zh-CN"/>
        </w:rPr>
        <w:t>12.卫生健康支出（类）行政事业单位医疗（款）公务员医疗补助（项）：反映财政部门安排的公务员医疗补助经费。</w:t>
      </w:r>
    </w:p>
    <w:p w14:paraId="03F7F2FA">
      <w:pPr>
        <w:widowControl/>
        <w:spacing w:beforeLines="0" w:afterLines="0" w:line="451" w:lineRule="auto"/>
        <w:ind w:firstLine="640" w:firstLineChars="200"/>
        <w:rPr>
          <w:rFonts w:hint="eastAsia" w:ascii="仿宋_GB2312" w:hAnsi="Times New Roman" w:eastAsia="仿宋_GB2312"/>
          <w:sz w:val="32"/>
          <w:szCs w:val="24"/>
          <w:lang w:val="en-US" w:eastAsia="zh-CN"/>
        </w:rPr>
      </w:pPr>
      <w:r>
        <w:rPr>
          <w:rFonts w:hint="eastAsia" w:ascii="仿宋_GB2312" w:hAnsi="Times New Roman" w:eastAsia="仿宋_GB2312"/>
          <w:sz w:val="32"/>
          <w:szCs w:val="24"/>
          <w:lang w:val="en-US" w:eastAsia="zh-CN"/>
        </w:rPr>
        <w:t>13.卫生健康支出（类）医疗救助（款）其他医疗救助支出（项）：反映其他用于医疗救助方面的支出。</w:t>
      </w:r>
    </w:p>
    <w:p w14:paraId="4337BDDA">
      <w:pPr>
        <w:widowControl/>
        <w:spacing w:beforeLines="0" w:afterLines="0" w:line="451" w:lineRule="auto"/>
        <w:ind w:firstLine="640" w:firstLineChars="200"/>
        <w:rPr>
          <w:rFonts w:hint="eastAsia" w:ascii="仿宋_GB2312" w:hAnsi="Times New Roman" w:eastAsia="仿宋_GB2312"/>
          <w:sz w:val="32"/>
          <w:szCs w:val="24"/>
        </w:rPr>
      </w:pPr>
      <w:r>
        <w:rPr>
          <w:rFonts w:hint="eastAsia" w:ascii="仿宋_GB2312" w:hAnsi="Times New Roman" w:eastAsia="仿宋_GB2312"/>
          <w:sz w:val="32"/>
          <w:szCs w:val="24"/>
          <w:lang w:val="en-US" w:eastAsia="zh-CN"/>
        </w:rPr>
        <w:t>14.基本支出：指为保障机构正常运转、完成日常工作任务而发生的人员支出和公用支出。</w:t>
      </w:r>
    </w:p>
    <w:p w14:paraId="609E49B3">
      <w:pPr>
        <w:widowControl/>
        <w:spacing w:beforeLines="0" w:afterLines="0" w:line="451" w:lineRule="auto"/>
        <w:ind w:firstLine="640" w:firstLineChars="200"/>
        <w:rPr>
          <w:rFonts w:hint="eastAsia" w:ascii="仿宋_GB2312" w:hAnsi="Times New Roman" w:eastAsia="仿宋_GB2312"/>
          <w:sz w:val="32"/>
          <w:szCs w:val="24"/>
        </w:rPr>
      </w:pPr>
      <w:r>
        <w:rPr>
          <w:rFonts w:hint="eastAsia" w:ascii="仿宋_GB2312" w:hAnsi="Times New Roman" w:eastAsia="仿宋_GB2312"/>
          <w:sz w:val="32"/>
          <w:szCs w:val="24"/>
          <w:lang w:val="en-US" w:eastAsia="zh-CN"/>
        </w:rPr>
        <w:t xml:space="preserve">15.项目支出：指在基本支出之外为完成特定行政任务和事业发展目标所发生的支出。 </w:t>
      </w:r>
    </w:p>
    <w:p w14:paraId="0A08FD4F">
      <w:pPr>
        <w:widowControl/>
        <w:spacing w:beforeLines="0" w:afterLines="0" w:line="451" w:lineRule="auto"/>
        <w:ind w:firstLine="640" w:firstLineChars="200"/>
        <w:rPr>
          <w:rFonts w:hint="eastAsia" w:ascii="仿宋_GB2312" w:hAnsi="Times New Roman" w:eastAsia="仿宋_GB2312"/>
          <w:sz w:val="32"/>
          <w:szCs w:val="24"/>
        </w:rPr>
      </w:pPr>
      <w:r>
        <w:rPr>
          <w:rFonts w:hint="eastAsia" w:ascii="仿宋_GB2312" w:hAnsi="Times New Roman" w:eastAsia="仿宋_GB2312"/>
          <w:sz w:val="32"/>
          <w:szCs w:val="24"/>
          <w:lang w:val="en-US" w:eastAsia="zh-CN"/>
        </w:rPr>
        <w:t>16</w:t>
      </w:r>
      <w:r>
        <w:rPr>
          <w:rFonts w:hint="eastAsia" w:ascii="仿宋_GB2312" w:hAnsi="Times New Roman" w:eastAsia="仿宋_GB2312"/>
          <w:sz w:val="32"/>
          <w:szCs w:val="24"/>
        </w:rPr>
        <w:t>.“三公”经费：指部门用财政拨款安排的因公出国（境）费、公务用车购置及运行费和公务接待费。其中，公务接待费反映单位按规定开支的各类公务接待（含外宾接待）支出。</w:t>
      </w:r>
    </w:p>
    <w:p w14:paraId="1F5C38D0">
      <w:pPr>
        <w:widowControl/>
        <w:spacing w:beforeLines="0" w:afterLines="0" w:line="451" w:lineRule="auto"/>
        <w:ind w:firstLine="640" w:firstLineChars="200"/>
        <w:rPr>
          <w:rFonts w:hint="eastAsia" w:ascii="仿宋_GB2312" w:hAnsi="Times New Roman" w:eastAsia="仿宋_GB2312"/>
          <w:sz w:val="32"/>
          <w:szCs w:val="24"/>
        </w:rPr>
      </w:pPr>
      <w:r>
        <w:rPr>
          <w:rFonts w:hint="eastAsia" w:ascii="仿宋_GB2312" w:hAnsi="Times New Roman" w:eastAsia="仿宋_GB2312"/>
          <w:sz w:val="32"/>
          <w:szCs w:val="24"/>
          <w:lang w:val="en-US" w:eastAsia="zh-CN"/>
        </w:rPr>
        <w:t>17</w:t>
      </w:r>
      <w:r>
        <w:rPr>
          <w:rFonts w:hint="eastAsia" w:ascii="仿宋_GB2312" w:hAnsi="Times New Roman" w:eastAsia="仿宋_GB2312"/>
          <w:sz w:val="32"/>
          <w:szCs w:val="24"/>
        </w:rPr>
        <w:t>.机关运行经费：为保障行政单位（含参照公务员法管理的事业单位）运行用于购买货物和服务的各项资金，包括办公及印刷费、邮电费、差旅费、会议费、福利费、日常维修费、办公用房水电费以及其他费用。</w:t>
      </w:r>
    </w:p>
    <w:p w14:paraId="0B388940">
      <w:pPr>
        <w:spacing w:line="600" w:lineRule="exact"/>
        <w:jc w:val="center"/>
        <w:rPr>
          <w:rStyle w:val="29"/>
          <w:rFonts w:hint="eastAsia" w:ascii="Times New Roman" w:hAnsi="Times New Roman" w:eastAsia="黑体"/>
          <w:b w:val="0"/>
          <w:color w:val="auto"/>
          <w:highlight w:val="none"/>
          <w:lang w:eastAsia="zh-CN"/>
        </w:rPr>
      </w:pPr>
      <w:r>
        <w:rPr>
          <w:rFonts w:hint="eastAsia" w:ascii="Times New Roman" w:hAnsi="Times New Roman" w:eastAsia="仿宋_GB2312" w:cs="仿宋_GB2312"/>
          <w:color w:val="auto"/>
          <w:kern w:val="2"/>
          <w:sz w:val="32"/>
          <w:szCs w:val="32"/>
          <w:highlight w:val="none"/>
          <w:lang w:val="en-US" w:eastAsia="zh-CN" w:bidi="ar-SA"/>
        </w:rPr>
        <w:br w:type="page"/>
      </w:r>
      <w:bookmarkStart w:id="54"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54"/>
    </w:p>
    <w:p w14:paraId="0AE5C0DC">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58780AAD">
      <w:pPr>
        <w:keepNext w:val="0"/>
        <w:keepLines w:val="0"/>
        <w:pageBreakBefore w:val="0"/>
        <w:kinsoku/>
        <w:wordWrap/>
        <w:overflowPunct/>
        <w:topLinePunct w:val="0"/>
        <w:autoSpaceDE/>
        <w:autoSpaceDN/>
        <w:bidi w:val="0"/>
        <w:spacing w:line="572" w:lineRule="exact"/>
        <w:jc w:val="left"/>
        <w:textAlignment w:val="auto"/>
        <w:outlineLvl w:val="0"/>
        <w:rPr>
          <w:rFonts w:hint="default"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r>
        <w:rPr>
          <w:rFonts w:hint="eastAsia" w:eastAsia="黑体" w:cs="黑体"/>
          <w:color w:val="auto"/>
          <w:sz w:val="32"/>
          <w:szCs w:val="32"/>
          <w:highlight w:val="none"/>
          <w:lang w:val="en-US" w:eastAsia="zh-CN"/>
        </w:rPr>
        <w:t xml:space="preserve"> </w:t>
      </w:r>
    </w:p>
    <w:p w14:paraId="396619EE">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23715B91">
      <w:pPr>
        <w:widowControl/>
        <w:spacing w:line="580" w:lineRule="exact"/>
        <w:contextualSpacing/>
        <w:jc w:val="center"/>
        <w:rPr>
          <w:rFonts w:hint="eastAsia" w:ascii="方正小标宋简体" w:hAnsi="方正小标宋简体" w:eastAsia="方正小标宋简体" w:cs="方正小标宋简体"/>
          <w:b w:val="0"/>
          <w:bCs/>
          <w:spacing w:val="-11"/>
          <w:sz w:val="44"/>
          <w:szCs w:val="44"/>
          <w:lang w:val="en-US" w:eastAsia="zh-CN"/>
        </w:rPr>
      </w:pPr>
      <w:r>
        <w:rPr>
          <w:rFonts w:hint="eastAsia" w:ascii="方正小标宋简体" w:hAnsi="方正小标宋简体" w:eastAsia="方正小标宋简体" w:cs="方正小标宋简体"/>
          <w:b w:val="0"/>
          <w:bCs/>
          <w:spacing w:val="-11"/>
          <w:sz w:val="44"/>
          <w:szCs w:val="44"/>
          <w:lang w:val="en-US" w:eastAsia="zh-CN"/>
        </w:rPr>
        <w:t>峨边彝族自治县医疗保障局</w:t>
      </w:r>
    </w:p>
    <w:p w14:paraId="35B39730">
      <w:pPr>
        <w:widowControl/>
        <w:spacing w:line="580" w:lineRule="exact"/>
        <w:contextualSpacing/>
        <w:jc w:val="center"/>
        <w:rPr>
          <w:rFonts w:ascii="方正小标宋简体" w:eastAsia="方正小标宋简体"/>
          <w:sz w:val="44"/>
          <w:szCs w:val="44"/>
          <w:shd w:val="clear" w:color="auto" w:fill="FFFFFF"/>
        </w:rPr>
      </w:pPr>
      <w:r>
        <w:rPr>
          <w:rFonts w:hint="eastAsia" w:ascii="方正小标宋简体" w:hAnsi="宋体" w:eastAsia="方正小标宋简体"/>
          <w:sz w:val="44"/>
          <w:szCs w:val="44"/>
          <w:shd w:val="clear" w:color="auto" w:fill="FFFFFF"/>
          <w:lang w:eastAsia="zh-CN"/>
        </w:rPr>
        <w:t>县</w:t>
      </w:r>
      <w:r>
        <w:rPr>
          <w:rFonts w:hint="eastAsia" w:ascii="方正小标宋简体" w:hAnsi="宋体" w:eastAsia="方正小标宋简体"/>
          <w:sz w:val="44"/>
          <w:szCs w:val="44"/>
          <w:shd w:val="clear" w:color="auto" w:fill="FFFFFF"/>
        </w:rPr>
        <w:t>级部门整体绩效自评报告</w:t>
      </w:r>
    </w:p>
    <w:p w14:paraId="60F62C7A">
      <w:pPr>
        <w:widowControl/>
        <w:adjustRightInd w:val="0"/>
        <w:snapToGrid w:val="0"/>
        <w:spacing w:line="580" w:lineRule="exact"/>
        <w:ind w:firstLine="660" w:firstLineChars="200"/>
        <w:contextualSpacing/>
        <w:jc w:val="left"/>
        <w:rPr>
          <w:rFonts w:ascii="方正仿宋_GBK" w:hAnsi="宋体" w:eastAsia="方正仿宋_GBK" w:cs="宋体"/>
          <w:color w:val="000000"/>
          <w:kern w:val="0"/>
          <w:sz w:val="33"/>
          <w:szCs w:val="33"/>
          <w:shd w:val="clear" w:color="auto" w:fill="FFFFFF"/>
        </w:rPr>
      </w:pPr>
    </w:p>
    <w:p w14:paraId="5BE651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lang w:val="zh-CN" w:eastAsia="zh-CN"/>
        </w:rPr>
      </w:pPr>
      <w:r>
        <w:rPr>
          <w:rFonts w:hint="eastAsia" w:ascii="黑体" w:hAnsi="黑体" w:eastAsia="黑体" w:cs="黑体"/>
          <w:color w:val="auto"/>
          <w:sz w:val="32"/>
          <w:szCs w:val="32"/>
          <w:lang w:val="zh-CN" w:eastAsia="zh-CN"/>
        </w:rPr>
        <w:t>一、部门基本情况</w:t>
      </w:r>
    </w:p>
    <w:p w14:paraId="29B7A8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color w:val="auto"/>
          <w:sz w:val="32"/>
          <w:szCs w:val="32"/>
          <w:lang w:val="zh-CN" w:eastAsia="zh-CN"/>
        </w:rPr>
      </w:pPr>
      <w:r>
        <w:rPr>
          <w:rFonts w:hint="eastAsia" w:ascii="楷体_GB2312" w:hAnsi="楷体_GB2312" w:eastAsia="楷体_GB2312" w:cs="楷体_GB2312"/>
          <w:color w:val="auto"/>
          <w:sz w:val="32"/>
          <w:szCs w:val="32"/>
          <w:lang w:val="zh-CN" w:eastAsia="zh-CN"/>
        </w:rPr>
        <w:t>（一）机构组成</w:t>
      </w:r>
    </w:p>
    <w:p w14:paraId="119F1F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峨边彝族自治县医疗保障局（</w:t>
      </w:r>
      <w:r>
        <w:rPr>
          <w:rFonts w:hint="eastAsia" w:ascii="仿宋_GB2312" w:hAnsi="仿宋_GB2312" w:eastAsia="仿宋_GB2312" w:cs="仿宋_GB2312"/>
          <w:color w:val="auto"/>
          <w:sz w:val="32"/>
          <w:szCs w:val="32"/>
          <w:lang w:val="en-US" w:eastAsia="zh-CN"/>
        </w:rPr>
        <w:t>简称县医保局）为行政机关，一级预算正科级单位。单位设局长1名，副局长1名；内设中层机构3个（办公室、综合业务股、基金监管股）；下属参公事业单位：医疗保障事务中心，设征缴股、审核股、稽核股、财务股。</w:t>
      </w:r>
    </w:p>
    <w:p w14:paraId="77B640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zh-CN" w:eastAsia="zh-CN"/>
        </w:rPr>
        <w:t>（</w:t>
      </w:r>
      <w:r>
        <w:rPr>
          <w:rFonts w:hint="eastAsia" w:ascii="楷体_GB2312" w:hAnsi="楷体_GB2312" w:eastAsia="楷体_GB2312" w:cs="楷体_GB2312"/>
          <w:color w:val="auto"/>
          <w:sz w:val="32"/>
          <w:szCs w:val="32"/>
          <w:lang w:val="en-US" w:eastAsia="zh-CN"/>
        </w:rPr>
        <w:t>二</w:t>
      </w:r>
      <w:r>
        <w:rPr>
          <w:rFonts w:hint="eastAsia" w:ascii="楷体_GB2312" w:hAnsi="楷体_GB2312" w:eastAsia="楷体_GB2312" w:cs="楷体_GB2312"/>
          <w:color w:val="auto"/>
          <w:sz w:val="32"/>
          <w:szCs w:val="32"/>
          <w:lang w:val="zh-CN" w:eastAsia="zh-CN"/>
        </w:rPr>
        <w:t>）机构职能和人员概况</w:t>
      </w:r>
    </w:p>
    <w:p w14:paraId="5AB79A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eastAsia="zh-CN"/>
        </w:rPr>
        <w:t>根据峨委办</w:t>
      </w:r>
      <w:r>
        <w:rPr>
          <w:rFonts w:hint="eastAsia" w:ascii="仿宋_GB2312" w:hAnsi="仿宋_GB2312" w:eastAsia="仿宋_GB2312" w:cs="仿宋_GB2312"/>
          <w:color w:val="auto"/>
          <w:sz w:val="32"/>
          <w:szCs w:val="32"/>
          <w:lang w:val="en-US" w:eastAsia="zh-CN"/>
        </w:rPr>
        <w:t>〔2019〕39号文件</w:t>
      </w:r>
      <w:r>
        <w:rPr>
          <w:rFonts w:hint="eastAsia" w:ascii="仿宋_GB2312" w:hAnsi="仿宋_GB2312" w:eastAsia="仿宋_GB2312" w:cs="仿宋_GB2312"/>
          <w:color w:val="auto"/>
          <w:sz w:val="32"/>
          <w:szCs w:val="32"/>
          <w:lang w:val="zh-CN" w:eastAsia="zh-CN"/>
        </w:rPr>
        <w:t>批复的三定方案，我单位的主要职责是：</w:t>
      </w:r>
    </w:p>
    <w:p w14:paraId="26319B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1.拟定相关的规范性文件，组织实施市级统筹医疗保险、生育保险、医疗救助等医疗保障方面的政策和监督检查。</w:t>
      </w:r>
    </w:p>
    <w:p w14:paraId="73C1E8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2.组织制定并实施医疗保障基金监督管理制度，建立健全医疗保障基金安全防控机制，监督强化全县医疗保障基金的运行管理。</w:t>
      </w:r>
    </w:p>
    <w:p w14:paraId="687881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3.组织执行省、市城乡统一的药品、医用耗材、医疗服务项目、医疗服务设施等医疗保障目录和支付标准，监督管理全县药品、医用耗材的招标采购政策的实施。</w:t>
      </w:r>
    </w:p>
    <w:p w14:paraId="709692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4.组织实施药品、医用耗材价格和医疗服务项目、医疗服务设施收费等政策，建立价格信息监测和信息发布制度。</w:t>
      </w:r>
    </w:p>
    <w:p w14:paraId="7CFEA9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推进医疗保障基金支付方式改革，拟定全县定点医药机构协议和支付管理办法并组织实施，指导全县医疗保障定点机构管理。建立健全医疗保障信用评价体系和信息披露制度，监督管理纳入医疗保障范围内的医疗服务行为和医疗费用，依法查处医疗保障领域违法违规行为。</w:t>
      </w:r>
    </w:p>
    <w:p w14:paraId="05F0CE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负责全县医疗保障经办管理和公共服务体系建设。组织实施异地就医管理和费用结算政策。建立健全医疗保障关系转移接续制度，拟定全民参保计划，推进医疗、生育保险费征收管理，监督管理全县医保经办服务工作。开展医疗保障领域对外合作交流。</w:t>
      </w:r>
    </w:p>
    <w:p w14:paraId="508CAF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7.负责规划实施全县医疗保障信息化建设。组织开展医疗保障大数据管理和应用。</w:t>
      </w:r>
    </w:p>
    <w:p w14:paraId="28CB1C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8.负责职责范围内的安全生产和职业健康、生态环境保护、服务便民化等工作。</w:t>
      </w:r>
    </w:p>
    <w:p w14:paraId="58267F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9.与县卫生健康局的职责分工。两部门在医疗、医保、医药等方面加强制度、政策衔接，建立沟通协商机制，协同推进改革，提高医疗资源使用效率和医疗保障水平。</w:t>
      </w:r>
    </w:p>
    <w:p w14:paraId="7CEC50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10.完成县委、县政府交办的其他工作。</w:t>
      </w:r>
    </w:p>
    <w:p w14:paraId="786494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人员概况：县医保局经机构编制委员会批准行政编制</w:t>
      </w:r>
      <w:r>
        <w:rPr>
          <w:rFonts w:hint="eastAsia" w:ascii="仿宋_GB2312" w:hAnsi="仿宋_GB2312" w:eastAsia="仿宋_GB2312" w:cs="仿宋_GB2312"/>
          <w:color w:val="auto"/>
          <w:sz w:val="32"/>
          <w:szCs w:val="32"/>
          <w:lang w:val="en-US" w:eastAsia="zh-CN"/>
        </w:rPr>
        <w:t>18人，实有公务员3人，参公人员12人，工勤3人。</w:t>
      </w:r>
      <w:r>
        <w:rPr>
          <w:rFonts w:hint="eastAsia" w:ascii="仿宋_GB2312" w:hAnsi="仿宋_GB2312" w:eastAsia="仿宋_GB2312" w:cs="仿宋_GB2312"/>
          <w:color w:val="auto"/>
          <w:sz w:val="32"/>
          <w:szCs w:val="32"/>
          <w:lang w:val="zh-CN" w:eastAsia="zh-CN"/>
        </w:rPr>
        <w:tab/>
      </w:r>
    </w:p>
    <w:p w14:paraId="100FDA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color w:val="auto"/>
          <w:sz w:val="32"/>
          <w:szCs w:val="32"/>
          <w:lang w:val="zh-CN" w:eastAsia="zh-CN"/>
        </w:rPr>
      </w:pPr>
      <w:r>
        <w:rPr>
          <w:rFonts w:hint="eastAsia" w:ascii="楷体_GB2312" w:hAnsi="楷体_GB2312" w:eastAsia="楷体_GB2312" w:cs="楷体_GB2312"/>
          <w:color w:val="auto"/>
          <w:sz w:val="32"/>
          <w:szCs w:val="32"/>
          <w:lang w:val="zh-CN" w:eastAsia="zh-CN"/>
        </w:rPr>
        <w:t>（</w:t>
      </w:r>
      <w:r>
        <w:rPr>
          <w:rFonts w:hint="eastAsia" w:ascii="楷体_GB2312" w:hAnsi="楷体_GB2312" w:eastAsia="楷体_GB2312" w:cs="楷体_GB2312"/>
          <w:color w:val="auto"/>
          <w:sz w:val="32"/>
          <w:szCs w:val="32"/>
          <w:lang w:val="en-US" w:eastAsia="zh-CN"/>
        </w:rPr>
        <w:t>三</w:t>
      </w:r>
      <w:r>
        <w:rPr>
          <w:rFonts w:hint="eastAsia" w:ascii="楷体_GB2312" w:hAnsi="楷体_GB2312" w:eastAsia="楷体_GB2312" w:cs="楷体_GB2312"/>
          <w:color w:val="auto"/>
          <w:sz w:val="32"/>
          <w:szCs w:val="32"/>
          <w:lang w:val="zh-CN" w:eastAsia="zh-CN"/>
        </w:rPr>
        <w:t>）年度主要工作任务</w:t>
      </w:r>
    </w:p>
    <w:p w14:paraId="017A60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1.推进全面参保工作。</w:t>
      </w:r>
      <w:r>
        <w:rPr>
          <w:rFonts w:hint="eastAsia" w:ascii="仿宋_GB2312" w:hAnsi="仿宋_GB2312" w:eastAsia="仿宋_GB2312" w:cs="仿宋_GB2312"/>
          <w:color w:val="auto"/>
          <w:sz w:val="32"/>
          <w:szCs w:val="32"/>
          <w:lang w:val="en-US" w:eastAsia="zh-CN"/>
        </w:rPr>
        <w:t>扎实推进城镇职工、城乡居民基本医疗保险参保工作，全面完成市下参保目标任务。重点做好特困人员、低保对象、防止返贫监测对象、已稳定脱贫人口等重点人员分类资助参保工作，确保应保尽保。</w:t>
      </w:r>
    </w:p>
    <w:p w14:paraId="28116CF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2.调整优化医保政策。</w:t>
      </w:r>
      <w:r>
        <w:rPr>
          <w:rFonts w:hint="eastAsia" w:ascii="仿宋_GB2312" w:hAnsi="仿宋_GB2312" w:eastAsia="仿宋_GB2312" w:cs="仿宋_GB2312"/>
          <w:color w:val="auto"/>
          <w:sz w:val="32"/>
          <w:szCs w:val="32"/>
          <w:lang w:val="en-US" w:eastAsia="zh-CN"/>
        </w:rPr>
        <w:t>下发《贯彻落实〈乐山市巩固拓展医疗保障脱贫攻坚成果有效衔接乡村振兴战略实施细则〉有关医疗救助政策待遇的通知》，落实资助参保、大病保险、医疗救助政策，保障重点人员待遇落实到位。</w:t>
      </w:r>
    </w:p>
    <w:p w14:paraId="2CC1711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3.加强防贫动态监测。</w:t>
      </w:r>
      <w:r>
        <w:rPr>
          <w:rFonts w:hint="eastAsia" w:ascii="仿宋_GB2312" w:hAnsi="仿宋_GB2312" w:eastAsia="仿宋_GB2312" w:cs="仿宋_GB2312"/>
          <w:color w:val="auto"/>
          <w:sz w:val="32"/>
          <w:szCs w:val="32"/>
          <w:lang w:val="en-US" w:eastAsia="zh-CN"/>
        </w:rPr>
        <w:t>会同县乡村振兴局、县民政局，建立数据共享机制，定期推送风险信息，加强分析研判，开展动态监测，防止参保群众因病致贫返贫。</w:t>
      </w:r>
    </w:p>
    <w:p w14:paraId="2C89712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4.推进支付方式改革。</w:t>
      </w:r>
      <w:r>
        <w:rPr>
          <w:rFonts w:hint="eastAsia" w:ascii="仿宋_GB2312" w:hAnsi="仿宋_GB2312" w:eastAsia="仿宋_GB2312" w:cs="仿宋_GB2312"/>
          <w:color w:val="auto"/>
          <w:sz w:val="32"/>
          <w:szCs w:val="32"/>
          <w:lang w:val="en-US" w:eastAsia="zh-CN"/>
        </w:rPr>
        <w:t>落实《乐山市医疗保障局DRG支付方式改革三年行动计划推进方案》，全面启动DRG改革，完成2024年改革任务，推动医保高质量发展。</w:t>
      </w:r>
    </w:p>
    <w:p w14:paraId="19886BF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5.落实药品集中采购。</w:t>
      </w:r>
      <w:r>
        <w:rPr>
          <w:rFonts w:hint="eastAsia" w:ascii="仿宋_GB2312" w:hAnsi="仿宋_GB2312" w:eastAsia="仿宋_GB2312" w:cs="仿宋_GB2312"/>
          <w:color w:val="auto"/>
          <w:sz w:val="32"/>
          <w:szCs w:val="32"/>
          <w:lang w:val="en-US" w:eastAsia="zh-CN"/>
        </w:rPr>
        <w:t>组织辖区定点医药机构进行集中采购，加强集中采购和使用日常监测，落实药品集中带量采购医保资金结余留用政策，做好短缺药品保供稳价工作。</w:t>
      </w:r>
    </w:p>
    <w:p w14:paraId="7326D51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6.深化服务价格改革。</w:t>
      </w:r>
      <w:r>
        <w:rPr>
          <w:rFonts w:hint="eastAsia" w:ascii="仿宋_GB2312" w:hAnsi="仿宋_GB2312" w:eastAsia="仿宋_GB2312" w:cs="仿宋_GB2312"/>
          <w:color w:val="auto"/>
          <w:sz w:val="32"/>
          <w:szCs w:val="32"/>
          <w:lang w:val="en-US" w:eastAsia="zh-CN"/>
        </w:rPr>
        <w:t>推进医疗服务价格项目精细化管理，支持中医药传承创新发展，对部分中医类医疗服务项目进行调整。加强新增医疗服务项目价格管理，做好医疗服务价格培训与医疗服务价格动态调整数据测算、报送工作。</w:t>
      </w:r>
    </w:p>
    <w:p w14:paraId="0D90F71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7.推进跨省直接结算。</w:t>
      </w:r>
      <w:r>
        <w:rPr>
          <w:rFonts w:hint="eastAsia" w:ascii="仿宋_GB2312" w:hAnsi="仿宋_GB2312" w:eastAsia="仿宋_GB2312" w:cs="仿宋_GB2312"/>
          <w:color w:val="auto"/>
          <w:sz w:val="32"/>
          <w:szCs w:val="32"/>
          <w:lang w:val="en-US" w:eastAsia="zh-CN"/>
        </w:rPr>
        <w:t>落实国家及省门诊费用跨省直接结算工作要求，推进门诊费用（职工医保个人账户）跨省直接结算工作，加大政策宣传力度，提高群众的知晓率，扩大异地就医结算范围，夯实异地就医直接结算工作。</w:t>
      </w:r>
    </w:p>
    <w:p w14:paraId="5D27917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8.加强政策宣传。</w:t>
      </w:r>
      <w:r>
        <w:rPr>
          <w:rFonts w:hint="eastAsia" w:ascii="仿宋_GB2312" w:hAnsi="仿宋_GB2312" w:eastAsia="仿宋_GB2312" w:cs="仿宋_GB2312"/>
          <w:color w:val="auto"/>
          <w:sz w:val="32"/>
          <w:szCs w:val="32"/>
          <w:lang w:val="en-US" w:eastAsia="zh-CN"/>
        </w:rPr>
        <w:t>贯彻落实《医疗保障基金使用监督管理条例》《医疗保障基金使用监督管理举报处理暂行办法》，结合打击欺诈骗保集中宣传月、定点医药机构专项治理、打击欺诈骗保专项行动，联合多部门参与基金监管，持续保持打击欺诈骗保高压态势。</w:t>
      </w:r>
    </w:p>
    <w:p w14:paraId="47203D3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9.完善协议管理。</w:t>
      </w:r>
      <w:r>
        <w:rPr>
          <w:rFonts w:hint="eastAsia" w:ascii="仿宋_GB2312" w:hAnsi="仿宋_GB2312" w:eastAsia="仿宋_GB2312" w:cs="仿宋_GB2312"/>
          <w:color w:val="auto"/>
          <w:sz w:val="32"/>
          <w:szCs w:val="32"/>
          <w:lang w:val="en-US" w:eastAsia="zh-CN"/>
        </w:rPr>
        <w:t>进一步完善协议内容，与辖区所有医药机构签订服务协议，按协议内容对定点医药机构进行管理、考核。严格履行医保基金管理主体责任，引入第三方力量，扎实开展自检自查，确保医疗保障资金的安全和可持续运行。</w:t>
      </w:r>
    </w:p>
    <w:p w14:paraId="3727CD5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10.推进智能监管。</w:t>
      </w:r>
      <w:r>
        <w:rPr>
          <w:rFonts w:hint="eastAsia" w:ascii="仿宋_GB2312" w:hAnsi="仿宋_GB2312" w:eastAsia="仿宋_GB2312" w:cs="仿宋_GB2312"/>
          <w:color w:val="auto"/>
          <w:sz w:val="32"/>
          <w:szCs w:val="32"/>
          <w:lang w:val="en-US" w:eastAsia="zh-CN"/>
        </w:rPr>
        <w:t>借助现有智能监控（审核）系统，对医疗机构违规行为进行及时纠正，建立健全医保信用管理制度，规范举报线索办理和奖励机制，建立基金监管应急处置机制，以问题为导向开展专项整治行动，逐步扩大监管领域。实行一企一策，加大对企业拖欠职工医保追缴力度，维护职工合法权益，切实维护社会稳定。</w:t>
      </w:r>
    </w:p>
    <w:p w14:paraId="5B6B584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11.加强经办队伍建设。</w:t>
      </w:r>
      <w:r>
        <w:rPr>
          <w:rFonts w:hint="eastAsia" w:ascii="仿宋_GB2312" w:hAnsi="仿宋_GB2312" w:eastAsia="仿宋_GB2312" w:cs="仿宋_GB2312"/>
          <w:color w:val="auto"/>
          <w:sz w:val="32"/>
          <w:szCs w:val="32"/>
          <w:lang w:val="en-US" w:eastAsia="zh-CN"/>
        </w:rPr>
        <w:t>落实全省乡镇行政区划和村级建制调整改革“后半篇文章”相关部署，进一步加强基层医保经办服务能力建设，推动医疗保障经办县、乡（镇）、村全覆盖，打通医疗保障经办服务“最后一公里”。</w:t>
      </w:r>
    </w:p>
    <w:p w14:paraId="06F57BC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12.提升经办服务能力。</w:t>
      </w:r>
      <w:r>
        <w:rPr>
          <w:rFonts w:hint="eastAsia" w:ascii="仿宋_GB2312" w:hAnsi="仿宋_GB2312" w:eastAsia="仿宋_GB2312" w:cs="仿宋_GB2312"/>
          <w:color w:val="auto"/>
          <w:sz w:val="32"/>
          <w:szCs w:val="32"/>
          <w:lang w:val="en-US" w:eastAsia="zh-CN"/>
        </w:rPr>
        <w:t>深化“最多跑一次”改革，加快推进服务事项网上办理，提高“一网通办”，“网上办”“掌上办”办结率。积极推广医保电子凭证，不断拓展使用渠道，鼓励参保群众使用医保电子凭证就医购药。</w:t>
      </w:r>
    </w:p>
    <w:p w14:paraId="08C571B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13.加强经办行风建设。</w:t>
      </w:r>
      <w:r>
        <w:rPr>
          <w:rFonts w:hint="eastAsia" w:ascii="仿宋_GB2312" w:hAnsi="仿宋_GB2312" w:eastAsia="仿宋_GB2312" w:cs="仿宋_GB2312"/>
          <w:color w:val="auto"/>
          <w:sz w:val="32"/>
          <w:szCs w:val="32"/>
          <w:lang w:val="en-US" w:eastAsia="zh-CN"/>
        </w:rPr>
        <w:t>加强服务窗口规范化建设，定期对窗口工作人员开展业务培训，实施好医疗保障经办政务服务事项“好差评”制度，及时处理窗口人员的违规违纪行为及信访、投诉。</w:t>
      </w:r>
    </w:p>
    <w:p w14:paraId="11034F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color w:val="auto"/>
          <w:sz w:val="32"/>
          <w:szCs w:val="32"/>
          <w:lang w:val="zh-CN" w:eastAsia="zh-CN"/>
        </w:rPr>
      </w:pPr>
      <w:r>
        <w:rPr>
          <w:rFonts w:hint="eastAsia" w:ascii="楷体_GB2312" w:hAnsi="楷体_GB2312" w:eastAsia="楷体_GB2312" w:cs="楷体_GB2312"/>
          <w:color w:val="auto"/>
          <w:sz w:val="32"/>
          <w:szCs w:val="32"/>
          <w:lang w:val="zh-CN" w:eastAsia="zh-CN"/>
        </w:rPr>
        <w:t>（四）部门整体支出绩效目标</w:t>
      </w:r>
    </w:p>
    <w:p w14:paraId="028EA3EB">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ascii="楷体_GB2312" w:hAnsi="宋体" w:eastAsia="楷体_GB2312" w:cs="宋体"/>
          <w:color w:val="000000"/>
          <w:kern w:val="0"/>
          <w:szCs w:val="32"/>
          <w:shd w:val="clear" w:color="auto" w:fill="FFFFFF"/>
          <w:lang w:val="zh-CN"/>
        </w:rPr>
      </w:pPr>
      <w:r>
        <w:rPr>
          <w:rFonts w:hint="eastAsia" w:ascii="仿宋_GB2312" w:hAnsi="仿宋_GB2312" w:eastAsia="仿宋_GB2312" w:cs="仿宋_GB2312"/>
          <w:color w:val="auto"/>
          <w:sz w:val="32"/>
          <w:szCs w:val="32"/>
          <w:lang w:val="zh-CN" w:eastAsia="zh-CN"/>
        </w:rPr>
        <w:t>通过年初结合单位实际工作需要编制部门预算，在支出过程中做到严格遵守各项规章制度，所有项目均需制定方案，严格按照方案组织实施，并加强监督。尤其在专项经费上严格执行专项资金财务管理办法，专款专用，无截留、无挪用等现象。使资金使用得到最大效益化，最终实现部门整体支出合理合规。</w:t>
      </w:r>
    </w:p>
    <w:p w14:paraId="472B14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lang w:val="zh-CN" w:eastAsia="zh-CN"/>
        </w:rPr>
      </w:pPr>
      <w:r>
        <w:rPr>
          <w:rFonts w:hint="eastAsia" w:ascii="黑体" w:hAnsi="黑体" w:eastAsia="黑体" w:cs="黑体"/>
          <w:color w:val="auto"/>
          <w:sz w:val="32"/>
          <w:szCs w:val="32"/>
          <w:lang w:val="zh-CN" w:eastAsia="zh-CN"/>
        </w:rPr>
        <w:t>二、部门财政资金收支情况</w:t>
      </w:r>
    </w:p>
    <w:p w14:paraId="702F2C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color w:val="auto"/>
          <w:sz w:val="32"/>
          <w:szCs w:val="32"/>
          <w:lang w:val="zh-CN" w:eastAsia="zh-CN"/>
        </w:rPr>
      </w:pPr>
      <w:r>
        <w:rPr>
          <w:rFonts w:hint="eastAsia" w:ascii="楷体_GB2312" w:hAnsi="楷体_GB2312" w:eastAsia="楷体_GB2312" w:cs="楷体_GB2312"/>
          <w:color w:val="auto"/>
          <w:sz w:val="32"/>
          <w:szCs w:val="32"/>
          <w:lang w:val="zh-CN" w:eastAsia="zh-CN"/>
        </w:rPr>
        <w:t>（一）部门财政资金收入情况</w:t>
      </w:r>
    </w:p>
    <w:p w14:paraId="787A818F">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县医保局2024年财政拨款预算收入885.7万元，其中上级资金0万元，县级资金885.7万元。</w:t>
      </w:r>
    </w:p>
    <w:p w14:paraId="4B4D82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color w:val="auto"/>
          <w:sz w:val="32"/>
          <w:szCs w:val="32"/>
          <w:lang w:val="zh-CN" w:eastAsia="zh-CN"/>
        </w:rPr>
      </w:pPr>
      <w:r>
        <w:rPr>
          <w:rFonts w:hint="eastAsia" w:ascii="楷体_GB2312" w:hAnsi="楷体_GB2312" w:eastAsia="楷体_GB2312" w:cs="楷体_GB2312"/>
          <w:color w:val="auto"/>
          <w:sz w:val="32"/>
          <w:szCs w:val="32"/>
          <w:lang w:val="zh-CN" w:eastAsia="zh-CN"/>
        </w:rPr>
        <w:t>（</w:t>
      </w:r>
      <w:r>
        <w:rPr>
          <w:rFonts w:hint="eastAsia" w:ascii="楷体_GB2312" w:hAnsi="楷体_GB2312" w:eastAsia="楷体_GB2312" w:cs="楷体_GB2312"/>
          <w:color w:val="auto"/>
          <w:sz w:val="32"/>
          <w:szCs w:val="32"/>
          <w:lang w:val="en-US" w:eastAsia="zh-CN"/>
        </w:rPr>
        <w:t>二</w:t>
      </w:r>
      <w:r>
        <w:rPr>
          <w:rFonts w:hint="eastAsia" w:ascii="楷体_GB2312" w:hAnsi="楷体_GB2312" w:eastAsia="楷体_GB2312" w:cs="楷体_GB2312"/>
          <w:color w:val="auto"/>
          <w:sz w:val="32"/>
          <w:szCs w:val="32"/>
          <w:lang w:val="zh-CN" w:eastAsia="zh-CN"/>
        </w:rPr>
        <w:t>）部门财政资金支出情况</w:t>
      </w:r>
    </w:p>
    <w:p w14:paraId="6993A6F5">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hint="default" w:ascii="仿宋_GB2312" w:hAnsi="宋体" w:eastAsia="仿宋_GB2312" w:cs="宋体"/>
          <w:b w:val="0"/>
          <w:bCs w:val="0"/>
          <w:color w:val="auto"/>
          <w:kern w:val="0"/>
          <w:sz w:val="32"/>
          <w:szCs w:val="32"/>
          <w:shd w:val="clear" w:color="auto" w:fill="FFFFFF"/>
          <w:lang w:val="en-US" w:eastAsia="zh-CN" w:bidi="ar-SA"/>
        </w:rPr>
      </w:pPr>
      <w:r>
        <w:rPr>
          <w:rFonts w:hint="eastAsia" w:ascii="仿宋_GB2312" w:hAnsi="仿宋_GB2312" w:eastAsia="仿宋_GB2312" w:cs="仿宋_GB2312"/>
          <w:sz w:val="32"/>
          <w:szCs w:val="32"/>
          <w:lang w:val="zh-CN" w:eastAsia="zh-CN"/>
        </w:rPr>
        <w:t>基本支出</w:t>
      </w:r>
      <w:r>
        <w:rPr>
          <w:rFonts w:hint="eastAsia" w:ascii="仿宋_GB2312" w:hAnsi="仿宋_GB2312" w:eastAsia="仿宋_GB2312" w:cs="仿宋_GB2312"/>
          <w:sz w:val="32"/>
          <w:szCs w:val="32"/>
          <w:lang w:val="en-US" w:eastAsia="zh-CN"/>
        </w:rPr>
        <w:t>372.34万元，项</w:t>
      </w:r>
      <w:r>
        <w:rPr>
          <w:rFonts w:hint="eastAsia" w:ascii="仿宋_GB2312" w:hAnsi="宋体" w:eastAsia="仿宋_GB2312" w:cs="宋体"/>
          <w:b w:val="0"/>
          <w:bCs w:val="0"/>
          <w:color w:val="000000"/>
          <w:kern w:val="0"/>
          <w:sz w:val="32"/>
          <w:szCs w:val="32"/>
          <w:shd w:val="clear" w:color="auto" w:fill="FFFFFF"/>
          <w:lang w:val="en-US" w:eastAsia="zh-CN" w:bidi="ar-SA"/>
        </w:rPr>
        <w:t>目支出508.18万元，其中项目4个，具体支出为：城乡医疗救助270.91万元；其他医疗救助支出27.27万元；其他巩固拓展脱贫攻坚成果衔接乡村振兴支出200万元；医保经办服务体系标准化建设10万元；</w:t>
      </w:r>
    </w:p>
    <w:p w14:paraId="359CC5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（三）部门财政资金结转结余情况</w:t>
      </w:r>
    </w:p>
    <w:p w14:paraId="1D0791DF">
      <w:pPr>
        <w:keepNext w:val="0"/>
        <w:keepLines w:val="0"/>
        <w:pageBreakBefore w:val="0"/>
        <w:numPr>
          <w:ilvl w:val="0"/>
          <w:numId w:val="0"/>
        </w:numPr>
        <w:kinsoku/>
        <w:wordWrap/>
        <w:overflowPunct/>
        <w:topLinePunct w:val="0"/>
        <w:autoSpaceDE/>
        <w:autoSpaceDN/>
        <w:bidi w:val="0"/>
        <w:spacing w:line="560" w:lineRule="exact"/>
        <w:ind w:left="0" w:leftChars="0"/>
        <w:jc w:val="both"/>
        <w:textAlignment w:val="auto"/>
        <w:rPr>
          <w:rFonts w:hint="default" w:ascii="仿宋_GB2312" w:hAnsi="宋体" w:eastAsia="仿宋_GB2312" w:cs="宋体"/>
          <w:b w:val="0"/>
          <w:bCs w:val="0"/>
          <w:color w:val="auto"/>
          <w:kern w:val="0"/>
          <w:sz w:val="32"/>
          <w:szCs w:val="32"/>
          <w:shd w:val="clear" w:color="auto" w:fill="FFFFFF"/>
          <w:lang w:val="en-US" w:eastAsia="zh-CN" w:bidi="ar-SA"/>
        </w:rPr>
      </w:pPr>
      <w:r>
        <w:rPr>
          <w:rFonts w:hint="eastAsia" w:ascii="仿宋_GB2312" w:hAnsi="宋体" w:eastAsia="仿宋_GB2312" w:cs="宋体"/>
          <w:b w:val="0"/>
          <w:bCs w:val="0"/>
          <w:color w:val="auto"/>
          <w:kern w:val="0"/>
          <w:sz w:val="32"/>
          <w:szCs w:val="32"/>
          <w:shd w:val="clear" w:color="auto" w:fill="FFFFFF"/>
          <w:lang w:val="en-US" w:eastAsia="zh-CN" w:bidi="ar-SA"/>
        </w:rPr>
        <w:t xml:space="preserve">     2024年部门财政资金结转结余5.18万元。</w:t>
      </w:r>
    </w:p>
    <w:p w14:paraId="0E9ED1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color w:val="auto"/>
          <w:sz w:val="32"/>
          <w:szCs w:val="32"/>
          <w:lang w:val="en-US" w:eastAsia="zh-CN"/>
        </w:rPr>
        <w:t>三、部门整体绩效管理情况</w:t>
      </w:r>
    </w:p>
    <w:p w14:paraId="573D18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color w:val="auto"/>
          <w:sz w:val="32"/>
          <w:szCs w:val="32"/>
          <w:lang w:val="zh-CN" w:eastAsia="zh-CN"/>
        </w:rPr>
      </w:pPr>
      <w:r>
        <w:rPr>
          <w:rFonts w:hint="eastAsia" w:ascii="楷体_GB2312" w:hAnsi="楷体_GB2312" w:eastAsia="楷体_GB2312" w:cs="楷体_GB2312"/>
          <w:color w:val="auto"/>
          <w:sz w:val="32"/>
          <w:szCs w:val="32"/>
          <w:lang w:val="zh-CN" w:eastAsia="zh-CN"/>
        </w:rPr>
        <w:t>（一）部门整体履职绩效分析</w:t>
      </w:r>
    </w:p>
    <w:p w14:paraId="385FCFE5">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我单位实行预算管理制度，根据</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财政局每年下发文件进行相应的预算管理编制和提交。严格预算执行，及时向</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财政局反映本部门预算执行情况，依法纠正违反预算的行为。将单位预算管理活动与社会和人民的切身利益相结合，根据社会需求和人民需要进行合理预算管理工作，使预算管理计划成为行政事业单位建设社会、服务大众的方针导向。执行预算绩效管理，编制整体支出和项目支出绩效申报，使单位预算管理</w:t>
      </w:r>
      <w:r>
        <w:rPr>
          <w:rFonts w:hint="eastAsia" w:ascii="仿宋_GB2312" w:hAnsi="仿宋_GB2312" w:eastAsia="仿宋_GB2312" w:cs="仿宋_GB2312"/>
          <w:sz w:val="32"/>
          <w:szCs w:val="32"/>
          <w:lang w:eastAsia="zh-CN"/>
        </w:rPr>
        <w:t>发挥</w:t>
      </w:r>
      <w:r>
        <w:rPr>
          <w:rFonts w:hint="eastAsia" w:ascii="仿宋_GB2312" w:hAnsi="仿宋_GB2312" w:eastAsia="仿宋_GB2312" w:cs="仿宋_GB2312"/>
          <w:sz w:val="32"/>
          <w:szCs w:val="32"/>
        </w:rPr>
        <w:t>最大效用，实现预算管理的目标与效果。</w:t>
      </w:r>
    </w:p>
    <w:p w14:paraId="03C1E1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color w:val="auto"/>
          <w:sz w:val="32"/>
          <w:szCs w:val="32"/>
          <w:lang w:val="zh-CN" w:eastAsia="zh-CN"/>
        </w:rPr>
      </w:pPr>
      <w:r>
        <w:rPr>
          <w:rFonts w:hint="eastAsia" w:ascii="楷体_GB2312" w:hAnsi="楷体_GB2312" w:eastAsia="楷体_GB2312" w:cs="楷体_GB2312"/>
          <w:color w:val="auto"/>
          <w:sz w:val="32"/>
          <w:szCs w:val="32"/>
          <w:lang w:val="zh-CN" w:eastAsia="zh-CN"/>
        </w:rPr>
        <w:t>（二）特定目标类项目绩效分析</w:t>
      </w:r>
    </w:p>
    <w:p w14:paraId="4F8EEB74">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包括项目绩效目标制定、目标实现、支出控制、及时处置、执行进度、预算完成情况、资金结余率（低效无效率）和违规记录等情况。</w:t>
      </w:r>
    </w:p>
    <w:p w14:paraId="0387917C">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rPr>
        <w:t>整体情况：</w:t>
      </w:r>
    </w:p>
    <w:p w14:paraId="6A46C5C1">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县医保局2024年项目为4个，项目支出为508.18万元。</w:t>
      </w:r>
    </w:p>
    <w:p w14:paraId="1B4F8284">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2.100万以上项目：</w:t>
      </w:r>
    </w:p>
    <w:p w14:paraId="6CC6D2B1">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项目1：</w:t>
      </w:r>
      <w:r>
        <w:rPr>
          <w:rFonts w:hint="eastAsia" w:ascii="仿宋_GB2312" w:hAnsi="宋体" w:eastAsia="仿宋_GB2312" w:cs="宋体"/>
          <w:b w:val="0"/>
          <w:bCs w:val="0"/>
          <w:color w:val="000000"/>
          <w:kern w:val="0"/>
          <w:sz w:val="32"/>
          <w:szCs w:val="32"/>
          <w:shd w:val="clear" w:color="auto" w:fill="FFFFFF"/>
          <w:lang w:val="en-US" w:eastAsia="zh-CN" w:bidi="ar-SA"/>
        </w:rPr>
        <w:t>城乡医疗救助298.18</w:t>
      </w:r>
      <w:r>
        <w:rPr>
          <w:rFonts w:hint="eastAsia" w:ascii="仿宋_GB2312" w:hAnsi="仿宋_GB2312" w:eastAsia="仿宋_GB2312" w:cs="仿宋_GB2312"/>
          <w:sz w:val="32"/>
          <w:szCs w:val="32"/>
          <w:lang w:val="en-US" w:eastAsia="zh-CN"/>
        </w:rPr>
        <w:t>万元，用于城乡居民医疗救助。</w:t>
      </w:r>
      <w:r>
        <w:rPr>
          <w:rFonts w:hint="eastAsia" w:ascii="仿宋_GB2312" w:hAnsi="仿宋_GB2312" w:eastAsia="仿宋_GB2312" w:cs="仿宋_GB2312"/>
          <w:sz w:val="32"/>
          <w:szCs w:val="32"/>
          <w:lang w:val="zh-CN"/>
        </w:rPr>
        <w:t xml:space="preserve"> </w:t>
      </w:r>
    </w:p>
    <w:p w14:paraId="43F22FB5">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项目2：</w:t>
      </w:r>
      <w:r>
        <w:rPr>
          <w:rFonts w:hint="eastAsia" w:ascii="仿宋_GB2312" w:hAnsi="宋体" w:eastAsia="仿宋_GB2312" w:cs="宋体"/>
          <w:b w:val="0"/>
          <w:bCs w:val="0"/>
          <w:color w:val="000000"/>
          <w:kern w:val="0"/>
          <w:sz w:val="32"/>
          <w:szCs w:val="32"/>
          <w:shd w:val="clear" w:color="auto" w:fill="FFFFFF"/>
          <w:lang w:val="en-US" w:eastAsia="zh-CN" w:bidi="ar-SA"/>
        </w:rPr>
        <w:t>其他巩固拓展脱贫攻坚成果衔接乡村振兴支出200</w:t>
      </w:r>
      <w:r>
        <w:rPr>
          <w:rFonts w:hint="eastAsia" w:ascii="仿宋_GB2312" w:hAnsi="仿宋_GB2312" w:eastAsia="仿宋_GB2312" w:cs="仿宋_GB2312"/>
          <w:sz w:val="32"/>
          <w:szCs w:val="32"/>
          <w:lang w:val="en-US" w:eastAsia="zh-CN"/>
        </w:rPr>
        <w:t>万元，用于城乡居民资助参保。</w:t>
      </w:r>
    </w:p>
    <w:p w14:paraId="3BBED8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color w:val="auto"/>
          <w:sz w:val="32"/>
          <w:szCs w:val="32"/>
          <w:lang w:val="zh-CN" w:eastAsia="zh-CN"/>
        </w:rPr>
      </w:pPr>
      <w:r>
        <w:rPr>
          <w:rFonts w:hint="eastAsia" w:ascii="楷体_GB2312" w:hAnsi="楷体_GB2312" w:eastAsia="楷体_GB2312" w:cs="楷体_GB2312"/>
          <w:color w:val="auto"/>
          <w:sz w:val="32"/>
          <w:szCs w:val="32"/>
          <w:lang w:val="zh-CN" w:eastAsia="zh-CN"/>
        </w:rPr>
        <w:t>（三）结果应用情况</w:t>
      </w:r>
    </w:p>
    <w:p w14:paraId="5BC81F5B">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为整体提高资金使用效率</w:t>
      </w:r>
      <w:bookmarkStart w:id="69" w:name="_GoBack"/>
      <w:bookmarkEnd w:id="69"/>
      <w:r>
        <w:rPr>
          <w:rFonts w:hint="eastAsia" w:ascii="仿宋_GB2312" w:hAnsi="仿宋_GB2312" w:eastAsia="仿宋_GB2312" w:cs="仿宋_GB2312"/>
          <w:sz w:val="32"/>
          <w:szCs w:val="32"/>
          <w:lang w:val="en-US" w:eastAsia="zh-CN"/>
        </w:rPr>
        <w:t>和防范风险，县医保局严格执行财经纪律，量入为出，收支平衡，科学研判。进行各风险点排查，对各风险点进行防控，制定相关制度，确保资金的安全、高效使用。</w:t>
      </w:r>
    </w:p>
    <w:p w14:paraId="5BA2D4AD">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2024年度县医保局在县委、县政府的领导下，在各相关部门的有力支持下，顺利完成了2024年的医保工作和县委、县政府交办的、市医保局下达的各项临时性工作。</w:t>
      </w:r>
    </w:p>
    <w:p w14:paraId="2A8AC56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四、评价结论及建议</w:t>
      </w:r>
    </w:p>
    <w:p w14:paraId="2EFC58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color w:val="auto"/>
          <w:sz w:val="32"/>
          <w:szCs w:val="32"/>
          <w:lang w:val="zh-CN" w:eastAsia="zh-CN"/>
        </w:rPr>
      </w:pPr>
      <w:r>
        <w:rPr>
          <w:rFonts w:hint="eastAsia" w:ascii="楷体_GB2312" w:hAnsi="楷体_GB2312" w:eastAsia="楷体_GB2312" w:cs="楷体_GB2312"/>
          <w:color w:val="auto"/>
          <w:sz w:val="32"/>
          <w:szCs w:val="32"/>
          <w:lang w:val="zh-CN" w:eastAsia="zh-CN"/>
        </w:rPr>
        <w:t>（一）评价结论</w:t>
      </w:r>
    </w:p>
    <w:p w14:paraId="40A3F409">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县医保局根据《峨边彝族自治县财政局关于开展20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lang w:val="zh-CN" w:eastAsia="zh-CN"/>
        </w:rPr>
        <w:t>年部门整体、项目支出预算绩效评价工作的通知》文件精神，</w:t>
      </w:r>
      <w:r>
        <w:rPr>
          <w:rFonts w:hint="eastAsia" w:ascii="仿宋_GB2312" w:hAnsi="仿宋_GB2312" w:eastAsia="仿宋_GB2312" w:cs="仿宋_GB2312"/>
          <w:sz w:val="32"/>
          <w:szCs w:val="32"/>
          <w:lang w:val="en-US" w:eastAsia="zh-CN"/>
        </w:rPr>
        <w:t>认真组织开展了对本部门整体支出绩效评价工作，经对本部门整体绩效综合自评，绩效评价</w:t>
      </w:r>
      <w:r>
        <w:rPr>
          <w:rFonts w:hint="eastAsia" w:ascii="仿宋_GB2312" w:hAnsi="仿宋_GB2312" w:eastAsia="仿宋_GB2312" w:cs="仿宋_GB2312"/>
          <w:sz w:val="32"/>
          <w:szCs w:val="32"/>
          <w:lang w:val="zh-CN" w:eastAsia="zh-CN"/>
        </w:rPr>
        <w:t>得分：</w:t>
      </w:r>
      <w:r>
        <w:rPr>
          <w:rFonts w:hint="eastAsia" w:ascii="仿宋_GB2312" w:hAnsi="仿宋_GB2312" w:eastAsia="仿宋_GB2312" w:cs="仿宋_GB2312"/>
          <w:sz w:val="32"/>
          <w:szCs w:val="32"/>
          <w:lang w:val="en-US" w:eastAsia="zh-CN"/>
        </w:rPr>
        <w:t>96</w:t>
      </w:r>
      <w:r>
        <w:rPr>
          <w:rFonts w:hint="eastAsia" w:ascii="仿宋_GB2312" w:hAnsi="仿宋_GB2312" w:eastAsia="仿宋_GB2312" w:cs="仿宋_GB2312"/>
          <w:sz w:val="32"/>
          <w:szCs w:val="32"/>
          <w:lang w:val="zh-CN" w:eastAsia="zh-CN"/>
        </w:rPr>
        <w:t>分，评价结果：优。</w:t>
      </w:r>
    </w:p>
    <w:p w14:paraId="4E6D278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color w:val="auto"/>
          <w:sz w:val="32"/>
          <w:szCs w:val="32"/>
          <w:lang w:val="zh-CN" w:eastAsia="zh-CN"/>
        </w:rPr>
      </w:pPr>
      <w:r>
        <w:rPr>
          <w:rFonts w:hint="eastAsia" w:ascii="楷体_GB2312" w:hAnsi="楷体_GB2312" w:eastAsia="楷体_GB2312" w:cs="楷体_GB2312"/>
          <w:color w:val="auto"/>
          <w:sz w:val="32"/>
          <w:szCs w:val="32"/>
          <w:lang w:val="zh-CN" w:eastAsia="zh-CN"/>
        </w:rPr>
        <w:t>（</w:t>
      </w:r>
      <w:r>
        <w:rPr>
          <w:rFonts w:hint="eastAsia" w:ascii="楷体_GB2312" w:hAnsi="楷体_GB2312" w:eastAsia="楷体_GB2312" w:cs="楷体_GB2312"/>
          <w:color w:val="auto"/>
          <w:sz w:val="32"/>
          <w:szCs w:val="32"/>
          <w:lang w:val="en-US" w:eastAsia="zh-CN"/>
        </w:rPr>
        <w:t>二</w:t>
      </w:r>
      <w:r>
        <w:rPr>
          <w:rFonts w:hint="eastAsia" w:ascii="楷体_GB2312" w:hAnsi="楷体_GB2312" w:eastAsia="楷体_GB2312" w:cs="楷体_GB2312"/>
          <w:color w:val="auto"/>
          <w:sz w:val="32"/>
          <w:szCs w:val="32"/>
          <w:lang w:val="zh-CN" w:eastAsia="zh-CN"/>
        </w:rPr>
        <w:t>）存在问题</w:t>
      </w:r>
    </w:p>
    <w:p w14:paraId="7E9DF760">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项目资金预算</w:t>
      </w:r>
      <w:r>
        <w:rPr>
          <w:rFonts w:hint="eastAsia" w:ascii="仿宋_GB2312" w:hAnsi="仿宋_GB2312" w:eastAsia="仿宋_GB2312" w:cs="仿宋_GB2312"/>
          <w:sz w:val="32"/>
          <w:szCs w:val="32"/>
          <w:lang w:val="en-US" w:eastAsia="zh-CN"/>
        </w:rPr>
        <w:t>经费预算精细化不够，导致经费不够产生中期调整。</w:t>
      </w:r>
    </w:p>
    <w:p w14:paraId="33B610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color w:val="auto"/>
          <w:sz w:val="32"/>
          <w:szCs w:val="32"/>
          <w:lang w:val="zh-CN" w:eastAsia="zh-CN"/>
        </w:rPr>
      </w:pPr>
      <w:r>
        <w:rPr>
          <w:rFonts w:hint="eastAsia" w:ascii="楷体_GB2312" w:hAnsi="楷体_GB2312" w:eastAsia="楷体_GB2312" w:cs="楷体_GB2312"/>
          <w:color w:val="auto"/>
          <w:sz w:val="32"/>
          <w:szCs w:val="32"/>
          <w:lang w:val="zh-CN" w:eastAsia="zh-CN"/>
        </w:rPr>
        <w:t>（</w:t>
      </w:r>
      <w:r>
        <w:rPr>
          <w:rFonts w:hint="eastAsia" w:ascii="楷体_GB2312" w:hAnsi="楷体_GB2312" w:eastAsia="楷体_GB2312" w:cs="楷体_GB2312"/>
          <w:color w:val="auto"/>
          <w:sz w:val="32"/>
          <w:szCs w:val="32"/>
          <w:lang w:val="en-US" w:eastAsia="zh-CN"/>
        </w:rPr>
        <w:t>三</w:t>
      </w:r>
      <w:r>
        <w:rPr>
          <w:rFonts w:hint="eastAsia" w:ascii="楷体_GB2312" w:hAnsi="楷体_GB2312" w:eastAsia="楷体_GB2312" w:cs="楷体_GB2312"/>
          <w:color w:val="auto"/>
          <w:sz w:val="32"/>
          <w:szCs w:val="32"/>
          <w:lang w:val="zh-CN" w:eastAsia="zh-CN"/>
        </w:rPr>
        <w:t>）改进建议</w:t>
      </w:r>
    </w:p>
    <w:p w14:paraId="6FE95C74">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加大对资金的预算精准度和使用前瞻性预算。</w:t>
      </w:r>
    </w:p>
    <w:p w14:paraId="73139BC8">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2.进一步完善各项内部控制制度，加大对资金风险点的防控。</w:t>
      </w:r>
    </w:p>
    <w:p w14:paraId="063A91D1">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hint="eastAsia" w:ascii="仿宋_GB2312" w:hAnsi="仿宋_GB2312" w:eastAsia="仿宋_GB2312" w:cs="仿宋_GB2312"/>
          <w:sz w:val="32"/>
          <w:szCs w:val="32"/>
          <w:lang w:val="en-US" w:eastAsia="zh-CN"/>
        </w:rPr>
      </w:pPr>
    </w:p>
    <w:p w14:paraId="29C296DB">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hint="eastAsia" w:ascii="仿宋_GB2312" w:hAnsi="仿宋_GB2312" w:eastAsia="仿宋_GB2312" w:cs="仿宋_GB2312"/>
          <w:sz w:val="32"/>
          <w:szCs w:val="32"/>
          <w:lang w:val="en-US" w:eastAsia="zh-CN"/>
        </w:rPr>
      </w:pPr>
    </w:p>
    <w:p w14:paraId="0A3A7C09">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峨边彝族自治县医疗保障局</w:t>
      </w:r>
    </w:p>
    <w:p w14:paraId="1E45173E">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right"/>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2025年10月15日</w:t>
      </w:r>
    </w:p>
    <w:p w14:paraId="6CD47149">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4E7D852B">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30033A44">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57C3B33F">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3DAE2A85">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hAnsi="Times New Roman" w:eastAsia="仿宋_GB2312" w:cs="Times New Roman"/>
          <w:kern w:val="2"/>
          <w:sz w:val="32"/>
          <w:szCs w:val="32"/>
          <w:u w:val="none"/>
          <w:lang w:val="en-US" w:eastAsia="zh-CN" w:bidi="ar"/>
        </w:rPr>
        <w:t>部门预算项目支出绩效自评表（2024年度）</w:t>
      </w:r>
    </w:p>
    <w:tbl>
      <w:tblPr>
        <w:tblStyle w:val="16"/>
        <w:tblW w:w="98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43"/>
        <w:gridCol w:w="1327"/>
        <w:gridCol w:w="694"/>
        <w:gridCol w:w="326"/>
        <w:gridCol w:w="1336"/>
        <w:gridCol w:w="3227"/>
        <w:gridCol w:w="326"/>
        <w:gridCol w:w="326"/>
        <w:gridCol w:w="326"/>
        <w:gridCol w:w="326"/>
        <w:gridCol w:w="327"/>
        <w:gridCol w:w="731"/>
      </w:tblGrid>
      <w:tr w14:paraId="581E1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543" w:type="dxa"/>
            <w:noWrap w:val="0"/>
            <w:vAlign w:val="center"/>
          </w:tcPr>
          <w:p w14:paraId="19929512">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附件</w:t>
            </w:r>
          </w:p>
        </w:tc>
        <w:tc>
          <w:tcPr>
            <w:tcW w:w="1327" w:type="dxa"/>
            <w:noWrap w:val="0"/>
            <w:vAlign w:val="center"/>
          </w:tcPr>
          <w:p w14:paraId="7764D945">
            <w:pPr>
              <w:rPr>
                <w:rFonts w:hint="eastAsia" w:ascii="宋体" w:hAnsi="宋体" w:eastAsia="宋体" w:cs="宋体"/>
                <w:i w:val="0"/>
                <w:color w:val="000000"/>
                <w:sz w:val="22"/>
                <w:szCs w:val="22"/>
                <w:u w:val="none"/>
              </w:rPr>
            </w:pPr>
          </w:p>
        </w:tc>
        <w:tc>
          <w:tcPr>
            <w:tcW w:w="694" w:type="dxa"/>
            <w:noWrap w:val="0"/>
            <w:vAlign w:val="center"/>
          </w:tcPr>
          <w:p w14:paraId="0FC2D0E6">
            <w:pPr>
              <w:rPr>
                <w:rFonts w:hint="eastAsia" w:ascii="宋体" w:hAnsi="宋体" w:eastAsia="宋体" w:cs="宋体"/>
                <w:i w:val="0"/>
                <w:color w:val="000000"/>
                <w:sz w:val="22"/>
                <w:szCs w:val="22"/>
                <w:u w:val="none"/>
              </w:rPr>
            </w:pPr>
          </w:p>
        </w:tc>
        <w:tc>
          <w:tcPr>
            <w:tcW w:w="326" w:type="dxa"/>
            <w:noWrap w:val="0"/>
            <w:vAlign w:val="center"/>
          </w:tcPr>
          <w:p w14:paraId="2DFE565D">
            <w:pPr>
              <w:rPr>
                <w:rFonts w:hint="eastAsia" w:ascii="宋体" w:hAnsi="宋体" w:eastAsia="宋体" w:cs="宋体"/>
                <w:i w:val="0"/>
                <w:color w:val="000000"/>
                <w:sz w:val="22"/>
                <w:szCs w:val="22"/>
                <w:u w:val="none"/>
              </w:rPr>
            </w:pPr>
          </w:p>
        </w:tc>
        <w:tc>
          <w:tcPr>
            <w:tcW w:w="1336" w:type="dxa"/>
            <w:noWrap w:val="0"/>
            <w:vAlign w:val="center"/>
          </w:tcPr>
          <w:p w14:paraId="5BBC2552">
            <w:pPr>
              <w:rPr>
                <w:rFonts w:hint="eastAsia" w:ascii="宋体" w:hAnsi="宋体" w:eastAsia="宋体" w:cs="宋体"/>
                <w:i w:val="0"/>
                <w:color w:val="000000"/>
                <w:sz w:val="22"/>
                <w:szCs w:val="22"/>
                <w:u w:val="none"/>
              </w:rPr>
            </w:pPr>
          </w:p>
        </w:tc>
        <w:tc>
          <w:tcPr>
            <w:tcW w:w="3227" w:type="dxa"/>
            <w:noWrap w:val="0"/>
            <w:vAlign w:val="center"/>
          </w:tcPr>
          <w:p w14:paraId="71DCBF6C">
            <w:pPr>
              <w:rPr>
                <w:rFonts w:hint="eastAsia" w:ascii="宋体" w:hAnsi="宋体" w:eastAsia="宋体" w:cs="宋体"/>
                <w:i w:val="0"/>
                <w:color w:val="000000"/>
                <w:sz w:val="22"/>
                <w:szCs w:val="22"/>
                <w:u w:val="none"/>
              </w:rPr>
            </w:pPr>
          </w:p>
        </w:tc>
        <w:tc>
          <w:tcPr>
            <w:tcW w:w="326" w:type="dxa"/>
            <w:noWrap w:val="0"/>
            <w:vAlign w:val="center"/>
          </w:tcPr>
          <w:p w14:paraId="24D103CC">
            <w:pPr>
              <w:rPr>
                <w:rFonts w:hint="eastAsia" w:ascii="宋体" w:hAnsi="宋体" w:eastAsia="宋体" w:cs="宋体"/>
                <w:i w:val="0"/>
                <w:color w:val="000000"/>
                <w:sz w:val="22"/>
                <w:szCs w:val="22"/>
                <w:u w:val="none"/>
              </w:rPr>
            </w:pPr>
          </w:p>
        </w:tc>
        <w:tc>
          <w:tcPr>
            <w:tcW w:w="326" w:type="dxa"/>
            <w:noWrap w:val="0"/>
            <w:vAlign w:val="center"/>
          </w:tcPr>
          <w:p w14:paraId="38B863F5">
            <w:pPr>
              <w:rPr>
                <w:rFonts w:hint="eastAsia" w:ascii="宋体" w:hAnsi="宋体" w:eastAsia="宋体" w:cs="宋体"/>
                <w:i w:val="0"/>
                <w:color w:val="000000"/>
                <w:sz w:val="22"/>
                <w:szCs w:val="22"/>
                <w:u w:val="none"/>
              </w:rPr>
            </w:pPr>
          </w:p>
        </w:tc>
        <w:tc>
          <w:tcPr>
            <w:tcW w:w="326" w:type="dxa"/>
            <w:noWrap w:val="0"/>
            <w:vAlign w:val="center"/>
          </w:tcPr>
          <w:p w14:paraId="222AC2E8">
            <w:pPr>
              <w:rPr>
                <w:rFonts w:hint="eastAsia" w:ascii="宋体" w:hAnsi="宋体" w:eastAsia="宋体" w:cs="宋体"/>
                <w:i w:val="0"/>
                <w:color w:val="000000"/>
                <w:sz w:val="22"/>
                <w:szCs w:val="22"/>
                <w:u w:val="none"/>
              </w:rPr>
            </w:pPr>
          </w:p>
        </w:tc>
        <w:tc>
          <w:tcPr>
            <w:tcW w:w="326" w:type="dxa"/>
            <w:noWrap w:val="0"/>
            <w:vAlign w:val="center"/>
          </w:tcPr>
          <w:p w14:paraId="5EA69B1C">
            <w:pPr>
              <w:rPr>
                <w:rFonts w:hint="eastAsia" w:ascii="宋体" w:hAnsi="宋体" w:eastAsia="宋体" w:cs="宋体"/>
                <w:i w:val="0"/>
                <w:color w:val="000000"/>
                <w:sz w:val="22"/>
                <w:szCs w:val="22"/>
                <w:u w:val="none"/>
              </w:rPr>
            </w:pPr>
          </w:p>
        </w:tc>
        <w:tc>
          <w:tcPr>
            <w:tcW w:w="327" w:type="dxa"/>
            <w:noWrap w:val="0"/>
            <w:vAlign w:val="center"/>
          </w:tcPr>
          <w:p w14:paraId="32CA3BD2">
            <w:pPr>
              <w:rPr>
                <w:rFonts w:hint="eastAsia" w:ascii="宋体" w:hAnsi="宋体" w:eastAsia="宋体" w:cs="宋体"/>
                <w:i w:val="0"/>
                <w:color w:val="000000"/>
                <w:sz w:val="22"/>
                <w:szCs w:val="22"/>
                <w:u w:val="none"/>
              </w:rPr>
            </w:pPr>
          </w:p>
        </w:tc>
        <w:tc>
          <w:tcPr>
            <w:tcW w:w="731" w:type="dxa"/>
            <w:noWrap w:val="0"/>
            <w:vAlign w:val="center"/>
          </w:tcPr>
          <w:p w14:paraId="6158229B">
            <w:pPr>
              <w:rPr>
                <w:rFonts w:hint="eastAsia" w:ascii="宋体" w:hAnsi="宋体" w:eastAsia="宋体" w:cs="宋体"/>
                <w:i w:val="0"/>
                <w:color w:val="000000"/>
                <w:sz w:val="22"/>
                <w:szCs w:val="22"/>
                <w:u w:val="none"/>
              </w:rPr>
            </w:pPr>
          </w:p>
        </w:tc>
      </w:tr>
      <w:tr w14:paraId="276FC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jc w:val="center"/>
        </w:trPr>
        <w:tc>
          <w:tcPr>
            <w:tcW w:w="9815" w:type="dxa"/>
            <w:gridSpan w:val="12"/>
            <w:tcBorders>
              <w:bottom w:val="single" w:color="000000" w:sz="4" w:space="0"/>
            </w:tcBorders>
            <w:noWrap w:val="0"/>
            <w:vAlign w:val="center"/>
          </w:tcPr>
          <w:p w14:paraId="4C905457">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县级部门整体绩效自评打分表</w:t>
            </w:r>
          </w:p>
        </w:tc>
      </w:tr>
      <w:tr w14:paraId="43568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2564"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E7F9ED">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绩效指标</w:t>
            </w:r>
          </w:p>
        </w:tc>
        <w:tc>
          <w:tcPr>
            <w:tcW w:w="32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6B39C0">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指标分值</w:t>
            </w:r>
          </w:p>
        </w:tc>
        <w:tc>
          <w:tcPr>
            <w:tcW w:w="133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7A4D40">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指标解释</w:t>
            </w:r>
          </w:p>
        </w:tc>
        <w:tc>
          <w:tcPr>
            <w:tcW w:w="3227" w:type="dxa"/>
            <w:vMerge w:val="restart"/>
            <w:tcBorders>
              <w:top w:val="single" w:color="000000" w:sz="4" w:space="0"/>
              <w:bottom w:val="single" w:color="000000" w:sz="4" w:space="0"/>
              <w:right w:val="single" w:color="000000" w:sz="4" w:space="0"/>
            </w:tcBorders>
            <w:shd w:val="clear" w:color="auto" w:fill="auto"/>
            <w:noWrap w:val="0"/>
            <w:vAlign w:val="center"/>
          </w:tcPr>
          <w:p w14:paraId="12EF58D1">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计分标准</w:t>
            </w:r>
          </w:p>
        </w:tc>
        <w:tc>
          <w:tcPr>
            <w:tcW w:w="65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A61923">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评价方式</w:t>
            </w:r>
          </w:p>
        </w:tc>
        <w:tc>
          <w:tcPr>
            <w:tcW w:w="65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38B527">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评价属性</w:t>
            </w:r>
          </w:p>
        </w:tc>
        <w:tc>
          <w:tcPr>
            <w:tcW w:w="327" w:type="dxa"/>
            <w:vMerge w:val="restart"/>
            <w:tcBorders>
              <w:top w:val="single" w:color="000000" w:sz="4" w:space="0"/>
              <w:left w:val="single" w:color="000000" w:sz="4" w:space="0"/>
              <w:bottom w:val="single" w:color="000000" w:sz="4" w:space="0"/>
              <w:right w:val="single" w:color="000000" w:sz="4" w:space="0"/>
            </w:tcBorders>
            <w:shd w:val="clear" w:color="auto" w:fill="FDE9D9"/>
            <w:noWrap w:val="0"/>
            <w:vAlign w:val="center"/>
          </w:tcPr>
          <w:p w14:paraId="32672C28">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自评打分</w:t>
            </w:r>
          </w:p>
        </w:tc>
        <w:tc>
          <w:tcPr>
            <w:tcW w:w="731" w:type="dxa"/>
            <w:vMerge w:val="restart"/>
            <w:tcBorders>
              <w:top w:val="single" w:color="000000" w:sz="4" w:space="0"/>
              <w:left w:val="single" w:color="000000" w:sz="4" w:space="0"/>
              <w:bottom w:val="single" w:color="000000" w:sz="4" w:space="0"/>
              <w:right w:val="single" w:color="000000" w:sz="4" w:space="0"/>
            </w:tcBorders>
            <w:noWrap w:val="0"/>
            <w:vAlign w:val="center"/>
          </w:tcPr>
          <w:p w14:paraId="073EDB10">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r>
      <w:tr w14:paraId="2FDDB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CAFE2C">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一级指标</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72AC54">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二级指标</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699C23">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三级指标</w:t>
            </w:r>
          </w:p>
        </w:tc>
        <w:tc>
          <w:tcPr>
            <w:tcW w:w="32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F802CD">
            <w:pPr>
              <w:jc w:val="center"/>
              <w:rPr>
                <w:rFonts w:hint="eastAsia" w:ascii="宋体" w:hAnsi="宋体" w:eastAsia="宋体" w:cs="宋体"/>
                <w:b/>
                <w:i w:val="0"/>
                <w:color w:val="000000"/>
                <w:sz w:val="24"/>
                <w:szCs w:val="24"/>
                <w:u w:val="none"/>
              </w:rPr>
            </w:pPr>
          </w:p>
        </w:tc>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C50031">
            <w:pPr>
              <w:jc w:val="center"/>
              <w:rPr>
                <w:rFonts w:hint="eastAsia" w:ascii="宋体" w:hAnsi="宋体" w:eastAsia="宋体" w:cs="宋体"/>
                <w:b/>
                <w:i w:val="0"/>
                <w:color w:val="000000"/>
                <w:sz w:val="24"/>
                <w:szCs w:val="24"/>
                <w:u w:val="none"/>
              </w:rPr>
            </w:pPr>
          </w:p>
        </w:tc>
        <w:tc>
          <w:tcPr>
            <w:tcW w:w="3227" w:type="dxa"/>
            <w:vMerge w:val="continue"/>
            <w:tcBorders>
              <w:top w:val="single" w:color="000000" w:sz="4" w:space="0"/>
              <w:bottom w:val="single" w:color="000000" w:sz="4" w:space="0"/>
              <w:right w:val="single" w:color="000000" w:sz="4" w:space="0"/>
            </w:tcBorders>
            <w:shd w:val="clear" w:color="auto" w:fill="auto"/>
            <w:noWrap w:val="0"/>
            <w:vAlign w:val="center"/>
          </w:tcPr>
          <w:p w14:paraId="12776B7F">
            <w:pPr>
              <w:jc w:val="center"/>
              <w:rPr>
                <w:rFonts w:hint="eastAsia" w:ascii="宋体" w:hAnsi="宋体" w:eastAsia="宋体" w:cs="宋体"/>
                <w:b/>
                <w:i w:val="0"/>
                <w:color w:val="000000"/>
                <w:sz w:val="24"/>
                <w:szCs w:val="24"/>
                <w:u w:val="none"/>
              </w:rPr>
            </w:pPr>
          </w:p>
        </w:tc>
        <w:tc>
          <w:tcPr>
            <w:tcW w:w="326" w:type="dxa"/>
            <w:tcBorders>
              <w:top w:val="single" w:color="000000" w:sz="4" w:space="0"/>
              <w:bottom w:val="single" w:color="000000" w:sz="4" w:space="0"/>
              <w:right w:val="single" w:color="000000" w:sz="4" w:space="0"/>
            </w:tcBorders>
            <w:shd w:val="clear" w:color="auto" w:fill="auto"/>
            <w:noWrap w:val="0"/>
            <w:vAlign w:val="center"/>
          </w:tcPr>
          <w:p w14:paraId="50BEBF8F">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整体评价</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6A7E20">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样本评价</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64C7E6">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定性评价</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E6ABE1">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定量评价</w:t>
            </w:r>
          </w:p>
        </w:tc>
        <w:tc>
          <w:tcPr>
            <w:tcW w:w="327" w:type="dxa"/>
            <w:vMerge w:val="continue"/>
            <w:tcBorders>
              <w:top w:val="single" w:color="000000" w:sz="4" w:space="0"/>
              <w:left w:val="single" w:color="000000" w:sz="4" w:space="0"/>
              <w:bottom w:val="single" w:color="000000" w:sz="4" w:space="0"/>
              <w:right w:val="single" w:color="000000" w:sz="4" w:space="0"/>
            </w:tcBorders>
            <w:shd w:val="clear" w:color="auto" w:fill="FDE9D9"/>
            <w:noWrap w:val="0"/>
            <w:vAlign w:val="center"/>
          </w:tcPr>
          <w:p w14:paraId="2DA34BD3">
            <w:pPr>
              <w:jc w:val="center"/>
              <w:rPr>
                <w:rFonts w:hint="eastAsia" w:ascii="宋体" w:hAnsi="宋体" w:eastAsia="宋体" w:cs="宋体"/>
                <w:b/>
                <w:i w:val="0"/>
                <w:color w:val="000000"/>
                <w:sz w:val="24"/>
                <w:szCs w:val="24"/>
                <w:u w:val="none"/>
              </w:rPr>
            </w:pPr>
          </w:p>
        </w:tc>
        <w:tc>
          <w:tcPr>
            <w:tcW w:w="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44AD46">
            <w:pPr>
              <w:jc w:val="center"/>
              <w:rPr>
                <w:rFonts w:hint="eastAsia" w:ascii="宋体" w:hAnsi="宋体" w:eastAsia="宋体" w:cs="宋体"/>
                <w:b/>
                <w:i w:val="0"/>
                <w:color w:val="000000"/>
                <w:sz w:val="24"/>
                <w:szCs w:val="24"/>
                <w:u w:val="none"/>
              </w:rPr>
            </w:pPr>
          </w:p>
        </w:tc>
      </w:tr>
      <w:tr w14:paraId="3908D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11" w:hRule="atLeast"/>
          <w:jc w:val="center"/>
        </w:trPr>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802D6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部门预算项目绩效管理（70分）</w:t>
            </w:r>
          </w:p>
        </w:tc>
        <w:tc>
          <w:tcPr>
            <w:tcW w:w="132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6637E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目标管理（40分）</w:t>
            </w:r>
          </w:p>
        </w:tc>
        <w:tc>
          <w:tcPr>
            <w:tcW w:w="694" w:type="dxa"/>
            <w:vMerge w:val="restart"/>
            <w:tcBorders>
              <w:top w:val="single" w:color="000000" w:sz="4" w:space="0"/>
              <w:left w:val="single" w:color="000000" w:sz="4" w:space="0"/>
              <w:right w:val="single" w:color="000000" w:sz="4" w:space="0"/>
            </w:tcBorders>
            <w:shd w:val="clear" w:color="auto" w:fill="auto"/>
            <w:noWrap w:val="0"/>
            <w:vAlign w:val="center"/>
          </w:tcPr>
          <w:p w14:paraId="485956B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目标制定</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AE152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A0A40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是否开展部门内部绩效目标审核工作。</w:t>
            </w:r>
          </w:p>
        </w:tc>
        <w:tc>
          <w:tcPr>
            <w:tcW w:w="3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72E6A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部门组织对本部门（含下属单位）绩效目标开展内部审核的，得10分，否则不得分。</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7F481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6F416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6DC824">
            <w:pPr>
              <w:jc w:val="center"/>
              <w:rPr>
                <w:rFonts w:hint="eastAsia" w:ascii="宋体" w:hAnsi="宋体" w:eastAsia="宋体" w:cs="宋体"/>
                <w:i w:val="0"/>
                <w:color w:val="000000"/>
                <w:sz w:val="24"/>
                <w:szCs w:val="24"/>
                <w:u w:val="none"/>
              </w:rPr>
            </w:pP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E1DA8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27" w:type="dxa"/>
            <w:tcBorders>
              <w:top w:val="single" w:color="000000" w:sz="4" w:space="0"/>
              <w:left w:val="single" w:color="000000" w:sz="4" w:space="0"/>
              <w:bottom w:val="single" w:color="000000" w:sz="4" w:space="0"/>
              <w:right w:val="single" w:color="000000" w:sz="4" w:space="0"/>
            </w:tcBorders>
            <w:shd w:val="clear" w:color="auto" w:fill="FDE9D9"/>
            <w:noWrap w:val="0"/>
            <w:vAlign w:val="center"/>
          </w:tcPr>
          <w:p w14:paraId="0991F62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14:paraId="2FE208C0">
            <w:pPr>
              <w:rPr>
                <w:rFonts w:hint="eastAsia" w:ascii="宋体" w:hAnsi="宋体" w:eastAsia="宋体" w:cs="宋体"/>
                <w:i w:val="0"/>
                <w:color w:val="000000"/>
                <w:sz w:val="24"/>
                <w:szCs w:val="24"/>
                <w:u w:val="none"/>
              </w:rPr>
            </w:pPr>
          </w:p>
        </w:tc>
      </w:tr>
      <w:tr w14:paraId="0BF5A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81" w:hRule="atLeast"/>
          <w:jc w:val="center"/>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7190E3">
            <w:pPr>
              <w:jc w:val="center"/>
              <w:rPr>
                <w:rFonts w:hint="eastAsia" w:ascii="宋体" w:hAnsi="宋体" w:eastAsia="宋体" w:cs="宋体"/>
                <w:i w:val="0"/>
                <w:color w:val="000000"/>
                <w:sz w:val="24"/>
                <w:szCs w:val="24"/>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7B91A9">
            <w:pPr>
              <w:jc w:val="center"/>
              <w:rPr>
                <w:rFonts w:hint="eastAsia" w:ascii="宋体" w:hAnsi="宋体" w:eastAsia="宋体" w:cs="宋体"/>
                <w:i w:val="0"/>
                <w:color w:val="000000"/>
                <w:sz w:val="24"/>
                <w:szCs w:val="24"/>
                <w:u w:val="none"/>
              </w:rPr>
            </w:pPr>
          </w:p>
        </w:tc>
        <w:tc>
          <w:tcPr>
            <w:tcW w:w="694" w:type="dxa"/>
            <w:vMerge w:val="continue"/>
            <w:tcBorders>
              <w:top w:val="single" w:color="000000" w:sz="4" w:space="0"/>
              <w:left w:val="single" w:color="000000" w:sz="4" w:space="0"/>
              <w:right w:val="single" w:color="000000" w:sz="4" w:space="0"/>
            </w:tcBorders>
            <w:shd w:val="clear" w:color="auto" w:fill="auto"/>
            <w:noWrap w:val="0"/>
            <w:vAlign w:val="center"/>
          </w:tcPr>
          <w:p w14:paraId="70AF80B0">
            <w:pPr>
              <w:jc w:val="center"/>
              <w:rPr>
                <w:rFonts w:hint="eastAsia" w:ascii="宋体" w:hAnsi="宋体" w:eastAsia="宋体" w:cs="宋体"/>
                <w:i w:val="0"/>
                <w:color w:val="000000"/>
                <w:sz w:val="24"/>
                <w:szCs w:val="24"/>
                <w:u w:val="none"/>
              </w:rPr>
            </w:pP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72C40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0B94A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根据年度绩效目标实现情况，评价部门绩效目标是否科学合理、规范完整、细化量化并与预算安排相匹配。</w:t>
            </w:r>
          </w:p>
        </w:tc>
        <w:tc>
          <w:tcPr>
            <w:tcW w:w="3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49FB5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1.绩效目标编制科学合理的，得2分，否则酌情扣分。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2.绩效目标编制规范完整的，得2分，否则酌情扣分。                                                       3.绩效指标编制细化量化的，得2分，否则酌情扣分。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4.绩效指标编制与预算安排相匹配的，得2分，否则酌情扣分。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5.评价部门绩效目标纳入部门党组（委）会（办公会）集体决策范围的得2分，否则不得分。                                                                                                                    </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FB759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50999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F2C31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49C95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27" w:type="dxa"/>
            <w:tcBorders>
              <w:top w:val="single" w:color="000000" w:sz="4" w:space="0"/>
              <w:left w:val="single" w:color="000000" w:sz="4" w:space="0"/>
              <w:bottom w:val="single" w:color="000000" w:sz="4" w:space="0"/>
              <w:right w:val="single" w:color="000000" w:sz="4" w:space="0"/>
            </w:tcBorders>
            <w:shd w:val="clear" w:color="auto" w:fill="FDE9D9"/>
            <w:noWrap w:val="0"/>
            <w:vAlign w:val="center"/>
          </w:tcPr>
          <w:p w14:paraId="59CE20B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14:paraId="57A8FC5A">
            <w:pPr>
              <w:rPr>
                <w:rFonts w:hint="eastAsia" w:ascii="宋体" w:hAnsi="宋体" w:eastAsia="宋体" w:cs="宋体"/>
                <w:i w:val="0"/>
                <w:color w:val="000000"/>
                <w:sz w:val="24"/>
                <w:szCs w:val="24"/>
                <w:u w:val="none"/>
              </w:rPr>
            </w:pPr>
          </w:p>
        </w:tc>
      </w:tr>
      <w:tr w14:paraId="6798D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11" w:hRule="atLeast"/>
          <w:jc w:val="center"/>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AC89B1">
            <w:pPr>
              <w:jc w:val="center"/>
              <w:rPr>
                <w:rFonts w:hint="eastAsia" w:ascii="宋体" w:hAnsi="宋体" w:eastAsia="宋体" w:cs="宋体"/>
                <w:i w:val="0"/>
                <w:color w:val="000000"/>
                <w:sz w:val="24"/>
                <w:szCs w:val="24"/>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5E5F8D">
            <w:pPr>
              <w:jc w:val="center"/>
              <w:rPr>
                <w:rFonts w:hint="eastAsia" w:ascii="宋体" w:hAnsi="宋体" w:eastAsia="宋体" w:cs="宋体"/>
                <w:i w:val="0"/>
                <w:color w:val="000000"/>
                <w:sz w:val="24"/>
                <w:szCs w:val="24"/>
                <w:u w:val="none"/>
              </w:rPr>
            </w:pPr>
          </w:p>
        </w:tc>
        <w:tc>
          <w:tcPr>
            <w:tcW w:w="694"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C69FF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目标实现</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4CB64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27AD1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评价部门整体支出绩效目标实现程度与预期目标的偏离度。</w:t>
            </w:r>
          </w:p>
        </w:tc>
        <w:tc>
          <w:tcPr>
            <w:tcW w:w="3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2D5CD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以部门整体支出绩效为核心，评价部门整体支出实际完成情况与预期绩效目标偏离度，单个数量指标实际完成未达到预期指标或超过预期指标30%以上的，均不计分。该项指标得分=达到预期值的数量指标个数/全部数量指标个数*10。</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1F442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F489ED">
            <w:pPr>
              <w:rPr>
                <w:rFonts w:hint="eastAsia" w:ascii="宋体" w:hAnsi="宋体" w:eastAsia="宋体" w:cs="宋体"/>
                <w:i w:val="0"/>
                <w:color w:val="000000"/>
                <w:sz w:val="24"/>
                <w:szCs w:val="24"/>
                <w:u w:val="none"/>
              </w:rPr>
            </w:pP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B3D914">
            <w:pPr>
              <w:jc w:val="center"/>
              <w:rPr>
                <w:rFonts w:hint="eastAsia" w:ascii="宋体" w:hAnsi="宋体" w:eastAsia="宋体" w:cs="宋体"/>
                <w:i w:val="0"/>
                <w:color w:val="000000"/>
                <w:sz w:val="24"/>
                <w:szCs w:val="24"/>
                <w:u w:val="none"/>
              </w:rPr>
            </w:pP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C4BC9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27" w:type="dxa"/>
            <w:tcBorders>
              <w:top w:val="single" w:color="000000" w:sz="4" w:space="0"/>
              <w:left w:val="single" w:color="000000" w:sz="4" w:space="0"/>
              <w:bottom w:val="single" w:color="000000" w:sz="4" w:space="0"/>
              <w:right w:val="single" w:color="000000" w:sz="4" w:space="0"/>
            </w:tcBorders>
            <w:shd w:val="clear" w:color="auto" w:fill="FDE9D9"/>
            <w:noWrap w:val="0"/>
            <w:vAlign w:val="center"/>
          </w:tcPr>
          <w:p w14:paraId="14884A0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14:paraId="61467EB9">
            <w:pPr>
              <w:rPr>
                <w:rFonts w:hint="eastAsia" w:ascii="宋体" w:hAnsi="宋体" w:eastAsia="宋体" w:cs="宋体"/>
                <w:i w:val="0"/>
                <w:color w:val="000000"/>
                <w:sz w:val="24"/>
                <w:szCs w:val="24"/>
                <w:u w:val="none"/>
              </w:rPr>
            </w:pPr>
          </w:p>
        </w:tc>
      </w:tr>
      <w:tr w14:paraId="463A9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36" w:hRule="atLeast"/>
          <w:jc w:val="center"/>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DD1575">
            <w:pPr>
              <w:jc w:val="center"/>
              <w:rPr>
                <w:rFonts w:hint="eastAsia" w:ascii="宋体" w:hAnsi="宋体" w:eastAsia="宋体" w:cs="宋体"/>
                <w:i w:val="0"/>
                <w:color w:val="000000"/>
                <w:sz w:val="24"/>
                <w:szCs w:val="24"/>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1F4502">
            <w:pPr>
              <w:jc w:val="center"/>
              <w:rPr>
                <w:rFonts w:hint="eastAsia" w:ascii="宋体" w:hAnsi="宋体" w:eastAsia="宋体" w:cs="宋体"/>
                <w:i w:val="0"/>
                <w:color w:val="000000"/>
                <w:sz w:val="24"/>
                <w:szCs w:val="24"/>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879883">
            <w:pPr>
              <w:jc w:val="center"/>
              <w:rPr>
                <w:rFonts w:hint="eastAsia" w:ascii="宋体" w:hAnsi="宋体" w:eastAsia="宋体" w:cs="宋体"/>
                <w:i w:val="0"/>
                <w:color w:val="000000"/>
                <w:sz w:val="24"/>
                <w:szCs w:val="24"/>
                <w:u w:val="none"/>
              </w:rPr>
            </w:pP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7CAC1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384C8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评价部门预算项目绩效目标实际实现程度与预期目标的偏离度。</w:t>
            </w:r>
          </w:p>
        </w:tc>
        <w:tc>
          <w:tcPr>
            <w:tcW w:w="3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86DBA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以部门预算项目绩效为核心，评价部门预算项目实际完成情况与预期绩效目标偏离度，单个数量指标实际完成未达到预期指标或超过预期指标30%以上的，均不计分。该项指标得分=达到预期值的数量指标个数/全部数量指标个数（即评价选取的项目绩效目标包含的所有数量指标）*10。</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249A0E">
            <w:pPr>
              <w:jc w:val="center"/>
              <w:rPr>
                <w:rFonts w:hint="eastAsia" w:ascii="宋体" w:hAnsi="宋体" w:eastAsia="宋体" w:cs="宋体"/>
                <w:i w:val="0"/>
                <w:color w:val="000000"/>
                <w:sz w:val="24"/>
                <w:szCs w:val="24"/>
                <w:u w:val="none"/>
              </w:rPr>
            </w:pP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B7BD8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E7AE10">
            <w:pPr>
              <w:jc w:val="center"/>
              <w:rPr>
                <w:rFonts w:hint="eastAsia" w:ascii="宋体" w:hAnsi="宋体" w:eastAsia="宋体" w:cs="宋体"/>
                <w:i w:val="0"/>
                <w:color w:val="000000"/>
                <w:sz w:val="24"/>
                <w:szCs w:val="24"/>
                <w:u w:val="none"/>
              </w:rPr>
            </w:pP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EDD94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27" w:type="dxa"/>
            <w:tcBorders>
              <w:top w:val="single" w:color="000000" w:sz="4" w:space="0"/>
              <w:left w:val="single" w:color="000000" w:sz="4" w:space="0"/>
              <w:bottom w:val="single" w:color="000000" w:sz="4" w:space="0"/>
              <w:right w:val="single" w:color="000000" w:sz="4" w:space="0"/>
            </w:tcBorders>
            <w:shd w:val="clear" w:color="auto" w:fill="FDE9D9"/>
            <w:noWrap w:val="0"/>
            <w:vAlign w:val="center"/>
          </w:tcPr>
          <w:p w14:paraId="2A94EC3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14:paraId="4988849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部门自评范围为部门所有纳入绩效目标管理的部门预算项目</w:t>
            </w:r>
          </w:p>
        </w:tc>
      </w:tr>
      <w:tr w14:paraId="61DA8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51" w:hRule="atLeast"/>
          <w:jc w:val="center"/>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A80302">
            <w:pPr>
              <w:jc w:val="center"/>
              <w:rPr>
                <w:rFonts w:hint="eastAsia" w:ascii="宋体" w:hAnsi="宋体" w:eastAsia="宋体" w:cs="宋体"/>
                <w:i w:val="0"/>
                <w:color w:val="000000"/>
                <w:sz w:val="24"/>
                <w:szCs w:val="24"/>
                <w:u w:val="none"/>
              </w:rPr>
            </w:pPr>
          </w:p>
        </w:tc>
        <w:tc>
          <w:tcPr>
            <w:tcW w:w="132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0CF1A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动态调整（15分）</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1EA8C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支出控制</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AC209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B6C24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部门公用经费及非定额公用支出控制情况。</w:t>
            </w:r>
          </w:p>
        </w:tc>
        <w:tc>
          <w:tcPr>
            <w:tcW w:w="3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C8058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计算部门日常公用经费、项目支出中“办公费、印刷费、水费、电费、物业管理费”等科目年初预算数与决算数偏差程度。                                                            预决算偏差程度在10%以内的，得10分。偏差度在</w:t>
            </w:r>
            <w:r>
              <w:rPr>
                <w:rFonts w:hint="eastAsia" w:ascii="宋体" w:hAnsi="宋体" w:cs="宋体"/>
                <w:i w:val="0"/>
                <w:color w:val="000000"/>
                <w:kern w:val="0"/>
                <w:sz w:val="24"/>
                <w:szCs w:val="24"/>
                <w:u w:val="none"/>
                <w:lang w:val="en-US" w:eastAsia="zh-CN" w:bidi="ar"/>
              </w:rPr>
              <w:t>10%—20%</w:t>
            </w:r>
            <w:r>
              <w:rPr>
                <w:rFonts w:hint="eastAsia" w:ascii="宋体" w:hAnsi="宋体" w:eastAsia="宋体" w:cs="宋体"/>
                <w:i w:val="0"/>
                <w:color w:val="000000"/>
                <w:kern w:val="0"/>
                <w:sz w:val="24"/>
                <w:szCs w:val="24"/>
                <w:u w:val="none"/>
                <w:lang w:val="en-US" w:eastAsia="zh-CN" w:bidi="ar"/>
              </w:rPr>
              <w:t>之间的，得5分，偏差度超过20%的，不得分。</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CAEE1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688702">
            <w:pPr>
              <w:rPr>
                <w:rFonts w:hint="eastAsia" w:ascii="宋体" w:hAnsi="宋体" w:eastAsia="宋体" w:cs="宋体"/>
                <w:i w:val="0"/>
                <w:color w:val="000000"/>
                <w:sz w:val="24"/>
                <w:szCs w:val="24"/>
                <w:u w:val="none"/>
              </w:rPr>
            </w:pP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6E7AF9">
            <w:pPr>
              <w:rPr>
                <w:rFonts w:hint="eastAsia" w:ascii="宋体" w:hAnsi="宋体" w:eastAsia="宋体" w:cs="宋体"/>
                <w:i w:val="0"/>
                <w:color w:val="000000"/>
                <w:sz w:val="24"/>
                <w:szCs w:val="24"/>
                <w:u w:val="none"/>
              </w:rPr>
            </w:pP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19B4B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27" w:type="dxa"/>
            <w:tcBorders>
              <w:top w:val="single" w:color="000000" w:sz="4" w:space="0"/>
              <w:left w:val="single" w:color="000000" w:sz="4" w:space="0"/>
              <w:bottom w:val="single" w:color="000000" w:sz="4" w:space="0"/>
              <w:right w:val="single" w:color="000000" w:sz="4" w:space="0"/>
            </w:tcBorders>
            <w:shd w:val="clear" w:color="auto" w:fill="FDE9D9"/>
            <w:noWrap w:val="0"/>
            <w:vAlign w:val="center"/>
          </w:tcPr>
          <w:p w14:paraId="389F00B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14:paraId="2560840A">
            <w:pPr>
              <w:rPr>
                <w:rFonts w:hint="eastAsia" w:ascii="宋体" w:hAnsi="宋体" w:eastAsia="宋体" w:cs="宋体"/>
                <w:i w:val="0"/>
                <w:color w:val="000000"/>
                <w:sz w:val="24"/>
                <w:szCs w:val="24"/>
                <w:u w:val="none"/>
              </w:rPr>
            </w:pPr>
          </w:p>
        </w:tc>
      </w:tr>
      <w:tr w14:paraId="37BDA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81" w:hRule="atLeast"/>
          <w:jc w:val="center"/>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19A332">
            <w:pPr>
              <w:jc w:val="center"/>
              <w:rPr>
                <w:rFonts w:hint="eastAsia" w:ascii="宋体" w:hAnsi="宋体" w:eastAsia="宋体" w:cs="宋体"/>
                <w:i w:val="0"/>
                <w:color w:val="000000"/>
                <w:sz w:val="24"/>
                <w:szCs w:val="24"/>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0F953F">
            <w:pPr>
              <w:jc w:val="center"/>
              <w:rPr>
                <w:rFonts w:hint="eastAsia" w:ascii="宋体" w:hAnsi="宋体" w:eastAsia="宋体" w:cs="宋体"/>
                <w:i w:val="0"/>
                <w:color w:val="000000"/>
                <w:sz w:val="24"/>
                <w:szCs w:val="24"/>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0082D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及时处置</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51894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07FBC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评价部门开展绩效运行监控后，将绩效监控结果应用到预算调整的情况。</w:t>
            </w:r>
          </w:p>
        </w:tc>
        <w:tc>
          <w:tcPr>
            <w:tcW w:w="3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9B09A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绩效运行监控未发现问题或对发现问题提出预算收回、调整处置意见并加以落实的得5分。如存在未及时处置落实的，按未进行问题整改的项目数量/监控发现问题的项目总数×5分扣分，直至扣完。                                                </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D29C2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E7E90F">
            <w:pPr>
              <w:rPr>
                <w:rFonts w:hint="eastAsia" w:ascii="宋体" w:hAnsi="宋体" w:eastAsia="宋体" w:cs="宋体"/>
                <w:i w:val="0"/>
                <w:color w:val="000000"/>
                <w:sz w:val="24"/>
                <w:szCs w:val="24"/>
                <w:u w:val="none"/>
              </w:rPr>
            </w:pP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736CE4">
            <w:pPr>
              <w:rPr>
                <w:rFonts w:hint="eastAsia" w:ascii="宋体" w:hAnsi="宋体" w:eastAsia="宋体" w:cs="宋体"/>
                <w:i w:val="0"/>
                <w:color w:val="000000"/>
                <w:sz w:val="24"/>
                <w:szCs w:val="24"/>
                <w:u w:val="none"/>
              </w:rPr>
            </w:pP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EFB00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27" w:type="dxa"/>
            <w:tcBorders>
              <w:top w:val="single" w:color="000000" w:sz="4" w:space="0"/>
              <w:left w:val="single" w:color="000000" w:sz="4" w:space="0"/>
              <w:bottom w:val="single" w:color="000000" w:sz="4" w:space="0"/>
              <w:right w:val="single" w:color="000000" w:sz="4" w:space="0"/>
            </w:tcBorders>
            <w:shd w:val="clear" w:color="auto" w:fill="FDE9D9"/>
            <w:noWrap w:val="0"/>
            <w:vAlign w:val="center"/>
          </w:tcPr>
          <w:p w14:paraId="6F1E709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14:paraId="7D41FD0F">
            <w:pPr>
              <w:rPr>
                <w:rFonts w:hint="eastAsia" w:ascii="宋体" w:hAnsi="宋体" w:eastAsia="宋体" w:cs="宋体"/>
                <w:i w:val="0"/>
                <w:color w:val="000000"/>
                <w:sz w:val="24"/>
                <w:szCs w:val="24"/>
                <w:u w:val="none"/>
              </w:rPr>
            </w:pPr>
          </w:p>
        </w:tc>
      </w:tr>
      <w:tr w14:paraId="433F5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1" w:hRule="atLeast"/>
          <w:jc w:val="center"/>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94701D">
            <w:pPr>
              <w:jc w:val="center"/>
              <w:rPr>
                <w:rFonts w:hint="eastAsia" w:ascii="宋体" w:hAnsi="宋体" w:eastAsia="宋体" w:cs="宋体"/>
                <w:i w:val="0"/>
                <w:color w:val="000000"/>
                <w:sz w:val="24"/>
                <w:szCs w:val="24"/>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11294F">
            <w:pPr>
              <w:jc w:val="center"/>
              <w:rPr>
                <w:rFonts w:hint="eastAsia" w:ascii="宋体" w:hAnsi="宋体" w:eastAsia="宋体" w:cs="宋体"/>
                <w:i w:val="0"/>
                <w:color w:val="000000"/>
                <w:sz w:val="24"/>
                <w:szCs w:val="24"/>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201B1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执行进度</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2DEF0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81531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评价部门在6、9、11月的预算执行情况。</w:t>
            </w:r>
          </w:p>
        </w:tc>
        <w:tc>
          <w:tcPr>
            <w:tcW w:w="3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635CB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部门预算执行进度在6、9、11月应达到序时进度的80%、90%、90%，即实际支出进度分别达到40%、67.5%、82.5%。                                                     6、9、11月部门预算执行进度达到量化指标的分别得1分、2分、2分，未达到目标进度</w:t>
            </w:r>
            <w:r>
              <w:rPr>
                <w:rFonts w:hint="eastAsia" w:ascii="宋体" w:hAnsi="宋体" w:cs="宋体"/>
                <w:i w:val="0"/>
                <w:color w:val="000000"/>
                <w:kern w:val="0"/>
                <w:sz w:val="24"/>
                <w:szCs w:val="24"/>
                <w:u w:val="none"/>
                <w:lang w:val="en-US" w:eastAsia="zh-CN" w:bidi="ar"/>
              </w:rPr>
              <w:t>的</w:t>
            </w:r>
            <w:r>
              <w:rPr>
                <w:rFonts w:hint="eastAsia" w:ascii="宋体" w:hAnsi="宋体" w:eastAsia="宋体" w:cs="宋体"/>
                <w:i w:val="0"/>
                <w:color w:val="000000"/>
                <w:kern w:val="0"/>
                <w:sz w:val="24"/>
                <w:szCs w:val="24"/>
                <w:u w:val="none"/>
                <w:lang w:val="en-US" w:eastAsia="zh-CN" w:bidi="ar"/>
              </w:rPr>
              <w:t xml:space="preserve">按其实际进度占目标进度的比重计算得分。                                             </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4749B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3C07E0">
            <w:pPr>
              <w:rPr>
                <w:rFonts w:hint="eastAsia" w:ascii="宋体" w:hAnsi="宋体" w:eastAsia="宋体" w:cs="宋体"/>
                <w:i w:val="0"/>
                <w:color w:val="000000"/>
                <w:sz w:val="24"/>
                <w:szCs w:val="24"/>
                <w:u w:val="none"/>
              </w:rPr>
            </w:pP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401E75">
            <w:pPr>
              <w:rPr>
                <w:rFonts w:hint="eastAsia" w:ascii="宋体" w:hAnsi="宋体" w:eastAsia="宋体" w:cs="宋体"/>
                <w:i w:val="0"/>
                <w:color w:val="000000"/>
                <w:sz w:val="24"/>
                <w:szCs w:val="24"/>
                <w:u w:val="none"/>
              </w:rPr>
            </w:pP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9F2D8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27" w:type="dxa"/>
            <w:tcBorders>
              <w:top w:val="single" w:color="000000" w:sz="4" w:space="0"/>
              <w:left w:val="single" w:color="000000" w:sz="4" w:space="0"/>
              <w:bottom w:val="single" w:color="000000" w:sz="4" w:space="0"/>
              <w:right w:val="single" w:color="000000" w:sz="4" w:space="0"/>
            </w:tcBorders>
            <w:shd w:val="clear" w:color="auto" w:fill="FDE9D9"/>
            <w:noWrap w:val="0"/>
            <w:vAlign w:val="center"/>
          </w:tcPr>
          <w:p w14:paraId="2FE8D73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14:paraId="4F3A86A5">
            <w:pPr>
              <w:rPr>
                <w:rFonts w:hint="eastAsia" w:ascii="宋体" w:hAnsi="宋体" w:eastAsia="宋体" w:cs="宋体"/>
                <w:i w:val="0"/>
                <w:color w:val="000000"/>
                <w:sz w:val="24"/>
                <w:szCs w:val="24"/>
                <w:u w:val="none"/>
              </w:rPr>
            </w:pPr>
          </w:p>
        </w:tc>
      </w:tr>
      <w:tr w14:paraId="4D0CA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55" w:hRule="atLeast"/>
          <w:jc w:val="center"/>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27C6A3">
            <w:pPr>
              <w:jc w:val="center"/>
              <w:rPr>
                <w:rFonts w:hint="eastAsia" w:ascii="宋体" w:hAnsi="宋体" w:eastAsia="宋体" w:cs="宋体"/>
                <w:i w:val="0"/>
                <w:color w:val="000000"/>
                <w:sz w:val="24"/>
                <w:szCs w:val="24"/>
                <w:u w:val="none"/>
              </w:rPr>
            </w:pPr>
          </w:p>
        </w:tc>
        <w:tc>
          <w:tcPr>
            <w:tcW w:w="132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59154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完成结果（10分）</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1E611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资金结余率（低效无效率）</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4D541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E9B78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评价部门预算项目年终资金结余情况。                 </w:t>
            </w:r>
          </w:p>
        </w:tc>
        <w:tc>
          <w:tcPr>
            <w:tcW w:w="3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E06C6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部门预算项目资金结余率小于0.1的项目数/部门预算项目总数*5。</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31FC4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980554">
            <w:pPr>
              <w:jc w:val="left"/>
              <w:rPr>
                <w:rFonts w:hint="eastAsia" w:ascii="宋体" w:hAnsi="宋体" w:eastAsia="宋体" w:cs="宋体"/>
                <w:i w:val="0"/>
                <w:color w:val="000000"/>
                <w:sz w:val="24"/>
                <w:szCs w:val="24"/>
                <w:u w:val="none"/>
              </w:rPr>
            </w:pP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4B7B98">
            <w:pPr>
              <w:jc w:val="left"/>
              <w:rPr>
                <w:rFonts w:hint="eastAsia" w:ascii="宋体" w:hAnsi="宋体" w:eastAsia="宋体" w:cs="宋体"/>
                <w:i w:val="0"/>
                <w:color w:val="000000"/>
                <w:sz w:val="24"/>
                <w:szCs w:val="24"/>
                <w:u w:val="none"/>
              </w:rPr>
            </w:pP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EAE1D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27" w:type="dxa"/>
            <w:tcBorders>
              <w:top w:val="single" w:color="000000" w:sz="4" w:space="0"/>
              <w:left w:val="single" w:color="000000" w:sz="4" w:space="0"/>
              <w:bottom w:val="single" w:color="000000" w:sz="4" w:space="0"/>
              <w:right w:val="single" w:color="000000" w:sz="4" w:space="0"/>
            </w:tcBorders>
            <w:shd w:val="clear" w:color="auto" w:fill="FDE9D9"/>
            <w:noWrap w:val="0"/>
            <w:vAlign w:val="center"/>
          </w:tcPr>
          <w:p w14:paraId="55CDC46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14:paraId="733FC361">
            <w:pPr>
              <w:rPr>
                <w:rFonts w:hint="eastAsia" w:ascii="宋体" w:hAnsi="宋体" w:eastAsia="宋体" w:cs="宋体"/>
                <w:i w:val="0"/>
                <w:color w:val="000000"/>
                <w:sz w:val="24"/>
                <w:szCs w:val="24"/>
                <w:u w:val="none"/>
              </w:rPr>
            </w:pPr>
          </w:p>
        </w:tc>
      </w:tr>
      <w:tr w14:paraId="78650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C9224E">
            <w:pPr>
              <w:jc w:val="center"/>
              <w:rPr>
                <w:rFonts w:hint="eastAsia" w:ascii="宋体" w:hAnsi="宋体" w:eastAsia="宋体" w:cs="宋体"/>
                <w:i w:val="0"/>
                <w:color w:val="000000"/>
                <w:sz w:val="24"/>
                <w:szCs w:val="24"/>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E5F4B0">
            <w:pPr>
              <w:jc w:val="center"/>
              <w:rPr>
                <w:rFonts w:hint="eastAsia" w:ascii="宋体" w:hAnsi="宋体" w:eastAsia="宋体" w:cs="宋体"/>
                <w:i w:val="0"/>
                <w:color w:val="000000"/>
                <w:sz w:val="24"/>
                <w:szCs w:val="24"/>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FE20B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违规记录</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3BEE0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88CB3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根据审计监督、财会监督和部门自查结果反映部门上一年度部门预算管理是否存在相关问题。</w:t>
            </w:r>
          </w:p>
        </w:tc>
        <w:tc>
          <w:tcPr>
            <w:tcW w:w="3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396C2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依据评价年度审计监督、财会监督和部门自查结果，出现未落实党政机关过紧日子相关要求，以及部门预算管理方面违纪违规等问题的，每个问题扣0.5分，直至扣完。</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CCEB8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E46833">
            <w:pPr>
              <w:jc w:val="left"/>
              <w:rPr>
                <w:rFonts w:hint="eastAsia" w:ascii="宋体" w:hAnsi="宋体" w:eastAsia="宋体" w:cs="宋体"/>
                <w:i w:val="0"/>
                <w:color w:val="000000"/>
                <w:sz w:val="24"/>
                <w:szCs w:val="24"/>
                <w:u w:val="none"/>
              </w:rPr>
            </w:pP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4A189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3C15A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27" w:type="dxa"/>
            <w:tcBorders>
              <w:top w:val="single" w:color="000000" w:sz="4" w:space="0"/>
              <w:left w:val="single" w:color="000000" w:sz="4" w:space="0"/>
              <w:bottom w:val="single" w:color="000000" w:sz="4" w:space="0"/>
              <w:right w:val="single" w:color="000000" w:sz="4" w:space="0"/>
            </w:tcBorders>
            <w:shd w:val="clear" w:color="auto" w:fill="FDE9D9"/>
            <w:noWrap w:val="0"/>
            <w:vAlign w:val="center"/>
          </w:tcPr>
          <w:p w14:paraId="0B03CE9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14:paraId="682F5F3A">
            <w:pPr>
              <w:rPr>
                <w:rFonts w:hint="eastAsia" w:ascii="宋体" w:hAnsi="宋体" w:eastAsia="宋体" w:cs="宋体"/>
                <w:i w:val="0"/>
                <w:color w:val="000000"/>
                <w:sz w:val="24"/>
                <w:szCs w:val="24"/>
                <w:u w:val="none"/>
              </w:rPr>
            </w:pPr>
          </w:p>
        </w:tc>
      </w:tr>
      <w:tr w14:paraId="5EFEC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15" w:hRule="atLeast"/>
          <w:jc w:val="center"/>
        </w:trPr>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46B71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绩效结果应用（30分）</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8348C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内部应用（10分）</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222F8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预算挂钩</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F2D67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D3A07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部门内部绩效结果与预算挂钩情况</w:t>
            </w:r>
          </w:p>
        </w:tc>
        <w:tc>
          <w:tcPr>
            <w:tcW w:w="3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A3A93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将内设机构和下属单位绩效自评情况纳入内部考核体系，得5分；建立对内设机构和下属单位预算与绩效挂钩机制的，得5分；否则酌情扣分。    </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94B7B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56FF8B">
            <w:pPr>
              <w:jc w:val="left"/>
              <w:rPr>
                <w:rFonts w:hint="eastAsia" w:ascii="宋体" w:hAnsi="宋体" w:eastAsia="宋体" w:cs="宋体"/>
                <w:i w:val="0"/>
                <w:color w:val="000000"/>
                <w:sz w:val="24"/>
                <w:szCs w:val="24"/>
                <w:u w:val="none"/>
              </w:rPr>
            </w:pP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F1378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876E14">
            <w:pPr>
              <w:jc w:val="center"/>
              <w:rPr>
                <w:rFonts w:hint="eastAsia" w:ascii="宋体" w:hAnsi="宋体" w:eastAsia="宋体" w:cs="宋体"/>
                <w:i w:val="0"/>
                <w:color w:val="000000"/>
                <w:sz w:val="24"/>
                <w:szCs w:val="24"/>
                <w:u w:val="none"/>
              </w:rPr>
            </w:pPr>
          </w:p>
        </w:tc>
        <w:tc>
          <w:tcPr>
            <w:tcW w:w="327" w:type="dxa"/>
            <w:tcBorders>
              <w:top w:val="single" w:color="000000" w:sz="4" w:space="0"/>
              <w:left w:val="single" w:color="000000" w:sz="4" w:space="0"/>
              <w:bottom w:val="single" w:color="000000" w:sz="4" w:space="0"/>
              <w:right w:val="single" w:color="000000" w:sz="4" w:space="0"/>
            </w:tcBorders>
            <w:shd w:val="clear" w:color="auto" w:fill="FDE9D9"/>
            <w:noWrap w:val="0"/>
            <w:vAlign w:val="center"/>
          </w:tcPr>
          <w:p w14:paraId="5453E34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14:paraId="122AC495">
            <w:pPr>
              <w:rPr>
                <w:rFonts w:hint="eastAsia" w:ascii="宋体" w:hAnsi="宋体" w:eastAsia="宋体" w:cs="宋体"/>
                <w:i w:val="0"/>
                <w:color w:val="000000"/>
                <w:sz w:val="24"/>
                <w:szCs w:val="24"/>
                <w:u w:val="none"/>
              </w:rPr>
            </w:pPr>
          </w:p>
        </w:tc>
      </w:tr>
      <w:tr w14:paraId="739F5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jc w:val="center"/>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C37E2F">
            <w:pPr>
              <w:jc w:val="center"/>
              <w:rPr>
                <w:rFonts w:hint="eastAsia" w:ascii="宋体" w:hAnsi="宋体" w:eastAsia="宋体" w:cs="宋体"/>
                <w:i w:val="0"/>
                <w:color w:val="000000"/>
                <w:sz w:val="24"/>
                <w:szCs w:val="24"/>
                <w:u w:val="none"/>
              </w:rPr>
            </w:pPr>
          </w:p>
        </w:tc>
        <w:tc>
          <w:tcPr>
            <w:tcW w:w="1327" w:type="dxa"/>
            <w:tcBorders>
              <w:left w:val="single" w:color="000000" w:sz="4" w:space="0"/>
              <w:bottom w:val="single" w:color="000000" w:sz="4" w:space="0"/>
              <w:right w:val="single" w:color="000000" w:sz="4" w:space="0"/>
            </w:tcBorders>
            <w:shd w:val="clear" w:color="auto" w:fill="auto"/>
            <w:noWrap w:val="0"/>
            <w:vAlign w:val="center"/>
          </w:tcPr>
          <w:p w14:paraId="592DFB3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信息公开（5分</w:t>
            </w:r>
            <w:r>
              <w:rPr>
                <w:rFonts w:hint="eastAsia" w:ascii="宋体" w:hAnsi="宋体" w:cs="宋体"/>
                <w:i w:val="0"/>
                <w:color w:val="000000"/>
                <w:kern w:val="0"/>
                <w:sz w:val="24"/>
                <w:szCs w:val="24"/>
                <w:u w:val="none"/>
                <w:lang w:val="en-US" w:eastAsia="zh-CN" w:bidi="ar"/>
              </w:rPr>
              <w:t>）</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6EBD2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自评公开</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1C989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DF416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评价部门是否按要求将部门整体绩效自评情况和自行组织的评价情况向社会公开。</w:t>
            </w:r>
          </w:p>
        </w:tc>
        <w:tc>
          <w:tcPr>
            <w:tcW w:w="3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90BC2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按要求将相关绩效信息随同决算公开的，得10分，否则不得分。</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FFA08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1269D3">
            <w:pPr>
              <w:rPr>
                <w:rFonts w:hint="eastAsia" w:ascii="宋体" w:hAnsi="宋体" w:eastAsia="宋体" w:cs="宋体"/>
                <w:i w:val="0"/>
                <w:color w:val="000000"/>
                <w:sz w:val="24"/>
                <w:szCs w:val="24"/>
                <w:u w:val="none"/>
              </w:rPr>
            </w:pP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93A92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7D9BEC">
            <w:pPr>
              <w:rPr>
                <w:rFonts w:hint="eastAsia" w:ascii="宋体" w:hAnsi="宋体" w:eastAsia="宋体" w:cs="宋体"/>
                <w:i w:val="0"/>
                <w:color w:val="000000"/>
                <w:sz w:val="24"/>
                <w:szCs w:val="24"/>
                <w:u w:val="none"/>
              </w:rPr>
            </w:pPr>
          </w:p>
        </w:tc>
        <w:tc>
          <w:tcPr>
            <w:tcW w:w="327" w:type="dxa"/>
            <w:tcBorders>
              <w:top w:val="single" w:color="000000" w:sz="4" w:space="0"/>
              <w:left w:val="single" w:color="000000" w:sz="4" w:space="0"/>
              <w:bottom w:val="single" w:color="000000" w:sz="4" w:space="0"/>
              <w:right w:val="single" w:color="000000" w:sz="4" w:space="0"/>
            </w:tcBorders>
            <w:shd w:val="clear" w:color="auto" w:fill="FDE9D9"/>
            <w:noWrap w:val="0"/>
            <w:vAlign w:val="center"/>
          </w:tcPr>
          <w:p w14:paraId="042CC39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14:paraId="62F8CB3C">
            <w:pPr>
              <w:rPr>
                <w:rFonts w:hint="eastAsia" w:ascii="宋体" w:hAnsi="宋体" w:eastAsia="宋体" w:cs="宋体"/>
                <w:i w:val="0"/>
                <w:color w:val="000000"/>
                <w:sz w:val="24"/>
                <w:szCs w:val="24"/>
                <w:u w:val="none"/>
              </w:rPr>
            </w:pPr>
          </w:p>
        </w:tc>
      </w:tr>
      <w:tr w14:paraId="0B6E5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11" w:hRule="atLeast"/>
          <w:jc w:val="center"/>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08BF32">
            <w:pPr>
              <w:jc w:val="center"/>
              <w:rPr>
                <w:rFonts w:hint="eastAsia" w:ascii="宋体" w:hAnsi="宋体" w:eastAsia="宋体" w:cs="宋体"/>
                <w:i w:val="0"/>
                <w:color w:val="000000"/>
                <w:sz w:val="24"/>
                <w:szCs w:val="24"/>
                <w:u w:val="none"/>
              </w:rPr>
            </w:pPr>
          </w:p>
        </w:tc>
        <w:tc>
          <w:tcPr>
            <w:tcW w:w="132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AD525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整改反馈（10分）</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FB069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问题整改</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0C0ED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5D22D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评价部门根据绩效管理结果整改问题、完善政策、改进管理的情况。</w:t>
            </w:r>
          </w:p>
        </w:tc>
        <w:tc>
          <w:tcPr>
            <w:tcW w:w="3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A6442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针对绩效管理过程中（包括绩效目标核查、绩效监控核查和重点绩效评价）提出的问题进行整改，得5分，否则酌情扣分。</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4C706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C35B50">
            <w:pPr>
              <w:rPr>
                <w:rFonts w:hint="eastAsia" w:ascii="宋体" w:hAnsi="宋体" w:eastAsia="宋体" w:cs="宋体"/>
                <w:i w:val="0"/>
                <w:color w:val="000000"/>
                <w:sz w:val="24"/>
                <w:szCs w:val="24"/>
                <w:u w:val="none"/>
              </w:rPr>
            </w:pP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17AF3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DB324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27" w:type="dxa"/>
            <w:tcBorders>
              <w:top w:val="single" w:color="000000" w:sz="4" w:space="0"/>
              <w:left w:val="single" w:color="000000" w:sz="4" w:space="0"/>
              <w:bottom w:val="single" w:color="000000" w:sz="4" w:space="0"/>
              <w:right w:val="single" w:color="000000" w:sz="4" w:space="0"/>
            </w:tcBorders>
            <w:shd w:val="clear" w:color="auto" w:fill="FDE9D9"/>
            <w:noWrap w:val="0"/>
            <w:vAlign w:val="center"/>
          </w:tcPr>
          <w:p w14:paraId="623ED1A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14:paraId="51A6EA5B">
            <w:pPr>
              <w:rPr>
                <w:rFonts w:hint="eastAsia" w:ascii="宋体" w:hAnsi="宋体" w:eastAsia="宋体" w:cs="宋体"/>
                <w:i w:val="0"/>
                <w:color w:val="000000"/>
                <w:sz w:val="24"/>
                <w:szCs w:val="24"/>
                <w:u w:val="none"/>
              </w:rPr>
            </w:pPr>
          </w:p>
        </w:tc>
      </w:tr>
      <w:tr w14:paraId="6A941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91" w:hRule="atLeast"/>
          <w:jc w:val="center"/>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E2A5D2">
            <w:pPr>
              <w:jc w:val="center"/>
              <w:rPr>
                <w:rFonts w:hint="eastAsia" w:ascii="宋体" w:hAnsi="宋体" w:eastAsia="宋体" w:cs="宋体"/>
                <w:i w:val="0"/>
                <w:color w:val="000000"/>
                <w:sz w:val="24"/>
                <w:szCs w:val="24"/>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3553D0">
            <w:pPr>
              <w:jc w:val="center"/>
              <w:rPr>
                <w:rFonts w:hint="eastAsia" w:ascii="宋体" w:hAnsi="宋体" w:eastAsia="宋体" w:cs="宋体"/>
                <w:i w:val="0"/>
                <w:color w:val="000000"/>
                <w:sz w:val="24"/>
                <w:szCs w:val="24"/>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58678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应用反馈</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9E486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7B855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评价部门按要求及时向财政部门反馈结果应用情况。</w:t>
            </w:r>
          </w:p>
        </w:tc>
        <w:tc>
          <w:tcPr>
            <w:tcW w:w="3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889A7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部门在规定时间内向财政部门反馈应用绩效结果报告的，得5分，否则不得分。</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980CA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20D188">
            <w:pPr>
              <w:jc w:val="left"/>
              <w:rPr>
                <w:rFonts w:hint="eastAsia" w:ascii="宋体" w:hAnsi="宋体" w:eastAsia="宋体" w:cs="宋体"/>
                <w:i w:val="0"/>
                <w:color w:val="000000"/>
                <w:sz w:val="24"/>
                <w:szCs w:val="24"/>
                <w:u w:val="none"/>
              </w:rPr>
            </w:pP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151C5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2C9B3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27" w:type="dxa"/>
            <w:tcBorders>
              <w:top w:val="single" w:color="000000" w:sz="4" w:space="0"/>
              <w:left w:val="single" w:color="000000" w:sz="4" w:space="0"/>
              <w:bottom w:val="single" w:color="000000" w:sz="4" w:space="0"/>
              <w:right w:val="single" w:color="000000" w:sz="4" w:space="0"/>
            </w:tcBorders>
            <w:shd w:val="clear" w:color="auto" w:fill="FDE9D9"/>
            <w:noWrap w:val="0"/>
            <w:vAlign w:val="center"/>
          </w:tcPr>
          <w:p w14:paraId="1DAF232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14:paraId="380E5FF0">
            <w:pPr>
              <w:rPr>
                <w:rFonts w:hint="eastAsia" w:ascii="宋体" w:hAnsi="宋体" w:eastAsia="宋体" w:cs="宋体"/>
                <w:i w:val="0"/>
                <w:color w:val="000000"/>
                <w:sz w:val="24"/>
                <w:szCs w:val="24"/>
                <w:u w:val="none"/>
              </w:rPr>
            </w:pPr>
          </w:p>
        </w:tc>
      </w:tr>
      <w:tr w14:paraId="31A8C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0" w:hRule="atLeast"/>
          <w:jc w:val="center"/>
        </w:trPr>
        <w:tc>
          <w:tcPr>
            <w:tcW w:w="2564"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4ECB8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扣分项（10分）</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8FA58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727AE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被评价单位配合评价工作情况。</w:t>
            </w:r>
          </w:p>
        </w:tc>
        <w:tc>
          <w:tcPr>
            <w:tcW w:w="3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C61DF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政重点绩效评价工作开展过程中，评价组发现被评价对象拖延推诿、提交资料不及时等拒不配合评价工作的，经报财政局复核确认后按0.5分/次予以扣分，最高扣10分（此为财政重点绩效评价计分标准，部门参照该标准对部门及下属单位计分）。</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C0807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7FE56A">
            <w:pPr>
              <w:jc w:val="center"/>
              <w:rPr>
                <w:rFonts w:hint="eastAsia" w:ascii="宋体" w:hAnsi="宋体" w:eastAsia="宋体" w:cs="宋体"/>
                <w:i w:val="0"/>
                <w:color w:val="000000"/>
                <w:sz w:val="24"/>
                <w:szCs w:val="24"/>
                <w:u w:val="none"/>
              </w:rPr>
            </w:pP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19C32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37BAE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27" w:type="dxa"/>
            <w:tcBorders>
              <w:top w:val="single" w:color="000000" w:sz="4" w:space="0"/>
              <w:left w:val="single" w:color="000000" w:sz="4" w:space="0"/>
              <w:bottom w:val="single" w:color="000000" w:sz="4" w:space="0"/>
              <w:right w:val="single" w:color="000000" w:sz="4" w:space="0"/>
            </w:tcBorders>
            <w:shd w:val="clear" w:color="auto" w:fill="FDE9D9"/>
            <w:noWrap w:val="0"/>
            <w:vAlign w:val="center"/>
          </w:tcPr>
          <w:p w14:paraId="7CE2E10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14:paraId="1757FCDC">
            <w:pPr>
              <w:rPr>
                <w:rFonts w:hint="eastAsia" w:ascii="宋体" w:hAnsi="宋体" w:eastAsia="宋体" w:cs="宋体"/>
                <w:i w:val="0"/>
                <w:color w:val="000000"/>
                <w:sz w:val="22"/>
                <w:szCs w:val="22"/>
                <w:u w:val="none"/>
              </w:rPr>
            </w:pPr>
          </w:p>
        </w:tc>
      </w:tr>
      <w:tr w14:paraId="46038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5" w:hRule="atLeast"/>
          <w:jc w:val="center"/>
        </w:trPr>
        <w:tc>
          <w:tcPr>
            <w:tcW w:w="8757" w:type="dxa"/>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9D437E">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部 门 整 体 自 评 得 分</w:t>
            </w:r>
          </w:p>
        </w:tc>
        <w:tc>
          <w:tcPr>
            <w:tcW w:w="327" w:type="dxa"/>
            <w:tcBorders>
              <w:top w:val="single" w:color="000000" w:sz="4" w:space="0"/>
              <w:left w:val="single" w:color="000000" w:sz="4" w:space="0"/>
              <w:bottom w:val="single" w:color="000000" w:sz="4" w:space="0"/>
              <w:right w:val="single" w:color="000000" w:sz="4" w:space="0"/>
            </w:tcBorders>
            <w:shd w:val="clear" w:color="auto" w:fill="FDE9D9"/>
            <w:noWrap w:val="0"/>
            <w:vAlign w:val="center"/>
          </w:tcPr>
          <w:p w14:paraId="0CBEA6B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14:paraId="26B5EA12">
            <w:pPr>
              <w:rPr>
                <w:rFonts w:hint="eastAsia" w:ascii="宋体" w:hAnsi="宋体" w:eastAsia="宋体" w:cs="宋体"/>
                <w:i w:val="0"/>
                <w:color w:val="000000"/>
                <w:sz w:val="22"/>
                <w:szCs w:val="22"/>
                <w:u w:val="none"/>
              </w:rPr>
            </w:pPr>
          </w:p>
        </w:tc>
      </w:tr>
    </w:tbl>
    <w:p w14:paraId="2E51C31C">
      <w:pPr>
        <w:rPr>
          <w:rFonts w:hint="default"/>
          <w:lang w:val="en-US" w:eastAsia="zh-CN"/>
        </w:rPr>
      </w:pPr>
      <w:bookmarkStart w:id="55" w:name="_Toc15396618"/>
    </w:p>
    <w:p w14:paraId="1B1389D6">
      <w:pPr>
        <w:adjustRightInd w:val="0"/>
        <w:snapToGrid w:val="0"/>
        <w:spacing w:line="600" w:lineRule="exact"/>
      </w:pPr>
    </w:p>
    <w:p w14:paraId="67A98595">
      <w:pPr>
        <w:pStyle w:val="6"/>
        <w:spacing w:afterLines="0"/>
        <w:rPr>
          <w:rFonts w:hint="eastAsia" w:hAnsi="仿宋_GB2312" w:cs="仿宋_GB2312"/>
          <w:sz w:val="32"/>
          <w:szCs w:val="32"/>
          <w:lang w:val="en-US" w:eastAsia="zh-CN"/>
        </w:rPr>
      </w:pPr>
    </w:p>
    <w:p w14:paraId="302BFDB6">
      <w:pPr>
        <w:spacing w:beforeLines="0" w:afterLines="0" w:line="600" w:lineRule="exact"/>
        <w:rPr>
          <w:rFonts w:hint="eastAsia" w:ascii="Times New Roman" w:hAnsi="Times New Roman" w:eastAsia="方正黑体_GBK"/>
          <w:color w:val="auto"/>
          <w:sz w:val="33"/>
          <w:szCs w:val="24"/>
          <w:lang w:val="en-US" w:eastAsia="zh-CN"/>
        </w:rPr>
      </w:pPr>
      <w:r>
        <w:rPr>
          <w:rFonts w:hint="eastAsia" w:ascii="方正黑体_GBK" w:hAnsi="方正黑体_GBK" w:eastAsia="方正黑体_GBK" w:cs="方正黑体_GBK"/>
          <w:color w:val="auto"/>
          <w:sz w:val="33"/>
          <w:szCs w:val="33"/>
        </w:rPr>
        <w:t>附件</w:t>
      </w:r>
    </w:p>
    <w:p w14:paraId="36E7268B">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宋体" w:hAnsi="宋体" w:eastAsia="宋体"/>
          <w:color w:val="auto"/>
          <w:sz w:val="30"/>
          <w:szCs w:val="30"/>
        </w:rPr>
      </w:pPr>
      <w:r>
        <w:rPr>
          <w:rFonts w:hint="eastAsia" w:ascii="方正小标宋简体" w:hAnsi="方正小标宋简体" w:eastAsia="方正小标宋简体" w:cs="方正小标宋简体"/>
          <w:b w:val="0"/>
          <w:bCs/>
          <w:color w:val="auto"/>
          <w:spacing w:val="-11"/>
          <w:sz w:val="44"/>
          <w:szCs w:val="44"/>
          <w:lang w:val="en-US" w:eastAsia="zh-CN"/>
        </w:rPr>
        <w:t>峨边彝族自治县医疗保障局</w:t>
      </w:r>
    </w:p>
    <w:p w14:paraId="1C41D756">
      <w:pPr>
        <w:pStyle w:val="35"/>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hAnsi="宋体" w:eastAsia="方正小标宋简体"/>
          <w:color w:val="auto"/>
          <w:sz w:val="44"/>
          <w:szCs w:val="44"/>
        </w:rPr>
      </w:pPr>
      <w:r>
        <w:rPr>
          <w:rFonts w:hint="eastAsia" w:ascii="方正小标宋简体" w:hAnsi="宋体" w:eastAsia="方正小标宋简体"/>
          <w:color w:val="auto"/>
          <w:sz w:val="44"/>
          <w:szCs w:val="44"/>
        </w:rPr>
        <w:t>项目支出绩效自评报告</w:t>
      </w:r>
    </w:p>
    <w:p w14:paraId="1BF99E0B">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【峨边彝族自治县医疗保障局</w:t>
      </w:r>
    </w:p>
    <w:p w14:paraId="30C6EBED">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2024年巩固拓展脱贫攻坚成果衔接乡村振兴项目（县级）】</w:t>
      </w:r>
    </w:p>
    <w:p w14:paraId="3D2382A1">
      <w:pPr>
        <w:pStyle w:val="35"/>
        <w:spacing w:line="600" w:lineRule="exact"/>
        <w:ind w:firstLine="640"/>
        <w:jc w:val="center"/>
        <w:rPr>
          <w:rFonts w:hint="eastAsia" w:ascii="宋体" w:hAnsi="宋体" w:eastAsia="宋体"/>
          <w:color w:val="auto"/>
          <w:kern w:val="2"/>
          <w:sz w:val="32"/>
          <w:szCs w:val="32"/>
          <w:lang w:eastAsia="zh-CN"/>
        </w:rPr>
      </w:pPr>
    </w:p>
    <w:p w14:paraId="244060C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sz w:val="32"/>
          <w:szCs w:val="32"/>
          <w:lang w:val="zh-CN" w:eastAsia="zh-CN"/>
        </w:rPr>
      </w:pPr>
      <w:r>
        <w:rPr>
          <w:rFonts w:hint="eastAsia" w:ascii="黑体" w:hAnsi="黑体" w:eastAsia="黑体" w:cs="黑体"/>
          <w:color w:val="auto"/>
          <w:sz w:val="32"/>
          <w:szCs w:val="32"/>
          <w:lang w:val="en-US" w:eastAsia="zh-CN"/>
        </w:rPr>
        <w:t>一、</w:t>
      </w:r>
      <w:r>
        <w:rPr>
          <w:rFonts w:hint="eastAsia" w:ascii="黑体" w:hAnsi="黑体" w:eastAsia="黑体" w:cs="黑体"/>
          <w:color w:val="auto"/>
          <w:sz w:val="32"/>
          <w:szCs w:val="32"/>
          <w:lang w:val="zh-CN" w:eastAsia="zh-CN"/>
        </w:rPr>
        <w:t>项目概况</w:t>
      </w:r>
    </w:p>
    <w:p w14:paraId="502B1AE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color w:val="auto"/>
          <w:sz w:val="32"/>
          <w:szCs w:val="32"/>
          <w:lang w:val="zh-CN" w:eastAsia="zh-CN"/>
        </w:rPr>
      </w:pPr>
      <w:r>
        <w:rPr>
          <w:rFonts w:hint="eastAsia" w:ascii="楷体_GB2312" w:hAnsi="楷体_GB2312" w:eastAsia="楷体_GB2312" w:cs="楷体_GB2312"/>
          <w:color w:val="auto"/>
          <w:sz w:val="32"/>
          <w:szCs w:val="32"/>
          <w:lang w:val="zh-CN" w:eastAsia="zh-CN"/>
        </w:rPr>
        <w:t>（一）项目基本情况</w:t>
      </w:r>
    </w:p>
    <w:p w14:paraId="49586CD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根据峨财政〔2024〕14 号的通知，为保障全县脱贫人口、监测户等参加医疗保险进行资助及医疗负担重的困难群众进行救助，财政批复200万元用于全县脱贫人口、监测户等参加医疗保险进行资助及医疗负担重的困难群众进行救助，实际按实2024年支付200万元峨边彝族自治县医疗保障局2024年乡村振兴补助资金项目，</w:t>
      </w:r>
      <w:r>
        <w:rPr>
          <w:rFonts w:hint="eastAsia" w:ascii="仿宋_GB2312" w:hAnsi="仿宋_GB2312" w:eastAsia="仿宋_GB2312" w:cs="仿宋_GB2312"/>
          <w:color w:val="auto"/>
          <w:sz w:val="32"/>
          <w:szCs w:val="32"/>
          <w:lang w:val="zh-CN" w:eastAsia="zh-CN"/>
        </w:rPr>
        <w:t>符合资金管理办法等相关规定。</w:t>
      </w:r>
    </w:p>
    <w:p w14:paraId="57A5652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color w:val="auto"/>
          <w:sz w:val="32"/>
          <w:szCs w:val="32"/>
          <w:lang w:val="zh-CN" w:eastAsia="zh-CN"/>
        </w:rPr>
      </w:pPr>
      <w:r>
        <w:rPr>
          <w:rFonts w:hint="eastAsia" w:ascii="楷体_GB2312" w:hAnsi="楷体_GB2312" w:eastAsia="楷体_GB2312" w:cs="楷体_GB2312"/>
          <w:color w:val="auto"/>
          <w:sz w:val="32"/>
          <w:szCs w:val="32"/>
          <w:lang w:val="zh-CN" w:eastAsia="zh-CN"/>
        </w:rPr>
        <w:t>（二）项目绩效目标</w:t>
      </w:r>
    </w:p>
    <w:p w14:paraId="40BA45A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为全县脱贫人口、监测户等参加医疗保险进行资助及医疗负担重的困难群众进行救助。</w:t>
      </w:r>
    </w:p>
    <w:p w14:paraId="26B899B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color w:val="auto"/>
          <w:sz w:val="32"/>
          <w:szCs w:val="32"/>
          <w:lang w:val="zh-CN" w:eastAsia="zh-CN"/>
        </w:rPr>
      </w:pPr>
      <w:r>
        <w:rPr>
          <w:rFonts w:hint="eastAsia" w:ascii="楷体_GB2312" w:hAnsi="楷体_GB2312" w:eastAsia="楷体_GB2312" w:cs="楷体_GB2312"/>
          <w:color w:val="auto"/>
          <w:sz w:val="32"/>
          <w:szCs w:val="32"/>
          <w:lang w:val="zh-CN" w:eastAsia="zh-CN"/>
        </w:rPr>
        <w:t>（三）项目自评步骤及方法</w:t>
      </w:r>
    </w:p>
    <w:p w14:paraId="32CE498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自评工作开展前我单位制定了自评方案，由办公室牵头、由分管领导和财务人员组成自评小组，对前期项目立项依据进行审查</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lang w:val="zh-CN" w:eastAsia="zh-CN"/>
        </w:rPr>
        <w:t>项目开展过程合法合理性进行自查，确保自评工作取得实效。</w:t>
      </w:r>
    </w:p>
    <w:p w14:paraId="11933D4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二、项目资金申报及使用情况</w:t>
      </w:r>
    </w:p>
    <w:p w14:paraId="7F94744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color w:val="auto"/>
          <w:sz w:val="32"/>
          <w:szCs w:val="32"/>
          <w:lang w:val="zh-CN" w:eastAsia="zh-CN"/>
        </w:rPr>
      </w:pPr>
      <w:r>
        <w:rPr>
          <w:rFonts w:hint="eastAsia" w:ascii="楷体_GB2312" w:hAnsi="楷体_GB2312" w:eastAsia="楷体_GB2312" w:cs="楷体_GB2312"/>
          <w:color w:val="auto"/>
          <w:sz w:val="32"/>
          <w:szCs w:val="32"/>
          <w:lang w:val="zh-CN" w:eastAsia="zh-CN"/>
        </w:rPr>
        <w:t>（一）项目资金申报及批复情况</w:t>
      </w:r>
    </w:p>
    <w:p w14:paraId="1BA807B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根据项目开展进度以及所需资金按照年初预算指标向县财政提出项目用款计划表，财政审核后下拨资金到我单位，根据相关政策进行资助参保与救助。</w:t>
      </w:r>
    </w:p>
    <w:p w14:paraId="48FF0B7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color w:val="auto"/>
          <w:sz w:val="32"/>
          <w:szCs w:val="32"/>
          <w:lang w:val="zh-CN" w:eastAsia="zh-CN"/>
        </w:rPr>
      </w:pPr>
      <w:r>
        <w:rPr>
          <w:rFonts w:hint="eastAsia" w:ascii="楷体_GB2312" w:hAnsi="楷体_GB2312" w:eastAsia="楷体_GB2312" w:cs="楷体_GB2312"/>
          <w:color w:val="auto"/>
          <w:sz w:val="32"/>
          <w:szCs w:val="32"/>
          <w:lang w:val="zh-CN" w:eastAsia="zh-CN"/>
        </w:rPr>
        <w:t>（二）资金计划、到位及使用情况（可用表格形式反映）</w:t>
      </w:r>
    </w:p>
    <w:p w14:paraId="1BB6DAB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1.资金计划。项目资金来源主要通过本单位年初预算，由县级财政统一安排资金，</w:t>
      </w:r>
      <w:r>
        <w:rPr>
          <w:rFonts w:hint="eastAsia" w:ascii="仿宋_GB2312" w:hAnsi="仿宋_GB2312" w:eastAsia="仿宋_GB2312" w:cs="仿宋_GB2312"/>
          <w:color w:val="auto"/>
          <w:sz w:val="32"/>
          <w:szCs w:val="32"/>
          <w:lang w:val="en-US" w:eastAsia="zh-CN"/>
        </w:rPr>
        <w:t>预算资金为200万元</w:t>
      </w:r>
      <w:r>
        <w:rPr>
          <w:rFonts w:hint="eastAsia" w:ascii="仿宋_GB2312" w:hAnsi="仿宋_GB2312" w:eastAsia="仿宋_GB2312" w:cs="仿宋_GB2312"/>
          <w:color w:val="auto"/>
          <w:sz w:val="32"/>
          <w:szCs w:val="32"/>
          <w:lang w:val="zh-CN" w:eastAsia="zh-CN"/>
        </w:rPr>
        <w:t>。</w:t>
      </w:r>
    </w:p>
    <w:p w14:paraId="0514933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2.资金到位。根据项目实施进度，通过申请由县财政拨付项目资金，</w:t>
      </w:r>
      <w:r>
        <w:rPr>
          <w:rFonts w:hint="eastAsia" w:ascii="仿宋_GB2312" w:hAnsi="仿宋_GB2312" w:eastAsia="仿宋_GB2312" w:cs="仿宋_GB2312"/>
          <w:color w:val="auto"/>
          <w:sz w:val="32"/>
          <w:szCs w:val="32"/>
          <w:lang w:val="en-US" w:eastAsia="zh-CN"/>
        </w:rPr>
        <w:t>拨付金额为200万元</w:t>
      </w:r>
      <w:r>
        <w:rPr>
          <w:rFonts w:hint="eastAsia" w:ascii="仿宋_GB2312" w:hAnsi="仿宋_GB2312" w:eastAsia="仿宋_GB2312" w:cs="仿宋_GB2312"/>
          <w:color w:val="auto"/>
          <w:sz w:val="32"/>
          <w:szCs w:val="32"/>
          <w:lang w:val="zh-CN" w:eastAsia="zh-CN"/>
        </w:rPr>
        <w:t>。</w:t>
      </w:r>
    </w:p>
    <w:p w14:paraId="71D2BC7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eastAsia="zh-CN"/>
        </w:rPr>
        <w:t>3.资金使用。通过业务科室与相关部门核对数据，数据比对准确后上解市医保局，</w:t>
      </w:r>
      <w:r>
        <w:rPr>
          <w:rFonts w:hint="eastAsia" w:ascii="仿宋_GB2312" w:hAnsi="仿宋_GB2312" w:eastAsia="仿宋_GB2312" w:cs="仿宋_GB2312"/>
          <w:color w:val="auto"/>
          <w:sz w:val="32"/>
          <w:szCs w:val="32"/>
          <w:lang w:val="en-US" w:eastAsia="zh-CN"/>
        </w:rPr>
        <w:t>2024年度使用200万元。</w:t>
      </w:r>
    </w:p>
    <w:p w14:paraId="1F14945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color w:val="auto"/>
          <w:sz w:val="32"/>
          <w:szCs w:val="32"/>
          <w:lang w:val="zh-CN" w:eastAsia="zh-CN"/>
        </w:rPr>
      </w:pPr>
      <w:r>
        <w:rPr>
          <w:rFonts w:hint="eastAsia" w:ascii="楷体_GB2312" w:hAnsi="楷体_GB2312" w:eastAsia="楷体_GB2312" w:cs="楷体_GB2312"/>
          <w:color w:val="auto"/>
          <w:sz w:val="32"/>
          <w:szCs w:val="32"/>
          <w:lang w:val="zh-CN" w:eastAsia="zh-CN"/>
        </w:rPr>
        <w:t>（三）项目财务管理情况</w:t>
      </w:r>
    </w:p>
    <w:p w14:paraId="1BC73E7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我局建立了资金预算、收支业务等系列财务管理制度，设置了财务管理机构财务室，严格资金先预算后使用、专款专用的原则，在收支业务发生后及时进行会计核算并进行账务处理，做到账实相符。</w:t>
      </w:r>
    </w:p>
    <w:p w14:paraId="0007397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sz w:val="32"/>
          <w:szCs w:val="32"/>
          <w:lang w:val="zh-CN" w:eastAsia="zh-CN"/>
        </w:rPr>
      </w:pPr>
      <w:r>
        <w:rPr>
          <w:rFonts w:hint="eastAsia" w:ascii="黑体" w:hAnsi="黑体" w:eastAsia="黑体" w:cs="黑体"/>
          <w:color w:val="auto"/>
          <w:sz w:val="32"/>
          <w:szCs w:val="32"/>
          <w:lang w:val="zh-CN" w:eastAsia="zh-CN"/>
        </w:rPr>
        <w:t>三、项目实施及管理情况</w:t>
      </w:r>
    </w:p>
    <w:p w14:paraId="7ACED80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zh-CN" w:eastAsia="zh-CN"/>
        </w:rPr>
        <w:t>（一）项目组织架构及实施流程。</w:t>
      </w:r>
      <w:r>
        <w:rPr>
          <w:rFonts w:hint="eastAsia" w:ascii="仿宋_GB2312" w:hAnsi="仿宋_GB2312" w:eastAsia="仿宋_GB2312" w:cs="仿宋_GB2312"/>
          <w:color w:val="auto"/>
          <w:sz w:val="32"/>
          <w:szCs w:val="32"/>
          <w:lang w:val="en-US" w:eastAsia="zh-CN"/>
        </w:rPr>
        <w:t>根据峨财政〔2024〕14 号的通知，</w:t>
      </w:r>
      <w:r>
        <w:rPr>
          <w:rFonts w:hint="eastAsia" w:ascii="仿宋_GB2312" w:hAnsi="仿宋_GB2312" w:eastAsia="仿宋_GB2312" w:cs="仿宋_GB2312"/>
          <w:color w:val="auto"/>
          <w:sz w:val="32"/>
          <w:szCs w:val="32"/>
          <w:lang w:val="zh-CN" w:eastAsia="zh-CN"/>
        </w:rPr>
        <w:t>通过业务科室与相关部门核对数据，数据比对准确后，根据业务股室提供的资助参保人数将资金上解市医保局。</w:t>
      </w:r>
    </w:p>
    <w:p w14:paraId="706E9EB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楷体_GB2312" w:hAnsi="楷体_GB2312" w:eastAsia="楷体_GB2312" w:cs="楷体_GB2312"/>
          <w:color w:val="auto"/>
          <w:sz w:val="32"/>
          <w:szCs w:val="32"/>
          <w:lang w:val="zh-CN" w:eastAsia="zh-CN"/>
        </w:rPr>
        <w:t>（二）项目管理情况。</w:t>
      </w:r>
      <w:r>
        <w:rPr>
          <w:rFonts w:hint="eastAsia" w:ascii="仿宋_GB2312" w:hAnsi="仿宋_GB2312" w:eastAsia="仿宋_GB2312" w:cs="仿宋_GB2312"/>
          <w:color w:val="auto"/>
          <w:sz w:val="32"/>
          <w:szCs w:val="32"/>
          <w:lang w:val="zh-CN" w:eastAsia="zh-CN"/>
        </w:rPr>
        <w:t>结合</w:t>
      </w:r>
      <w:r>
        <w:rPr>
          <w:rFonts w:hint="eastAsia" w:ascii="仿宋_GB2312" w:hAnsi="仿宋_GB2312" w:eastAsia="仿宋_GB2312" w:cs="仿宋_GB2312"/>
          <w:color w:val="auto"/>
          <w:sz w:val="32"/>
          <w:szCs w:val="32"/>
          <w:lang w:val="en-US" w:eastAsia="zh-CN"/>
        </w:rPr>
        <w:t>该</w:t>
      </w:r>
      <w:r>
        <w:rPr>
          <w:rFonts w:hint="eastAsia" w:ascii="仿宋_GB2312" w:hAnsi="仿宋_GB2312" w:eastAsia="仿宋_GB2312" w:cs="仿宋_GB2312"/>
          <w:color w:val="auto"/>
          <w:sz w:val="32"/>
          <w:szCs w:val="32"/>
          <w:lang w:val="zh-CN" w:eastAsia="zh-CN"/>
        </w:rPr>
        <w:t>项目特点，</w:t>
      </w:r>
      <w:r>
        <w:rPr>
          <w:rFonts w:hint="eastAsia" w:ascii="仿宋_GB2312" w:hAnsi="仿宋_GB2312" w:eastAsia="仿宋_GB2312" w:cs="仿宋_GB2312"/>
          <w:color w:val="auto"/>
          <w:sz w:val="32"/>
          <w:szCs w:val="32"/>
          <w:lang w:val="en-US" w:eastAsia="zh-CN"/>
        </w:rPr>
        <w:t>我单位均按照据实据效的方式开展，严格执行预算法、财政资金支付有关规定。</w:t>
      </w:r>
    </w:p>
    <w:p w14:paraId="69C7340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zh-CN" w:eastAsia="zh-CN"/>
        </w:rPr>
        <w:t>（三）项目监管情况。</w:t>
      </w:r>
      <w:r>
        <w:rPr>
          <w:rFonts w:hint="eastAsia" w:ascii="仿宋_GB2312" w:hAnsi="仿宋_GB2312" w:eastAsia="仿宋_GB2312" w:cs="仿宋_GB2312"/>
          <w:color w:val="auto"/>
          <w:sz w:val="32"/>
          <w:szCs w:val="32"/>
          <w:lang w:val="en-US" w:eastAsia="zh-CN"/>
        </w:rPr>
        <w:t>我单位严格</w:t>
      </w:r>
      <w:r>
        <w:rPr>
          <w:rFonts w:hint="eastAsia" w:ascii="仿宋_GB2312" w:hAnsi="仿宋_GB2312" w:eastAsia="仿宋_GB2312" w:cs="仿宋_GB2312"/>
          <w:color w:val="auto"/>
          <w:sz w:val="32"/>
          <w:szCs w:val="32"/>
          <w:lang w:val="zh-CN" w:eastAsia="zh-CN"/>
        </w:rPr>
        <w:t>项目管理，</w:t>
      </w:r>
      <w:r>
        <w:rPr>
          <w:rFonts w:hint="eastAsia" w:ascii="仿宋_GB2312" w:hAnsi="仿宋_GB2312" w:eastAsia="仿宋_GB2312" w:cs="仿宋_GB2312"/>
          <w:color w:val="auto"/>
          <w:sz w:val="32"/>
          <w:szCs w:val="32"/>
          <w:lang w:val="en-US" w:eastAsia="zh-CN"/>
        </w:rPr>
        <w:t>建立健全内部控制制度，采取预算编制与审核分离；预算审批与执行分离；预算执行与分析分离；决算编制与审核分离；实行收款与会计核算分离；支出申请与审批分离；支出审批与付款分离；业务经办与会计核算分离。</w:t>
      </w:r>
    </w:p>
    <w:p w14:paraId="52F85AB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sz w:val="32"/>
          <w:szCs w:val="32"/>
          <w:lang w:val="zh-CN" w:eastAsia="zh-CN"/>
        </w:rPr>
      </w:pPr>
      <w:r>
        <w:rPr>
          <w:rFonts w:hint="eastAsia" w:ascii="黑体" w:hAnsi="黑体" w:eastAsia="黑体" w:cs="黑体"/>
          <w:color w:val="auto"/>
          <w:sz w:val="32"/>
          <w:szCs w:val="32"/>
          <w:lang w:val="zh-CN" w:eastAsia="zh-CN"/>
        </w:rPr>
        <w:t>四、项目绩效情况</w:t>
      </w:r>
      <w:r>
        <w:rPr>
          <w:rFonts w:hint="eastAsia" w:ascii="黑体" w:hAnsi="黑体" w:eastAsia="黑体" w:cs="黑体"/>
          <w:color w:val="auto"/>
          <w:sz w:val="32"/>
          <w:szCs w:val="32"/>
          <w:lang w:val="zh-CN" w:eastAsia="zh-CN"/>
        </w:rPr>
        <w:tab/>
      </w:r>
    </w:p>
    <w:p w14:paraId="5C9DD74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color w:val="auto"/>
          <w:sz w:val="32"/>
          <w:szCs w:val="32"/>
          <w:lang w:val="zh-CN" w:eastAsia="zh-CN"/>
        </w:rPr>
      </w:pPr>
      <w:r>
        <w:rPr>
          <w:rFonts w:hint="eastAsia" w:ascii="楷体_GB2312" w:hAnsi="楷体_GB2312" w:eastAsia="楷体_GB2312" w:cs="楷体_GB2312"/>
          <w:color w:val="auto"/>
          <w:sz w:val="32"/>
          <w:szCs w:val="32"/>
          <w:lang w:val="zh-CN" w:eastAsia="zh-CN"/>
        </w:rPr>
        <w:t>（一）项目完成情况</w:t>
      </w:r>
    </w:p>
    <w:p w14:paraId="29AF1F7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2024年，完成全县脱贫人口、监测户等参加医疗保险进行资助及医疗负担重的困难群众进行救助。</w:t>
      </w:r>
    </w:p>
    <w:p w14:paraId="0803275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color w:val="auto"/>
          <w:sz w:val="32"/>
          <w:szCs w:val="32"/>
          <w:lang w:val="zh-CN" w:eastAsia="zh-CN"/>
        </w:rPr>
      </w:pPr>
      <w:r>
        <w:rPr>
          <w:rFonts w:hint="eastAsia" w:ascii="楷体_GB2312" w:hAnsi="楷体_GB2312" w:eastAsia="楷体_GB2312" w:cs="楷体_GB2312"/>
          <w:color w:val="auto"/>
          <w:sz w:val="32"/>
          <w:szCs w:val="32"/>
          <w:lang w:val="zh-CN" w:eastAsia="zh-CN"/>
        </w:rPr>
        <w:t>（二）项目效益情况</w:t>
      </w:r>
    </w:p>
    <w:p w14:paraId="2FDB07D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让全县脱贫人口、监测户等参加医疗保险得到资助及医疗负担重的困难群众进行了救助，群众满意度提升。</w:t>
      </w:r>
    </w:p>
    <w:p w14:paraId="5E55387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sz w:val="32"/>
          <w:szCs w:val="32"/>
          <w:lang w:val="zh-CN" w:eastAsia="zh-CN"/>
        </w:rPr>
      </w:pPr>
      <w:r>
        <w:rPr>
          <w:rFonts w:hint="eastAsia" w:ascii="黑体" w:hAnsi="黑体" w:eastAsia="黑体" w:cs="黑体"/>
          <w:color w:val="auto"/>
          <w:sz w:val="32"/>
          <w:szCs w:val="32"/>
          <w:lang w:val="zh-CN" w:eastAsia="zh-CN"/>
        </w:rPr>
        <w:t>五、评价结论及建议</w:t>
      </w:r>
    </w:p>
    <w:p w14:paraId="1DCC96A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color w:val="auto"/>
          <w:sz w:val="32"/>
          <w:szCs w:val="32"/>
          <w:lang w:val="zh-CN" w:eastAsia="zh-CN"/>
        </w:rPr>
      </w:pPr>
      <w:r>
        <w:rPr>
          <w:rFonts w:hint="eastAsia" w:ascii="楷体_GB2312" w:hAnsi="楷体_GB2312" w:eastAsia="楷体_GB2312" w:cs="楷体_GB2312"/>
          <w:color w:val="auto"/>
          <w:sz w:val="32"/>
          <w:szCs w:val="32"/>
          <w:lang w:val="zh-CN" w:eastAsia="zh-CN"/>
        </w:rPr>
        <w:t>（一）评价结论</w:t>
      </w:r>
    </w:p>
    <w:p w14:paraId="0B9AA2F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从项目的数量指标、质量指标、时效指标、成本指标、社会效益指标、满意度指标等方面对该项目进行了一次深入的自查，保障</w:t>
      </w:r>
      <w:r>
        <w:rPr>
          <w:rFonts w:hint="eastAsia" w:ascii="仿宋_GB2312" w:hAnsi="仿宋_GB2312" w:eastAsia="仿宋_GB2312" w:cs="仿宋_GB2312"/>
          <w:color w:val="auto"/>
          <w:sz w:val="32"/>
          <w:szCs w:val="32"/>
          <w:lang w:val="en-US" w:eastAsia="zh-CN"/>
        </w:rPr>
        <w:t>全县脱贫人口、监测户等参加医疗保险进行资助及医疗负担重的困难群众进行救助，</w:t>
      </w:r>
      <w:r>
        <w:rPr>
          <w:rFonts w:hint="eastAsia" w:ascii="仿宋_GB2312" w:hAnsi="仿宋_GB2312" w:eastAsia="仿宋_GB2312" w:cs="仿宋_GB2312"/>
          <w:color w:val="auto"/>
          <w:sz w:val="32"/>
          <w:szCs w:val="32"/>
          <w:lang w:val="zh-CN" w:eastAsia="zh-CN"/>
        </w:rPr>
        <w:t>具有很大的必要性。</w:t>
      </w:r>
    </w:p>
    <w:p w14:paraId="014B721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color w:val="auto"/>
          <w:sz w:val="32"/>
          <w:szCs w:val="32"/>
          <w:lang w:val="zh-CN" w:eastAsia="zh-CN"/>
        </w:rPr>
      </w:pPr>
      <w:r>
        <w:rPr>
          <w:rFonts w:hint="eastAsia" w:ascii="楷体_GB2312" w:hAnsi="楷体_GB2312" w:eastAsia="楷体_GB2312" w:cs="楷体_GB2312"/>
          <w:color w:val="auto"/>
          <w:sz w:val="32"/>
          <w:szCs w:val="32"/>
          <w:lang w:val="zh-CN" w:eastAsia="zh-CN"/>
        </w:rPr>
        <w:t>（二）存在的问题</w:t>
      </w:r>
    </w:p>
    <w:p w14:paraId="2A644D1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无</w:t>
      </w:r>
      <w:r>
        <w:rPr>
          <w:rFonts w:hint="eastAsia" w:ascii="仿宋_GB2312" w:hAnsi="仿宋_GB2312" w:eastAsia="仿宋_GB2312" w:cs="仿宋_GB2312"/>
          <w:color w:val="auto"/>
          <w:sz w:val="32"/>
          <w:szCs w:val="32"/>
          <w:lang w:val="zh-CN" w:eastAsia="zh-CN"/>
        </w:rPr>
        <w:tab/>
      </w:r>
    </w:p>
    <w:p w14:paraId="10DFAD1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color w:val="auto"/>
          <w:sz w:val="32"/>
          <w:szCs w:val="32"/>
          <w:lang w:val="zh-CN" w:eastAsia="zh-CN"/>
        </w:rPr>
      </w:pPr>
      <w:r>
        <w:rPr>
          <w:rFonts w:hint="eastAsia" w:ascii="楷体_GB2312" w:hAnsi="楷体_GB2312" w:eastAsia="楷体_GB2312" w:cs="楷体_GB2312"/>
          <w:color w:val="auto"/>
          <w:sz w:val="32"/>
          <w:szCs w:val="32"/>
          <w:lang w:val="zh-CN" w:eastAsia="zh-CN"/>
        </w:rPr>
        <w:t>（三）相关建议</w:t>
      </w:r>
    </w:p>
    <w:p w14:paraId="0AE52D7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无</w:t>
      </w:r>
    </w:p>
    <w:p w14:paraId="23235CEC">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right"/>
        <w:textAlignment w:val="auto"/>
        <w:rPr>
          <w:rFonts w:hint="eastAsia" w:ascii="仿宋_GB2312" w:hAnsi="仿宋_GB2312" w:cs="仿宋_GB2312"/>
          <w:sz w:val="32"/>
          <w:szCs w:val="32"/>
          <w:lang w:val="en-US" w:eastAsia="zh-CN"/>
        </w:rPr>
      </w:pPr>
    </w:p>
    <w:p w14:paraId="45B4D63B">
      <w:pPr>
        <w:pStyle w:val="6"/>
        <w:spacing w:afterLines="0"/>
        <w:rPr>
          <w:rFonts w:hint="eastAsia" w:hAnsi="仿宋_GB2312" w:cs="仿宋_GB2312"/>
          <w:sz w:val="32"/>
          <w:szCs w:val="32"/>
          <w:lang w:val="en-US" w:eastAsia="zh-CN"/>
        </w:rPr>
      </w:pPr>
    </w:p>
    <w:p w14:paraId="01BCF25C">
      <w:pPr>
        <w:spacing w:line="600" w:lineRule="exact"/>
        <w:rPr>
          <w:rFonts w:hint="eastAsia" w:eastAsia="方正黑体_GBK"/>
          <w:sz w:val="33"/>
          <w:szCs w:val="33"/>
          <w:lang w:val="en-US" w:eastAsia="zh-CN"/>
        </w:rPr>
      </w:pPr>
      <w:r>
        <w:rPr>
          <w:rFonts w:hint="eastAsia" w:ascii="方正黑体_GBK" w:hAnsi="方正黑体_GBK" w:eastAsia="方正黑体_GBK" w:cs="方正黑体_GBK"/>
          <w:sz w:val="33"/>
          <w:szCs w:val="33"/>
        </w:rPr>
        <w:t>附件</w:t>
      </w:r>
    </w:p>
    <w:p w14:paraId="2C41A952">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宋体" w:hAnsi="宋体" w:eastAsia="宋体"/>
          <w:sz w:val="30"/>
          <w:szCs w:val="30"/>
        </w:rPr>
      </w:pPr>
      <w:r>
        <w:rPr>
          <w:rFonts w:hint="eastAsia" w:ascii="方正小标宋简体" w:hAnsi="方正小标宋简体" w:eastAsia="方正小标宋简体" w:cs="方正小标宋简体"/>
          <w:b w:val="0"/>
          <w:bCs/>
          <w:spacing w:val="-11"/>
          <w:sz w:val="44"/>
          <w:szCs w:val="44"/>
          <w:lang w:val="en-US" w:eastAsia="zh-CN"/>
        </w:rPr>
        <w:t>峨边彝族自治县医疗保障局</w:t>
      </w:r>
    </w:p>
    <w:p w14:paraId="7BC41728">
      <w:pPr>
        <w:pStyle w:val="35"/>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hAnsi="宋体" w:eastAsia="方正小标宋简体"/>
          <w:sz w:val="44"/>
          <w:szCs w:val="44"/>
        </w:rPr>
      </w:pPr>
      <w:r>
        <w:rPr>
          <w:rFonts w:hint="eastAsia" w:ascii="方正小标宋简体" w:hAnsi="宋体" w:eastAsia="方正小标宋简体"/>
          <w:sz w:val="44"/>
          <w:szCs w:val="44"/>
        </w:rPr>
        <w:t>项目支出绩效自评报告</w:t>
      </w:r>
    </w:p>
    <w:p w14:paraId="5090493F">
      <w:pPr>
        <w:pStyle w:val="35"/>
        <w:spacing w:line="600" w:lineRule="exact"/>
        <w:jc w:val="center"/>
        <w:rPr>
          <w:rFonts w:hint="eastAsia" w:ascii="宋体" w:hAnsi="宋体" w:eastAsia="宋体"/>
          <w:color w:val="auto"/>
          <w:kern w:val="2"/>
          <w:sz w:val="32"/>
          <w:szCs w:val="32"/>
          <w:lang w:eastAsia="zh-CN"/>
        </w:rPr>
      </w:pPr>
      <w:r>
        <w:rPr>
          <w:rFonts w:hint="eastAsia" w:ascii="宋体" w:hAnsi="宋体"/>
          <w:color w:val="auto"/>
          <w:kern w:val="2"/>
          <w:sz w:val="32"/>
          <w:szCs w:val="32"/>
          <w:lang w:eastAsia="zh-CN"/>
        </w:rPr>
        <w:t>【</w:t>
      </w:r>
      <w:r>
        <w:rPr>
          <w:rFonts w:hint="eastAsia" w:ascii="宋体" w:hAnsi="宋体"/>
          <w:color w:val="auto"/>
          <w:kern w:val="2"/>
          <w:sz w:val="32"/>
          <w:szCs w:val="32"/>
        </w:rPr>
        <w:t>城乡医疗救助县级配套（按实）</w:t>
      </w:r>
      <w:r>
        <w:rPr>
          <w:rFonts w:hint="eastAsia" w:ascii="宋体" w:hAnsi="宋体"/>
          <w:color w:val="auto"/>
          <w:kern w:val="2"/>
          <w:sz w:val="32"/>
          <w:szCs w:val="32"/>
          <w:lang w:eastAsia="zh-CN"/>
        </w:rPr>
        <w:t>】</w:t>
      </w:r>
    </w:p>
    <w:p w14:paraId="4E104FC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color w:val="auto"/>
          <w:sz w:val="32"/>
          <w:szCs w:val="32"/>
          <w:lang w:val="zh-CN" w:eastAsia="zh-CN"/>
        </w:rPr>
      </w:pPr>
    </w:p>
    <w:p w14:paraId="0DFC980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color w:val="auto"/>
          <w:sz w:val="32"/>
          <w:szCs w:val="32"/>
          <w:lang w:val="zh-CN" w:eastAsia="zh-CN"/>
        </w:rPr>
      </w:pPr>
      <w:r>
        <w:rPr>
          <w:rFonts w:hint="eastAsia" w:ascii="黑体" w:hAnsi="黑体" w:eastAsia="黑体" w:cs="黑体"/>
          <w:color w:val="auto"/>
          <w:sz w:val="32"/>
          <w:szCs w:val="32"/>
          <w:lang w:val="zh-CN" w:eastAsia="zh-CN"/>
        </w:rPr>
        <w:t>一、项目概况</w:t>
      </w:r>
    </w:p>
    <w:p w14:paraId="3050324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楷体_GB2312" w:eastAsia="楷体_GB2312" w:cs="楷体_GB2312"/>
          <w:color w:val="auto"/>
          <w:sz w:val="32"/>
          <w:szCs w:val="32"/>
          <w:lang w:val="zh-CN" w:eastAsia="zh-CN"/>
        </w:rPr>
      </w:pPr>
      <w:r>
        <w:rPr>
          <w:rFonts w:hint="eastAsia" w:ascii="楷体_GB2312" w:hAnsi="楷体_GB2312" w:eastAsia="楷体_GB2312" w:cs="楷体_GB2312"/>
          <w:color w:val="auto"/>
          <w:sz w:val="32"/>
          <w:szCs w:val="32"/>
          <w:lang w:val="zh-CN" w:eastAsia="zh-CN"/>
        </w:rPr>
        <w:t>（一）项目基本情况</w:t>
      </w:r>
    </w:p>
    <w:p w14:paraId="1B71C46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zh-CN"/>
        </w:rPr>
        <w:t>为了加强社会救助，保障特困、孤儿、低保对象、低保边缘家庭成员、纳入监测范围的农村易返贫致贫人口、不符合特困人员救助供养、低保或低保边缘家庭条件，但因高额医疗费用支出导致家庭基本生活出现严重困难的大病患者的基本生活，促进社会公平，维护社会和谐稳定，最大限度减轻以上六类患者医疗支出负担，对救助人员给予医疗方面的资金补助。</w:t>
      </w:r>
      <w:r>
        <w:rPr>
          <w:rFonts w:hint="eastAsia" w:ascii="仿宋_GB2312" w:hAnsi="仿宋_GB2312" w:eastAsia="仿宋_GB2312" w:cs="仿宋_GB2312"/>
          <w:color w:val="auto"/>
          <w:sz w:val="32"/>
          <w:szCs w:val="32"/>
          <w:lang w:val="en-US" w:eastAsia="zh-CN"/>
        </w:rPr>
        <w:t>按照《关于印发乐山市健全重特大疾病医疗保险和救助制度实施细则的通知》（乐府办规〔2023〕3号），我县救助对象应当纳入医疗救助人员范围。2024年我局向县财政局申报救助对象医疗救助（按实）预算项目，县财政局批复298.18万元用于救助对象医疗救助，实际按实2024年支付298.18万元，</w:t>
      </w:r>
      <w:r>
        <w:rPr>
          <w:rFonts w:hint="eastAsia" w:ascii="仿宋_GB2312" w:hAnsi="仿宋_GB2312" w:eastAsia="仿宋_GB2312" w:cs="仿宋_GB2312"/>
          <w:color w:val="auto"/>
          <w:sz w:val="32"/>
          <w:szCs w:val="32"/>
          <w:lang w:val="zh-CN"/>
        </w:rPr>
        <w:t>符合资金管理办法等相关规定。</w:t>
      </w:r>
    </w:p>
    <w:p w14:paraId="19B6B19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楷体_GB2312" w:eastAsia="楷体_GB2312" w:cs="楷体_GB2312"/>
          <w:color w:val="auto"/>
          <w:sz w:val="32"/>
          <w:szCs w:val="32"/>
          <w:lang w:val="zh-CN" w:eastAsia="zh-CN"/>
        </w:rPr>
      </w:pPr>
      <w:r>
        <w:rPr>
          <w:rFonts w:hint="eastAsia" w:ascii="楷体_GB2312" w:hAnsi="楷体_GB2312" w:eastAsia="楷体_GB2312" w:cs="楷体_GB2312"/>
          <w:color w:val="auto"/>
          <w:sz w:val="32"/>
          <w:szCs w:val="32"/>
          <w:lang w:val="zh-CN" w:eastAsia="zh-CN"/>
        </w:rPr>
        <w:t>（二）项目绩效目标</w:t>
      </w:r>
    </w:p>
    <w:p w14:paraId="5BEF490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2024年1月1日至2024年12月31日，完成符合救助条件的救助对象医疗救助待遇的发放。截至2024年12月31日，我局支出298.18万元用于我县救助对象医疗救助，完成了2024年全部救助任务。</w:t>
      </w:r>
    </w:p>
    <w:p w14:paraId="158F441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楷体_GB2312" w:eastAsia="楷体_GB2312" w:cs="楷体_GB2312"/>
          <w:color w:val="auto"/>
          <w:sz w:val="32"/>
          <w:szCs w:val="32"/>
          <w:lang w:val="zh-CN" w:eastAsia="zh-CN"/>
        </w:rPr>
      </w:pPr>
      <w:r>
        <w:rPr>
          <w:rFonts w:hint="eastAsia" w:ascii="楷体_GB2312" w:hAnsi="楷体_GB2312" w:eastAsia="楷体_GB2312" w:cs="楷体_GB2312"/>
          <w:color w:val="auto"/>
          <w:sz w:val="32"/>
          <w:szCs w:val="32"/>
          <w:lang w:val="zh-CN" w:eastAsia="zh-CN"/>
        </w:rPr>
        <w:t>（三）项目自评步骤及方法</w:t>
      </w:r>
    </w:p>
    <w:p w14:paraId="34CF6D1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自评工作开展前我单位制定了自评方案，由办公室牵头、由分管领导和财务人员组成自评小组，对前期项目立项依据进行审查对项目开展过程合法合理性进行自查，确保自评工作取得实效。</w:t>
      </w:r>
    </w:p>
    <w:p w14:paraId="7370C2E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color w:val="auto"/>
          <w:sz w:val="32"/>
          <w:szCs w:val="32"/>
          <w:lang w:val="zh-CN" w:eastAsia="zh-CN"/>
        </w:rPr>
      </w:pPr>
      <w:r>
        <w:rPr>
          <w:rFonts w:hint="eastAsia" w:ascii="黑体" w:hAnsi="黑体" w:eastAsia="黑体" w:cs="黑体"/>
          <w:color w:val="auto"/>
          <w:sz w:val="32"/>
          <w:szCs w:val="32"/>
          <w:lang w:val="zh-CN" w:eastAsia="zh-CN"/>
        </w:rPr>
        <w:t>二、项目资金申报及使用情况</w:t>
      </w:r>
    </w:p>
    <w:p w14:paraId="48EFBE3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楷体_GB2312" w:eastAsia="楷体_GB2312" w:cs="楷体_GB2312"/>
          <w:color w:val="auto"/>
          <w:sz w:val="32"/>
          <w:szCs w:val="32"/>
          <w:lang w:val="zh-CN" w:eastAsia="zh-CN"/>
        </w:rPr>
      </w:pPr>
      <w:r>
        <w:rPr>
          <w:rFonts w:hint="eastAsia" w:ascii="楷体_GB2312" w:hAnsi="楷体_GB2312" w:eastAsia="楷体_GB2312" w:cs="楷体_GB2312"/>
          <w:color w:val="auto"/>
          <w:sz w:val="32"/>
          <w:szCs w:val="32"/>
          <w:lang w:val="zh-CN" w:eastAsia="zh-CN"/>
        </w:rPr>
        <w:t>（一）项目资金申报及批复情况</w:t>
      </w:r>
    </w:p>
    <w:p w14:paraId="7A19BD8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根据项目开展进度以及所需资金按照年初预算指标向县财政局提出项目用款计划表，经财政审核后通过一卡通拨付到救助对象银行账户。</w:t>
      </w:r>
    </w:p>
    <w:p w14:paraId="02E6632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楷体_GB2312" w:eastAsia="楷体_GB2312" w:cs="楷体_GB2312"/>
          <w:color w:val="auto"/>
          <w:sz w:val="32"/>
          <w:szCs w:val="32"/>
          <w:lang w:val="zh-CN" w:eastAsia="zh-CN"/>
        </w:rPr>
      </w:pPr>
      <w:r>
        <w:rPr>
          <w:rFonts w:hint="eastAsia" w:ascii="楷体_GB2312" w:hAnsi="楷体_GB2312" w:eastAsia="楷体_GB2312" w:cs="楷体_GB2312"/>
          <w:color w:val="auto"/>
          <w:sz w:val="32"/>
          <w:szCs w:val="32"/>
          <w:lang w:val="zh-CN" w:eastAsia="zh-CN"/>
        </w:rPr>
        <w:t>（二）资金计划、到位及使用情况（可用表格形式反映）</w:t>
      </w:r>
    </w:p>
    <w:p w14:paraId="267F1D5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1.资金计划。项目资金来源主要通过本单位年初预算，由县级财政统一安排资金，预算资金为</w:t>
      </w:r>
      <w:r>
        <w:rPr>
          <w:rFonts w:hint="eastAsia" w:ascii="仿宋_GB2312" w:hAnsi="仿宋_GB2312" w:eastAsia="仿宋_GB2312" w:cs="仿宋_GB2312"/>
          <w:color w:val="auto"/>
          <w:sz w:val="32"/>
          <w:szCs w:val="32"/>
          <w:lang w:val="en-US" w:eastAsia="zh-CN"/>
        </w:rPr>
        <w:t>298.18</w:t>
      </w:r>
      <w:r>
        <w:rPr>
          <w:rFonts w:hint="eastAsia" w:ascii="仿宋_GB2312" w:hAnsi="仿宋_GB2312" w:eastAsia="仿宋_GB2312" w:cs="仿宋_GB2312"/>
          <w:color w:val="auto"/>
          <w:sz w:val="32"/>
          <w:szCs w:val="32"/>
          <w:lang w:val="zh-CN"/>
        </w:rPr>
        <w:t>万元。</w:t>
      </w:r>
    </w:p>
    <w:p w14:paraId="48408C3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2.资金到位。根据项目实施进度，通过申请由县财政拨付项目资金，</w:t>
      </w:r>
      <w:r>
        <w:rPr>
          <w:rFonts w:hint="eastAsia" w:ascii="仿宋_GB2312" w:hAnsi="仿宋_GB2312" w:eastAsia="仿宋_GB2312" w:cs="仿宋_GB2312"/>
          <w:color w:val="auto"/>
          <w:sz w:val="32"/>
          <w:szCs w:val="32"/>
          <w:lang w:val="en-US" w:eastAsia="zh-CN"/>
        </w:rPr>
        <w:t>拨付金额为298.18万元</w:t>
      </w:r>
      <w:r>
        <w:rPr>
          <w:rFonts w:hint="eastAsia" w:ascii="仿宋_GB2312" w:hAnsi="仿宋_GB2312" w:eastAsia="仿宋_GB2312" w:cs="仿宋_GB2312"/>
          <w:color w:val="auto"/>
          <w:sz w:val="32"/>
          <w:szCs w:val="32"/>
          <w:lang w:val="zh-CN"/>
        </w:rPr>
        <w:t>。</w:t>
      </w:r>
    </w:p>
    <w:p w14:paraId="3879619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3.资金使用。该项目资金通过分批次提出用款计划已进行了支付，在支付资金时严格按照</w:t>
      </w:r>
      <w:r>
        <w:rPr>
          <w:rFonts w:hint="eastAsia" w:ascii="仿宋_GB2312" w:hAnsi="仿宋_GB2312" w:eastAsia="仿宋_GB2312" w:cs="仿宋_GB2312"/>
          <w:color w:val="auto"/>
          <w:sz w:val="32"/>
          <w:szCs w:val="32"/>
          <w:lang w:val="zh-CN" w:eastAsia="zh-CN"/>
        </w:rPr>
        <w:t>审核救助</w:t>
      </w:r>
      <w:r>
        <w:rPr>
          <w:rFonts w:hint="eastAsia" w:ascii="仿宋_GB2312" w:hAnsi="仿宋_GB2312" w:eastAsia="仿宋_GB2312" w:cs="仿宋_GB2312"/>
          <w:color w:val="auto"/>
          <w:sz w:val="32"/>
          <w:szCs w:val="32"/>
          <w:lang w:val="zh-CN"/>
        </w:rPr>
        <w:t>的金额</w:t>
      </w:r>
      <w:r>
        <w:rPr>
          <w:rFonts w:hint="eastAsia" w:ascii="仿宋_GB2312" w:hAnsi="仿宋_GB2312" w:eastAsia="仿宋_GB2312" w:cs="仿宋_GB2312"/>
          <w:color w:val="auto"/>
          <w:sz w:val="32"/>
          <w:szCs w:val="32"/>
          <w:lang w:val="zh-CN" w:eastAsia="zh-CN"/>
        </w:rPr>
        <w:t>进行支付</w:t>
      </w:r>
      <w:r>
        <w:rPr>
          <w:rFonts w:hint="eastAsia" w:ascii="仿宋_GB2312" w:hAnsi="仿宋_GB2312" w:eastAsia="仿宋_GB2312" w:cs="仿宋_GB2312"/>
          <w:color w:val="auto"/>
          <w:sz w:val="32"/>
          <w:szCs w:val="32"/>
          <w:lang w:val="zh-CN"/>
        </w:rPr>
        <w:t>，项目资金达到专款专用合理支付</w:t>
      </w: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2024年度使用298.18万元</w:t>
      </w:r>
      <w:r>
        <w:rPr>
          <w:rFonts w:hint="eastAsia" w:ascii="仿宋_GB2312" w:hAnsi="仿宋_GB2312" w:eastAsia="仿宋_GB2312" w:cs="仿宋_GB2312"/>
          <w:color w:val="auto"/>
          <w:sz w:val="32"/>
          <w:szCs w:val="32"/>
          <w:lang w:val="zh-CN"/>
        </w:rPr>
        <w:t>。</w:t>
      </w:r>
    </w:p>
    <w:p w14:paraId="12FD484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楷体_GB2312" w:eastAsia="楷体_GB2312" w:cs="楷体_GB2312"/>
          <w:color w:val="auto"/>
          <w:sz w:val="32"/>
          <w:szCs w:val="32"/>
          <w:lang w:val="zh-CN" w:eastAsia="zh-CN"/>
        </w:rPr>
      </w:pPr>
      <w:r>
        <w:rPr>
          <w:rFonts w:hint="eastAsia" w:ascii="楷体_GB2312" w:hAnsi="楷体_GB2312" w:eastAsia="楷体_GB2312" w:cs="楷体_GB2312"/>
          <w:color w:val="auto"/>
          <w:sz w:val="32"/>
          <w:szCs w:val="32"/>
          <w:lang w:val="zh-CN" w:eastAsia="zh-CN"/>
        </w:rPr>
        <w:t>（三）项目财务管理情况</w:t>
      </w:r>
    </w:p>
    <w:p w14:paraId="24888FF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我局建立了资金预算、收支业务等系列财务管理制度，设置了财务管理机构财务室，严格资金先预算后使用、专款专用的原则，在收支业务发生后及时进行会计核算并进行账务处理，做到账实相符。</w:t>
      </w:r>
    </w:p>
    <w:p w14:paraId="021D3BB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color w:val="auto"/>
          <w:sz w:val="32"/>
          <w:szCs w:val="32"/>
          <w:lang w:val="zh-CN" w:eastAsia="zh-CN"/>
        </w:rPr>
      </w:pPr>
      <w:r>
        <w:rPr>
          <w:rFonts w:hint="eastAsia" w:ascii="黑体" w:hAnsi="黑体" w:eastAsia="黑体" w:cs="黑体"/>
          <w:color w:val="auto"/>
          <w:sz w:val="32"/>
          <w:szCs w:val="32"/>
          <w:lang w:val="zh-CN" w:eastAsia="zh-CN"/>
        </w:rPr>
        <w:t>三、项目实施及管理情况</w:t>
      </w:r>
    </w:p>
    <w:p w14:paraId="25035C0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楷体_GB2312" w:hAnsi="楷体_GB2312" w:eastAsia="楷体_GB2312" w:cs="楷体_GB2312"/>
          <w:color w:val="auto"/>
          <w:sz w:val="32"/>
          <w:szCs w:val="32"/>
          <w:lang w:val="zh-CN" w:eastAsia="zh-CN"/>
        </w:rPr>
        <w:t>（一）项目组织架构及实施流程。</w:t>
      </w:r>
      <w:r>
        <w:rPr>
          <w:rFonts w:hint="eastAsia" w:ascii="仿宋_GB2312" w:hAnsi="仿宋_GB2312" w:eastAsia="仿宋_GB2312" w:cs="仿宋_GB2312"/>
          <w:color w:val="auto"/>
          <w:sz w:val="32"/>
          <w:szCs w:val="32"/>
          <w:lang w:val="en-US" w:eastAsia="zh-CN"/>
        </w:rPr>
        <w:t>按照《关于印发乐山市健全重特大疾病医疗保险和救助制度实施细则的通知》（乐府办规〔2023〕3号）要求，符合救助条件的救助对象需填写救助个人审批表，并经村（社）→乡（镇）审核签字盖章后交到县医疗保障局综合业务股审核，并推送县财政局，由县财政通过一卡通发放。</w:t>
      </w:r>
    </w:p>
    <w:p w14:paraId="03F5F98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楷体_GB2312" w:hAnsi="楷体_GB2312" w:eastAsia="楷体_GB2312" w:cs="楷体_GB2312"/>
          <w:color w:val="auto"/>
          <w:sz w:val="32"/>
          <w:szCs w:val="32"/>
          <w:lang w:val="zh-CN" w:eastAsia="zh-CN"/>
        </w:rPr>
        <w:t>（二）项目管理情况。</w:t>
      </w:r>
      <w:r>
        <w:rPr>
          <w:rFonts w:hint="eastAsia" w:ascii="仿宋_GB2312" w:hAnsi="仿宋_GB2312" w:eastAsia="仿宋_GB2312" w:cs="仿宋_GB2312"/>
          <w:color w:val="auto"/>
          <w:sz w:val="32"/>
          <w:szCs w:val="32"/>
          <w:lang w:val="zh-CN"/>
        </w:rPr>
        <w:t>结合</w:t>
      </w:r>
      <w:r>
        <w:rPr>
          <w:rFonts w:hint="eastAsia" w:ascii="仿宋_GB2312" w:hAnsi="仿宋_GB2312" w:eastAsia="仿宋_GB2312" w:cs="仿宋_GB2312"/>
          <w:color w:val="auto"/>
          <w:sz w:val="32"/>
          <w:szCs w:val="32"/>
          <w:lang w:val="en-US" w:eastAsia="zh-CN"/>
        </w:rPr>
        <w:t>该</w:t>
      </w:r>
      <w:r>
        <w:rPr>
          <w:rFonts w:hint="eastAsia" w:ascii="仿宋_GB2312" w:hAnsi="仿宋_GB2312" w:eastAsia="仿宋_GB2312" w:cs="仿宋_GB2312"/>
          <w:color w:val="auto"/>
          <w:sz w:val="32"/>
          <w:szCs w:val="32"/>
          <w:lang w:val="zh-CN"/>
        </w:rPr>
        <w:t>项目特点，</w:t>
      </w:r>
      <w:r>
        <w:rPr>
          <w:rFonts w:hint="eastAsia" w:ascii="仿宋_GB2312" w:hAnsi="仿宋_GB2312" w:eastAsia="仿宋_GB2312" w:cs="仿宋_GB2312"/>
          <w:color w:val="auto"/>
          <w:sz w:val="32"/>
          <w:szCs w:val="32"/>
          <w:lang w:val="en-US" w:eastAsia="zh-CN"/>
        </w:rPr>
        <w:t>我单位均按照据实据效的方式开展，严格执行预算法、财政资金支付有关规定。</w:t>
      </w:r>
    </w:p>
    <w:p w14:paraId="1CEF883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zh-CN" w:eastAsia="zh-CN"/>
        </w:rPr>
        <w:t>（三）项目监管情况。</w:t>
      </w:r>
      <w:r>
        <w:rPr>
          <w:rFonts w:hint="eastAsia" w:ascii="仿宋_GB2312" w:hAnsi="仿宋_GB2312" w:eastAsia="仿宋_GB2312" w:cs="仿宋_GB2312"/>
          <w:color w:val="auto"/>
          <w:sz w:val="32"/>
          <w:szCs w:val="32"/>
          <w:lang w:val="en-US" w:eastAsia="zh-CN"/>
        </w:rPr>
        <w:t>我单位严格</w:t>
      </w:r>
      <w:r>
        <w:rPr>
          <w:rFonts w:hint="eastAsia" w:ascii="仿宋_GB2312" w:hAnsi="仿宋_GB2312" w:eastAsia="仿宋_GB2312" w:cs="仿宋_GB2312"/>
          <w:color w:val="auto"/>
          <w:sz w:val="32"/>
          <w:szCs w:val="32"/>
          <w:lang w:val="zh-CN"/>
        </w:rPr>
        <w:t>项目管理</w:t>
      </w: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建立健全内部控制制度，采取预算编制与审核分离；预算审批与执行分离；预算执行与分析分离；决算编制与审核分离；实行收款与会计核算分离；支出申请与审批分离；支出审批与付款分离；业务经办与会计核算分离。</w:t>
      </w:r>
    </w:p>
    <w:p w14:paraId="367D766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color w:val="auto"/>
          <w:sz w:val="32"/>
          <w:szCs w:val="32"/>
          <w:lang w:val="zh-CN" w:eastAsia="zh-CN"/>
        </w:rPr>
      </w:pPr>
      <w:r>
        <w:rPr>
          <w:rFonts w:hint="eastAsia" w:ascii="黑体" w:hAnsi="黑体" w:eastAsia="黑体" w:cs="黑体"/>
          <w:color w:val="auto"/>
          <w:sz w:val="32"/>
          <w:szCs w:val="32"/>
          <w:lang w:val="zh-CN" w:eastAsia="zh-CN"/>
        </w:rPr>
        <w:t>四、项目绩效情况</w:t>
      </w:r>
      <w:r>
        <w:rPr>
          <w:rFonts w:hint="eastAsia" w:ascii="黑体" w:hAnsi="黑体" w:eastAsia="黑体" w:cs="黑体"/>
          <w:color w:val="auto"/>
          <w:sz w:val="32"/>
          <w:szCs w:val="32"/>
          <w:lang w:val="zh-CN" w:eastAsia="zh-CN"/>
        </w:rPr>
        <w:tab/>
      </w:r>
    </w:p>
    <w:p w14:paraId="1AE5635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（一）项目完成情况</w:t>
      </w:r>
    </w:p>
    <w:p w14:paraId="66CC5CC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基本解决我县</w:t>
      </w:r>
      <w:r>
        <w:rPr>
          <w:rFonts w:hint="eastAsia" w:ascii="仿宋_GB2312" w:hAnsi="仿宋_GB2312" w:eastAsia="仿宋_GB2312" w:cs="仿宋_GB2312"/>
          <w:color w:val="auto"/>
          <w:sz w:val="32"/>
          <w:szCs w:val="32"/>
          <w:lang w:val="en-US" w:eastAsia="zh-CN"/>
        </w:rPr>
        <w:t>符合救助条件的救助对象</w:t>
      </w:r>
      <w:r>
        <w:rPr>
          <w:rFonts w:hint="eastAsia" w:ascii="仿宋_GB2312" w:hAnsi="仿宋_GB2312" w:eastAsia="仿宋_GB2312" w:cs="仿宋_GB2312"/>
          <w:color w:val="auto"/>
          <w:sz w:val="32"/>
          <w:szCs w:val="32"/>
          <w:lang w:val="zh-CN"/>
        </w:rPr>
        <w:t>医疗保障，满足救助人员基本需求，坚持托底供养，为我县</w:t>
      </w:r>
      <w:r>
        <w:rPr>
          <w:rFonts w:hint="eastAsia" w:ascii="仿宋_GB2312" w:hAnsi="仿宋_GB2312" w:eastAsia="仿宋_GB2312" w:cs="仿宋_GB2312"/>
          <w:color w:val="auto"/>
          <w:sz w:val="32"/>
          <w:szCs w:val="32"/>
          <w:lang w:val="en-US" w:eastAsia="zh-CN"/>
        </w:rPr>
        <w:t>符合救助条件的救助对象</w:t>
      </w:r>
      <w:r>
        <w:rPr>
          <w:rFonts w:hint="eastAsia" w:ascii="仿宋_GB2312" w:hAnsi="仿宋_GB2312" w:eastAsia="仿宋_GB2312" w:cs="仿宋_GB2312"/>
          <w:color w:val="auto"/>
          <w:sz w:val="32"/>
          <w:szCs w:val="32"/>
          <w:lang w:val="zh-CN"/>
        </w:rPr>
        <w:t>提供基本医疗保障，做到应救尽救。医疗救助费用及时拨付，拨付准确率达</w:t>
      </w:r>
      <w:r>
        <w:rPr>
          <w:rFonts w:hint="eastAsia" w:ascii="仿宋_GB2312" w:hAnsi="仿宋_GB2312" w:eastAsia="仿宋_GB2312" w:cs="仿宋_GB2312"/>
          <w:color w:val="auto"/>
          <w:sz w:val="32"/>
          <w:szCs w:val="32"/>
          <w:lang w:val="en-US" w:eastAsia="zh-CN"/>
        </w:rPr>
        <w:t>100%；2024年12月31日前完成所有救助资金发放，发放及时率达100%。</w:t>
      </w:r>
    </w:p>
    <w:p w14:paraId="0EC504F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楷体_GB2312" w:eastAsia="楷体_GB2312" w:cs="楷体_GB2312"/>
          <w:color w:val="auto"/>
          <w:sz w:val="32"/>
          <w:szCs w:val="32"/>
          <w:lang w:val="zh-CN" w:eastAsia="zh-CN"/>
        </w:rPr>
      </w:pPr>
      <w:r>
        <w:rPr>
          <w:rFonts w:hint="eastAsia" w:ascii="楷体_GB2312" w:hAnsi="楷体_GB2312" w:eastAsia="楷体_GB2312" w:cs="楷体_GB2312"/>
          <w:color w:val="auto"/>
          <w:sz w:val="32"/>
          <w:szCs w:val="32"/>
          <w:lang w:val="zh-CN" w:eastAsia="zh-CN"/>
        </w:rPr>
        <w:t>（二）项目效益情况</w:t>
      </w:r>
    </w:p>
    <w:p w14:paraId="07E1399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1.强化了政府托底职责，为符合救助条件的救助对象提供基本保障，解决了社会中困难人群的基本需求，完善了社会救助体系、编密织牢了明确身份标识的救助对象的基本民生安全网。</w:t>
      </w:r>
    </w:p>
    <w:p w14:paraId="04786E1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2.提高了符合救助条件的救助对象的生活水平，让他们享受到了发展成果。保证他们病有所医，确保了救治人员的身心健康。</w:t>
      </w:r>
    </w:p>
    <w:p w14:paraId="6655A02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color w:val="auto"/>
          <w:sz w:val="32"/>
          <w:szCs w:val="32"/>
          <w:lang w:val="zh-CN" w:eastAsia="zh-CN"/>
        </w:rPr>
      </w:pPr>
      <w:r>
        <w:rPr>
          <w:rFonts w:hint="eastAsia" w:ascii="黑体" w:hAnsi="黑体" w:eastAsia="黑体" w:cs="黑体"/>
          <w:color w:val="auto"/>
          <w:sz w:val="32"/>
          <w:szCs w:val="32"/>
          <w:lang w:val="zh-CN" w:eastAsia="zh-CN"/>
        </w:rPr>
        <w:t>五、评价结论及建议</w:t>
      </w:r>
    </w:p>
    <w:p w14:paraId="3D82B34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楷体_GB2312" w:eastAsia="楷体_GB2312" w:cs="楷体_GB2312"/>
          <w:color w:val="auto"/>
          <w:sz w:val="32"/>
          <w:szCs w:val="32"/>
          <w:lang w:val="zh-CN" w:eastAsia="zh-CN"/>
        </w:rPr>
      </w:pPr>
      <w:r>
        <w:rPr>
          <w:rFonts w:hint="eastAsia" w:ascii="楷体_GB2312" w:hAnsi="楷体_GB2312" w:eastAsia="楷体_GB2312" w:cs="楷体_GB2312"/>
          <w:color w:val="auto"/>
          <w:sz w:val="32"/>
          <w:szCs w:val="32"/>
          <w:lang w:val="zh-CN" w:eastAsia="zh-CN"/>
        </w:rPr>
        <w:t>（一）评价结论</w:t>
      </w:r>
    </w:p>
    <w:p w14:paraId="6295E5E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从项目的数量指标、质量指标、时效指标、成本指标、社会效益指标、满意度指标等方面对该项目进行了一次深入的自查，对解决</w:t>
      </w:r>
      <w:r>
        <w:rPr>
          <w:rFonts w:hint="eastAsia" w:ascii="仿宋_GB2312" w:hAnsi="仿宋_GB2312" w:eastAsia="仿宋_GB2312" w:cs="仿宋_GB2312"/>
          <w:color w:val="auto"/>
          <w:sz w:val="32"/>
          <w:szCs w:val="32"/>
          <w:lang w:val="en-US" w:eastAsia="zh-CN"/>
        </w:rPr>
        <w:t>符合救助条件的救助对象</w:t>
      </w:r>
      <w:r>
        <w:rPr>
          <w:rFonts w:hint="eastAsia" w:ascii="仿宋_GB2312" w:hAnsi="仿宋_GB2312" w:eastAsia="仿宋_GB2312" w:cs="仿宋_GB2312"/>
          <w:color w:val="auto"/>
          <w:sz w:val="32"/>
          <w:szCs w:val="32"/>
          <w:lang w:val="zh-CN"/>
        </w:rPr>
        <w:t>医疗保障政策后个人负担部分医疗救助费用，具有很大的必要性。</w:t>
      </w:r>
    </w:p>
    <w:p w14:paraId="224B281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楷体_GB2312" w:eastAsia="楷体_GB2312" w:cs="楷体_GB2312"/>
          <w:color w:val="auto"/>
          <w:sz w:val="32"/>
          <w:szCs w:val="32"/>
          <w:lang w:val="zh-CN" w:eastAsia="zh-CN"/>
        </w:rPr>
      </w:pPr>
      <w:r>
        <w:rPr>
          <w:rFonts w:hint="eastAsia" w:ascii="楷体_GB2312" w:hAnsi="楷体_GB2312" w:eastAsia="楷体_GB2312" w:cs="楷体_GB2312"/>
          <w:color w:val="auto"/>
          <w:sz w:val="32"/>
          <w:szCs w:val="32"/>
          <w:lang w:val="zh-CN" w:eastAsia="zh-CN"/>
        </w:rPr>
        <w:t>（二）存在的问题</w:t>
      </w:r>
    </w:p>
    <w:p w14:paraId="3EA9E43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无</w:t>
      </w:r>
      <w:r>
        <w:rPr>
          <w:rFonts w:hint="eastAsia" w:ascii="仿宋_GB2312" w:hAnsi="仿宋_GB2312" w:eastAsia="仿宋_GB2312" w:cs="仿宋_GB2312"/>
          <w:color w:val="auto"/>
          <w:sz w:val="32"/>
          <w:szCs w:val="32"/>
          <w:lang w:val="zh-CN"/>
        </w:rPr>
        <w:tab/>
      </w:r>
    </w:p>
    <w:p w14:paraId="0062775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楷体_GB2312" w:eastAsia="楷体_GB2312" w:cs="楷体_GB2312"/>
          <w:color w:val="auto"/>
          <w:sz w:val="32"/>
          <w:szCs w:val="32"/>
          <w:lang w:val="zh-CN" w:eastAsia="zh-CN"/>
        </w:rPr>
      </w:pPr>
      <w:r>
        <w:rPr>
          <w:rFonts w:hint="eastAsia" w:ascii="楷体_GB2312" w:hAnsi="楷体_GB2312" w:eastAsia="楷体_GB2312" w:cs="楷体_GB2312"/>
          <w:color w:val="auto"/>
          <w:sz w:val="32"/>
          <w:szCs w:val="32"/>
          <w:lang w:val="zh-CN" w:eastAsia="zh-CN"/>
        </w:rPr>
        <w:t>（三）相关建议</w:t>
      </w:r>
    </w:p>
    <w:p w14:paraId="3B3217B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提高经办人员业务水平，强化责任，加强对救助人员的资格审核，及时申报审核情况。对符合救助条件的尘肺病患者要应救尽救，并及时将救助资金拨付到位。</w:t>
      </w:r>
    </w:p>
    <w:p w14:paraId="70418CEA">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rPr>
          <w:rFonts w:hint="default"/>
          <w:lang w:val="en-US" w:eastAsia="zh-CN"/>
        </w:rPr>
      </w:pPr>
    </w:p>
    <w:p w14:paraId="2251C03E">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29"/>
          <w:rFonts w:hint="eastAsia" w:ascii="Times New Roman" w:hAnsi="Times New Roman" w:eastAsia="黑体"/>
          <w:b w:val="0"/>
          <w:color w:val="auto"/>
          <w:highlight w:val="none"/>
        </w:rPr>
        <w:t>五部分 附表</w:t>
      </w:r>
      <w:bookmarkEnd w:id="53"/>
      <w:bookmarkEnd w:id="55"/>
      <w:bookmarkStart w:id="56" w:name="_Toc15396619"/>
    </w:p>
    <w:p w14:paraId="11A6AD0C">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2F9BC0C0">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6"/>
    </w:p>
    <w:p w14:paraId="33560E82">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0"/>
      <w:r>
        <w:rPr>
          <w:rFonts w:hint="eastAsia" w:ascii="Times New Roman" w:hAnsi="Times New Roman" w:eastAsia="仿宋_GB2312" w:cs="仿宋_GB2312"/>
          <w:color w:val="auto"/>
          <w:sz w:val="32"/>
          <w:szCs w:val="32"/>
          <w:highlight w:val="none"/>
        </w:rPr>
        <w:t>二、收入决算表</w:t>
      </w:r>
      <w:bookmarkEnd w:id="57"/>
    </w:p>
    <w:p w14:paraId="6755914A">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1"/>
      <w:r>
        <w:rPr>
          <w:rFonts w:hint="eastAsia" w:ascii="Times New Roman" w:hAnsi="Times New Roman" w:eastAsia="仿宋_GB2312" w:cs="仿宋_GB2312"/>
          <w:color w:val="auto"/>
          <w:sz w:val="32"/>
          <w:szCs w:val="32"/>
          <w:highlight w:val="none"/>
        </w:rPr>
        <w:t>三、支出决算表</w:t>
      </w:r>
      <w:bookmarkEnd w:id="58"/>
    </w:p>
    <w:p w14:paraId="0DEFFE0A">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2"/>
      <w:r>
        <w:rPr>
          <w:rFonts w:hint="eastAsia" w:ascii="Times New Roman" w:hAnsi="Times New Roman" w:eastAsia="仿宋_GB2312" w:cs="仿宋_GB2312"/>
          <w:color w:val="auto"/>
          <w:sz w:val="32"/>
          <w:szCs w:val="32"/>
          <w:highlight w:val="none"/>
        </w:rPr>
        <w:t>四、财政拨款收入支出决算总表</w:t>
      </w:r>
      <w:bookmarkEnd w:id="59"/>
    </w:p>
    <w:p w14:paraId="7B91870E">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3"/>
      <w:r>
        <w:rPr>
          <w:rFonts w:hint="eastAsia" w:ascii="Times New Roman" w:hAnsi="Times New Roman" w:eastAsia="仿宋_GB2312" w:cs="仿宋_GB2312"/>
          <w:color w:val="auto"/>
          <w:sz w:val="32"/>
          <w:szCs w:val="32"/>
          <w:highlight w:val="none"/>
        </w:rPr>
        <w:t>五、财政拨款支出决算明细表</w:t>
      </w:r>
      <w:bookmarkEnd w:id="60"/>
      <w:bookmarkStart w:id="61" w:name="_Toc15396624"/>
    </w:p>
    <w:p w14:paraId="5154D8C7">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61"/>
    </w:p>
    <w:p w14:paraId="1EC48E35">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2" w:name="_Toc15396625"/>
      <w:r>
        <w:rPr>
          <w:rFonts w:hint="eastAsia" w:ascii="Times New Roman" w:hAnsi="Times New Roman" w:eastAsia="仿宋_GB2312" w:cs="仿宋_GB2312"/>
          <w:color w:val="auto"/>
          <w:sz w:val="32"/>
          <w:szCs w:val="32"/>
          <w:highlight w:val="none"/>
        </w:rPr>
        <w:t>七、一般公共预算财政拨款支出决算明细表</w:t>
      </w:r>
      <w:bookmarkEnd w:id="62"/>
    </w:p>
    <w:p w14:paraId="6AFE6009">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3" w:name="_Toc15396626"/>
      <w:r>
        <w:rPr>
          <w:rFonts w:hint="eastAsia" w:ascii="Times New Roman" w:hAnsi="Times New Roman" w:eastAsia="仿宋_GB2312" w:cs="仿宋_GB2312"/>
          <w:color w:val="auto"/>
          <w:sz w:val="32"/>
          <w:szCs w:val="32"/>
          <w:highlight w:val="none"/>
        </w:rPr>
        <w:t>八、一般公共预算财政拨款基本支出决算表</w:t>
      </w:r>
      <w:bookmarkEnd w:id="63"/>
    </w:p>
    <w:p w14:paraId="69D4B636">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4" w:name="_Toc15396627"/>
      <w:r>
        <w:rPr>
          <w:rFonts w:hint="eastAsia" w:ascii="Times New Roman" w:hAnsi="Times New Roman" w:eastAsia="仿宋_GB2312" w:cs="仿宋_GB2312"/>
          <w:color w:val="auto"/>
          <w:sz w:val="32"/>
          <w:szCs w:val="32"/>
          <w:highlight w:val="none"/>
        </w:rPr>
        <w:t>九、一般公共预算财政拨款项目支出决算表</w:t>
      </w:r>
      <w:bookmarkEnd w:id="64"/>
    </w:p>
    <w:p w14:paraId="1E153384">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5" w:name="_Toc15396628"/>
      <w:r>
        <w:rPr>
          <w:rFonts w:hint="eastAsia" w:ascii="Times New Roman" w:hAnsi="Times New Roman" w:eastAsia="仿宋_GB2312" w:cs="仿宋_GB2312"/>
          <w:color w:val="auto"/>
          <w:sz w:val="32"/>
          <w:szCs w:val="32"/>
          <w:highlight w:val="none"/>
        </w:rPr>
        <w:t>十、</w:t>
      </w:r>
      <w:bookmarkEnd w:id="65"/>
      <w:r>
        <w:rPr>
          <w:rFonts w:hint="eastAsia" w:ascii="Times New Roman" w:hAnsi="Times New Roman" w:eastAsia="仿宋_GB2312" w:cs="仿宋_GB2312"/>
          <w:color w:val="auto"/>
          <w:sz w:val="32"/>
          <w:szCs w:val="32"/>
          <w:highlight w:val="none"/>
        </w:rPr>
        <w:t>政府性基金预算财政拨款收入支出决算表</w:t>
      </w:r>
    </w:p>
    <w:p w14:paraId="28E7CD6B">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6" w:name="_Toc15396629"/>
      <w:r>
        <w:rPr>
          <w:rFonts w:hint="eastAsia" w:ascii="Times New Roman" w:hAnsi="Times New Roman" w:eastAsia="仿宋_GB2312" w:cs="仿宋_GB2312"/>
          <w:color w:val="auto"/>
          <w:sz w:val="32"/>
          <w:szCs w:val="32"/>
          <w:highlight w:val="none"/>
        </w:rPr>
        <w:t>十一、</w:t>
      </w:r>
      <w:bookmarkEnd w:id="66"/>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4CE6E54E">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7" w:name="_Toc15396630"/>
      <w:r>
        <w:rPr>
          <w:rFonts w:hint="eastAsia" w:ascii="Times New Roman" w:hAnsi="Times New Roman" w:eastAsia="仿宋_GB2312" w:cs="仿宋_GB2312"/>
          <w:color w:val="auto"/>
          <w:sz w:val="32"/>
          <w:szCs w:val="32"/>
          <w:highlight w:val="none"/>
        </w:rPr>
        <w:t>十二、</w:t>
      </w:r>
      <w:bookmarkEnd w:id="67"/>
      <w:r>
        <w:rPr>
          <w:rFonts w:hint="eastAsia" w:ascii="Times New Roman" w:hAnsi="Times New Roman" w:eastAsia="仿宋_GB2312" w:cs="仿宋_GB2312"/>
          <w:color w:val="auto"/>
          <w:sz w:val="32"/>
          <w:szCs w:val="32"/>
          <w:highlight w:val="none"/>
          <w:lang w:eastAsia="zh-CN"/>
        </w:rPr>
        <w:t>国有资本经营预算财政拨款支出决算表</w:t>
      </w:r>
    </w:p>
    <w:p w14:paraId="620461B0">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8" w:name="_Toc15396631"/>
      <w:r>
        <w:rPr>
          <w:rFonts w:hint="eastAsia" w:ascii="Times New Roman" w:hAnsi="Times New Roman" w:eastAsia="仿宋_GB2312" w:cs="仿宋_GB2312"/>
          <w:color w:val="auto"/>
          <w:sz w:val="32"/>
          <w:szCs w:val="32"/>
          <w:highlight w:val="none"/>
        </w:rPr>
        <w:t>十三、</w:t>
      </w:r>
      <w:bookmarkEnd w:id="68"/>
      <w:r>
        <w:rPr>
          <w:rFonts w:hint="eastAsia" w:ascii="Times New Roman" w:hAnsi="Times New Roman" w:eastAsia="仿宋_GB2312" w:cs="仿宋_GB2312"/>
          <w:color w:val="auto"/>
          <w:sz w:val="32"/>
          <w:szCs w:val="32"/>
          <w:highlight w:val="none"/>
          <w:lang w:eastAsia="zh-CN"/>
        </w:rPr>
        <w:t>财政拨款“三公”经费支出决算表</w:t>
      </w:r>
    </w:p>
    <w:p w14:paraId="60630820">
      <w:pPr>
        <w:rPr>
          <w:rFonts w:hint="eastAsia" w:ascii="Times New Roman" w:hAnsi="Times New Roman"/>
          <w:lang w:eastAsia="zh-CN"/>
        </w:rPr>
      </w:pPr>
    </w:p>
    <w:sectPr>
      <w:footerReference r:id="rId6" w:type="first"/>
      <w:footerReference r:id="rId5"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altName w:val="微软雅黑"/>
    <w:panose1 w:val="02000000000000000000"/>
    <w:charset w:val="86"/>
    <w:family w:val="auto"/>
    <w:pitch w:val="default"/>
    <w:sig w:usb0="00000000" w:usb1="00000000" w:usb2="00082016" w:usb3="00000000" w:csb0="00040001"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201060001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81575">
    <w:pPr>
      <w:pStyle w:val="11"/>
      <w:jc w:val="center"/>
    </w:pPr>
  </w:p>
  <w:p w14:paraId="0D4ADA97">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04822">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EB93DA">
                          <w:pPr>
                            <w:pStyle w:val="11"/>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DEB93DA">
                    <w:pPr>
                      <w:pStyle w:val="11"/>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p w14:paraId="2E9AB434">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3CCAA">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0EA3E6">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50EA3E6">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C4563">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19"/>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zMjkzNWY3OTJhYjY3YjA4Zjc2OWY3NTEwZmE2Yzg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7C160A"/>
    <w:rsid w:val="09867E8F"/>
    <w:rsid w:val="0A2032A3"/>
    <w:rsid w:val="0C95086D"/>
    <w:rsid w:val="0CA8290A"/>
    <w:rsid w:val="0D35B1ED"/>
    <w:rsid w:val="0D4252AC"/>
    <w:rsid w:val="0E254B6B"/>
    <w:rsid w:val="0EF70990"/>
    <w:rsid w:val="0F98263C"/>
    <w:rsid w:val="101860EC"/>
    <w:rsid w:val="101F47CC"/>
    <w:rsid w:val="10C055FF"/>
    <w:rsid w:val="113835D8"/>
    <w:rsid w:val="11694EBD"/>
    <w:rsid w:val="11772AA4"/>
    <w:rsid w:val="118107EC"/>
    <w:rsid w:val="12E24EE2"/>
    <w:rsid w:val="13D50BC4"/>
    <w:rsid w:val="147319C2"/>
    <w:rsid w:val="14B17F78"/>
    <w:rsid w:val="165E0673"/>
    <w:rsid w:val="16B831D5"/>
    <w:rsid w:val="16BB723D"/>
    <w:rsid w:val="17222AA1"/>
    <w:rsid w:val="17E50567"/>
    <w:rsid w:val="186504BB"/>
    <w:rsid w:val="186F1445"/>
    <w:rsid w:val="195919B3"/>
    <w:rsid w:val="19A445FC"/>
    <w:rsid w:val="19E25E4D"/>
    <w:rsid w:val="1BE8440E"/>
    <w:rsid w:val="1D155CEE"/>
    <w:rsid w:val="1D1638FE"/>
    <w:rsid w:val="1E312DEB"/>
    <w:rsid w:val="1E740ACF"/>
    <w:rsid w:val="1FF35744"/>
    <w:rsid w:val="1FF6BC77"/>
    <w:rsid w:val="2186353C"/>
    <w:rsid w:val="23860B96"/>
    <w:rsid w:val="240371BF"/>
    <w:rsid w:val="244F3473"/>
    <w:rsid w:val="24791413"/>
    <w:rsid w:val="24C97D99"/>
    <w:rsid w:val="25A156C1"/>
    <w:rsid w:val="25A718F0"/>
    <w:rsid w:val="25BB59F6"/>
    <w:rsid w:val="260F557C"/>
    <w:rsid w:val="26970054"/>
    <w:rsid w:val="27E86D24"/>
    <w:rsid w:val="281408E2"/>
    <w:rsid w:val="29FD04D3"/>
    <w:rsid w:val="2A704DAF"/>
    <w:rsid w:val="2BFF7BC6"/>
    <w:rsid w:val="2C8A61B5"/>
    <w:rsid w:val="2D831E43"/>
    <w:rsid w:val="2DF04E50"/>
    <w:rsid w:val="2E586DFA"/>
    <w:rsid w:val="2ED975A3"/>
    <w:rsid w:val="2F040D46"/>
    <w:rsid w:val="2F6B035B"/>
    <w:rsid w:val="2FAE5751"/>
    <w:rsid w:val="2FB1A395"/>
    <w:rsid w:val="2FD9A7D8"/>
    <w:rsid w:val="2FDBF714"/>
    <w:rsid w:val="30AB6865"/>
    <w:rsid w:val="31750675"/>
    <w:rsid w:val="319F7F4E"/>
    <w:rsid w:val="32847C00"/>
    <w:rsid w:val="32BD1EF1"/>
    <w:rsid w:val="3304709D"/>
    <w:rsid w:val="33A773CB"/>
    <w:rsid w:val="33CF46BF"/>
    <w:rsid w:val="349D6851"/>
    <w:rsid w:val="35577297"/>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415B27"/>
    <w:rsid w:val="3CEBA265"/>
    <w:rsid w:val="3D98207C"/>
    <w:rsid w:val="3DE83C85"/>
    <w:rsid w:val="3DEE7CF3"/>
    <w:rsid w:val="3E740A63"/>
    <w:rsid w:val="3E78745D"/>
    <w:rsid w:val="3EE17838"/>
    <w:rsid w:val="3F55381A"/>
    <w:rsid w:val="3F5D7604"/>
    <w:rsid w:val="3F7F7599"/>
    <w:rsid w:val="3FF4CAE0"/>
    <w:rsid w:val="3FF7B227"/>
    <w:rsid w:val="42303B5B"/>
    <w:rsid w:val="44E268DA"/>
    <w:rsid w:val="44F468B0"/>
    <w:rsid w:val="450D13D7"/>
    <w:rsid w:val="45244CBC"/>
    <w:rsid w:val="45506656"/>
    <w:rsid w:val="4820176A"/>
    <w:rsid w:val="48237D4B"/>
    <w:rsid w:val="486A6C7A"/>
    <w:rsid w:val="4A627F82"/>
    <w:rsid w:val="4B0E749A"/>
    <w:rsid w:val="4B2477C4"/>
    <w:rsid w:val="4B4F25DA"/>
    <w:rsid w:val="4B9F32EE"/>
    <w:rsid w:val="4BE068DB"/>
    <w:rsid w:val="4D577224"/>
    <w:rsid w:val="4DBF1CEB"/>
    <w:rsid w:val="4DF0007C"/>
    <w:rsid w:val="4EAB630A"/>
    <w:rsid w:val="4ECE2238"/>
    <w:rsid w:val="4F833267"/>
    <w:rsid w:val="4FB14DB7"/>
    <w:rsid w:val="4FE9BD67"/>
    <w:rsid w:val="4FFB052F"/>
    <w:rsid w:val="53210238"/>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EF97F4F"/>
    <w:rsid w:val="5F2525CE"/>
    <w:rsid w:val="5FBF9FF3"/>
    <w:rsid w:val="5FCD4E2C"/>
    <w:rsid w:val="5FEF394A"/>
    <w:rsid w:val="5FF67715"/>
    <w:rsid w:val="62BF3928"/>
    <w:rsid w:val="63162A59"/>
    <w:rsid w:val="63B3701E"/>
    <w:rsid w:val="647F5392"/>
    <w:rsid w:val="65E66580"/>
    <w:rsid w:val="664B1D71"/>
    <w:rsid w:val="664B4E8E"/>
    <w:rsid w:val="67277B67"/>
    <w:rsid w:val="677A27ED"/>
    <w:rsid w:val="67AA3209"/>
    <w:rsid w:val="698D0931"/>
    <w:rsid w:val="6A7FE5F3"/>
    <w:rsid w:val="6B053271"/>
    <w:rsid w:val="6BDD78B3"/>
    <w:rsid w:val="6C007039"/>
    <w:rsid w:val="6C4A05C8"/>
    <w:rsid w:val="6C8742B8"/>
    <w:rsid w:val="6DBF5E93"/>
    <w:rsid w:val="6DFF077E"/>
    <w:rsid w:val="6E714EF0"/>
    <w:rsid w:val="6E7E3605"/>
    <w:rsid w:val="6E7FDCC7"/>
    <w:rsid w:val="6ED6A62E"/>
    <w:rsid w:val="6EE00B15"/>
    <w:rsid w:val="6EE9691A"/>
    <w:rsid w:val="6F6FB3EB"/>
    <w:rsid w:val="6F8731EA"/>
    <w:rsid w:val="6F9127AF"/>
    <w:rsid w:val="6FCE6052"/>
    <w:rsid w:val="6FD57C00"/>
    <w:rsid w:val="6FEFFFD8"/>
    <w:rsid w:val="6FF5CC65"/>
    <w:rsid w:val="6FFB47EC"/>
    <w:rsid w:val="6FFF034A"/>
    <w:rsid w:val="70484440"/>
    <w:rsid w:val="712A28F1"/>
    <w:rsid w:val="715C0E4B"/>
    <w:rsid w:val="71992E7C"/>
    <w:rsid w:val="71F81E69"/>
    <w:rsid w:val="72233669"/>
    <w:rsid w:val="72734D90"/>
    <w:rsid w:val="73160E6D"/>
    <w:rsid w:val="7332FE48"/>
    <w:rsid w:val="73AB61DA"/>
    <w:rsid w:val="73AD73D5"/>
    <w:rsid w:val="73B6EB34"/>
    <w:rsid w:val="73FA497D"/>
    <w:rsid w:val="744731E5"/>
    <w:rsid w:val="747E7133"/>
    <w:rsid w:val="74BBD01D"/>
    <w:rsid w:val="74ED5379"/>
    <w:rsid w:val="75DEEEC2"/>
    <w:rsid w:val="75E32345"/>
    <w:rsid w:val="7681120F"/>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0C48C7"/>
    <w:rsid w:val="7C1F3737"/>
    <w:rsid w:val="7CBFC87B"/>
    <w:rsid w:val="7CFE0F48"/>
    <w:rsid w:val="7D272ABC"/>
    <w:rsid w:val="7D7EC23E"/>
    <w:rsid w:val="7E8ADEBF"/>
    <w:rsid w:val="7EEF11D3"/>
    <w:rsid w:val="7EFE4840"/>
    <w:rsid w:val="7F0971A6"/>
    <w:rsid w:val="7F1D62E7"/>
    <w:rsid w:val="7F216BEB"/>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iPriority="99"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unhideWhenUsed/>
    <w:qFormat/>
    <w:uiPriority w:val="99"/>
    <w:pPr>
      <w:spacing w:before="240" w:beforeLines="0" w:after="60" w:afterLines="0"/>
      <w:jc w:val="center"/>
      <w:outlineLvl w:val="0"/>
    </w:pPr>
    <w:rPr>
      <w:rFonts w:hint="default" w:ascii="Arial" w:hAnsi="Arial" w:eastAsia="宋体" w:cs="Arial"/>
      <w:b/>
      <w:sz w:val="24"/>
      <w:szCs w:val="24"/>
    </w:rPr>
  </w:style>
  <w:style w:type="paragraph" w:styleId="6">
    <w:name w:val="Body Text"/>
    <w:basedOn w:val="1"/>
    <w:link w:val="26"/>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2"/>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1"/>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6"/>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3"/>
    <w:qFormat/>
    <w:uiPriority w:val="9"/>
    <w:rPr>
      <w:rFonts w:ascii="Times New Roman" w:hAnsi="Times New Roman"/>
      <w:b/>
      <w:bCs/>
      <w:kern w:val="44"/>
      <w:sz w:val="44"/>
      <w:szCs w:val="44"/>
    </w:rPr>
  </w:style>
  <w:style w:type="character" w:customStyle="1" w:styleId="30">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10"/>
    <w:semiHidden/>
    <w:qFormat/>
    <w:uiPriority w:val="99"/>
    <w:rPr>
      <w:rFonts w:ascii="Times New Roman" w:hAnsi="Times New Roman"/>
      <w:kern w:val="2"/>
      <w:sz w:val="18"/>
      <w:szCs w:val="18"/>
    </w:rPr>
  </w:style>
  <w:style w:type="character" w:customStyle="1" w:styleId="33">
    <w:name w:val="标题 3 Char"/>
    <w:basedOn w:val="17"/>
    <w:link w:val="5"/>
    <w:qFormat/>
    <w:uiPriority w:val="9"/>
    <w:rPr>
      <w:rFonts w:ascii="Times New Roman" w:hAnsi="Times New Roman"/>
      <w:b/>
      <w:bCs/>
      <w:kern w:val="2"/>
      <w:sz w:val="32"/>
      <w:szCs w:val="32"/>
    </w:r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4.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7.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收支数据</a:t>
            </a:r>
          </a:p>
        </c:rich>
      </c:tx>
      <c:layout/>
      <c:overlay val="0"/>
      <c:spPr>
        <a:noFill/>
        <a:ln>
          <a:noFill/>
        </a:ln>
        <a:effectLst/>
      </c:spPr>
    </c:title>
    <c:autoTitleDeleted val="0"/>
    <c:plotArea>
      <c:layout>
        <c:manualLayout>
          <c:layoutTarget val="inner"/>
          <c:xMode val="edge"/>
          <c:yMode val="edge"/>
          <c:x val="0.00498753117206983"/>
          <c:y val="0.438240798502807"/>
          <c:w val="0.926849542809643"/>
          <c:h val="0.470180910792265"/>
        </c:manualLayout>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2023</c:v>
                </c:pt>
                <c:pt idx="1">
                  <c:v>2024</c:v>
                </c:pt>
              </c:numCache>
            </c:numRef>
          </c:cat>
          <c:val>
            <c:numRef>
              <c:f>Sheet1!$B$2:$B$3</c:f>
              <c:numCache>
                <c:formatCode>General</c:formatCode>
                <c:ptCount val="2"/>
                <c:pt idx="0">
                  <c:v>1026.85</c:v>
                </c:pt>
                <c:pt idx="1">
                  <c:v>885.7</c:v>
                </c:pt>
              </c:numCache>
            </c:numRef>
          </c:val>
        </c:ser>
        <c:ser>
          <c:idx val="1"/>
          <c:order val="1"/>
          <c:tx>
            <c:strRef>
              <c:f>Sheet1!#REF!</c:f>
              <c:strCache>
                <c:ptCount val="1"/>
                <c:pt idx="0">
                  <c:v/>
                </c:pt>
              </c:strCache>
            </c:strRef>
          </c:tx>
          <c:spPr>
            <a:solidFill>
              <a:schemeClr val="accent2"/>
            </a:solidFill>
            <a:ln>
              <a:noFill/>
            </a:ln>
            <a:effectLst/>
          </c:spPr>
          <c:invertIfNegative val="0"/>
          <c:dLbls>
            <c:delete val="1"/>
          </c:dLbls>
          <c:cat>
            <c:numRef>
              <c:f>Sheet1!$A$2:$A$3</c:f>
              <c:numCache>
                <c:formatCode>General</c:formatCode>
                <c:ptCount val="2"/>
                <c:pt idx="0">
                  <c:v>2023</c:v>
                </c:pt>
                <c:pt idx="1">
                  <c:v>2024</c:v>
                </c:pt>
              </c:numCache>
            </c:num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numRef>
              <c:f>Sheet1!$A$2:$A$3</c:f>
              <c:numCache>
                <c:formatCode>General</c:formatCode>
                <c:ptCount val="2"/>
                <c:pt idx="0">
                  <c:v>2023</c:v>
                </c:pt>
                <c:pt idx="1">
                  <c:v>2024</c:v>
                </c:pt>
              </c:numCache>
            </c:numRef>
          </c:cat>
          <c:val>
            <c:numRef>
              <c:f>Sheet1!#REF!</c:f>
              <c:numCache>
                <c:formatCode>General</c:formatCode>
                <c:ptCount val="1"/>
                <c:pt idx="0">
                  <c:v>1</c:v>
                </c:pt>
              </c:numCache>
            </c:numRef>
          </c:val>
        </c:ser>
        <c:dLbls>
          <c:showLegendKey val="0"/>
          <c:showVal val="1"/>
          <c:showCatName val="0"/>
          <c:showSerName val="0"/>
          <c:showPercent val="0"/>
          <c:showBubbleSize val="0"/>
        </c:dLbls>
        <c:gapWidth val="150"/>
        <c:overlap val="-25"/>
        <c:axId val="874450651"/>
        <c:axId val="349045165"/>
      </c:barChart>
      <c:catAx>
        <c:axId val="87445065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9045165"/>
        <c:crosses val="autoZero"/>
        <c:auto val="1"/>
        <c:lblAlgn val="ctr"/>
        <c:lblOffset val="100"/>
        <c:noMultiLvlLbl val="0"/>
      </c:catAx>
      <c:valAx>
        <c:axId val="349045165"/>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4450651"/>
        <c:crosses val="autoZero"/>
        <c:crossBetween val="between"/>
      </c:valAx>
      <c:spPr>
        <a:noFill/>
        <a:ln>
          <a:noFill/>
        </a:ln>
        <a:effectLst/>
      </c:spPr>
    </c:plotArea>
    <c:legend>
      <c:legendPos val="t"/>
      <c:legendEntry>
        <c:idx val="1"/>
        <c:delete val="1"/>
      </c:legendEntry>
      <c:legendEntry>
        <c:idx val="2"/>
        <c:delete val="1"/>
      </c:legendEntry>
      <c:layout>
        <c:manualLayout>
          <c:xMode val="edge"/>
          <c:yMode val="edge"/>
          <c:x val="0.326932668329177"/>
          <c:y val="0.197130380536494"/>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ab29d94-edff-4381-83fe-e14359f8459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2024年</c:v>
                </c:pt>
              </c:strCache>
            </c:strRef>
          </c:tx>
          <c:spPr/>
          <c:explosion val="0"/>
          <c:dPt>
            <c:idx val="0"/>
            <c:bubble3D val="0"/>
            <c:spPr>
              <a:solidFill>
                <a:schemeClr val="accent1"/>
              </a:solidFill>
              <a:ln>
                <a:solidFill>
                  <a:schemeClr val="bg1"/>
                </a:solidFill>
              </a:ln>
              <a:effectLst/>
            </c:spPr>
          </c:dPt>
          <c:dLbls>
            <c:delete val="1"/>
          </c:dLbls>
          <c:cat>
            <c:strRef>
              <c:f>Sheet1!$A$2</c:f>
              <c:strCache>
                <c:ptCount val="1"/>
                <c:pt idx="0">
                  <c:v>一般公共预算财政拨款收入</c:v>
                </c:pt>
              </c:strCache>
            </c:strRef>
          </c:cat>
          <c:val>
            <c:numRef>
              <c:f>Sheet1!$B$2</c:f>
              <c:numCache>
                <c:formatCode>General</c:formatCode>
                <c:ptCount val="1"/>
                <c:pt idx="0">
                  <c:v>885.7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0e5e8a3-6273-4aad-ac30-039d38f509e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2024</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delete val="1"/>
          </c:dLbls>
          <c:cat>
            <c:strRef>
              <c:f>Sheet1!$A$2:$A$4</c:f>
              <c:strCache>
                <c:ptCount val="3"/>
                <c:pt idx="0">
                  <c:v>基本支出</c:v>
                </c:pt>
                <c:pt idx="1">
                  <c:v>项目支出</c:v>
                </c:pt>
                <c:pt idx="2">
                  <c:v>年末结转和结余</c:v>
                </c:pt>
              </c:strCache>
            </c:strRef>
          </c:cat>
          <c:val>
            <c:numRef>
              <c:f>Sheet1!$B$2:$B$4</c:f>
              <c:numCache>
                <c:formatCode>General</c:formatCode>
                <c:ptCount val="3"/>
                <c:pt idx="0">
                  <c:v>372.34</c:v>
                </c:pt>
                <c:pt idx="1">
                  <c:v>508.18</c:v>
                </c:pt>
                <c:pt idx="2">
                  <c:v>5.18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8c8b80b-4dbd-48d9-8f87-8d0213c07e2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收支数据</a:t>
            </a:r>
          </a:p>
        </c:rich>
      </c:tx>
      <c:layout/>
      <c:overlay val="0"/>
      <c:spPr>
        <a:noFill/>
        <a:ln>
          <a:noFill/>
        </a:ln>
        <a:effectLst/>
      </c:spPr>
    </c:title>
    <c:autoTitleDeleted val="0"/>
    <c:plotArea>
      <c:layout>
        <c:manualLayout>
          <c:layoutTarget val="inner"/>
          <c:xMode val="edge"/>
          <c:yMode val="edge"/>
          <c:x val="0.0681629260182876"/>
          <c:y val="0.369931378665003"/>
          <c:w val="0.926849542809643"/>
          <c:h val="0.501060511540861"/>
        </c:manualLayout>
      </c:layout>
      <c:barChart>
        <c:barDir val="col"/>
        <c:grouping val="clustered"/>
        <c:varyColors val="0"/>
        <c:ser>
          <c:idx val="0"/>
          <c:order val="0"/>
          <c:tx>
            <c:strRef>
              <c:f>Sheet1!$B$1</c:f>
              <c:strCache>
                <c:ptCount val="1"/>
                <c:pt idx="0">
                  <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2024</c:v>
                </c:pt>
                <c:pt idx="1">
                  <c:v>2023</c:v>
                </c:pt>
              </c:numCache>
            </c:numRef>
          </c:cat>
          <c:val>
            <c:numRef>
              <c:f>Sheet1!$B$2:$B$3</c:f>
              <c:numCache>
                <c:formatCode>General</c:formatCode>
                <c:ptCount val="2"/>
                <c:pt idx="0">
                  <c:v>885.7</c:v>
                </c:pt>
                <c:pt idx="1">
                  <c:v>1026.85</c:v>
                </c:pt>
              </c:numCache>
            </c:numRef>
          </c:val>
        </c:ser>
        <c:ser>
          <c:idx val="1"/>
          <c:order val="1"/>
          <c:tx>
            <c:strRef>
              <c:f>Sheet1!#REF!</c:f>
              <c:strCache>
                <c:ptCount val="1"/>
                <c:pt idx="0">
                  <c:v/>
                </c:pt>
              </c:strCache>
            </c:strRef>
          </c:tx>
          <c:spPr>
            <a:solidFill>
              <a:schemeClr val="accent2"/>
            </a:solidFill>
            <a:ln>
              <a:noFill/>
            </a:ln>
            <a:effectLst/>
          </c:spPr>
          <c:invertIfNegative val="0"/>
          <c:dLbls>
            <c:delete val="1"/>
          </c:dLbls>
          <c:cat>
            <c:numRef>
              <c:f>Sheet1!$A$2:$A$3</c:f>
              <c:numCache>
                <c:formatCode>General</c:formatCode>
                <c:ptCount val="2"/>
                <c:pt idx="0">
                  <c:v>2024</c:v>
                </c:pt>
                <c:pt idx="1">
                  <c:v>2023</c:v>
                </c:pt>
              </c:numCache>
            </c:num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numRef>
              <c:f>Sheet1!$A$2:$A$3</c:f>
              <c:numCache>
                <c:formatCode>General</c:formatCode>
                <c:ptCount val="2"/>
                <c:pt idx="0">
                  <c:v>2024</c:v>
                </c:pt>
                <c:pt idx="1">
                  <c:v>2023</c:v>
                </c:pt>
              </c:numCache>
            </c:numRef>
          </c:cat>
          <c:val>
            <c:numRef>
              <c:f>Sheet1!#REF!</c:f>
              <c:numCache>
                <c:formatCode>General</c:formatCode>
                <c:ptCount val="1"/>
                <c:pt idx="0">
                  <c:v>1</c:v>
                </c:pt>
              </c:numCache>
            </c:numRef>
          </c:val>
        </c:ser>
        <c:dLbls>
          <c:showLegendKey val="0"/>
          <c:showVal val="1"/>
          <c:showCatName val="0"/>
          <c:showSerName val="0"/>
          <c:showPercent val="0"/>
          <c:showBubbleSize val="0"/>
        </c:dLbls>
        <c:gapWidth val="150"/>
        <c:overlap val="-25"/>
        <c:axId val="874450651"/>
        <c:axId val="349045165"/>
      </c:barChart>
      <c:catAx>
        <c:axId val="87445065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9045165"/>
        <c:crosses val="autoZero"/>
        <c:auto val="1"/>
        <c:lblAlgn val="ctr"/>
        <c:lblOffset val="100"/>
        <c:noMultiLvlLbl val="0"/>
      </c:catAx>
      <c:valAx>
        <c:axId val="349045165"/>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4450651"/>
        <c:crosses val="autoZero"/>
        <c:crossBetween val="between"/>
      </c:valAx>
      <c:spPr>
        <a:noFill/>
        <a:ln>
          <a:noFill/>
        </a:ln>
        <a:effectLst/>
      </c:spPr>
    </c:plotArea>
    <c:legend>
      <c:legendPos val="t"/>
      <c:legendEntry>
        <c:idx val="1"/>
        <c:delete val="1"/>
      </c:legendEntry>
      <c:legendEntry>
        <c:idx val="2"/>
        <c:delete val="1"/>
      </c:legendEntry>
      <c:layout>
        <c:manualLayout>
          <c:xMode val="edge"/>
          <c:yMode val="edge"/>
          <c:x val="0.326932668329177"/>
          <c:y val="0.197130380536494"/>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ab29d94-edff-4381-83fe-e14359f8459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一般公共预算拨款支出</c:v>
                </c:pt>
              </c:strCache>
            </c:strRef>
          </c:tx>
          <c:spPr>
            <a:solidFill>
              <a:schemeClr val="accent1"/>
            </a:solidFill>
            <a:ln>
              <a:noFill/>
            </a:ln>
            <a:effectLst/>
          </c:spPr>
          <c:invertIfNegative val="0"/>
          <c:dLbls>
            <c:delete val="1"/>
          </c:dLbls>
          <c:cat>
            <c:numRef>
              <c:f>Sheet1!$A$2:$A$5</c:f>
              <c:numCache>
                <c:formatCode>General</c:formatCode>
                <c:ptCount val="4"/>
                <c:pt idx="0">
                  <c:v>2023</c:v>
                </c:pt>
                <c:pt idx="1">
                  <c:v>2024</c:v>
                </c:pt>
              </c:numCache>
            </c:numRef>
          </c:cat>
          <c:val>
            <c:numRef>
              <c:f>Sheet1!$B$2:$B$5</c:f>
              <c:numCache>
                <c:formatCode>General</c:formatCode>
                <c:ptCount val="4"/>
                <c:pt idx="0">
                  <c:v>1026.75</c:v>
                </c:pt>
                <c:pt idx="1">
                  <c:v>887.5</c:v>
                </c:pt>
              </c:numCache>
            </c:numRef>
          </c:val>
        </c:ser>
        <c:ser>
          <c:idx val="1"/>
          <c:order val="1"/>
          <c:tx>
            <c:strRef>
              <c:f>Sheet1!#REF!</c:f>
              <c:strCache>
                <c:ptCount val="1"/>
                <c:pt idx="0">
                  <c:v/>
                </c:pt>
              </c:strCache>
            </c:strRef>
          </c:tx>
          <c:spPr>
            <a:solidFill>
              <a:schemeClr val="accent2"/>
            </a:solidFill>
            <a:ln>
              <a:noFill/>
            </a:ln>
            <a:effectLst/>
          </c:spPr>
          <c:invertIfNegative val="0"/>
          <c:dLbls>
            <c:delete val="1"/>
          </c:dLbls>
          <c:cat>
            <c:numRef>
              <c:f>Sheet1!$A$2:$A$5</c:f>
              <c:numCache>
                <c:formatCode>General</c:formatCode>
                <c:ptCount val="4"/>
                <c:pt idx="0">
                  <c:v>2023</c:v>
                </c:pt>
                <c:pt idx="1">
                  <c:v>2024</c:v>
                </c:pt>
              </c:numCache>
            </c:num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numRef>
              <c:f>Sheet1!$A$2:$A$5</c:f>
              <c:numCache>
                <c:formatCode>General</c:formatCode>
                <c:ptCount val="4"/>
                <c:pt idx="0">
                  <c:v>2023</c:v>
                </c:pt>
                <c:pt idx="1">
                  <c:v>2024</c:v>
                </c:pt>
              </c:numCache>
            </c:numRef>
          </c:cat>
          <c:val>
            <c:numRef>
              <c:f>Sheet1!#REF!</c:f>
              <c:numCache>
                <c:formatCode>General</c:formatCode>
                <c:ptCount val="1"/>
                <c:pt idx="0">
                  <c:v>1</c:v>
                </c:pt>
              </c:numCache>
            </c:numRef>
          </c:val>
        </c:ser>
        <c:dLbls>
          <c:showLegendKey val="0"/>
          <c:showVal val="0"/>
          <c:showCatName val="0"/>
          <c:showSerName val="0"/>
          <c:showPercent val="0"/>
          <c:showBubbleSize val="0"/>
        </c:dLbls>
        <c:gapWidth val="246"/>
        <c:overlap val="-28"/>
        <c:axId val="376283603"/>
        <c:axId val="558749833"/>
      </c:barChart>
      <c:catAx>
        <c:axId val="37628360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8749833"/>
        <c:crosses val="autoZero"/>
        <c:auto val="1"/>
        <c:lblAlgn val="ctr"/>
        <c:lblOffset val="100"/>
        <c:noMultiLvlLbl val="0"/>
      </c:catAx>
      <c:valAx>
        <c:axId val="55874983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76283603"/>
        <c:crosses val="autoZero"/>
        <c:crossBetween val="between"/>
      </c:valAx>
      <c:spPr>
        <a:noFill/>
        <a:ln>
          <a:noFill/>
        </a:ln>
        <a:effectLst/>
      </c:spPr>
    </c:plotArea>
    <c:legend>
      <c:legendPos val="b"/>
      <c:legendEntry>
        <c:idx val="1"/>
        <c:delete val="1"/>
      </c:legendEntry>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c574e50-23d4-4fdc-8dda-45b33a3a99a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manualLayout>
          <c:layoutTarget val="inner"/>
          <c:xMode val="edge"/>
          <c:yMode val="edge"/>
          <c:x val="0.27947571877265"/>
          <c:y val="0.298555036124097"/>
          <c:w val="0.39514375453008"/>
          <c:h val="0.695070123246919"/>
        </c:manualLayout>
      </c:layout>
      <c:pieChart>
        <c:varyColors val="1"/>
        <c:ser>
          <c:idx val="0"/>
          <c:order val="0"/>
          <c:tx>
            <c:strRef>
              <c:f>Sheet1!$B$1</c:f>
              <c:strCache>
                <c:ptCount val="1"/>
                <c:pt idx="0">
                  <c:v>一般公共预算财政拨款支出</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elete val="1"/>
          </c:dLbls>
          <c:cat>
            <c:strRef>
              <c:f>Sheet1!$A$2:$A$5</c:f>
              <c:strCache>
                <c:ptCount val="4"/>
                <c:pt idx="0">
                  <c:v>社会保障和就业支出</c:v>
                </c:pt>
                <c:pt idx="1">
                  <c:v>卫生健康支出</c:v>
                </c:pt>
                <c:pt idx="2">
                  <c:v>农林水支出</c:v>
                </c:pt>
                <c:pt idx="3">
                  <c:v>住房保障支出</c:v>
                </c:pt>
              </c:strCache>
            </c:strRef>
          </c:cat>
          <c:val>
            <c:numRef>
              <c:f>Sheet1!$B$2:$B$5</c:f>
              <c:numCache>
                <c:formatCode>General</c:formatCode>
                <c:ptCount val="4"/>
                <c:pt idx="0">
                  <c:v>333.65</c:v>
                </c:pt>
                <c:pt idx="1">
                  <c:v>316.7</c:v>
                </c:pt>
                <c:pt idx="2">
                  <c:v>202.67</c:v>
                </c:pt>
                <c:pt idx="3">
                  <c:v>27.51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718e669-bc52-455f-921d-eec9b8ac79a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2024年度“三公”经费财政拨款支出</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delete val="1"/>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1">
                  <c:v>0</c:v>
                </c:pt>
                <c:pt idx="2">
                  <c:v>0.06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6f95be4-6686-479e-a953-72a155fdf21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2de2dd-e934-496a-bb3f-d5ae174e2cbf}">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35</Pages>
  <Words>6404</Words>
  <Characters>6858</Characters>
  <Lines>61</Lines>
  <Paragraphs>17</Paragraphs>
  <TotalTime>12</TotalTime>
  <ScaleCrop>false</ScaleCrop>
  <LinksUpToDate>false</LinksUpToDate>
  <CharactersWithSpaces>6907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碧云天</cp:lastModifiedBy>
  <cp:lastPrinted>2025-10-21T07:24:00Z</cp:lastPrinted>
  <dcterms:modified xsi:type="dcterms:W3CDTF">2025-11-25T01:21:58Z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7D7DC6DB45C7450B9956169B097F724C_13</vt:lpwstr>
  </property>
  <property fmtid="{D5CDD505-2E9C-101B-9397-08002B2CF9AE}" pid="4" name="KSOTemplateDocerSaveRecord">
    <vt:lpwstr>eyJoZGlkIjoiNzI2ZGI0OGUzMDAzMzk0YmE1OTYyMDVlZGMwMmYyODYiLCJ1c2VySWQiOiIxMTM5NjM2MTk5In0=</vt:lpwstr>
  </property>
</Properties>
</file>