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97AF13">
      <w:pPr>
        <w:spacing w:beforeLines="0" w:afterLines="0" w:line="360" w:lineRule="auto"/>
        <w:jc w:val="center"/>
        <w:rPr>
          <w:rFonts w:hint="eastAsia" w:ascii="方正小标宋简体" w:hAnsi="方正小标宋简体" w:eastAsia="方正小标宋简体"/>
          <w:kern w:val="2"/>
          <w:sz w:val="72"/>
          <w:szCs w:val="24"/>
          <w:lang w:val="zh-CN"/>
        </w:rPr>
      </w:pPr>
    </w:p>
    <w:p w14:paraId="68F17C79">
      <w:pPr>
        <w:spacing w:beforeLines="0" w:afterLines="0" w:line="360" w:lineRule="auto"/>
        <w:jc w:val="center"/>
        <w:rPr>
          <w:rFonts w:hint="eastAsia" w:ascii="方正小标宋简体" w:hAnsi="方正小标宋简体" w:eastAsia="方正小标宋简体"/>
          <w:kern w:val="2"/>
          <w:sz w:val="72"/>
          <w:szCs w:val="24"/>
          <w:lang w:val="zh-CN"/>
        </w:rPr>
      </w:pPr>
    </w:p>
    <w:p w14:paraId="0D2E789D">
      <w:pPr>
        <w:spacing w:beforeLines="0" w:afterLines="0" w:line="360" w:lineRule="auto"/>
        <w:jc w:val="center"/>
        <w:rPr>
          <w:rFonts w:hint="eastAsia" w:ascii="方正小标宋简体" w:hAnsi="方正小标宋简体" w:eastAsia="方正小标宋简体"/>
          <w:kern w:val="2"/>
          <w:sz w:val="72"/>
          <w:szCs w:val="24"/>
          <w:lang w:val="zh-CN"/>
        </w:rPr>
      </w:pPr>
    </w:p>
    <w:p w14:paraId="54B7967B">
      <w:pPr>
        <w:spacing w:beforeLines="0" w:afterLines="0" w:line="360" w:lineRule="auto"/>
        <w:jc w:val="center"/>
        <w:rPr>
          <w:rFonts w:hint="eastAsia" w:ascii="方正小标宋简体" w:hAnsi="方正小标宋简体" w:eastAsia="方正小标宋简体"/>
          <w:kern w:val="2"/>
          <w:sz w:val="52"/>
          <w:szCs w:val="52"/>
          <w:lang w:val="zh-CN"/>
        </w:rPr>
      </w:pPr>
      <w:r>
        <w:rPr>
          <w:rFonts w:hint="eastAsia" w:ascii="方正小标宋简体" w:hAnsi="方正小标宋简体" w:eastAsia="方正小标宋简体"/>
          <w:kern w:val="2"/>
          <w:sz w:val="52"/>
          <w:szCs w:val="52"/>
          <w:lang w:val="zh-CN"/>
        </w:rPr>
        <w:t>202</w:t>
      </w:r>
      <w:r>
        <w:rPr>
          <w:rFonts w:hint="eastAsia" w:ascii="方正小标宋简体" w:hAnsi="方正小标宋简体" w:eastAsia="方正小标宋简体"/>
          <w:kern w:val="2"/>
          <w:sz w:val="52"/>
          <w:szCs w:val="52"/>
          <w:lang w:val="en-US" w:eastAsia="zh-CN"/>
        </w:rPr>
        <w:t>3</w:t>
      </w:r>
      <w:r>
        <w:rPr>
          <w:rFonts w:hint="eastAsia" w:ascii="方正小标宋简体" w:hAnsi="方正小标宋简体" w:eastAsia="方正小标宋简体"/>
          <w:kern w:val="2"/>
          <w:sz w:val="52"/>
          <w:szCs w:val="52"/>
          <w:lang w:val="zh-CN"/>
        </w:rPr>
        <w:t>年度</w:t>
      </w:r>
    </w:p>
    <w:p w14:paraId="29733158">
      <w:pPr>
        <w:spacing w:beforeLines="0" w:afterLines="0" w:line="360" w:lineRule="auto"/>
        <w:jc w:val="center"/>
        <w:rPr>
          <w:rFonts w:hint="eastAsia" w:ascii="方正小标宋简体" w:hAnsi="方正小标宋简体" w:eastAsia="方正小标宋简体"/>
          <w:kern w:val="2"/>
          <w:sz w:val="52"/>
          <w:szCs w:val="52"/>
          <w:lang w:val="zh-CN"/>
        </w:rPr>
      </w:pPr>
      <w:r>
        <w:rPr>
          <w:rFonts w:hint="eastAsia" w:ascii="方正小标宋简体" w:hAnsi="方正小标宋简体" w:eastAsia="方正小标宋简体"/>
          <w:kern w:val="2"/>
          <w:sz w:val="52"/>
          <w:szCs w:val="52"/>
          <w:lang w:val="zh-CN"/>
        </w:rPr>
        <w:t>峨边彝族自治县医疗保障局</w:t>
      </w:r>
    </w:p>
    <w:p w14:paraId="7DB0AD9D">
      <w:pPr>
        <w:spacing w:beforeLines="0" w:afterLines="0" w:line="360" w:lineRule="auto"/>
        <w:jc w:val="center"/>
        <w:rPr>
          <w:rFonts w:hint="eastAsia" w:ascii="方正小标宋简体" w:hAnsi="方正小标宋简体" w:eastAsia="方正小标宋简体"/>
          <w:kern w:val="2"/>
          <w:sz w:val="52"/>
          <w:szCs w:val="52"/>
          <w:lang w:val="zh-CN" w:eastAsia="zh-CN"/>
        </w:rPr>
      </w:pPr>
      <w:r>
        <w:rPr>
          <w:rFonts w:hint="eastAsia" w:ascii="方正小标宋简体" w:hAnsi="方正小标宋简体" w:eastAsia="方正小标宋简体"/>
          <w:kern w:val="2"/>
          <w:sz w:val="52"/>
          <w:szCs w:val="52"/>
          <w:lang w:val="zh-CN"/>
        </w:rPr>
        <w:t>部门决算</w:t>
      </w:r>
      <w:r>
        <w:rPr>
          <w:rFonts w:hint="eastAsia" w:ascii="方正小标宋简体" w:hAnsi="方正小标宋简体" w:eastAsia="方正小标宋简体"/>
          <w:kern w:val="2"/>
          <w:sz w:val="52"/>
          <w:szCs w:val="52"/>
          <w:lang w:val="zh-CN" w:eastAsia="zh-CN"/>
        </w:rPr>
        <w:t>编制说明</w:t>
      </w:r>
    </w:p>
    <w:p w14:paraId="1598398A">
      <w:pPr>
        <w:pStyle w:val="7"/>
        <w:jc w:val="center"/>
        <w:rPr>
          <w:rFonts w:hint="eastAsia" w:ascii="方正小标宋简体" w:hAnsi="方正小标宋简体" w:eastAsia="方正小标宋简体"/>
          <w:kern w:val="2"/>
          <w:sz w:val="72"/>
          <w:szCs w:val="24"/>
          <w:lang w:val="zh-CN" w:eastAsia="zh-CN"/>
        </w:rPr>
      </w:pPr>
    </w:p>
    <w:p w14:paraId="46424BA3">
      <w:pPr>
        <w:rPr>
          <w:rFonts w:hint="eastAsia" w:ascii="方正小标宋简体" w:hAnsi="方正小标宋简体" w:eastAsia="方正小标宋简体"/>
          <w:kern w:val="2"/>
          <w:sz w:val="72"/>
          <w:szCs w:val="24"/>
          <w:lang w:val="zh-CN" w:eastAsia="zh-CN"/>
        </w:rPr>
      </w:pPr>
    </w:p>
    <w:p w14:paraId="18422183">
      <w:pPr>
        <w:pStyle w:val="7"/>
        <w:rPr>
          <w:rFonts w:hint="eastAsia" w:ascii="方正小标宋简体" w:hAnsi="方正小标宋简体" w:eastAsia="方正小标宋简体"/>
          <w:kern w:val="2"/>
          <w:sz w:val="72"/>
          <w:szCs w:val="24"/>
          <w:lang w:val="zh-CN" w:eastAsia="zh-CN"/>
        </w:rPr>
      </w:pPr>
    </w:p>
    <w:p w14:paraId="6A81D9AC">
      <w:pPr>
        <w:rPr>
          <w:rFonts w:hint="eastAsia"/>
          <w:lang w:val="en-US" w:eastAsia="zh-CN"/>
        </w:rPr>
      </w:pPr>
    </w:p>
    <w:p w14:paraId="0CDE258A">
      <w:pPr>
        <w:spacing w:beforeLines="0" w:afterLines="0"/>
        <w:jc w:val="center"/>
        <w:rPr>
          <w:rFonts w:hint="eastAsia" w:ascii="黑体" w:hAnsi="黑体" w:eastAsia="黑体"/>
          <w:color w:val="auto"/>
          <w:kern w:val="2"/>
          <w:sz w:val="48"/>
          <w:szCs w:val="24"/>
          <w:lang w:val="zh-CN"/>
        </w:rPr>
      </w:pPr>
    </w:p>
    <w:p w14:paraId="001B4868">
      <w:pPr>
        <w:spacing w:beforeLines="0" w:afterLines="0"/>
        <w:jc w:val="center"/>
        <w:rPr>
          <w:rFonts w:hint="eastAsia" w:ascii="黑体" w:hAnsi="黑体" w:eastAsia="黑体"/>
          <w:color w:val="auto"/>
          <w:kern w:val="2"/>
          <w:sz w:val="48"/>
          <w:szCs w:val="24"/>
          <w:lang w:val="zh-CN"/>
        </w:rPr>
      </w:pPr>
    </w:p>
    <w:p w14:paraId="7B9F9B7E">
      <w:pPr>
        <w:spacing w:beforeLines="0" w:afterLines="0"/>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t>目录</w:t>
      </w:r>
    </w:p>
    <w:p w14:paraId="125A2267">
      <w:pPr>
        <w:spacing w:beforeLines="0" w:afterLines="0"/>
        <w:jc w:val="center"/>
        <w:rPr>
          <w:rFonts w:hint="eastAsia" w:ascii="黑体" w:hAnsi="黑体" w:eastAsia="黑体"/>
          <w:color w:val="auto"/>
          <w:kern w:val="2"/>
          <w:sz w:val="28"/>
          <w:szCs w:val="24"/>
          <w:lang w:val="zh-CN"/>
        </w:rPr>
      </w:pPr>
    </w:p>
    <w:p w14:paraId="2C326B3B">
      <w:pPr>
        <w:tabs>
          <w:tab w:val="right" w:leader="dot" w:pos="8296"/>
        </w:tabs>
        <w:spacing w:before="93" w:beforeLines="0" w:afterLines="0"/>
        <w:jc w:val="center"/>
        <w:rPr>
          <w:rFonts w:hint="eastAsia" w:ascii="仿宋" w:hAnsi="仿宋" w:eastAsia="仿宋"/>
          <w:color w:val="auto"/>
          <w:kern w:val="2"/>
          <w:sz w:val="28"/>
          <w:szCs w:val="24"/>
          <w:lang w:val="zh-CN"/>
        </w:rPr>
      </w:pPr>
      <w:r>
        <w:rPr>
          <w:rFonts w:hint="eastAsia" w:ascii="仿宋" w:hAnsi="仿宋" w:eastAsia="仿宋"/>
          <w:color w:val="auto"/>
          <w:kern w:val="2"/>
          <w:sz w:val="28"/>
          <w:szCs w:val="24"/>
          <w:lang w:val="zh-CN"/>
        </w:rPr>
        <w:t>公开时间：2023年10月23日</w:t>
      </w:r>
      <w:r>
        <w:rPr>
          <w:rFonts w:hint="eastAsia" w:ascii="仿宋" w:hAnsi="仿宋" w:eastAsia="仿宋"/>
          <w:color w:val="auto"/>
          <w:kern w:val="2"/>
          <w:sz w:val="28"/>
          <w:szCs w:val="24"/>
          <w:lang w:val="en-US" w:eastAsia="zh-CN"/>
        </w:rPr>
        <w:t xml:space="preserve"> </w:t>
      </w:r>
    </w:p>
    <w:p w14:paraId="738D72A0">
      <w:pPr>
        <w:spacing w:beforeLines="0" w:afterLines="0"/>
        <w:jc w:val="both"/>
        <w:rPr>
          <w:rFonts w:hint="eastAsia" w:ascii="Times New Roman" w:hAnsi="Times New Roman" w:eastAsia="Times New Roman"/>
          <w:color w:val="auto"/>
          <w:kern w:val="2"/>
          <w:sz w:val="21"/>
          <w:szCs w:val="24"/>
          <w:lang w:val="zh-CN"/>
        </w:rPr>
      </w:pPr>
    </w:p>
    <w:p w14:paraId="2A3A7418">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第一部分 部门概况</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14:paraId="468F830C">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一、部门职责</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14:paraId="4DA07E53">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二、机构设置</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14:paraId="2FC8939E">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第二部分 202</w:t>
      </w:r>
      <w:r>
        <w:rPr>
          <w:rFonts w:hint="eastAsia" w:ascii="仿宋" w:hAnsi="仿宋" w:eastAsia="仿宋" w:cs="仿宋"/>
          <w:color w:val="auto"/>
          <w:kern w:val="2"/>
          <w:sz w:val="28"/>
          <w:szCs w:val="28"/>
          <w:lang w:val="en-US" w:eastAsia="zh-CN"/>
        </w:rPr>
        <w:t>3</w:t>
      </w:r>
      <w:r>
        <w:rPr>
          <w:rFonts w:hint="eastAsia" w:ascii="仿宋" w:hAnsi="仿宋" w:eastAsia="仿宋" w:cs="仿宋"/>
          <w:color w:val="auto"/>
          <w:kern w:val="2"/>
          <w:sz w:val="28"/>
          <w:szCs w:val="28"/>
          <w:lang w:val="zh-CN"/>
        </w:rPr>
        <w:t>年度部门决算情况说明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6</w:t>
      </w:r>
    </w:p>
    <w:p w14:paraId="10E35A92">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一、收入支出决算总体情况说明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6</w:t>
      </w:r>
    </w:p>
    <w:p w14:paraId="38227183">
      <w:pPr>
        <w:tabs>
          <w:tab w:val="right" w:leader="dot" w:pos="8296"/>
        </w:tabs>
        <w:spacing w:beforeLines="0" w:afterLines="0" w:line="440" w:lineRule="exact"/>
        <w:ind w:left="420"/>
        <w:rPr>
          <w:rFonts w:hint="eastAsia" w:ascii="宋体" w:hAnsi="宋体" w:eastAsia="宋体" w:cs="宋体"/>
          <w:color w:val="auto"/>
          <w:kern w:val="2"/>
          <w:sz w:val="28"/>
          <w:szCs w:val="28"/>
          <w:lang w:val="en-US" w:eastAsia="zh-CN"/>
        </w:rPr>
      </w:pPr>
      <w:r>
        <w:rPr>
          <w:rFonts w:hint="eastAsia" w:ascii="仿宋" w:hAnsi="仿宋" w:eastAsia="仿宋" w:cs="仿宋"/>
          <w:color w:val="auto"/>
          <w:kern w:val="2"/>
          <w:sz w:val="28"/>
          <w:szCs w:val="28"/>
          <w:lang w:val="zh-CN"/>
        </w:rPr>
        <w:t>二、收入决算情况说明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6</w:t>
      </w:r>
    </w:p>
    <w:p w14:paraId="05CF42CC">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三、支出决算情况说明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7</w:t>
      </w:r>
    </w:p>
    <w:p w14:paraId="0AEF1C56">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四、财政拨款收入支出决算总体情况说明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8</w:t>
      </w:r>
    </w:p>
    <w:p w14:paraId="30FAAC33">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五、一般公共预算财政拨款支出决算情况说明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8</w:t>
      </w:r>
    </w:p>
    <w:p w14:paraId="2E172CF0">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六、一般公共预算财政拨款基本支出决算情况说明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11</w:t>
      </w:r>
    </w:p>
    <w:p w14:paraId="0AC0E948">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七、财政拨款“三公”经费支出决算情况说明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11</w:t>
      </w:r>
    </w:p>
    <w:p w14:paraId="133AC414">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八、政府性基金预算支出决算情况说明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13</w:t>
      </w:r>
    </w:p>
    <w:p w14:paraId="1ACA47F3">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九、国有资本经营预算支出决算情况说明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13</w:t>
      </w:r>
    </w:p>
    <w:p w14:paraId="3AE61BB3">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十、其他重要事项的情况说明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仿宋" w:hAnsi="仿宋" w:eastAsia="仿宋" w:cs="仿宋"/>
          <w:color w:val="auto"/>
          <w:kern w:val="2"/>
          <w:sz w:val="28"/>
          <w:szCs w:val="28"/>
          <w:lang w:val="en-US" w:eastAsia="zh-CN"/>
        </w:rPr>
        <w:t>13</w:t>
      </w:r>
    </w:p>
    <w:p w14:paraId="01CCE6E5">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第三部分 名词解释</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14</w:t>
      </w:r>
    </w:p>
    <w:p w14:paraId="5E0D76A1">
      <w:pPr>
        <w:pStyle w:val="13"/>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_Toc31366_WPSOffice_Level1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第四部分 附件</w:t>
      </w:r>
      <w:r>
        <w:rPr>
          <w:rFonts w:hint="eastAsia" w:hAnsi="仿宋" w:cs="仿宋"/>
          <w:b w:val="0"/>
          <w:bCs w:val="0"/>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17</w:t>
      </w:r>
      <w:r>
        <w:rPr>
          <w:rFonts w:hint="eastAsia" w:ascii="仿宋" w:hAnsi="仿宋" w:eastAsia="仿宋" w:cs="仿宋"/>
          <w:b w:val="0"/>
          <w:bCs w:val="0"/>
          <w:sz w:val="28"/>
          <w:szCs w:val="28"/>
        </w:rPr>
        <w:fldChar w:fldCharType="end"/>
      </w:r>
    </w:p>
    <w:p w14:paraId="500771C4">
      <w:pPr>
        <w:pStyle w:val="12"/>
        <w:tabs>
          <w:tab w:val="right" w:leader="dot" w:pos="8306"/>
        </w:tabs>
        <w:ind w:left="0" w:leftChars="0" w:firstLine="1120" w:firstLineChars="400"/>
        <w:rPr>
          <w:rFonts w:hint="eastAsia" w:ascii="仿宋" w:hAnsi="仿宋" w:eastAsia="仿宋" w:cs="仿宋"/>
          <w:b w:val="0"/>
          <w:bCs w:val="0"/>
          <w:color w:val="000000"/>
          <w:sz w:val="28"/>
          <w:szCs w:val="28"/>
          <w:lang w:val="en-US" w:eastAsia="zh-CN" w:bidi="ar-SA"/>
        </w:rPr>
      </w:pPr>
      <w:r>
        <w:rPr>
          <w:rFonts w:hint="eastAsia" w:ascii="仿宋" w:hAnsi="仿宋" w:eastAsia="仿宋" w:cs="仿宋"/>
          <w:b w:val="0"/>
          <w:bCs w:val="0"/>
          <w:color w:val="000000"/>
          <w:sz w:val="28"/>
          <w:szCs w:val="28"/>
          <w:lang w:val="en-US" w:eastAsia="zh-CN" w:bidi="ar-SA"/>
        </w:rPr>
        <w:fldChar w:fldCharType="begin"/>
      </w:r>
      <w:r>
        <w:rPr>
          <w:rFonts w:hint="eastAsia" w:ascii="仿宋" w:hAnsi="仿宋" w:eastAsia="仿宋" w:cs="仿宋"/>
          <w:b w:val="0"/>
          <w:bCs w:val="0"/>
          <w:color w:val="000000"/>
          <w:sz w:val="28"/>
          <w:szCs w:val="28"/>
          <w:lang w:val="en-US" w:eastAsia="zh-CN" w:bidi="ar-SA"/>
        </w:rPr>
        <w:instrText xml:space="preserve"> HYPERLINK \l _Toc7731_WPSOffice_Level2 </w:instrText>
      </w:r>
      <w:r>
        <w:rPr>
          <w:rFonts w:hint="eastAsia" w:ascii="仿宋" w:hAnsi="仿宋" w:eastAsia="仿宋" w:cs="仿宋"/>
          <w:b w:val="0"/>
          <w:bCs w:val="0"/>
          <w:color w:val="000000"/>
          <w:sz w:val="28"/>
          <w:szCs w:val="28"/>
          <w:lang w:val="en-US" w:eastAsia="zh-CN" w:bidi="ar-SA"/>
        </w:rPr>
        <w:fldChar w:fldCharType="separate"/>
      </w:r>
      <w:r>
        <w:rPr>
          <w:rFonts w:hint="eastAsia" w:ascii="仿宋" w:hAnsi="仿宋" w:eastAsia="仿宋" w:cs="仿宋"/>
          <w:b w:val="0"/>
          <w:bCs w:val="0"/>
          <w:color w:val="000000"/>
          <w:sz w:val="28"/>
          <w:szCs w:val="28"/>
          <w:lang w:val="en-US" w:eastAsia="zh-CN" w:bidi="ar-SA"/>
        </w:rPr>
        <w:t xml:space="preserve">部门整体绩效评价报告  </w:t>
      </w:r>
      <w:r>
        <w:rPr>
          <w:rFonts w:hint="eastAsia" w:ascii="仿宋" w:hAnsi="仿宋" w:eastAsia="仿宋" w:cs="仿宋"/>
          <w:b w:val="0"/>
          <w:bCs w:val="0"/>
          <w:color w:val="000000"/>
          <w:sz w:val="28"/>
          <w:szCs w:val="28"/>
          <w:lang w:val="zh-CN" w:eastAsia="zh-CN" w:bidi="ar-SA"/>
        </w:rPr>
        <w:t>………………………………………</w:t>
      </w:r>
      <w:r>
        <w:rPr>
          <w:rFonts w:hint="eastAsia" w:ascii="仿宋" w:hAnsi="仿宋" w:eastAsia="仿宋" w:cs="仿宋"/>
          <w:b w:val="0"/>
          <w:bCs w:val="0"/>
          <w:color w:val="000000"/>
          <w:sz w:val="28"/>
          <w:szCs w:val="28"/>
          <w:lang w:val="en-US" w:eastAsia="zh-CN" w:bidi="ar-SA"/>
        </w:rPr>
        <w:t>17</w:t>
      </w:r>
      <w:r>
        <w:rPr>
          <w:rFonts w:hint="eastAsia" w:ascii="仿宋" w:hAnsi="仿宋" w:eastAsia="仿宋" w:cs="仿宋"/>
          <w:b w:val="0"/>
          <w:bCs w:val="0"/>
          <w:color w:val="000000"/>
          <w:sz w:val="28"/>
          <w:szCs w:val="28"/>
          <w:lang w:val="en-US" w:eastAsia="zh-CN" w:bidi="ar-SA"/>
        </w:rPr>
        <w:fldChar w:fldCharType="end"/>
      </w:r>
    </w:p>
    <w:p w14:paraId="02141A6E">
      <w:pPr>
        <w:pStyle w:val="12"/>
        <w:tabs>
          <w:tab w:val="right" w:leader="dot" w:pos="8306"/>
        </w:tabs>
        <w:ind w:left="0" w:leftChars="0" w:firstLine="1120" w:firstLineChars="400"/>
        <w:rPr>
          <w:rFonts w:hint="eastAsia" w:ascii="仿宋" w:hAnsi="仿宋" w:eastAsia="仿宋" w:cs="仿宋"/>
          <w:sz w:val="28"/>
          <w:szCs w:val="28"/>
          <w:lang w:val="zh-CN"/>
        </w:rPr>
      </w:pPr>
      <w:r>
        <w:rPr>
          <w:rFonts w:hint="eastAsia" w:ascii="仿宋" w:hAnsi="仿宋" w:eastAsia="仿宋" w:cs="仿宋"/>
          <w:b w:val="0"/>
          <w:bCs w:val="0"/>
          <w:color w:val="000000"/>
          <w:sz w:val="28"/>
          <w:szCs w:val="28"/>
          <w:lang w:val="en-US" w:eastAsia="zh-CN" w:bidi="ar-SA"/>
        </w:rPr>
        <w:fldChar w:fldCharType="begin"/>
      </w:r>
      <w:r>
        <w:rPr>
          <w:rFonts w:hint="eastAsia" w:ascii="仿宋" w:hAnsi="仿宋" w:eastAsia="仿宋" w:cs="仿宋"/>
          <w:b w:val="0"/>
          <w:bCs w:val="0"/>
          <w:color w:val="000000"/>
          <w:sz w:val="28"/>
          <w:szCs w:val="28"/>
          <w:lang w:val="en-US" w:eastAsia="zh-CN" w:bidi="ar-SA"/>
        </w:rPr>
        <w:instrText xml:space="preserve"> HYPERLINK \l _Toc11411_WPSOffice_Level2 </w:instrText>
      </w:r>
      <w:r>
        <w:rPr>
          <w:rFonts w:hint="eastAsia" w:ascii="仿宋" w:hAnsi="仿宋" w:eastAsia="仿宋" w:cs="仿宋"/>
          <w:b w:val="0"/>
          <w:bCs w:val="0"/>
          <w:color w:val="000000"/>
          <w:sz w:val="28"/>
          <w:szCs w:val="28"/>
          <w:lang w:val="en-US" w:eastAsia="zh-CN" w:bidi="ar-SA"/>
        </w:rPr>
        <w:fldChar w:fldCharType="separate"/>
      </w:r>
      <w:r>
        <w:rPr>
          <w:rFonts w:hint="eastAsia" w:ascii="仿宋" w:hAnsi="仿宋" w:eastAsia="仿宋" w:cs="仿宋"/>
          <w:b w:val="0"/>
          <w:bCs w:val="0"/>
          <w:color w:val="000000"/>
          <w:sz w:val="28"/>
          <w:szCs w:val="28"/>
          <w:lang w:val="en-US" w:eastAsia="zh-CN" w:bidi="ar-SA"/>
        </w:rPr>
        <w:t>重点管理预算项目支出绩效自评报告</w:t>
      </w:r>
      <w:r>
        <w:rPr>
          <w:rFonts w:hint="eastAsia" w:ascii="仿宋" w:hAnsi="仿宋" w:eastAsia="仿宋" w:cs="仿宋"/>
          <w:b w:val="0"/>
          <w:bCs w:val="0"/>
          <w:color w:val="000000"/>
          <w:sz w:val="28"/>
          <w:szCs w:val="28"/>
          <w:lang w:val="zh-CN" w:eastAsia="zh-CN" w:bidi="ar-SA"/>
        </w:rPr>
        <w:t>…………………………</w:t>
      </w:r>
      <w:r>
        <w:rPr>
          <w:rFonts w:hint="eastAsia" w:ascii="仿宋" w:hAnsi="仿宋" w:eastAsia="仿宋" w:cs="仿宋"/>
          <w:b w:val="0"/>
          <w:bCs w:val="0"/>
          <w:color w:val="000000"/>
          <w:sz w:val="28"/>
          <w:szCs w:val="28"/>
          <w:lang w:val="en-US" w:eastAsia="zh-CN" w:bidi="ar-SA"/>
        </w:rPr>
        <w:t>28</w:t>
      </w:r>
      <w:r>
        <w:rPr>
          <w:rFonts w:hint="eastAsia" w:ascii="仿宋" w:hAnsi="仿宋" w:eastAsia="仿宋" w:cs="仿宋"/>
          <w:b w:val="0"/>
          <w:bCs w:val="0"/>
          <w:color w:val="000000"/>
          <w:sz w:val="28"/>
          <w:szCs w:val="28"/>
          <w:lang w:val="en-US" w:eastAsia="zh-CN" w:bidi="ar-SA"/>
        </w:rPr>
        <w:fldChar w:fldCharType="end"/>
      </w:r>
    </w:p>
    <w:p w14:paraId="5EF048AC">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第五部分 附表</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16EE3FF8">
      <w:pPr>
        <w:tabs>
          <w:tab w:val="right" w:leader="dot" w:pos="8296"/>
        </w:tabs>
        <w:spacing w:beforeLines="0" w:afterLines="0" w:line="440" w:lineRule="exact"/>
        <w:ind w:firstLine="560" w:firstLineChars="20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一、收入支出决算总表</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51108589">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二、收入决算表</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77C0A197">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三、支出决算表</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4D8897B6">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四、财政拨款收入支出决算总表</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01B5AF45">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五、财政拨款支出决算明细表</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6090F1C5">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六、一般公共预算财政拨款支出决算表</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5E693D6F">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七、一般公共预算财政拨款支出决算明细表</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7ED25568">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八、一般公共预算财政拨款基本支出决算明细表</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4A19DEEB">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九、一般公共预算财政拨款项目支出决算表</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2A8BCB2E">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十、政府性基金预算财政拨款收入支出决算表</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2C51C974">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十一、国有资本经营预算财政拨款收入支出决算表</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6119D408">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十二、国有资本经营预算财政拨款支出决算表</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2595B79B">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十三、财政拨款“三公”经费支出决算表</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33</w:t>
      </w:r>
    </w:p>
    <w:p w14:paraId="10EF439C">
      <w:pPr>
        <w:spacing w:beforeLines="0" w:afterLines="0" w:line="440" w:lineRule="exact"/>
        <w:rPr>
          <w:rFonts w:hint="eastAsia" w:ascii="仿宋" w:hAnsi="仿宋" w:eastAsia="仿宋"/>
          <w:color w:val="auto"/>
          <w:kern w:val="44"/>
          <w:sz w:val="24"/>
          <w:szCs w:val="24"/>
          <w:lang w:val="zh-CN"/>
        </w:rPr>
      </w:pPr>
      <w:r>
        <w:rPr>
          <w:rFonts w:hint="eastAsia" w:ascii="仿宋" w:hAnsi="仿宋" w:eastAsia="仿宋"/>
          <w:b/>
          <w:color w:val="auto"/>
          <w:kern w:val="2"/>
          <w:sz w:val="24"/>
          <w:szCs w:val="24"/>
          <w:lang w:val="zh-CN"/>
        </w:rPr>
        <w:br w:type="page"/>
      </w:r>
    </w:p>
    <w:p w14:paraId="7DC824E0">
      <w:pPr>
        <w:pStyle w:val="3"/>
        <w:spacing w:beforeLines="0" w:afterLines="0"/>
        <w:jc w:val="center"/>
        <w:rPr>
          <w:rStyle w:val="18"/>
          <w:rFonts w:hint="eastAsia" w:ascii="黑体" w:hAnsi="黑体" w:eastAsia="黑体"/>
          <w:b/>
          <w:sz w:val="44"/>
          <w:szCs w:val="24"/>
        </w:rPr>
      </w:pPr>
      <w:bookmarkStart w:id="0" w:name="_Toc845_WPSOffice_Level1"/>
      <w:r>
        <w:rPr>
          <w:rFonts w:hint="eastAsia" w:ascii="黑体" w:hAnsi="黑体" w:eastAsia="黑体"/>
          <w:sz w:val="44"/>
          <w:szCs w:val="24"/>
        </w:rPr>
        <w:t xml:space="preserve">第一部分 </w:t>
      </w:r>
      <w:r>
        <w:rPr>
          <w:rStyle w:val="18"/>
          <w:rFonts w:hint="eastAsia" w:ascii="黑体" w:hAnsi="黑体" w:eastAsia="黑体"/>
          <w:sz w:val="44"/>
          <w:szCs w:val="24"/>
        </w:rPr>
        <w:t>部门概况</w:t>
      </w:r>
      <w:bookmarkEnd w:id="0"/>
    </w:p>
    <w:p w14:paraId="2BAF596C">
      <w:pPr>
        <w:pStyle w:val="4"/>
        <w:spacing w:beforeLines="0" w:afterLines="0"/>
        <w:rPr>
          <w:rFonts w:hint="eastAsia" w:ascii="黑体" w:hAnsi="黑体" w:eastAsia="黑体"/>
          <w:color w:val="000000"/>
          <w:sz w:val="24"/>
          <w:szCs w:val="24"/>
        </w:rPr>
      </w:pPr>
      <w:bookmarkStart w:id="1" w:name="_Toc15396600"/>
      <w:bookmarkStart w:id="2" w:name="_Toc15377197"/>
    </w:p>
    <w:p w14:paraId="48594294">
      <w:pPr>
        <w:pStyle w:val="4"/>
        <w:keepNext w:val="0"/>
        <w:keepLines w:val="0"/>
        <w:pageBreakBefore w:val="0"/>
        <w:widowControl w:val="0"/>
        <w:kinsoku/>
        <w:wordWrap/>
        <w:overflowPunct/>
        <w:topLinePunct w:val="0"/>
        <w:bidi w:val="0"/>
        <w:spacing w:beforeLines="0" w:afterLines="0" w:line="500" w:lineRule="exact"/>
        <w:ind w:firstLine="640" w:firstLineChars="200"/>
        <w:textAlignment w:val="auto"/>
        <w:rPr>
          <w:rFonts w:hint="eastAsia" w:ascii="黑体" w:hAnsi="Times New Roman" w:eastAsia="黑体"/>
          <w:color w:val="000000"/>
          <w:sz w:val="32"/>
          <w:szCs w:val="24"/>
          <w:lang w:val="en-US" w:eastAsia="zh-CN"/>
        </w:rPr>
      </w:pPr>
      <w:bookmarkStart w:id="3" w:name="_Toc3467_WPSOffice_Level2"/>
      <w:r>
        <w:rPr>
          <w:rFonts w:hint="eastAsia" w:ascii="黑体" w:hAnsi="Times New Roman" w:eastAsia="黑体"/>
          <w:color w:val="000000"/>
          <w:sz w:val="32"/>
          <w:szCs w:val="24"/>
        </w:rPr>
        <w:t>一、</w:t>
      </w:r>
      <w:bookmarkEnd w:id="1"/>
      <w:bookmarkEnd w:id="2"/>
      <w:bookmarkEnd w:id="3"/>
      <w:r>
        <w:rPr>
          <w:rFonts w:hint="eastAsia" w:ascii="黑体" w:hAnsi="Times New Roman" w:eastAsia="黑体"/>
          <w:color w:val="000000"/>
          <w:sz w:val="32"/>
          <w:szCs w:val="24"/>
          <w:lang w:eastAsia="zh-CN"/>
        </w:rPr>
        <w:t>部门职责</w:t>
      </w:r>
    </w:p>
    <w:p w14:paraId="21779FB4">
      <w:pPr>
        <w:keepNext w:val="0"/>
        <w:keepLines w:val="0"/>
        <w:pageBreakBefore w:val="0"/>
        <w:widowControl w:val="0"/>
        <w:kinsoku/>
        <w:wordWrap/>
        <w:overflowPunct/>
        <w:topLinePunct w:val="0"/>
        <w:autoSpaceDE/>
        <w:autoSpaceDN/>
        <w:bidi w:val="0"/>
        <w:adjustRightInd/>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bookmarkStart w:id="4" w:name="_Toc15377198"/>
      <w:bookmarkStart w:id="5" w:name="_Toc15378445"/>
      <w:bookmarkStart w:id="6" w:name="_Toc15396601"/>
      <w:bookmarkStart w:id="7" w:name="_Toc15377200"/>
      <w:r>
        <w:rPr>
          <w:rFonts w:hint="eastAsia" w:ascii="仿宋" w:hAnsi="仿宋" w:eastAsia="仿宋" w:cs="仿宋"/>
          <w:color w:val="auto"/>
          <w:sz w:val="32"/>
          <w:szCs w:val="32"/>
          <w:lang w:val="en-US" w:eastAsia="zh-CN"/>
        </w:rPr>
        <w:t>（一）主要职能：</w:t>
      </w:r>
    </w:p>
    <w:p w14:paraId="632351AF">
      <w:pPr>
        <w:keepNext w:val="0"/>
        <w:keepLines w:val="0"/>
        <w:pageBreakBefore w:val="0"/>
        <w:widowControl w:val="0"/>
        <w:kinsoku/>
        <w:wordWrap/>
        <w:overflowPunct/>
        <w:topLinePunct w:val="0"/>
        <w:autoSpaceDE/>
        <w:autoSpaceDN/>
        <w:bidi w:val="0"/>
        <w:adjustRightInd/>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1.拟定相关的规范性文件，组织实施市级统筹医疗保险、生育保险、医疗救助等医疗保障方面的政策和监督检查。</w:t>
      </w:r>
    </w:p>
    <w:p w14:paraId="449C6BDB">
      <w:pPr>
        <w:keepNext w:val="0"/>
        <w:keepLines w:val="0"/>
        <w:pageBreakBefore w:val="0"/>
        <w:widowControl w:val="0"/>
        <w:kinsoku/>
        <w:wordWrap/>
        <w:overflowPunct/>
        <w:topLinePunct w:val="0"/>
        <w:autoSpaceDE/>
        <w:autoSpaceDN/>
        <w:bidi w:val="0"/>
        <w:adjustRightInd/>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2.组织制定并实施医疗保障基金监督管理制度，建立健全医疗保障基金安全防控机制，监督强化全县医疗保障基金的运行管理。</w:t>
      </w:r>
    </w:p>
    <w:p w14:paraId="650FC08E">
      <w:pPr>
        <w:keepNext w:val="0"/>
        <w:keepLines w:val="0"/>
        <w:pageBreakBefore w:val="0"/>
        <w:widowControl w:val="0"/>
        <w:kinsoku/>
        <w:wordWrap/>
        <w:overflowPunct/>
        <w:topLinePunct w:val="0"/>
        <w:autoSpaceDE/>
        <w:autoSpaceDN/>
        <w:bidi w:val="0"/>
        <w:adjustRightInd/>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3.组织执行省、市城乡统一的药品、医用耗材、医疗服务项目、医疗服务设施等医疗保障目录和支付标准，监督管理全县药品、医用耗材的招标采购政策的实施。</w:t>
      </w:r>
    </w:p>
    <w:p w14:paraId="4CDA5523">
      <w:pPr>
        <w:keepNext w:val="0"/>
        <w:keepLines w:val="0"/>
        <w:pageBreakBefore w:val="0"/>
        <w:widowControl w:val="0"/>
        <w:kinsoku/>
        <w:wordWrap/>
        <w:overflowPunct/>
        <w:topLinePunct w:val="0"/>
        <w:autoSpaceDE/>
        <w:autoSpaceDN/>
        <w:bidi w:val="0"/>
        <w:adjustRightInd/>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4.组织实施药品、医用耗材价格和医疗服务项目、医疗服务设施收费等政策，建立价格信息监测和信息发布制度。</w:t>
      </w:r>
    </w:p>
    <w:p w14:paraId="616157AF">
      <w:pPr>
        <w:keepNext w:val="0"/>
        <w:keepLines w:val="0"/>
        <w:pageBreakBefore w:val="0"/>
        <w:widowControl w:val="0"/>
        <w:kinsoku/>
        <w:wordWrap/>
        <w:overflowPunct/>
        <w:topLinePunct w:val="0"/>
        <w:autoSpaceDE/>
        <w:autoSpaceDN/>
        <w:bidi w:val="0"/>
        <w:adjustRightInd/>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推进医疗保障基金支付方式改革，拟定全县定点医药机构协议和支付管理办法并组织实施，指导全县医疗保障定点机构管理。建立健全医疗保障信用评价体系和信息披露制度，监督管理纳入医疗保障范围内的医疗服务行为和医疗费用，依法查处医疗保障领域违法违规行为。</w:t>
      </w:r>
    </w:p>
    <w:p w14:paraId="2DBDCF20">
      <w:pPr>
        <w:keepNext w:val="0"/>
        <w:keepLines w:val="0"/>
        <w:pageBreakBefore w:val="0"/>
        <w:widowControl w:val="0"/>
        <w:kinsoku/>
        <w:wordWrap/>
        <w:overflowPunct/>
        <w:topLinePunct w:val="0"/>
        <w:autoSpaceDE/>
        <w:autoSpaceDN/>
        <w:bidi w:val="0"/>
        <w:adjustRightInd/>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负责全县医疗保障经办管理和公共服务体系建设。组织实施异地就医管理和费用结算政策。建立健全医疗保障关系转移接续制度，拟定全民参保计划，推进医疗、生育保险费征收管理，监督管理全县医保经办服务工作。开展医疗保障领域对外合作交流。</w:t>
      </w:r>
    </w:p>
    <w:p w14:paraId="7469715A">
      <w:pPr>
        <w:keepNext w:val="0"/>
        <w:keepLines w:val="0"/>
        <w:pageBreakBefore w:val="0"/>
        <w:widowControl w:val="0"/>
        <w:kinsoku/>
        <w:wordWrap/>
        <w:overflowPunct/>
        <w:topLinePunct w:val="0"/>
        <w:autoSpaceDE/>
        <w:autoSpaceDN/>
        <w:bidi w:val="0"/>
        <w:adjustRightInd/>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7.负责规划实施全县医疗保障信息化建设。组织开展医疗保障大数据管理和应用。</w:t>
      </w:r>
    </w:p>
    <w:p w14:paraId="7E911929">
      <w:pPr>
        <w:keepNext w:val="0"/>
        <w:keepLines w:val="0"/>
        <w:pageBreakBefore w:val="0"/>
        <w:widowControl w:val="0"/>
        <w:kinsoku/>
        <w:wordWrap/>
        <w:overflowPunct/>
        <w:topLinePunct w:val="0"/>
        <w:autoSpaceDE/>
        <w:autoSpaceDN/>
        <w:bidi w:val="0"/>
        <w:adjustRightInd/>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8.负责职责范围内的安全生产和职业健康、生态环境保护、服务便民化等工作。</w:t>
      </w:r>
    </w:p>
    <w:p w14:paraId="7DCE5ED0">
      <w:pPr>
        <w:keepNext w:val="0"/>
        <w:keepLines w:val="0"/>
        <w:pageBreakBefore w:val="0"/>
        <w:widowControl w:val="0"/>
        <w:kinsoku/>
        <w:wordWrap/>
        <w:overflowPunct/>
        <w:topLinePunct w:val="0"/>
        <w:autoSpaceDE/>
        <w:autoSpaceDN/>
        <w:bidi w:val="0"/>
        <w:adjustRightInd/>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9.与县卫生健康局的职责分工。两部门在医疗、医保、医药等方面加强制度、政策衔接，建立沟通协商机制，协同推进改革，提高医疗资源使用效率和医疗保障水平。</w:t>
      </w:r>
    </w:p>
    <w:p w14:paraId="6ADF82F2">
      <w:pPr>
        <w:keepNext w:val="0"/>
        <w:keepLines w:val="0"/>
        <w:pageBreakBefore w:val="0"/>
        <w:widowControl w:val="0"/>
        <w:kinsoku/>
        <w:wordWrap/>
        <w:overflowPunct/>
        <w:topLinePunct w:val="0"/>
        <w:autoSpaceDE/>
        <w:autoSpaceDN/>
        <w:bidi w:val="0"/>
        <w:adjustRightInd/>
        <w:spacing w:beforeLines="0" w:afterLines="0"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10.完成县委、县政府交办的其他工作。</w:t>
      </w:r>
      <w:bookmarkEnd w:id="4"/>
      <w:bookmarkEnd w:id="5"/>
      <w:bookmarkStart w:id="8" w:name="_Toc15377199"/>
      <w:bookmarkStart w:id="9" w:name="_Toc15378446"/>
    </w:p>
    <w:bookmarkEnd w:id="8"/>
    <w:bookmarkEnd w:id="9"/>
    <w:p w14:paraId="4D59BE9F">
      <w:pPr>
        <w:pStyle w:val="4"/>
        <w:keepNext w:val="0"/>
        <w:keepLines w:val="0"/>
        <w:pageBreakBefore w:val="0"/>
        <w:widowControl w:val="0"/>
        <w:kinsoku/>
        <w:wordWrap/>
        <w:overflowPunct/>
        <w:topLinePunct w:val="0"/>
        <w:bidi w:val="0"/>
        <w:spacing w:beforeLines="0" w:afterLines="0" w:line="500" w:lineRule="exact"/>
        <w:ind w:firstLine="640" w:firstLineChars="200"/>
        <w:textAlignment w:val="auto"/>
        <w:rPr>
          <w:rStyle w:val="16"/>
          <w:rFonts w:hint="default"/>
          <w:sz w:val="32"/>
          <w:szCs w:val="24"/>
        </w:rPr>
      </w:pPr>
      <w:bookmarkStart w:id="10" w:name="_Toc20643_WPSOffice_Level2"/>
      <w:r>
        <w:rPr>
          <w:rFonts w:hint="eastAsia" w:ascii="黑体" w:hAnsi="Times New Roman" w:eastAsia="黑体"/>
          <w:color w:val="000000"/>
          <w:sz w:val="32"/>
          <w:szCs w:val="24"/>
        </w:rPr>
        <w:t>二、</w:t>
      </w:r>
      <w:r>
        <w:rPr>
          <w:rFonts w:hint="eastAsia" w:ascii="黑体" w:hAnsi="黑体" w:eastAsia="黑体"/>
          <w:color w:val="000000"/>
          <w:sz w:val="32"/>
          <w:szCs w:val="24"/>
        </w:rPr>
        <w:t>机</w:t>
      </w:r>
      <w:r>
        <w:rPr>
          <w:rStyle w:val="16"/>
          <w:rFonts w:hint="eastAsia" w:ascii="黑体" w:hAnsi="黑体" w:eastAsia="黑体"/>
          <w:sz w:val="32"/>
          <w:szCs w:val="24"/>
        </w:rPr>
        <w:t>构设置</w:t>
      </w:r>
      <w:bookmarkEnd w:id="6"/>
      <w:bookmarkEnd w:id="7"/>
      <w:bookmarkEnd w:id="10"/>
    </w:p>
    <w:p w14:paraId="5AF5AF6F">
      <w:pPr>
        <w:keepNext w:val="0"/>
        <w:keepLines w:val="0"/>
        <w:pageBreakBefore w:val="0"/>
        <w:widowControl w:val="0"/>
        <w:kinsoku/>
        <w:wordWrap/>
        <w:overflowPunct/>
        <w:topLinePunct w:val="0"/>
        <w:bidi w:val="0"/>
        <w:spacing w:beforeLines="0" w:afterLines="0" w:line="500" w:lineRule="exact"/>
        <w:ind w:firstLine="640" w:firstLineChars="200"/>
        <w:textAlignment w:val="auto"/>
        <w:rPr>
          <w:rFonts w:hint="eastAsia" w:ascii="仿宋" w:hAnsi="仿宋" w:eastAsia="仿宋"/>
          <w:sz w:val="32"/>
          <w:szCs w:val="24"/>
          <w:lang w:val="en-US" w:eastAsia="zh-CN"/>
        </w:rPr>
      </w:pPr>
      <w:r>
        <w:rPr>
          <w:rFonts w:hint="eastAsia" w:ascii="仿宋" w:hAnsi="仿宋" w:eastAsia="仿宋"/>
          <w:sz w:val="32"/>
          <w:szCs w:val="24"/>
          <w:lang w:eastAsia="zh-CN"/>
        </w:rPr>
        <w:t>医疗保障局</w:t>
      </w:r>
      <w:r>
        <w:rPr>
          <w:rFonts w:hint="eastAsia" w:ascii="仿宋" w:hAnsi="仿宋" w:eastAsia="仿宋"/>
          <w:sz w:val="32"/>
          <w:szCs w:val="24"/>
        </w:rPr>
        <w:t>下属二级单位</w:t>
      </w:r>
      <w:r>
        <w:rPr>
          <w:rFonts w:hint="eastAsia" w:ascii="仿宋" w:hAnsi="仿宋" w:eastAsia="仿宋"/>
          <w:sz w:val="32"/>
          <w:szCs w:val="24"/>
          <w:lang w:val="en-US" w:eastAsia="zh-CN"/>
        </w:rPr>
        <w:t>0</w:t>
      </w:r>
      <w:r>
        <w:rPr>
          <w:rFonts w:hint="eastAsia" w:ascii="仿宋" w:hAnsi="仿宋" w:eastAsia="仿宋"/>
          <w:sz w:val="32"/>
          <w:szCs w:val="24"/>
        </w:rPr>
        <w:t>个，其中行政单位</w:t>
      </w:r>
      <w:r>
        <w:rPr>
          <w:rFonts w:hint="eastAsia" w:ascii="仿宋" w:hAnsi="仿宋" w:eastAsia="仿宋"/>
          <w:sz w:val="32"/>
          <w:szCs w:val="24"/>
          <w:lang w:val="en-US" w:eastAsia="zh-CN"/>
        </w:rPr>
        <w:t>0</w:t>
      </w:r>
      <w:r>
        <w:rPr>
          <w:rFonts w:hint="eastAsia" w:ascii="仿宋" w:hAnsi="仿宋" w:eastAsia="仿宋"/>
          <w:sz w:val="32"/>
          <w:szCs w:val="24"/>
        </w:rPr>
        <w:t>个，参照公务员法管理的事业单位</w:t>
      </w:r>
      <w:r>
        <w:rPr>
          <w:rFonts w:hint="eastAsia" w:ascii="仿宋" w:hAnsi="仿宋" w:eastAsia="仿宋"/>
          <w:sz w:val="32"/>
          <w:szCs w:val="24"/>
          <w:lang w:val="en-US" w:eastAsia="zh-CN"/>
        </w:rPr>
        <w:t>0</w:t>
      </w:r>
      <w:r>
        <w:rPr>
          <w:rFonts w:hint="eastAsia" w:ascii="仿宋" w:hAnsi="仿宋" w:eastAsia="仿宋"/>
          <w:sz w:val="32"/>
          <w:szCs w:val="24"/>
        </w:rPr>
        <w:t>个，其他事业单位</w:t>
      </w:r>
      <w:r>
        <w:rPr>
          <w:rFonts w:hint="eastAsia" w:ascii="仿宋" w:hAnsi="仿宋" w:eastAsia="仿宋"/>
          <w:sz w:val="32"/>
          <w:szCs w:val="24"/>
          <w:lang w:val="en-US" w:eastAsia="zh-CN"/>
        </w:rPr>
        <w:t>0</w:t>
      </w:r>
      <w:r>
        <w:rPr>
          <w:rFonts w:hint="eastAsia" w:ascii="仿宋" w:hAnsi="仿宋" w:eastAsia="仿宋"/>
          <w:sz w:val="32"/>
          <w:szCs w:val="24"/>
        </w:rPr>
        <w:t>个。</w:t>
      </w:r>
      <w:r>
        <w:rPr>
          <w:rFonts w:hint="eastAsia" w:ascii="仿宋" w:hAnsi="仿宋" w:eastAsia="仿宋"/>
          <w:sz w:val="32"/>
          <w:szCs w:val="24"/>
          <w:lang w:val="en-US" w:eastAsia="zh-CN"/>
        </w:rPr>
        <w:t xml:space="preserve">  </w:t>
      </w:r>
    </w:p>
    <w:p w14:paraId="1C0A641D">
      <w:pPr>
        <w:pStyle w:val="6"/>
        <w:keepNext w:val="0"/>
        <w:keepLines w:val="0"/>
        <w:pageBreakBefore w:val="0"/>
        <w:widowControl w:val="0"/>
        <w:kinsoku/>
        <w:wordWrap/>
        <w:overflowPunct/>
        <w:topLinePunct w:val="0"/>
        <w:bidi w:val="0"/>
        <w:snapToGrid w:val="0"/>
        <w:spacing w:before="93" w:afterLines="0" w:line="500" w:lineRule="exact"/>
        <w:ind w:firstLine="672" w:firstLineChars="210"/>
        <w:textAlignment w:val="auto"/>
        <w:rPr>
          <w:rFonts w:hint="eastAsia" w:ascii="仿宋" w:hAnsi="仿宋" w:eastAsia="仿宋"/>
          <w:color w:val="auto"/>
          <w:sz w:val="32"/>
          <w:szCs w:val="24"/>
          <w:lang w:val="en-US" w:eastAsia="zh-CN"/>
        </w:rPr>
      </w:pPr>
      <w:r>
        <w:rPr>
          <w:rFonts w:hint="eastAsia" w:ascii="仿宋" w:hAnsi="仿宋" w:eastAsia="仿宋"/>
          <w:color w:val="auto"/>
          <w:sz w:val="32"/>
          <w:szCs w:val="24"/>
        </w:rPr>
        <w:t>纳入</w:t>
      </w:r>
      <w:r>
        <w:rPr>
          <w:rFonts w:hint="eastAsia" w:ascii="仿宋" w:hAnsi="仿宋" w:eastAsia="仿宋"/>
          <w:color w:val="auto"/>
          <w:sz w:val="32"/>
          <w:szCs w:val="24"/>
          <w:lang w:eastAsia="zh-CN"/>
        </w:rPr>
        <w:t>医疗保障局</w:t>
      </w:r>
      <w:r>
        <w:rPr>
          <w:rFonts w:hint="eastAsia" w:ascii="仿宋" w:hAnsi="仿宋" w:eastAsia="仿宋"/>
          <w:color w:val="auto"/>
          <w:sz w:val="32"/>
          <w:szCs w:val="24"/>
        </w:rPr>
        <w:t>20</w:t>
      </w:r>
      <w:r>
        <w:rPr>
          <w:rFonts w:hint="eastAsia" w:ascii="仿宋" w:hAnsi="仿宋" w:eastAsia="仿宋"/>
          <w:color w:val="auto"/>
          <w:sz w:val="32"/>
          <w:szCs w:val="24"/>
          <w:lang w:val="en-US" w:eastAsia="zh-CN"/>
        </w:rPr>
        <w:t>23</w:t>
      </w:r>
      <w:r>
        <w:rPr>
          <w:rFonts w:hint="eastAsia" w:ascii="仿宋" w:hAnsi="仿宋" w:eastAsia="仿宋"/>
          <w:color w:val="auto"/>
          <w:sz w:val="32"/>
          <w:szCs w:val="24"/>
        </w:rPr>
        <w:t>年度部门决算编制范围的二级预算单位包括：</w:t>
      </w:r>
      <w:r>
        <w:rPr>
          <w:rFonts w:hint="eastAsia" w:ascii="仿宋" w:hAnsi="仿宋" w:eastAsia="仿宋"/>
          <w:color w:val="auto"/>
          <w:sz w:val="32"/>
          <w:szCs w:val="24"/>
          <w:lang w:val="en-US" w:eastAsia="zh-CN"/>
        </w:rPr>
        <w:t>0个。</w:t>
      </w:r>
    </w:p>
    <w:p w14:paraId="6272CC88">
      <w:pPr>
        <w:pStyle w:val="3"/>
        <w:keepNext/>
        <w:keepLines/>
        <w:spacing w:before="340" w:beforeLines="0" w:after="330" w:afterLines="0" w:line="576" w:lineRule="exact"/>
        <w:ind w:right="442" w:firstLine="880"/>
        <w:jc w:val="center"/>
        <w:rPr>
          <w:rFonts w:hint="eastAsia" w:ascii="黑体" w:hAnsi="黑体" w:eastAsia="黑体"/>
          <w:color w:val="000000"/>
          <w:kern w:val="44"/>
          <w:sz w:val="44"/>
          <w:szCs w:val="24"/>
          <w:lang w:val="zh-CN"/>
        </w:rPr>
      </w:pPr>
    </w:p>
    <w:p w14:paraId="13FA76AD">
      <w:pPr>
        <w:pStyle w:val="3"/>
        <w:keepNext/>
        <w:keepLines/>
        <w:spacing w:before="340" w:beforeLines="0" w:after="330" w:afterLines="0" w:line="576" w:lineRule="exact"/>
        <w:ind w:right="442" w:firstLine="880"/>
        <w:jc w:val="center"/>
        <w:rPr>
          <w:rFonts w:hint="eastAsia" w:ascii="Times New Roman" w:hAnsi="Times New Roman" w:eastAsia="Times New Roman"/>
          <w:b/>
          <w:color w:val="auto"/>
          <w:kern w:val="44"/>
          <w:sz w:val="44"/>
          <w:szCs w:val="24"/>
          <w:lang w:val="zh-CN"/>
        </w:rPr>
      </w:pPr>
      <w:r>
        <w:rPr>
          <w:rFonts w:hint="eastAsia" w:ascii="黑体" w:hAnsi="黑体" w:eastAsia="黑体"/>
          <w:color w:val="000000"/>
          <w:kern w:val="44"/>
          <w:sz w:val="44"/>
          <w:szCs w:val="24"/>
          <w:lang w:val="zh-CN"/>
        </w:rPr>
        <w:t>第二部分</w:t>
      </w:r>
      <w:r>
        <w:rPr>
          <w:rFonts w:hint="eastAsia" w:ascii="黑体" w:hAnsi="黑体" w:eastAsia="黑体"/>
          <w:b/>
          <w:color w:val="000000"/>
          <w:kern w:val="44"/>
          <w:sz w:val="44"/>
          <w:szCs w:val="24"/>
          <w:lang w:val="zh-CN"/>
        </w:rPr>
        <w:t xml:space="preserve"> </w:t>
      </w:r>
      <w:r>
        <w:rPr>
          <w:rFonts w:hint="eastAsia" w:ascii="黑体" w:hAnsi="黑体" w:eastAsia="黑体"/>
          <w:color w:val="auto"/>
          <w:kern w:val="44"/>
          <w:sz w:val="44"/>
          <w:szCs w:val="24"/>
          <w:lang w:val="zh-CN"/>
        </w:rPr>
        <w:t>202</w:t>
      </w:r>
      <w:r>
        <w:rPr>
          <w:rFonts w:hint="eastAsia" w:ascii="黑体" w:hAnsi="黑体" w:eastAsia="黑体"/>
          <w:color w:val="auto"/>
          <w:kern w:val="44"/>
          <w:sz w:val="44"/>
          <w:szCs w:val="24"/>
          <w:lang w:val="en-US" w:eastAsia="zh-CN"/>
        </w:rPr>
        <w:t>3</w:t>
      </w:r>
      <w:r>
        <w:rPr>
          <w:rFonts w:hint="eastAsia" w:ascii="黑体" w:hAnsi="黑体" w:eastAsia="黑体"/>
          <w:color w:val="auto"/>
          <w:kern w:val="44"/>
          <w:sz w:val="44"/>
          <w:szCs w:val="24"/>
          <w:lang w:val="zh-CN"/>
        </w:rPr>
        <w:t>年度部门决算情况说明</w:t>
      </w:r>
    </w:p>
    <w:p w14:paraId="1C340ED8">
      <w:pPr>
        <w:keepNext/>
        <w:keepLines/>
        <w:spacing w:beforeLines="0" w:afterLines="0" w:line="576" w:lineRule="exact"/>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 xml:space="preserve">    一、收</w:t>
      </w:r>
      <w:r>
        <w:rPr>
          <w:rFonts w:hint="eastAsia" w:ascii="黑体" w:hAnsi="黑体" w:eastAsia="黑体"/>
          <w:color w:val="auto"/>
          <w:kern w:val="2"/>
          <w:sz w:val="32"/>
          <w:szCs w:val="24"/>
          <w:lang w:val="zh-CN"/>
        </w:rPr>
        <w:t>入支出决算总体情况说明</w:t>
      </w:r>
    </w:p>
    <w:p w14:paraId="46EE5866">
      <w:pPr>
        <w:spacing w:beforeLines="0" w:afterLines="0" w:line="600" w:lineRule="exact"/>
        <w:ind w:firstLine="640" w:firstLineChars="200"/>
        <w:rPr>
          <w:rFonts w:hint="eastAsia" w:ascii="仿宋_GB2312" w:hAnsi="仿宋_GB2312" w:eastAsia="仿宋_GB2312"/>
          <w:color w:val="000000"/>
          <w:kern w:val="2"/>
          <w:sz w:val="32"/>
          <w:szCs w:val="24"/>
          <w:lang w:val="en-US"/>
        </w:rPr>
      </w:pPr>
      <w:r>
        <w:rPr>
          <w:rFonts w:hint="eastAsia" w:ascii="仿宋_GB2312" w:hAnsi="仿宋_GB2312" w:eastAsia="仿宋_GB2312"/>
          <w:color w:val="auto"/>
          <w:kern w:val="2"/>
          <w:sz w:val="32"/>
          <w:szCs w:val="24"/>
          <w:lang w:val="en-US" w:eastAsia="zh-CN"/>
        </w:rPr>
        <w:t>2023年度收支总计2053.7万元，</w:t>
      </w:r>
      <w:r>
        <w:rPr>
          <w:rFonts w:hint="eastAsia" w:ascii="仿宋_GB2312" w:hAnsi="仿宋_GB2312" w:eastAsia="仿宋_GB2312"/>
          <w:color w:val="auto"/>
          <w:kern w:val="2"/>
          <w:sz w:val="32"/>
          <w:szCs w:val="24"/>
          <w:lang w:val="zh-CN"/>
        </w:rPr>
        <w:t>2022年度收、支总计2,889.07万元。与202</w:t>
      </w: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lang w:val="zh-CN"/>
        </w:rPr>
        <w:t>年相比，收、支总计各减少</w:t>
      </w:r>
      <w:r>
        <w:rPr>
          <w:rFonts w:hint="eastAsia" w:ascii="仿宋_GB2312" w:hAnsi="仿宋_GB2312" w:eastAsia="仿宋_GB2312"/>
          <w:color w:val="auto"/>
          <w:kern w:val="2"/>
          <w:sz w:val="32"/>
          <w:szCs w:val="24"/>
          <w:lang w:val="en-US" w:eastAsia="zh-CN"/>
        </w:rPr>
        <w:t>417.685</w:t>
      </w:r>
      <w:r>
        <w:rPr>
          <w:rFonts w:hint="eastAsia" w:ascii="仿宋_GB2312" w:hAnsi="仿宋_GB2312" w:eastAsia="仿宋_GB2312"/>
          <w:color w:val="auto"/>
          <w:kern w:val="2"/>
          <w:sz w:val="32"/>
          <w:szCs w:val="24"/>
          <w:lang w:val="zh-CN"/>
        </w:rPr>
        <w:t>万元，减少</w:t>
      </w:r>
      <w:r>
        <w:rPr>
          <w:rFonts w:hint="eastAsia" w:ascii="仿宋_GB2312" w:hAnsi="仿宋_GB2312" w:eastAsia="仿宋_GB2312"/>
          <w:color w:val="auto"/>
          <w:kern w:val="2"/>
          <w:sz w:val="32"/>
          <w:szCs w:val="24"/>
          <w:lang w:val="en-US" w:eastAsia="zh-CN"/>
        </w:rPr>
        <w:t>14.46</w:t>
      </w:r>
      <w:r>
        <w:rPr>
          <w:rFonts w:hint="eastAsia" w:ascii="仿宋_GB2312" w:hAnsi="仿宋_GB2312" w:eastAsia="仿宋_GB2312"/>
          <w:color w:val="auto"/>
          <w:kern w:val="2"/>
          <w:sz w:val="32"/>
          <w:szCs w:val="24"/>
          <w:lang w:val="zh-CN"/>
        </w:rPr>
        <w:t>%。</w:t>
      </w:r>
      <w:r>
        <w:rPr>
          <w:rFonts w:hint="eastAsia" w:ascii="仿宋" w:hAnsi="仿宋" w:eastAsia="仿宋"/>
          <w:color w:val="auto"/>
          <w:sz w:val="32"/>
          <w:szCs w:val="24"/>
        </w:rPr>
        <w:t>主要变动原因是</w:t>
      </w:r>
      <w:r>
        <w:rPr>
          <w:rFonts w:hint="eastAsia" w:ascii="仿宋_GB2312" w:hAnsi="仿宋" w:eastAsia="仿宋_GB2312" w:cs="仿宋"/>
          <w:sz w:val="32"/>
          <w:szCs w:val="32"/>
          <w:lang w:val="en-US" w:eastAsia="zh-CN"/>
        </w:rPr>
        <w:t>2021年脱贫户参保政府代缴资金在2022年收支，2023年正常收支。</w:t>
      </w:r>
    </w:p>
    <w:p w14:paraId="208DCE0D">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（图1：收、支决算总计变动情况图）（柱状图）</w:t>
      </w:r>
    </w:p>
    <w:p w14:paraId="20B8CEC7">
      <w:pPr>
        <w:pStyle w:val="7"/>
        <w:jc w:val="center"/>
        <w:rPr>
          <w:rFonts w:hint="eastAsia" w:eastAsia="仿宋"/>
          <w:lang w:val="en-US" w:eastAsia="zh-CN"/>
        </w:rPr>
      </w:pPr>
      <w:r>
        <w:rPr>
          <w:rFonts w:hint="eastAsia" w:eastAsia="仿宋"/>
          <w:lang w:val="en-US" w:eastAsia="zh-CN"/>
        </w:rPr>
        <w:drawing>
          <wp:inline distT="0" distB="0" distL="114300" distR="114300">
            <wp:extent cx="3247390" cy="2761615"/>
            <wp:effectExtent l="0" t="0" r="10160" b="635"/>
            <wp:docPr id="1" name="图片 1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图片1"/>
                    <pic:cNvPicPr>
                      <a:picLocks noChangeAspect="1"/>
                    </pic:cNvPicPr>
                  </pic:nvPicPr>
                  <pic:blipFill>
                    <a:blip r:embed="rId5"/>
                    <a:stretch>
                      <a:fillRect/>
                    </a:stretch>
                  </pic:blipFill>
                  <pic:spPr>
                    <a:xfrm>
                      <a:off x="0" y="0"/>
                      <a:ext cx="3247390" cy="2761615"/>
                    </a:xfrm>
                    <a:prstGeom prst="rect">
                      <a:avLst/>
                    </a:prstGeom>
                    <a:noFill/>
                    <a:ln w="9525">
                      <a:noFill/>
                    </a:ln>
                  </pic:spPr>
                </pic:pic>
              </a:graphicData>
            </a:graphic>
          </wp:inline>
        </w:drawing>
      </w:r>
    </w:p>
    <w:p w14:paraId="0AFAD250">
      <w:pPr>
        <w:pStyle w:val="2"/>
        <w:spacing w:beforeLines="0" w:afterLines="0"/>
        <w:ind w:firstLine="643" w:firstLineChars="200"/>
        <w:jc w:val="left"/>
        <w:rPr>
          <w:rFonts w:hint="eastAsia" w:ascii="黑体" w:hAnsi="黑体" w:eastAsia="黑体"/>
          <w:color w:val="000000"/>
          <w:kern w:val="2"/>
          <w:sz w:val="32"/>
          <w:szCs w:val="24"/>
          <w:lang w:val="zh-CN"/>
        </w:rPr>
      </w:pPr>
    </w:p>
    <w:p w14:paraId="180CD8D5">
      <w:pPr>
        <w:pStyle w:val="2"/>
        <w:spacing w:beforeLines="0" w:afterLines="0"/>
        <w:ind w:firstLine="643" w:firstLineChars="200"/>
        <w:jc w:val="left"/>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二、收</w:t>
      </w:r>
      <w:r>
        <w:rPr>
          <w:rFonts w:hint="eastAsia" w:ascii="黑体" w:hAnsi="黑体" w:eastAsia="黑体"/>
          <w:color w:val="auto"/>
          <w:kern w:val="2"/>
          <w:sz w:val="32"/>
          <w:szCs w:val="24"/>
          <w:lang w:val="zh-CN"/>
        </w:rPr>
        <w:t>入决算情况说明</w:t>
      </w:r>
    </w:p>
    <w:p w14:paraId="164C7788">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年本年收入合计1,021.67万元，其中：一般公共预算财政拨款收入1,021.67万元，占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zh-CN"/>
        </w:rPr>
        <w:t>%；政府性基金预算财政拨款收入</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w:t>
      </w:r>
    </w:p>
    <w:p w14:paraId="053CF4EF">
      <w:pPr>
        <w:spacing w:beforeLines="0" w:afterLines="0" w:line="600" w:lineRule="exact"/>
        <w:ind w:firstLine="643"/>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（注：数据来源于财决01表，仅罗列本部门涉及的收入）</w:t>
      </w:r>
    </w:p>
    <w:p w14:paraId="7D1ACD03">
      <w:pPr>
        <w:spacing w:beforeLines="0" w:afterLines="0" w:line="600" w:lineRule="exact"/>
        <w:ind w:firstLine="640"/>
        <w:jc w:val="both"/>
        <w:rPr>
          <w:rFonts w:hint="default" w:ascii="宋体" w:hAnsi="Times New Roman" w:eastAsia="宋体"/>
          <w:sz w:val="24"/>
          <w:szCs w:val="24"/>
          <w:lang w:val="en-US" w:eastAsia="zh-CN"/>
        </w:rPr>
      </w:pPr>
      <w:r>
        <w:rPr>
          <w:rFonts w:hint="eastAsia" w:ascii="仿宋" w:hAnsi="仿宋" w:eastAsia="仿宋"/>
          <w:color w:val="auto"/>
          <w:kern w:val="2"/>
          <w:sz w:val="32"/>
          <w:szCs w:val="24"/>
          <w:lang w:val="en-US"/>
        </w:rPr>
        <w:t>（图2：收入决算结构图）（饼状图）</w:t>
      </w:r>
    </w:p>
    <w:p w14:paraId="55A4B5FF">
      <w:pPr>
        <w:spacing w:beforeLines="0" w:afterLines="0"/>
        <w:rPr>
          <w:rFonts w:hint="default"/>
          <w:sz w:val="24"/>
          <w:szCs w:val="24"/>
          <w:lang w:val="en-US"/>
        </w:rPr>
      </w:pPr>
    </w:p>
    <w:p w14:paraId="102EB58F">
      <w:pPr>
        <w:spacing w:beforeLines="0" w:afterLines="0"/>
        <w:jc w:val="center"/>
        <w:rPr>
          <w:rFonts w:hint="eastAsia" w:ascii="仿宋" w:hAnsi="仿宋" w:eastAsia="仿宋"/>
          <w:color w:val="auto"/>
          <w:kern w:val="2"/>
          <w:sz w:val="32"/>
          <w:szCs w:val="24"/>
          <w:lang w:val="en-US" w:eastAsia="zh-CN"/>
        </w:rPr>
      </w:pPr>
      <w:r>
        <w:rPr>
          <w:rFonts w:hint="eastAsia" w:ascii="仿宋" w:hAnsi="仿宋" w:eastAsia="仿宋"/>
          <w:color w:val="auto"/>
          <w:kern w:val="2"/>
          <w:sz w:val="32"/>
          <w:szCs w:val="24"/>
          <w:lang w:val="en-US" w:eastAsia="zh-CN"/>
        </w:rPr>
        <w:drawing>
          <wp:inline distT="0" distB="0" distL="114300" distR="114300">
            <wp:extent cx="3447415" cy="2761615"/>
            <wp:effectExtent l="0" t="0" r="635" b="635"/>
            <wp:docPr id="2" name="图片 1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图片2"/>
                    <pic:cNvPicPr>
                      <a:picLocks noChangeAspect="1"/>
                    </pic:cNvPicPr>
                  </pic:nvPicPr>
                  <pic:blipFill>
                    <a:blip r:embed="rId6"/>
                    <a:stretch>
                      <a:fillRect/>
                    </a:stretch>
                  </pic:blipFill>
                  <pic:spPr>
                    <a:xfrm>
                      <a:off x="0" y="0"/>
                      <a:ext cx="3447415" cy="2761615"/>
                    </a:xfrm>
                    <a:prstGeom prst="rect">
                      <a:avLst/>
                    </a:prstGeom>
                    <a:noFill/>
                    <a:ln w="9525">
                      <a:noFill/>
                    </a:ln>
                  </pic:spPr>
                </pic:pic>
              </a:graphicData>
            </a:graphic>
          </wp:inline>
        </w:drawing>
      </w:r>
    </w:p>
    <w:p w14:paraId="29706920">
      <w:pPr>
        <w:keepNext/>
        <w:keepLines/>
        <w:spacing w:beforeLines="0" w:afterLines="0" w:line="576" w:lineRule="exact"/>
        <w:ind w:firstLine="640" w:firstLineChars="20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三、支</w:t>
      </w:r>
      <w:r>
        <w:rPr>
          <w:rFonts w:hint="eastAsia" w:ascii="黑体" w:hAnsi="黑体" w:eastAsia="黑体"/>
          <w:color w:val="auto"/>
          <w:kern w:val="2"/>
          <w:sz w:val="32"/>
          <w:szCs w:val="24"/>
          <w:lang w:val="zh-CN"/>
        </w:rPr>
        <w:t>出决算情况说明</w:t>
      </w:r>
    </w:p>
    <w:p w14:paraId="5240C8A7">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年本年支出合计1,021.67万元，其中：基本支出341.63万元，占</w:t>
      </w:r>
      <w:r>
        <w:rPr>
          <w:rFonts w:hint="eastAsia" w:ascii="仿宋_GB2312" w:hAnsi="仿宋_GB2312" w:eastAsia="仿宋_GB2312"/>
          <w:color w:val="000000"/>
          <w:kern w:val="2"/>
          <w:sz w:val="32"/>
          <w:szCs w:val="24"/>
          <w:lang w:val="en-US" w:eastAsia="zh-CN"/>
        </w:rPr>
        <w:t>33.4</w:t>
      </w:r>
      <w:r>
        <w:rPr>
          <w:rFonts w:hint="eastAsia" w:ascii="仿宋_GB2312" w:hAnsi="仿宋_GB2312" w:eastAsia="仿宋_GB2312"/>
          <w:color w:val="000000"/>
          <w:kern w:val="2"/>
          <w:sz w:val="32"/>
          <w:szCs w:val="24"/>
          <w:lang w:val="zh-CN"/>
        </w:rPr>
        <w:t>%；项目支出680.04万元，占</w:t>
      </w:r>
      <w:r>
        <w:rPr>
          <w:rFonts w:hint="eastAsia" w:ascii="仿宋_GB2312" w:hAnsi="仿宋_GB2312" w:eastAsia="仿宋_GB2312"/>
          <w:color w:val="000000"/>
          <w:kern w:val="2"/>
          <w:sz w:val="32"/>
          <w:szCs w:val="24"/>
          <w:lang w:val="en-US" w:eastAsia="zh-CN"/>
        </w:rPr>
        <w:t>66.56</w:t>
      </w:r>
      <w:r>
        <w:rPr>
          <w:rFonts w:hint="eastAsia" w:ascii="仿宋_GB2312" w:hAnsi="仿宋_GB2312" w:eastAsia="仿宋_GB2312"/>
          <w:color w:val="000000"/>
          <w:kern w:val="2"/>
          <w:sz w:val="32"/>
          <w:szCs w:val="24"/>
          <w:lang w:val="zh-CN"/>
        </w:rPr>
        <w:t>%。</w:t>
      </w:r>
    </w:p>
    <w:p w14:paraId="5B5BCCAA">
      <w:pPr>
        <w:spacing w:beforeLines="0" w:afterLines="0" w:line="600" w:lineRule="exact"/>
        <w:ind w:firstLine="643"/>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（注：数据来源于财决04表，仅罗列本部门涉及的支出）</w:t>
      </w:r>
    </w:p>
    <w:p w14:paraId="12E7F0AE">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（图3：支出决算结构图）（饼状图）</w:t>
      </w:r>
    </w:p>
    <w:p w14:paraId="1B9A22B6">
      <w:pPr>
        <w:pStyle w:val="2"/>
        <w:spacing w:beforeLines="0" w:afterLines="0"/>
        <w:rPr>
          <w:rFonts w:hint="eastAsia" w:ascii="仿宋" w:hAnsi="仿宋" w:eastAsia="仿宋"/>
          <w:color w:val="auto"/>
          <w:kern w:val="2"/>
          <w:sz w:val="32"/>
          <w:szCs w:val="24"/>
          <w:lang w:val="en-US" w:eastAsia="zh-CN"/>
        </w:rPr>
      </w:pPr>
      <w:r>
        <w:rPr>
          <w:rFonts w:hint="eastAsia" w:ascii="仿宋" w:hAnsi="仿宋" w:eastAsia="仿宋"/>
          <w:color w:val="auto"/>
          <w:kern w:val="2"/>
          <w:sz w:val="32"/>
          <w:szCs w:val="24"/>
          <w:lang w:val="en-US" w:eastAsia="zh-CN"/>
        </w:rPr>
        <w:object>
          <v:shape id="_x0000_i1025" o:spt="75" type="#_x0000_t75" style="height:222.75pt;width:258.75pt;" o:ole="t" filled="f" o:preferrelative="t" stroked="f" coordsize="21600,21600">
            <v:path/>
            <v:fill on="f" focussize="0,0"/>
            <v:stroke on="f"/>
            <v:imagedata r:id="rId8" o:title=""/>
            <o:lock v:ext="edit" aspectratio="t"/>
            <w10:wrap type="none"/>
            <w10:anchorlock/>
          </v:shape>
          <o:OLEObject Type="Embed" ProgID="Excel.Chart.8" ShapeID="_x0000_i1025" DrawAspect="Content" ObjectID="_1468075725" r:id="rId7">
            <o:LockedField>false</o:LockedField>
          </o:OLEObject>
        </w:object>
      </w:r>
    </w:p>
    <w:p w14:paraId="137C32E8">
      <w:pPr>
        <w:pStyle w:val="2"/>
        <w:spacing w:beforeLines="0" w:afterLines="0"/>
        <w:jc w:val="both"/>
        <w:rPr>
          <w:rFonts w:hint="default" w:ascii="宋体"/>
          <w:sz w:val="24"/>
          <w:szCs w:val="24"/>
          <w:lang w:val="en-US"/>
        </w:rPr>
      </w:pPr>
    </w:p>
    <w:p w14:paraId="2E66138F">
      <w:pPr>
        <w:keepNext/>
        <w:keepLines/>
        <w:spacing w:beforeLines="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p>
    <w:p w14:paraId="62294F4B">
      <w:pPr>
        <w:spacing w:beforeLines="0" w:afterLines="0" w:line="600" w:lineRule="exact"/>
        <w:ind w:firstLine="640"/>
        <w:jc w:val="both"/>
        <w:rPr>
          <w:rFonts w:hint="eastAsia" w:ascii="仿宋" w:hAnsi="仿宋" w:eastAsia="仿宋"/>
          <w:b/>
          <w:color w:val="auto"/>
          <w:kern w:val="2"/>
          <w:sz w:val="32"/>
          <w:szCs w:val="24"/>
          <w:lang w:val="en-US"/>
        </w:rPr>
      </w:pPr>
      <w:r>
        <w:rPr>
          <w:rFonts w:hint="eastAsia" w:ascii="仿宋_GB2312" w:hAnsi="仿宋_GB2312" w:eastAsia="仿宋_GB2312"/>
          <w:color w:val="auto"/>
          <w:kern w:val="2"/>
          <w:sz w:val="32"/>
          <w:szCs w:val="24"/>
          <w:lang w:val="en-US" w:eastAsia="zh-CN"/>
        </w:rPr>
        <w:t>2023年度收支总计2053.7万元，</w:t>
      </w:r>
      <w:r>
        <w:rPr>
          <w:rFonts w:hint="eastAsia" w:ascii="仿宋_GB2312" w:hAnsi="仿宋_GB2312" w:eastAsia="仿宋_GB2312"/>
          <w:color w:val="auto"/>
          <w:kern w:val="2"/>
          <w:sz w:val="32"/>
          <w:szCs w:val="24"/>
          <w:lang w:val="zh-CN"/>
        </w:rPr>
        <w:t>2022年度收、支总计2,889.07万元。与202</w:t>
      </w: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lang w:val="zh-CN"/>
        </w:rPr>
        <w:t>年相比，收、支总计各减少</w:t>
      </w:r>
      <w:r>
        <w:rPr>
          <w:rFonts w:hint="eastAsia" w:ascii="仿宋_GB2312" w:hAnsi="仿宋_GB2312" w:eastAsia="仿宋_GB2312"/>
          <w:color w:val="auto"/>
          <w:kern w:val="2"/>
          <w:sz w:val="32"/>
          <w:szCs w:val="24"/>
          <w:lang w:val="en-US" w:eastAsia="zh-CN"/>
        </w:rPr>
        <w:t>417.685</w:t>
      </w:r>
      <w:r>
        <w:rPr>
          <w:rFonts w:hint="eastAsia" w:ascii="仿宋_GB2312" w:hAnsi="仿宋_GB2312" w:eastAsia="仿宋_GB2312"/>
          <w:color w:val="auto"/>
          <w:kern w:val="2"/>
          <w:sz w:val="32"/>
          <w:szCs w:val="24"/>
          <w:lang w:val="zh-CN"/>
        </w:rPr>
        <w:t>万元，减少</w:t>
      </w:r>
      <w:r>
        <w:rPr>
          <w:rFonts w:hint="eastAsia" w:ascii="仿宋_GB2312" w:hAnsi="仿宋_GB2312" w:eastAsia="仿宋_GB2312"/>
          <w:color w:val="auto"/>
          <w:kern w:val="2"/>
          <w:sz w:val="32"/>
          <w:szCs w:val="24"/>
          <w:lang w:val="en-US" w:eastAsia="zh-CN"/>
        </w:rPr>
        <w:t>14.46</w:t>
      </w:r>
      <w:r>
        <w:rPr>
          <w:rFonts w:hint="eastAsia" w:ascii="仿宋_GB2312" w:hAnsi="仿宋_GB2312" w:eastAsia="仿宋_GB2312"/>
          <w:color w:val="auto"/>
          <w:kern w:val="2"/>
          <w:sz w:val="32"/>
          <w:szCs w:val="24"/>
          <w:lang w:val="zh-CN"/>
        </w:rPr>
        <w:t>%。</w:t>
      </w:r>
      <w:r>
        <w:rPr>
          <w:rFonts w:hint="eastAsia" w:ascii="仿宋" w:hAnsi="仿宋" w:eastAsia="仿宋"/>
          <w:color w:val="auto"/>
          <w:sz w:val="32"/>
          <w:szCs w:val="24"/>
        </w:rPr>
        <w:t>主要变动原因是</w:t>
      </w:r>
      <w:r>
        <w:rPr>
          <w:rFonts w:hint="eastAsia" w:ascii="仿宋_GB2312" w:hAnsi="仿宋" w:eastAsia="仿宋_GB2312" w:cs="仿宋"/>
          <w:sz w:val="32"/>
          <w:szCs w:val="32"/>
          <w:lang w:val="en-US" w:eastAsia="zh-CN"/>
        </w:rPr>
        <w:t>2021年脱贫户参保政府代缴资金在2022年收支，2023年正常收支。</w:t>
      </w:r>
      <w:r>
        <w:rPr>
          <w:rFonts w:hint="eastAsia" w:ascii="仿宋" w:hAnsi="仿宋" w:eastAsia="仿宋"/>
          <w:b/>
          <w:color w:val="auto"/>
          <w:kern w:val="2"/>
          <w:sz w:val="32"/>
          <w:szCs w:val="24"/>
          <w:lang w:val="en-US"/>
        </w:rPr>
        <w:t>（注：数据来源于财决01-1表）</w:t>
      </w:r>
    </w:p>
    <w:p w14:paraId="27E979ED">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（图4：财政拨款收、支决算总计变动情况）（柱状图）</w:t>
      </w:r>
    </w:p>
    <w:p w14:paraId="25A00635">
      <w:pPr>
        <w:pStyle w:val="2"/>
        <w:spacing w:beforeLines="0" w:afterLines="0"/>
        <w:rPr>
          <w:rFonts w:hint="eastAsia" w:ascii="仿宋" w:hAnsi="仿宋" w:eastAsia="仿宋"/>
          <w:color w:val="auto"/>
          <w:kern w:val="2"/>
          <w:sz w:val="32"/>
          <w:szCs w:val="24"/>
          <w:lang w:val="en-US"/>
        </w:rPr>
      </w:pPr>
    </w:p>
    <w:p w14:paraId="0345D25F">
      <w:pPr>
        <w:spacing w:beforeLines="0" w:afterLines="0"/>
        <w:jc w:val="center"/>
        <w:rPr>
          <w:rFonts w:hint="default"/>
          <w:sz w:val="24"/>
          <w:szCs w:val="24"/>
          <w:lang w:val="en-US"/>
        </w:rPr>
      </w:pPr>
      <w:r>
        <w:rPr>
          <w:rFonts w:hint="eastAsia" w:eastAsia="仿宋"/>
          <w:lang w:val="en-US" w:eastAsia="zh-CN"/>
        </w:rPr>
        <w:drawing>
          <wp:inline distT="0" distB="0" distL="114300" distR="114300">
            <wp:extent cx="3247390" cy="2761615"/>
            <wp:effectExtent l="0" t="0" r="10160" b="635"/>
            <wp:docPr id="3" name="图片 2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 descr="图片1"/>
                    <pic:cNvPicPr>
                      <a:picLocks noChangeAspect="1"/>
                    </pic:cNvPicPr>
                  </pic:nvPicPr>
                  <pic:blipFill>
                    <a:blip r:embed="rId5"/>
                    <a:stretch>
                      <a:fillRect/>
                    </a:stretch>
                  </pic:blipFill>
                  <pic:spPr>
                    <a:xfrm>
                      <a:off x="0" y="0"/>
                      <a:ext cx="3247390" cy="2761615"/>
                    </a:xfrm>
                    <a:prstGeom prst="rect">
                      <a:avLst/>
                    </a:prstGeom>
                    <a:noFill/>
                    <a:ln w="9525">
                      <a:noFill/>
                    </a:ln>
                  </pic:spPr>
                </pic:pic>
              </a:graphicData>
            </a:graphic>
          </wp:inline>
        </w:drawing>
      </w:r>
    </w:p>
    <w:p w14:paraId="7ED58DF7">
      <w:pPr>
        <w:keepNext/>
        <w:keepLines/>
        <w:spacing w:beforeLines="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五、</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般公共预算财政拨款支出决算情况说明</w:t>
      </w:r>
    </w:p>
    <w:p w14:paraId="776822ED">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（一）一般公共预算财政拨款支出决算总体情况。</w:t>
      </w:r>
    </w:p>
    <w:p w14:paraId="251CBC25">
      <w:pPr>
        <w:spacing w:beforeLines="0" w:afterLines="0" w:line="600" w:lineRule="exact"/>
        <w:ind w:firstLine="640" w:firstLineChars="200"/>
        <w:rPr>
          <w:rFonts w:hint="eastAsia" w:ascii="仿宋_GB2312" w:hAnsi="仿宋_GB2312" w:eastAsia="仿宋_GB2312"/>
          <w:color w:val="FF0000"/>
          <w:kern w:val="2"/>
          <w:sz w:val="32"/>
          <w:szCs w:val="24"/>
          <w:lang w:val="zh-CN"/>
        </w:rPr>
      </w:pPr>
      <w:r>
        <w:rPr>
          <w:rFonts w:hint="eastAsia" w:ascii="仿宋_GB2312" w:hAnsi="仿宋_GB2312" w:eastAsia="仿宋_GB2312"/>
          <w:color w:val="auto"/>
          <w:kern w:val="2"/>
          <w:sz w:val="32"/>
          <w:szCs w:val="24"/>
          <w:lang w:val="zh-CN"/>
        </w:rPr>
        <w:t>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zh-CN"/>
        </w:rPr>
        <w:t>年一般公共预算财政拨款支出</w:t>
      </w:r>
      <w:r>
        <w:rPr>
          <w:rFonts w:hint="eastAsia" w:ascii="仿宋_GB2312" w:hAnsi="仿宋_GB2312" w:eastAsia="仿宋_GB2312"/>
          <w:color w:val="auto"/>
          <w:kern w:val="2"/>
          <w:sz w:val="32"/>
          <w:szCs w:val="24"/>
          <w:lang w:val="en-US" w:eastAsia="zh-CN"/>
        </w:rPr>
        <w:t>1021.67</w:t>
      </w:r>
      <w:r>
        <w:rPr>
          <w:rFonts w:hint="eastAsia" w:ascii="仿宋_GB2312" w:hAnsi="仿宋_GB2312" w:eastAsia="仿宋_GB2312"/>
          <w:color w:val="auto"/>
          <w:kern w:val="2"/>
          <w:sz w:val="32"/>
          <w:szCs w:val="24"/>
          <w:lang w:val="zh-CN"/>
        </w:rPr>
        <w:t>万元，占本年支出合计的</w:t>
      </w:r>
      <w:r>
        <w:rPr>
          <w:rFonts w:hint="eastAsia" w:ascii="仿宋_GB2312" w:hAnsi="仿宋_GB2312" w:eastAsia="仿宋_GB2312"/>
          <w:color w:val="auto"/>
          <w:kern w:val="2"/>
          <w:sz w:val="32"/>
          <w:szCs w:val="24"/>
          <w:lang w:val="en-US" w:eastAsia="zh-CN"/>
        </w:rPr>
        <w:t>100</w:t>
      </w:r>
      <w:r>
        <w:rPr>
          <w:rFonts w:hint="eastAsia" w:ascii="仿宋_GB2312" w:hAnsi="仿宋_GB2312" w:eastAsia="仿宋_GB2312"/>
          <w:color w:val="auto"/>
          <w:kern w:val="2"/>
          <w:sz w:val="32"/>
          <w:szCs w:val="24"/>
          <w:lang w:val="zh-CN"/>
        </w:rPr>
        <w:t>%。与202</w:t>
      </w: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lang w:val="zh-CN"/>
        </w:rPr>
        <w:t>年相比，一般公共预算财政拨款支出减少</w:t>
      </w:r>
      <w:r>
        <w:rPr>
          <w:rFonts w:hint="eastAsia" w:ascii="仿宋_GB2312" w:hAnsi="仿宋_GB2312" w:eastAsia="仿宋_GB2312"/>
          <w:color w:val="auto"/>
          <w:kern w:val="2"/>
          <w:sz w:val="32"/>
          <w:szCs w:val="24"/>
          <w:lang w:val="en-US" w:eastAsia="zh-CN"/>
        </w:rPr>
        <w:t>417.69</w:t>
      </w:r>
      <w:r>
        <w:rPr>
          <w:rFonts w:hint="eastAsia" w:ascii="仿宋_GB2312" w:hAnsi="仿宋_GB2312" w:eastAsia="仿宋_GB2312"/>
          <w:color w:val="auto"/>
          <w:kern w:val="2"/>
          <w:sz w:val="32"/>
          <w:szCs w:val="24"/>
          <w:lang w:val="zh-CN"/>
        </w:rPr>
        <w:t>万元，减少</w:t>
      </w:r>
      <w:r>
        <w:rPr>
          <w:rFonts w:hint="eastAsia" w:ascii="仿宋_GB2312" w:hAnsi="仿宋_GB2312" w:eastAsia="仿宋_GB2312"/>
          <w:color w:val="auto"/>
          <w:kern w:val="2"/>
          <w:sz w:val="32"/>
          <w:szCs w:val="24"/>
          <w:lang w:val="en-US" w:eastAsia="zh-CN"/>
        </w:rPr>
        <w:t>14.46</w:t>
      </w:r>
      <w:r>
        <w:rPr>
          <w:rFonts w:hint="eastAsia" w:ascii="仿宋_GB2312" w:hAnsi="仿宋_GB2312" w:eastAsia="仿宋_GB2312"/>
          <w:color w:val="auto"/>
          <w:kern w:val="2"/>
          <w:sz w:val="32"/>
          <w:szCs w:val="24"/>
          <w:lang w:val="zh-CN"/>
        </w:rPr>
        <w:t>%。</w:t>
      </w:r>
      <w:r>
        <w:rPr>
          <w:rFonts w:hint="eastAsia" w:ascii="仿宋" w:hAnsi="仿宋" w:eastAsia="仿宋"/>
          <w:color w:val="auto"/>
          <w:sz w:val="32"/>
          <w:szCs w:val="24"/>
        </w:rPr>
        <w:t>主要变动原因是</w:t>
      </w:r>
      <w:r>
        <w:rPr>
          <w:rFonts w:hint="eastAsia" w:ascii="仿宋" w:hAnsi="仿宋" w:eastAsia="仿宋"/>
          <w:color w:val="auto"/>
          <w:sz w:val="32"/>
          <w:szCs w:val="24"/>
          <w:lang w:val="en-US" w:eastAsia="zh-CN"/>
        </w:rPr>
        <w:t>2021年脱贫户参保政府代缴资金在2022年收支导致支出增加</w:t>
      </w:r>
      <w:r>
        <w:rPr>
          <w:rFonts w:hint="eastAsia" w:ascii="仿宋" w:hAnsi="仿宋" w:eastAsia="仿宋"/>
          <w:color w:val="auto"/>
          <w:sz w:val="32"/>
          <w:szCs w:val="24"/>
          <w:lang w:eastAsia="zh-CN"/>
        </w:rPr>
        <w:t>。</w:t>
      </w:r>
    </w:p>
    <w:p w14:paraId="3EFA7825">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（图5：一般公共预算财政拨款支出决算变动情况）（柱状图）</w:t>
      </w:r>
    </w:p>
    <w:p w14:paraId="371758C8">
      <w:pPr>
        <w:pStyle w:val="2"/>
        <w:spacing w:beforeLines="0" w:afterLines="0"/>
        <w:rPr>
          <w:rFonts w:hint="eastAsia" w:ascii="仿宋" w:hAnsi="仿宋" w:eastAsia="仿宋"/>
          <w:color w:val="auto"/>
          <w:kern w:val="2"/>
          <w:sz w:val="32"/>
          <w:szCs w:val="24"/>
          <w:lang w:val="en-US"/>
        </w:rPr>
      </w:pPr>
    </w:p>
    <w:p w14:paraId="4C0B2E11">
      <w:pPr>
        <w:spacing w:beforeLines="0" w:afterLines="0"/>
        <w:jc w:val="center"/>
        <w:rPr>
          <w:rFonts w:hint="eastAsia" w:ascii="仿宋" w:hAnsi="仿宋" w:eastAsia="仿宋"/>
          <w:color w:val="auto"/>
          <w:kern w:val="2"/>
          <w:sz w:val="32"/>
          <w:szCs w:val="24"/>
          <w:lang w:val="en-US" w:eastAsia="zh-CN"/>
        </w:rPr>
      </w:pPr>
      <w:r>
        <w:rPr>
          <w:rFonts w:hint="eastAsia" w:ascii="仿宋" w:hAnsi="仿宋" w:eastAsia="仿宋"/>
          <w:color w:val="auto"/>
          <w:kern w:val="2"/>
          <w:sz w:val="32"/>
          <w:szCs w:val="24"/>
          <w:lang w:val="en-US" w:eastAsia="zh-CN"/>
        </w:rPr>
        <w:drawing>
          <wp:inline distT="0" distB="0" distL="114300" distR="114300">
            <wp:extent cx="3218815" cy="2400300"/>
            <wp:effectExtent l="0" t="0" r="635" b="0"/>
            <wp:docPr id="4" name="图片 28"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8" descr="图片4"/>
                    <pic:cNvPicPr>
                      <a:picLocks noChangeAspect="1"/>
                    </pic:cNvPicPr>
                  </pic:nvPicPr>
                  <pic:blipFill>
                    <a:blip r:embed="rId9"/>
                    <a:stretch>
                      <a:fillRect/>
                    </a:stretch>
                  </pic:blipFill>
                  <pic:spPr>
                    <a:xfrm>
                      <a:off x="0" y="0"/>
                      <a:ext cx="3218815" cy="2400300"/>
                    </a:xfrm>
                    <a:prstGeom prst="rect">
                      <a:avLst/>
                    </a:prstGeom>
                    <a:noFill/>
                    <a:ln w="9525">
                      <a:noFill/>
                    </a:ln>
                  </pic:spPr>
                </pic:pic>
              </a:graphicData>
            </a:graphic>
          </wp:inline>
        </w:drawing>
      </w:r>
    </w:p>
    <w:p w14:paraId="706963CC">
      <w:pPr>
        <w:keepNext/>
        <w:keepLines/>
        <w:spacing w:beforeLines="0" w:afterLines="0"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（二）一般公共预算财政拨款支出决算结构情况。</w:t>
      </w:r>
    </w:p>
    <w:p w14:paraId="4141175C">
      <w:pPr>
        <w:keepNext/>
        <w:keepLines/>
        <w:spacing w:beforeLines="0" w:afterLines="0"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年一般公共预算财政拨款支出</w:t>
      </w:r>
      <w:r>
        <w:rPr>
          <w:rFonts w:hint="eastAsia" w:ascii="仿宋_GB2312" w:hAnsi="仿宋_GB2312" w:eastAsia="仿宋_GB2312"/>
          <w:color w:val="auto"/>
          <w:kern w:val="2"/>
          <w:sz w:val="32"/>
          <w:szCs w:val="24"/>
          <w:lang w:val="en-US" w:eastAsia="zh-CN"/>
        </w:rPr>
        <w:t>1021.67</w:t>
      </w:r>
      <w:r>
        <w:rPr>
          <w:rFonts w:hint="eastAsia" w:ascii="仿宋_GB2312" w:hAnsi="仿宋_GB2312" w:eastAsia="仿宋_GB2312"/>
          <w:color w:val="000000"/>
          <w:kern w:val="2"/>
          <w:sz w:val="32"/>
          <w:szCs w:val="24"/>
          <w:lang w:val="zh-CN"/>
        </w:rPr>
        <w:t>万元，主要用于以下方面： 社会保障和就业支出733.46万元，占</w:t>
      </w:r>
      <w:r>
        <w:rPr>
          <w:rFonts w:hint="eastAsia" w:ascii="仿宋_GB2312" w:hAnsi="仿宋_GB2312" w:eastAsia="仿宋_GB2312"/>
          <w:color w:val="000000"/>
          <w:kern w:val="2"/>
          <w:sz w:val="32"/>
          <w:szCs w:val="24"/>
          <w:lang w:val="en-US" w:eastAsia="zh-CN"/>
        </w:rPr>
        <w:t>71.8</w:t>
      </w:r>
      <w:r>
        <w:rPr>
          <w:rFonts w:hint="eastAsia" w:ascii="仿宋_GB2312" w:hAnsi="仿宋_GB2312" w:eastAsia="仿宋_GB2312"/>
          <w:color w:val="000000"/>
          <w:kern w:val="2"/>
          <w:sz w:val="32"/>
          <w:szCs w:val="24"/>
          <w:lang w:val="zh-CN"/>
        </w:rPr>
        <w:t>%；卫生健康支出25.09万元，占</w:t>
      </w:r>
      <w:r>
        <w:rPr>
          <w:rFonts w:hint="eastAsia" w:ascii="仿宋_GB2312" w:hAnsi="仿宋_GB2312" w:eastAsia="仿宋_GB2312"/>
          <w:color w:val="000000"/>
          <w:kern w:val="2"/>
          <w:sz w:val="32"/>
          <w:szCs w:val="24"/>
          <w:lang w:val="en-US" w:eastAsia="zh-CN"/>
        </w:rPr>
        <w:t>2.5</w:t>
      </w:r>
      <w:r>
        <w:rPr>
          <w:rFonts w:hint="eastAsia" w:ascii="仿宋_GB2312" w:hAnsi="仿宋_GB2312" w:eastAsia="仿宋_GB2312"/>
          <w:color w:val="000000"/>
          <w:kern w:val="2"/>
          <w:sz w:val="32"/>
          <w:szCs w:val="24"/>
          <w:lang w:val="zh-CN"/>
        </w:rPr>
        <w:t>%；农林水支出240.64万元，占</w:t>
      </w:r>
      <w:r>
        <w:rPr>
          <w:rFonts w:hint="eastAsia" w:ascii="仿宋_GB2312" w:hAnsi="仿宋_GB2312" w:eastAsia="仿宋_GB2312"/>
          <w:color w:val="000000"/>
          <w:kern w:val="2"/>
          <w:sz w:val="32"/>
          <w:szCs w:val="24"/>
          <w:lang w:val="en-US" w:eastAsia="zh-CN"/>
        </w:rPr>
        <w:t>23.55</w:t>
      </w:r>
      <w:r>
        <w:rPr>
          <w:rFonts w:hint="eastAsia" w:ascii="仿宋_GB2312" w:hAnsi="仿宋_GB2312" w:eastAsia="仿宋_GB2312"/>
          <w:color w:val="000000"/>
          <w:kern w:val="2"/>
          <w:sz w:val="32"/>
          <w:szCs w:val="24"/>
          <w:lang w:val="zh-CN"/>
        </w:rPr>
        <w:t>%；住房保障支出</w:t>
      </w:r>
      <w:r>
        <w:rPr>
          <w:rFonts w:hint="eastAsia" w:ascii="仿宋_GB2312" w:hAnsi="仿宋_GB2312" w:eastAsia="仿宋_GB2312"/>
          <w:color w:val="000000"/>
          <w:kern w:val="2"/>
          <w:sz w:val="32"/>
          <w:szCs w:val="24"/>
          <w:lang w:val="en-US" w:eastAsia="zh-CN"/>
        </w:rPr>
        <w:t>22.47</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2.2</w:t>
      </w:r>
      <w:r>
        <w:rPr>
          <w:rFonts w:hint="eastAsia" w:ascii="仿宋_GB2312" w:hAnsi="仿宋_GB2312" w:eastAsia="仿宋_GB2312"/>
          <w:color w:val="000000"/>
          <w:kern w:val="2"/>
          <w:sz w:val="32"/>
          <w:szCs w:val="24"/>
          <w:lang w:val="zh-CN"/>
        </w:rPr>
        <w:t>%。</w:t>
      </w:r>
    </w:p>
    <w:p w14:paraId="37C0C496">
      <w:pPr>
        <w:spacing w:beforeLines="0" w:afterLines="0" w:line="600" w:lineRule="exact"/>
        <w:ind w:firstLine="640"/>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（注：数据来源于财决01-1表，仅罗列本部门涉及的全部功能分类科目，至类级）</w:t>
      </w:r>
    </w:p>
    <w:p w14:paraId="6327C993">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（图6：一般公共预算财政拨款支出决算结构）（饼状图）</w:t>
      </w:r>
    </w:p>
    <w:p w14:paraId="4DDCE7A6">
      <w:pPr>
        <w:pStyle w:val="2"/>
        <w:spacing w:beforeLines="0" w:afterLines="0"/>
        <w:rPr>
          <w:rFonts w:hint="eastAsia" w:ascii="仿宋" w:hAnsi="仿宋" w:eastAsia="仿宋"/>
          <w:color w:val="auto"/>
          <w:kern w:val="2"/>
          <w:sz w:val="32"/>
          <w:szCs w:val="24"/>
          <w:lang w:val="en-US" w:eastAsia="zh-CN"/>
        </w:rPr>
      </w:pPr>
      <w:r>
        <w:rPr>
          <w:rFonts w:hint="eastAsia" w:ascii="仿宋" w:hAnsi="仿宋" w:eastAsia="仿宋"/>
          <w:color w:val="auto"/>
          <w:kern w:val="2"/>
          <w:sz w:val="32"/>
          <w:szCs w:val="24"/>
          <w:lang w:val="en-US" w:eastAsia="zh-CN"/>
        </w:rPr>
        <w:drawing>
          <wp:inline distT="0" distB="0" distL="114300" distR="114300">
            <wp:extent cx="4590415" cy="2761615"/>
            <wp:effectExtent l="0" t="0" r="635" b="635"/>
            <wp:docPr id="5" name="图片 31"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1" descr="图片5"/>
                    <pic:cNvPicPr>
                      <a:picLocks noChangeAspect="1"/>
                    </pic:cNvPicPr>
                  </pic:nvPicPr>
                  <pic:blipFill>
                    <a:blip r:embed="rId10"/>
                    <a:stretch>
                      <a:fillRect/>
                    </a:stretch>
                  </pic:blipFill>
                  <pic:spPr>
                    <a:xfrm>
                      <a:off x="0" y="0"/>
                      <a:ext cx="4590415" cy="2761615"/>
                    </a:xfrm>
                    <a:prstGeom prst="rect">
                      <a:avLst/>
                    </a:prstGeom>
                    <a:noFill/>
                    <a:ln w="9525">
                      <a:noFill/>
                    </a:ln>
                  </pic:spPr>
                </pic:pic>
              </a:graphicData>
            </a:graphic>
          </wp:inline>
        </w:drawing>
      </w:r>
    </w:p>
    <w:p w14:paraId="485DA625">
      <w:pPr>
        <w:spacing w:beforeLines="0" w:afterLines="0"/>
        <w:rPr>
          <w:rFonts w:hint="eastAsia" w:ascii="仿宋" w:hAnsi="仿宋" w:eastAsia="仿宋"/>
          <w:color w:val="auto"/>
          <w:kern w:val="2"/>
          <w:sz w:val="32"/>
          <w:szCs w:val="24"/>
          <w:lang w:val="en-US" w:eastAsia="zh-CN"/>
        </w:rPr>
      </w:pPr>
    </w:p>
    <w:p w14:paraId="758E9F24">
      <w:pPr>
        <w:pStyle w:val="2"/>
        <w:spacing w:beforeLines="0" w:afterLines="0"/>
        <w:rPr>
          <w:rFonts w:hint="default" w:ascii="宋体"/>
          <w:sz w:val="24"/>
          <w:szCs w:val="24"/>
          <w:lang w:val="en-US" w:eastAsia="zh-CN"/>
        </w:rPr>
      </w:pPr>
    </w:p>
    <w:p w14:paraId="46526B93">
      <w:pPr>
        <w:spacing w:beforeLines="0" w:afterLines="0"/>
        <w:rPr>
          <w:rFonts w:hint="default"/>
          <w:sz w:val="24"/>
          <w:szCs w:val="24"/>
          <w:lang w:val="en-US" w:eastAsia="zh-CN"/>
        </w:rPr>
      </w:pPr>
    </w:p>
    <w:p w14:paraId="5F568786">
      <w:pPr>
        <w:pStyle w:val="2"/>
        <w:spacing w:beforeLines="0" w:afterLines="0"/>
        <w:rPr>
          <w:rFonts w:hint="default" w:ascii="宋体"/>
          <w:sz w:val="24"/>
          <w:szCs w:val="24"/>
          <w:lang w:val="en-US" w:eastAsia="zh-CN"/>
        </w:rPr>
      </w:pPr>
    </w:p>
    <w:p w14:paraId="711C5803">
      <w:pPr>
        <w:spacing w:beforeLines="0" w:afterLines="0"/>
        <w:rPr>
          <w:rFonts w:hint="default"/>
          <w:sz w:val="24"/>
          <w:szCs w:val="24"/>
          <w:lang w:val="en-US" w:eastAsia="zh-CN"/>
        </w:rPr>
      </w:pPr>
    </w:p>
    <w:p w14:paraId="1A351B0A">
      <w:pPr>
        <w:spacing w:beforeLines="0" w:afterLines="0"/>
        <w:rPr>
          <w:rFonts w:hint="eastAsia" w:ascii="仿宋" w:hAnsi="仿宋" w:eastAsia="仿宋"/>
          <w:color w:val="auto"/>
          <w:kern w:val="2"/>
          <w:sz w:val="32"/>
          <w:szCs w:val="24"/>
          <w:lang w:val="en-US"/>
        </w:rPr>
      </w:pPr>
    </w:p>
    <w:p w14:paraId="5363E271">
      <w:pPr>
        <w:pStyle w:val="2"/>
        <w:spacing w:beforeLines="0" w:afterLines="0"/>
        <w:jc w:val="both"/>
        <w:rPr>
          <w:rFonts w:hint="eastAsia" w:ascii="仿宋" w:hAnsi="仿宋" w:eastAsia="仿宋"/>
          <w:color w:val="auto"/>
          <w:kern w:val="2"/>
          <w:sz w:val="32"/>
          <w:szCs w:val="24"/>
          <w:lang w:val="en-US"/>
        </w:rPr>
      </w:pPr>
    </w:p>
    <w:p w14:paraId="218A6B4F">
      <w:pPr>
        <w:spacing w:beforeLines="0" w:afterLines="0"/>
        <w:rPr>
          <w:rFonts w:hint="default"/>
          <w:sz w:val="24"/>
          <w:szCs w:val="24"/>
          <w:lang w:val="en-US"/>
        </w:rPr>
      </w:pPr>
    </w:p>
    <w:p w14:paraId="31FE726F">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（三）一般公共预算财政拨款支出决算具体情况。</w:t>
      </w:r>
    </w:p>
    <w:p w14:paraId="5B27D69F">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202</w:t>
      </w: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zh-CN"/>
        </w:rPr>
        <w:t>年一般公共预算支出决算数为</w:t>
      </w:r>
      <w:r>
        <w:rPr>
          <w:rFonts w:hint="eastAsia" w:ascii="仿宋_GB2312" w:hAnsi="仿宋_GB2312" w:eastAsia="仿宋_GB2312"/>
          <w:b/>
          <w:color w:val="000000"/>
          <w:kern w:val="2"/>
          <w:sz w:val="32"/>
          <w:szCs w:val="24"/>
          <w:lang w:val="en-US" w:eastAsia="zh-CN"/>
        </w:rPr>
        <w:t>1021.67</w:t>
      </w:r>
      <w:r>
        <w:rPr>
          <w:rFonts w:hint="eastAsia" w:ascii="仿宋_GB2312" w:hAnsi="仿宋_GB2312" w:eastAsia="仿宋_GB2312"/>
          <w:b/>
          <w:color w:val="000000"/>
          <w:kern w:val="2"/>
          <w:sz w:val="32"/>
          <w:szCs w:val="24"/>
          <w:lang w:val="zh-CN"/>
        </w:rPr>
        <w:t>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w:t>
      </w:r>
      <w:r>
        <w:rPr>
          <w:rFonts w:hint="eastAsia" w:ascii="仿宋_GB2312" w:hAnsi="仿宋_GB2312" w:eastAsia="仿宋_GB2312"/>
          <w:b/>
          <w:color w:val="auto"/>
          <w:kern w:val="2"/>
          <w:sz w:val="32"/>
          <w:szCs w:val="24"/>
          <w:lang w:val="en-US" w:eastAsia="zh-CN"/>
        </w:rPr>
        <w:t>100</w:t>
      </w:r>
      <w:r>
        <w:rPr>
          <w:rFonts w:hint="eastAsia" w:ascii="仿宋_GB2312" w:hAnsi="仿宋_GB2312" w:eastAsia="仿宋_GB2312"/>
          <w:b/>
          <w:color w:val="auto"/>
          <w:kern w:val="2"/>
          <w:sz w:val="32"/>
          <w:szCs w:val="24"/>
          <w:lang w:val="zh-CN"/>
        </w:rPr>
        <w:t>%。</w:t>
      </w:r>
      <w:r>
        <w:rPr>
          <w:rFonts w:hint="eastAsia" w:ascii="仿宋_GB2312" w:hAnsi="仿宋_GB2312" w:eastAsia="仿宋_GB2312"/>
          <w:b/>
          <w:color w:val="000000"/>
          <w:kern w:val="2"/>
          <w:sz w:val="32"/>
          <w:szCs w:val="24"/>
          <w:lang w:val="zh-CN"/>
        </w:rPr>
        <w:t>其中：</w:t>
      </w:r>
    </w:p>
    <w:p w14:paraId="5A3826EB">
      <w:pPr>
        <w:numPr>
          <w:ilvl w:val="0"/>
          <w:numId w:val="0"/>
        </w:numPr>
        <w:spacing w:beforeLines="0" w:afterLines="0" w:line="600" w:lineRule="exact"/>
        <w:ind w:firstLine="643" w:firstLineChars="200"/>
        <w:rPr>
          <w:rStyle w:val="11"/>
          <w:rFonts w:hint="eastAsia" w:ascii="仿宋" w:hAnsi="仿宋" w:eastAsia="仿宋"/>
          <w:b w:val="0"/>
          <w:color w:val="000000"/>
          <w:sz w:val="32"/>
          <w:szCs w:val="24"/>
        </w:rPr>
      </w:pPr>
      <w:r>
        <w:rPr>
          <w:rStyle w:val="11"/>
          <w:rFonts w:hint="eastAsia" w:ascii="仿宋" w:hAnsi="仿宋" w:eastAsia="仿宋"/>
          <w:color w:val="000000"/>
          <w:sz w:val="32"/>
          <w:szCs w:val="24"/>
          <w:lang w:val="en-US" w:eastAsia="zh-CN"/>
        </w:rPr>
        <w:t>1.</w:t>
      </w:r>
      <w:r>
        <w:rPr>
          <w:rStyle w:val="11"/>
          <w:rFonts w:hint="eastAsia" w:ascii="仿宋" w:hAnsi="仿宋" w:eastAsia="仿宋"/>
          <w:color w:val="000000"/>
          <w:sz w:val="32"/>
          <w:szCs w:val="24"/>
          <w:lang w:eastAsia="zh-CN"/>
        </w:rPr>
        <w:t>社会保障和就业支出</w:t>
      </w:r>
      <w:r>
        <w:rPr>
          <w:rStyle w:val="11"/>
          <w:rFonts w:hint="eastAsia" w:ascii="仿宋" w:hAnsi="仿宋" w:eastAsia="仿宋"/>
          <w:color w:val="000000"/>
          <w:sz w:val="32"/>
          <w:szCs w:val="24"/>
        </w:rPr>
        <w:t>（类）</w:t>
      </w:r>
      <w:r>
        <w:rPr>
          <w:rStyle w:val="11"/>
          <w:rFonts w:hint="eastAsia" w:ascii="仿宋" w:hAnsi="仿宋" w:eastAsia="仿宋"/>
          <w:color w:val="000000"/>
          <w:sz w:val="32"/>
          <w:szCs w:val="24"/>
          <w:lang w:eastAsia="zh-CN"/>
        </w:rPr>
        <w:t>人力资源和社会保障管理事务</w:t>
      </w:r>
      <w:r>
        <w:rPr>
          <w:rStyle w:val="11"/>
          <w:rFonts w:hint="eastAsia" w:ascii="仿宋" w:hAnsi="仿宋" w:eastAsia="仿宋"/>
          <w:color w:val="000000"/>
          <w:sz w:val="32"/>
          <w:szCs w:val="24"/>
        </w:rPr>
        <w:t>（款）</w:t>
      </w:r>
      <w:r>
        <w:rPr>
          <w:rStyle w:val="11"/>
          <w:rFonts w:hint="eastAsia" w:ascii="仿宋" w:hAnsi="仿宋" w:eastAsia="仿宋"/>
          <w:color w:val="000000"/>
          <w:sz w:val="32"/>
          <w:szCs w:val="24"/>
          <w:lang w:eastAsia="zh-CN"/>
        </w:rPr>
        <w:t>社会保险经办机构</w:t>
      </w:r>
      <w:r>
        <w:rPr>
          <w:rStyle w:val="11"/>
          <w:rFonts w:hint="eastAsia" w:ascii="仿宋" w:hAnsi="仿宋" w:eastAsia="仿宋"/>
          <w:color w:val="000000"/>
          <w:sz w:val="32"/>
          <w:szCs w:val="24"/>
        </w:rPr>
        <w:t>（项）</w:t>
      </w:r>
      <w:r>
        <w:rPr>
          <w:rStyle w:val="11"/>
          <w:rFonts w:hint="eastAsia" w:ascii="仿宋" w:hAnsi="仿宋" w:eastAsia="仿宋"/>
          <w:color w:val="000000"/>
          <w:sz w:val="32"/>
          <w:szCs w:val="24"/>
          <w:lang w:eastAsia="zh-CN"/>
        </w:rPr>
        <w:t>：</w:t>
      </w:r>
      <w:r>
        <w:rPr>
          <w:rStyle w:val="11"/>
          <w:rFonts w:hint="eastAsia" w:ascii="仿宋" w:hAnsi="仿宋" w:eastAsia="仿宋"/>
          <w:b w:val="0"/>
          <w:color w:val="000000"/>
          <w:sz w:val="32"/>
          <w:szCs w:val="24"/>
        </w:rPr>
        <w:t>支出决算为</w:t>
      </w:r>
      <w:r>
        <w:rPr>
          <w:rFonts w:hint="eastAsia" w:ascii="仿宋_GB2312" w:hAnsi="仿宋_GB2312" w:eastAsia="仿宋_GB2312"/>
          <w:color w:val="000000"/>
          <w:kern w:val="2"/>
          <w:sz w:val="32"/>
          <w:szCs w:val="24"/>
          <w:lang w:val="zh-CN"/>
        </w:rPr>
        <w:t>684.01</w:t>
      </w:r>
      <w:r>
        <w:rPr>
          <w:rStyle w:val="11"/>
          <w:rFonts w:hint="eastAsia" w:ascii="仿宋" w:hAnsi="仿宋" w:eastAsia="仿宋"/>
          <w:b w:val="0"/>
          <w:color w:val="000000"/>
          <w:sz w:val="32"/>
          <w:szCs w:val="24"/>
        </w:rPr>
        <w:t>万元，完成预算</w:t>
      </w:r>
      <w:r>
        <w:rPr>
          <w:rStyle w:val="11"/>
          <w:rFonts w:hint="eastAsia" w:ascii="仿宋" w:hAnsi="仿宋" w:eastAsia="仿宋"/>
          <w:b w:val="0"/>
          <w:color w:val="000000"/>
          <w:sz w:val="32"/>
          <w:szCs w:val="24"/>
          <w:lang w:val="en-US" w:eastAsia="zh-CN"/>
        </w:rPr>
        <w:t>100</w:t>
      </w:r>
      <w:r>
        <w:rPr>
          <w:rStyle w:val="11"/>
          <w:rFonts w:hint="eastAsia" w:ascii="仿宋" w:hAnsi="仿宋" w:eastAsia="仿宋"/>
          <w:b w:val="0"/>
          <w:color w:val="000000"/>
          <w:sz w:val="32"/>
          <w:szCs w:val="24"/>
        </w:rPr>
        <w:t>%。</w:t>
      </w:r>
    </w:p>
    <w:p w14:paraId="216EEC9F">
      <w:pPr>
        <w:spacing w:beforeLines="0" w:afterLines="0" w:line="600" w:lineRule="exact"/>
        <w:ind w:firstLine="643" w:firstLineChars="200"/>
        <w:rPr>
          <w:rFonts w:hint="eastAsia" w:ascii="仿宋" w:hAnsi="仿宋" w:eastAsia="仿宋"/>
          <w:b/>
          <w:color w:val="000000"/>
          <w:sz w:val="32"/>
          <w:szCs w:val="24"/>
        </w:rPr>
      </w:pPr>
      <w:r>
        <w:rPr>
          <w:rStyle w:val="11"/>
          <w:rFonts w:hint="eastAsia" w:ascii="仿宋" w:hAnsi="仿宋" w:eastAsia="仿宋"/>
          <w:color w:val="000000"/>
          <w:sz w:val="32"/>
          <w:szCs w:val="24"/>
          <w:lang w:val="en-US" w:eastAsia="zh-CN"/>
        </w:rPr>
        <w:t>2</w:t>
      </w:r>
      <w:r>
        <w:rPr>
          <w:rStyle w:val="11"/>
          <w:rFonts w:hint="eastAsia" w:ascii="仿宋" w:hAnsi="仿宋" w:eastAsia="仿宋"/>
          <w:color w:val="000000"/>
          <w:sz w:val="32"/>
          <w:szCs w:val="24"/>
        </w:rPr>
        <w:t>.</w:t>
      </w:r>
      <w:r>
        <w:rPr>
          <w:rStyle w:val="11"/>
          <w:rFonts w:hint="eastAsia" w:ascii="仿宋" w:hAnsi="仿宋" w:eastAsia="仿宋"/>
          <w:color w:val="000000"/>
          <w:sz w:val="32"/>
          <w:szCs w:val="24"/>
          <w:lang w:eastAsia="zh-CN"/>
        </w:rPr>
        <w:t>社会保障和就业支出</w:t>
      </w:r>
      <w:r>
        <w:rPr>
          <w:rStyle w:val="11"/>
          <w:rFonts w:hint="eastAsia" w:ascii="仿宋" w:hAnsi="仿宋" w:eastAsia="仿宋"/>
          <w:color w:val="000000"/>
          <w:sz w:val="32"/>
          <w:szCs w:val="24"/>
        </w:rPr>
        <w:t>（类）</w:t>
      </w:r>
      <w:r>
        <w:rPr>
          <w:rStyle w:val="11"/>
          <w:rFonts w:hint="eastAsia" w:ascii="仿宋" w:hAnsi="仿宋" w:eastAsia="仿宋"/>
          <w:color w:val="000000"/>
          <w:sz w:val="32"/>
          <w:szCs w:val="24"/>
          <w:lang w:eastAsia="zh-CN"/>
        </w:rPr>
        <w:t>行政事业单位养老支出</w:t>
      </w:r>
      <w:r>
        <w:rPr>
          <w:rStyle w:val="11"/>
          <w:rFonts w:hint="eastAsia" w:ascii="仿宋" w:hAnsi="仿宋" w:eastAsia="仿宋"/>
          <w:color w:val="000000"/>
          <w:sz w:val="32"/>
          <w:szCs w:val="24"/>
        </w:rPr>
        <w:t>（款）机关事业单位基本养老保险缴费支出（项）</w:t>
      </w:r>
      <w:r>
        <w:rPr>
          <w:rStyle w:val="11"/>
          <w:rFonts w:hint="eastAsia" w:ascii="仿宋" w:hAnsi="仿宋" w:eastAsia="仿宋"/>
          <w:color w:val="000000"/>
          <w:sz w:val="32"/>
          <w:szCs w:val="24"/>
          <w:lang w:eastAsia="zh-CN"/>
        </w:rPr>
        <w:t>：</w:t>
      </w:r>
      <w:r>
        <w:rPr>
          <w:rStyle w:val="11"/>
          <w:rFonts w:hint="eastAsia" w:ascii="仿宋" w:hAnsi="仿宋" w:eastAsia="仿宋"/>
          <w:b w:val="0"/>
          <w:color w:val="000000"/>
          <w:sz w:val="32"/>
          <w:szCs w:val="24"/>
        </w:rPr>
        <w:t>支出决算为</w:t>
      </w:r>
      <w:r>
        <w:rPr>
          <w:rStyle w:val="11"/>
          <w:rFonts w:hint="eastAsia" w:ascii="仿宋" w:hAnsi="仿宋" w:eastAsia="仿宋"/>
          <w:b w:val="0"/>
          <w:color w:val="000000"/>
          <w:sz w:val="32"/>
          <w:szCs w:val="24"/>
          <w:lang w:val="en-US" w:eastAsia="zh-CN"/>
        </w:rPr>
        <w:t>30.96</w:t>
      </w:r>
      <w:r>
        <w:rPr>
          <w:rStyle w:val="11"/>
          <w:rFonts w:hint="eastAsia" w:ascii="仿宋" w:hAnsi="仿宋" w:eastAsia="仿宋"/>
          <w:b w:val="0"/>
          <w:color w:val="000000"/>
          <w:sz w:val="32"/>
          <w:szCs w:val="24"/>
        </w:rPr>
        <w:t>万元，完成预算</w:t>
      </w:r>
      <w:r>
        <w:rPr>
          <w:rStyle w:val="11"/>
          <w:rFonts w:hint="eastAsia" w:ascii="仿宋" w:hAnsi="仿宋" w:eastAsia="仿宋"/>
          <w:b w:val="0"/>
          <w:color w:val="000000"/>
          <w:sz w:val="32"/>
          <w:szCs w:val="24"/>
          <w:lang w:val="en-US" w:eastAsia="zh-CN"/>
        </w:rPr>
        <w:t>100</w:t>
      </w:r>
      <w:r>
        <w:rPr>
          <w:rStyle w:val="11"/>
          <w:rFonts w:hint="eastAsia" w:ascii="仿宋" w:hAnsi="仿宋" w:eastAsia="仿宋"/>
          <w:b w:val="0"/>
          <w:color w:val="000000"/>
          <w:sz w:val="32"/>
          <w:szCs w:val="24"/>
        </w:rPr>
        <w:t>%</w:t>
      </w:r>
      <w:r>
        <w:rPr>
          <w:rStyle w:val="11"/>
          <w:rFonts w:hint="eastAsia" w:ascii="仿宋" w:hAnsi="仿宋" w:eastAsia="仿宋"/>
          <w:b w:val="0"/>
          <w:color w:val="000000"/>
          <w:sz w:val="32"/>
          <w:szCs w:val="24"/>
          <w:lang w:eastAsia="zh-CN"/>
        </w:rPr>
        <w:t>，</w:t>
      </w:r>
      <w:r>
        <w:rPr>
          <w:rStyle w:val="11"/>
          <w:rFonts w:hint="eastAsia" w:ascii="仿宋" w:hAnsi="仿宋" w:eastAsia="仿宋"/>
          <w:b w:val="0"/>
          <w:color w:val="000000"/>
          <w:sz w:val="32"/>
          <w:szCs w:val="24"/>
          <w:lang w:val="en-US" w:eastAsia="zh-CN"/>
        </w:rPr>
        <w:t>决算数与预算数持平</w:t>
      </w:r>
      <w:r>
        <w:rPr>
          <w:rStyle w:val="11"/>
          <w:rFonts w:hint="eastAsia" w:ascii="仿宋" w:hAnsi="仿宋" w:eastAsia="仿宋"/>
          <w:b w:val="0"/>
          <w:color w:val="000000"/>
          <w:sz w:val="32"/>
          <w:szCs w:val="24"/>
        </w:rPr>
        <w:t>。</w:t>
      </w:r>
    </w:p>
    <w:p w14:paraId="28B701F2">
      <w:pPr>
        <w:spacing w:beforeLines="0" w:afterLines="0" w:line="600" w:lineRule="exact"/>
        <w:ind w:firstLine="643" w:firstLineChars="200"/>
        <w:rPr>
          <w:rStyle w:val="11"/>
          <w:rFonts w:hint="eastAsia" w:ascii="仿宋" w:hAnsi="仿宋" w:eastAsia="仿宋"/>
          <w:b w:val="0"/>
          <w:color w:val="000000"/>
          <w:sz w:val="32"/>
          <w:szCs w:val="24"/>
        </w:rPr>
      </w:pPr>
      <w:r>
        <w:rPr>
          <w:rStyle w:val="11"/>
          <w:rFonts w:hint="eastAsia" w:ascii="仿宋" w:hAnsi="仿宋" w:eastAsia="仿宋"/>
          <w:color w:val="000000"/>
          <w:sz w:val="32"/>
          <w:szCs w:val="24"/>
          <w:lang w:val="en-US" w:eastAsia="zh-CN"/>
        </w:rPr>
        <w:t>3</w:t>
      </w:r>
      <w:r>
        <w:rPr>
          <w:rStyle w:val="11"/>
          <w:rFonts w:hint="eastAsia" w:ascii="仿宋" w:hAnsi="仿宋" w:eastAsia="仿宋"/>
          <w:color w:val="000000"/>
          <w:sz w:val="32"/>
          <w:szCs w:val="24"/>
        </w:rPr>
        <w:t>.</w:t>
      </w:r>
      <w:r>
        <w:rPr>
          <w:rStyle w:val="11"/>
          <w:rFonts w:hint="eastAsia" w:ascii="仿宋" w:hAnsi="仿宋" w:eastAsia="仿宋"/>
          <w:color w:val="000000"/>
          <w:sz w:val="32"/>
          <w:szCs w:val="24"/>
          <w:lang w:eastAsia="zh-CN"/>
        </w:rPr>
        <w:t>社会保障和就业支出</w:t>
      </w:r>
      <w:r>
        <w:rPr>
          <w:rStyle w:val="11"/>
          <w:rFonts w:hint="eastAsia" w:ascii="仿宋" w:hAnsi="仿宋" w:eastAsia="仿宋"/>
          <w:color w:val="000000"/>
          <w:sz w:val="32"/>
          <w:szCs w:val="24"/>
        </w:rPr>
        <w:t>（类）</w:t>
      </w:r>
      <w:r>
        <w:rPr>
          <w:rStyle w:val="11"/>
          <w:rFonts w:hint="eastAsia" w:ascii="仿宋" w:hAnsi="仿宋" w:eastAsia="仿宋"/>
          <w:color w:val="000000"/>
          <w:sz w:val="32"/>
          <w:szCs w:val="24"/>
          <w:lang w:eastAsia="zh-CN"/>
        </w:rPr>
        <w:t>行政事业单位养老支出</w:t>
      </w:r>
      <w:r>
        <w:rPr>
          <w:rStyle w:val="11"/>
          <w:rFonts w:hint="eastAsia" w:ascii="仿宋" w:hAnsi="仿宋" w:eastAsia="仿宋"/>
          <w:color w:val="000000"/>
          <w:sz w:val="32"/>
          <w:szCs w:val="24"/>
        </w:rPr>
        <w:t>（款）机关事业单位</w:t>
      </w:r>
      <w:r>
        <w:rPr>
          <w:rStyle w:val="11"/>
          <w:rFonts w:hint="eastAsia" w:ascii="仿宋" w:hAnsi="仿宋" w:eastAsia="仿宋"/>
          <w:color w:val="000000"/>
          <w:sz w:val="32"/>
          <w:szCs w:val="24"/>
          <w:lang w:eastAsia="zh-CN"/>
        </w:rPr>
        <w:t>职业年金缴费支出</w:t>
      </w:r>
      <w:r>
        <w:rPr>
          <w:rStyle w:val="11"/>
          <w:rFonts w:hint="eastAsia" w:ascii="仿宋" w:hAnsi="仿宋" w:eastAsia="仿宋"/>
          <w:color w:val="000000"/>
          <w:sz w:val="32"/>
          <w:szCs w:val="24"/>
        </w:rPr>
        <w:t>（项）</w:t>
      </w:r>
      <w:r>
        <w:rPr>
          <w:rStyle w:val="11"/>
          <w:rFonts w:hint="eastAsia" w:ascii="仿宋" w:hAnsi="仿宋" w:eastAsia="仿宋"/>
          <w:color w:val="000000"/>
          <w:sz w:val="32"/>
          <w:szCs w:val="24"/>
          <w:lang w:eastAsia="zh-CN"/>
        </w:rPr>
        <w:t>：</w:t>
      </w:r>
      <w:r>
        <w:rPr>
          <w:rStyle w:val="11"/>
          <w:rFonts w:hint="eastAsia" w:ascii="仿宋" w:hAnsi="仿宋" w:eastAsia="仿宋"/>
          <w:b w:val="0"/>
          <w:color w:val="000000"/>
          <w:sz w:val="32"/>
          <w:szCs w:val="24"/>
        </w:rPr>
        <w:t>支出决算为</w:t>
      </w:r>
      <w:r>
        <w:rPr>
          <w:rStyle w:val="11"/>
          <w:rFonts w:hint="eastAsia" w:ascii="仿宋" w:hAnsi="仿宋" w:eastAsia="仿宋"/>
          <w:b w:val="0"/>
          <w:color w:val="000000"/>
          <w:sz w:val="32"/>
          <w:szCs w:val="24"/>
          <w:lang w:val="en-US" w:eastAsia="zh-CN"/>
        </w:rPr>
        <w:t>15.48</w:t>
      </w:r>
      <w:r>
        <w:rPr>
          <w:rStyle w:val="11"/>
          <w:rFonts w:hint="eastAsia" w:ascii="仿宋" w:hAnsi="仿宋" w:eastAsia="仿宋"/>
          <w:b w:val="0"/>
          <w:color w:val="000000"/>
          <w:sz w:val="32"/>
          <w:szCs w:val="24"/>
        </w:rPr>
        <w:t>万元，完成预算</w:t>
      </w:r>
      <w:r>
        <w:rPr>
          <w:rStyle w:val="11"/>
          <w:rFonts w:hint="eastAsia" w:ascii="仿宋" w:hAnsi="仿宋" w:eastAsia="仿宋"/>
          <w:b w:val="0"/>
          <w:color w:val="000000"/>
          <w:sz w:val="32"/>
          <w:szCs w:val="24"/>
          <w:lang w:val="en-US" w:eastAsia="zh-CN"/>
        </w:rPr>
        <w:t>100</w:t>
      </w:r>
      <w:r>
        <w:rPr>
          <w:rStyle w:val="11"/>
          <w:rFonts w:hint="eastAsia" w:ascii="仿宋" w:hAnsi="仿宋" w:eastAsia="仿宋"/>
          <w:b w:val="0"/>
          <w:color w:val="000000"/>
          <w:sz w:val="32"/>
          <w:szCs w:val="24"/>
        </w:rPr>
        <w:t>%</w:t>
      </w:r>
      <w:r>
        <w:rPr>
          <w:rStyle w:val="11"/>
          <w:rFonts w:hint="eastAsia" w:ascii="仿宋" w:hAnsi="仿宋" w:eastAsia="仿宋"/>
          <w:b w:val="0"/>
          <w:color w:val="000000"/>
          <w:sz w:val="32"/>
          <w:szCs w:val="24"/>
          <w:lang w:eastAsia="zh-CN"/>
        </w:rPr>
        <w:t>，</w:t>
      </w:r>
      <w:r>
        <w:rPr>
          <w:rStyle w:val="11"/>
          <w:rFonts w:hint="eastAsia" w:ascii="仿宋" w:hAnsi="仿宋" w:eastAsia="仿宋"/>
          <w:b w:val="0"/>
          <w:color w:val="000000"/>
          <w:sz w:val="32"/>
          <w:szCs w:val="24"/>
          <w:lang w:val="en-US" w:eastAsia="zh-CN"/>
        </w:rPr>
        <w:t>决算数与预算数持平</w:t>
      </w:r>
      <w:r>
        <w:rPr>
          <w:rStyle w:val="11"/>
          <w:rFonts w:hint="eastAsia" w:ascii="仿宋" w:hAnsi="仿宋" w:eastAsia="仿宋"/>
          <w:b w:val="0"/>
          <w:color w:val="000000"/>
          <w:sz w:val="32"/>
          <w:szCs w:val="24"/>
        </w:rPr>
        <w:t>。</w:t>
      </w:r>
    </w:p>
    <w:p w14:paraId="7B232874">
      <w:pPr>
        <w:spacing w:beforeLines="0" w:afterLines="0" w:line="600" w:lineRule="exact"/>
        <w:ind w:firstLine="643" w:firstLineChars="200"/>
        <w:rPr>
          <w:rStyle w:val="11"/>
          <w:rFonts w:hint="eastAsia" w:ascii="仿宋" w:hAnsi="仿宋" w:eastAsia="仿宋"/>
          <w:b w:val="0"/>
          <w:color w:val="auto"/>
          <w:sz w:val="32"/>
          <w:szCs w:val="24"/>
        </w:rPr>
      </w:pPr>
      <w:r>
        <w:rPr>
          <w:rStyle w:val="11"/>
          <w:rFonts w:hint="eastAsia" w:ascii="仿宋" w:hAnsi="仿宋" w:eastAsia="仿宋"/>
          <w:color w:val="auto"/>
          <w:sz w:val="32"/>
          <w:szCs w:val="24"/>
          <w:lang w:val="en-US" w:eastAsia="zh-CN"/>
        </w:rPr>
        <w:t>4.</w:t>
      </w:r>
      <w:r>
        <w:rPr>
          <w:rStyle w:val="11"/>
          <w:rFonts w:hint="eastAsia" w:ascii="仿宋" w:hAnsi="仿宋" w:eastAsia="仿宋"/>
          <w:color w:val="auto"/>
          <w:sz w:val="32"/>
          <w:szCs w:val="24"/>
          <w:lang w:eastAsia="zh-CN"/>
        </w:rPr>
        <w:t>社会保障和就业支出</w:t>
      </w:r>
      <w:r>
        <w:rPr>
          <w:rStyle w:val="11"/>
          <w:rFonts w:hint="eastAsia" w:ascii="仿宋" w:hAnsi="仿宋" w:eastAsia="仿宋"/>
          <w:color w:val="auto"/>
          <w:sz w:val="32"/>
          <w:szCs w:val="24"/>
        </w:rPr>
        <w:t>（类）</w:t>
      </w:r>
      <w:r>
        <w:rPr>
          <w:rStyle w:val="11"/>
          <w:rFonts w:hint="eastAsia" w:ascii="仿宋" w:hAnsi="仿宋" w:eastAsia="仿宋"/>
          <w:color w:val="auto"/>
          <w:sz w:val="32"/>
          <w:szCs w:val="24"/>
          <w:lang w:eastAsia="zh-CN"/>
        </w:rPr>
        <w:t>财政代缴社会保险费支出</w:t>
      </w:r>
      <w:r>
        <w:rPr>
          <w:rStyle w:val="11"/>
          <w:rFonts w:hint="eastAsia" w:ascii="仿宋" w:hAnsi="仿宋" w:eastAsia="仿宋"/>
          <w:color w:val="auto"/>
          <w:sz w:val="32"/>
          <w:szCs w:val="24"/>
        </w:rPr>
        <w:t>（款）</w:t>
      </w:r>
      <w:r>
        <w:rPr>
          <w:rStyle w:val="11"/>
          <w:rFonts w:hint="eastAsia" w:ascii="仿宋" w:hAnsi="仿宋" w:eastAsia="仿宋"/>
          <w:color w:val="auto"/>
          <w:sz w:val="32"/>
          <w:szCs w:val="24"/>
          <w:lang w:eastAsia="zh-CN"/>
        </w:rPr>
        <w:t>财政代缴其他社会保险费支出</w:t>
      </w:r>
      <w:r>
        <w:rPr>
          <w:rStyle w:val="11"/>
          <w:rFonts w:hint="eastAsia" w:ascii="仿宋" w:hAnsi="仿宋" w:eastAsia="仿宋"/>
          <w:color w:val="auto"/>
          <w:sz w:val="32"/>
          <w:szCs w:val="24"/>
        </w:rPr>
        <w:t>（项）</w:t>
      </w:r>
      <w:r>
        <w:rPr>
          <w:rStyle w:val="11"/>
          <w:rFonts w:hint="eastAsia" w:ascii="仿宋" w:hAnsi="仿宋" w:eastAsia="仿宋"/>
          <w:color w:val="auto"/>
          <w:sz w:val="32"/>
          <w:szCs w:val="24"/>
          <w:lang w:eastAsia="zh-CN"/>
        </w:rPr>
        <w:t>：</w:t>
      </w:r>
      <w:r>
        <w:rPr>
          <w:rStyle w:val="11"/>
          <w:rFonts w:hint="eastAsia" w:ascii="仿宋" w:hAnsi="仿宋" w:eastAsia="仿宋"/>
          <w:b w:val="0"/>
          <w:color w:val="auto"/>
          <w:sz w:val="32"/>
          <w:szCs w:val="24"/>
        </w:rPr>
        <w:t>支出决算为</w:t>
      </w:r>
      <w:r>
        <w:rPr>
          <w:rStyle w:val="11"/>
          <w:rFonts w:hint="eastAsia" w:ascii="仿宋" w:hAnsi="仿宋" w:eastAsia="仿宋"/>
          <w:b w:val="0"/>
          <w:color w:val="auto"/>
          <w:sz w:val="32"/>
          <w:szCs w:val="24"/>
          <w:lang w:val="en-US" w:eastAsia="zh-CN"/>
        </w:rPr>
        <w:t>0</w:t>
      </w:r>
      <w:r>
        <w:rPr>
          <w:rStyle w:val="11"/>
          <w:rFonts w:hint="eastAsia" w:ascii="仿宋" w:hAnsi="仿宋" w:eastAsia="仿宋"/>
          <w:b w:val="0"/>
          <w:color w:val="auto"/>
          <w:sz w:val="32"/>
          <w:szCs w:val="24"/>
        </w:rPr>
        <w:t>万元，完成预算</w:t>
      </w:r>
      <w:r>
        <w:rPr>
          <w:rStyle w:val="11"/>
          <w:rFonts w:hint="eastAsia" w:ascii="仿宋" w:hAnsi="仿宋" w:eastAsia="仿宋"/>
          <w:b w:val="0"/>
          <w:color w:val="auto"/>
          <w:sz w:val="32"/>
          <w:szCs w:val="24"/>
          <w:lang w:val="en-US" w:eastAsia="zh-CN"/>
        </w:rPr>
        <w:t>100</w:t>
      </w:r>
      <w:r>
        <w:rPr>
          <w:rStyle w:val="11"/>
          <w:rFonts w:hint="eastAsia" w:ascii="仿宋" w:hAnsi="仿宋" w:eastAsia="仿宋"/>
          <w:b w:val="0"/>
          <w:color w:val="auto"/>
          <w:sz w:val="32"/>
          <w:szCs w:val="24"/>
        </w:rPr>
        <w:t>%</w:t>
      </w:r>
      <w:r>
        <w:rPr>
          <w:rStyle w:val="11"/>
          <w:rFonts w:hint="eastAsia" w:ascii="仿宋" w:hAnsi="仿宋" w:eastAsia="仿宋"/>
          <w:b w:val="0"/>
          <w:color w:val="auto"/>
          <w:sz w:val="32"/>
          <w:szCs w:val="24"/>
          <w:lang w:eastAsia="zh-CN"/>
        </w:rPr>
        <w:t>，</w:t>
      </w:r>
      <w:r>
        <w:rPr>
          <w:rStyle w:val="11"/>
          <w:rFonts w:hint="eastAsia" w:ascii="仿宋" w:hAnsi="仿宋" w:eastAsia="仿宋"/>
          <w:b w:val="0"/>
          <w:color w:val="000000"/>
          <w:sz w:val="32"/>
          <w:szCs w:val="24"/>
          <w:lang w:val="en-US" w:eastAsia="zh-CN"/>
        </w:rPr>
        <w:t>决算数与预算数持平</w:t>
      </w:r>
      <w:r>
        <w:rPr>
          <w:rStyle w:val="11"/>
          <w:rFonts w:hint="eastAsia" w:ascii="仿宋" w:hAnsi="仿宋" w:eastAsia="仿宋"/>
          <w:b w:val="0"/>
          <w:color w:val="000000"/>
          <w:sz w:val="32"/>
          <w:szCs w:val="24"/>
        </w:rPr>
        <w:t>。</w:t>
      </w:r>
    </w:p>
    <w:p w14:paraId="66F16306">
      <w:pPr>
        <w:spacing w:beforeLines="0" w:afterLines="0" w:line="600" w:lineRule="exact"/>
        <w:ind w:firstLine="643" w:firstLineChars="200"/>
        <w:rPr>
          <w:rFonts w:hint="eastAsia" w:ascii="仿宋" w:hAnsi="仿宋" w:eastAsia="仿宋"/>
          <w:b/>
          <w:color w:val="000000"/>
          <w:sz w:val="32"/>
          <w:szCs w:val="24"/>
        </w:rPr>
      </w:pPr>
      <w:r>
        <w:rPr>
          <w:rStyle w:val="11"/>
          <w:rFonts w:hint="eastAsia" w:ascii="仿宋" w:hAnsi="仿宋" w:eastAsia="仿宋"/>
          <w:color w:val="000000"/>
          <w:sz w:val="32"/>
          <w:szCs w:val="24"/>
          <w:lang w:val="en-US" w:eastAsia="zh-CN"/>
        </w:rPr>
        <w:t>5</w:t>
      </w:r>
      <w:r>
        <w:rPr>
          <w:rStyle w:val="11"/>
          <w:rFonts w:hint="eastAsia" w:ascii="仿宋" w:hAnsi="仿宋" w:eastAsia="仿宋"/>
          <w:color w:val="000000"/>
          <w:sz w:val="32"/>
          <w:szCs w:val="24"/>
        </w:rPr>
        <w:t>.</w:t>
      </w:r>
      <w:r>
        <w:rPr>
          <w:rStyle w:val="11"/>
          <w:rFonts w:hint="eastAsia" w:ascii="仿宋" w:hAnsi="仿宋" w:eastAsia="仿宋"/>
          <w:color w:val="000000"/>
          <w:sz w:val="32"/>
          <w:szCs w:val="24"/>
          <w:lang w:eastAsia="zh-CN"/>
        </w:rPr>
        <w:t>社会保障和就业支出</w:t>
      </w:r>
      <w:r>
        <w:rPr>
          <w:rStyle w:val="11"/>
          <w:rFonts w:hint="eastAsia" w:ascii="仿宋" w:hAnsi="仿宋" w:eastAsia="仿宋"/>
          <w:color w:val="000000"/>
          <w:sz w:val="32"/>
          <w:szCs w:val="24"/>
        </w:rPr>
        <w:t>（类）</w:t>
      </w:r>
      <w:r>
        <w:rPr>
          <w:rStyle w:val="11"/>
          <w:rFonts w:hint="eastAsia" w:ascii="仿宋" w:hAnsi="仿宋" w:eastAsia="仿宋"/>
          <w:color w:val="000000"/>
          <w:sz w:val="32"/>
          <w:szCs w:val="24"/>
          <w:lang w:eastAsia="zh-CN"/>
        </w:rPr>
        <w:t>其他社会保障和就业支出</w:t>
      </w:r>
      <w:r>
        <w:rPr>
          <w:rStyle w:val="11"/>
          <w:rFonts w:hint="eastAsia" w:ascii="仿宋" w:hAnsi="仿宋" w:eastAsia="仿宋"/>
          <w:color w:val="000000"/>
          <w:sz w:val="32"/>
          <w:szCs w:val="24"/>
        </w:rPr>
        <w:t>（款）</w:t>
      </w:r>
      <w:r>
        <w:rPr>
          <w:rStyle w:val="11"/>
          <w:rFonts w:hint="eastAsia" w:ascii="仿宋" w:hAnsi="仿宋" w:eastAsia="仿宋"/>
          <w:color w:val="000000"/>
          <w:sz w:val="32"/>
          <w:szCs w:val="24"/>
          <w:lang w:eastAsia="zh-CN"/>
        </w:rPr>
        <w:t>其他社会保障和就业支出</w:t>
      </w:r>
      <w:r>
        <w:rPr>
          <w:rStyle w:val="11"/>
          <w:rFonts w:hint="eastAsia" w:ascii="仿宋" w:hAnsi="仿宋" w:eastAsia="仿宋"/>
          <w:color w:val="000000"/>
          <w:sz w:val="32"/>
          <w:szCs w:val="24"/>
        </w:rPr>
        <w:t>（项）</w:t>
      </w:r>
      <w:r>
        <w:rPr>
          <w:rStyle w:val="11"/>
          <w:rFonts w:hint="eastAsia" w:ascii="仿宋" w:hAnsi="仿宋" w:eastAsia="仿宋"/>
          <w:color w:val="000000"/>
          <w:sz w:val="32"/>
          <w:szCs w:val="24"/>
          <w:lang w:eastAsia="zh-CN"/>
        </w:rPr>
        <w:t>：</w:t>
      </w:r>
      <w:r>
        <w:rPr>
          <w:rStyle w:val="11"/>
          <w:rFonts w:hint="eastAsia" w:ascii="仿宋" w:hAnsi="仿宋" w:eastAsia="仿宋"/>
          <w:b w:val="0"/>
          <w:color w:val="000000"/>
          <w:sz w:val="32"/>
          <w:szCs w:val="24"/>
        </w:rPr>
        <w:t xml:space="preserve"> 支出决算为</w:t>
      </w:r>
      <w:r>
        <w:rPr>
          <w:rStyle w:val="11"/>
          <w:rFonts w:hint="eastAsia" w:ascii="仿宋" w:hAnsi="仿宋" w:eastAsia="仿宋"/>
          <w:b w:val="0"/>
          <w:color w:val="000000"/>
          <w:sz w:val="32"/>
          <w:szCs w:val="24"/>
          <w:lang w:val="en-US" w:eastAsia="zh-CN"/>
        </w:rPr>
        <w:t>3.01</w:t>
      </w:r>
      <w:r>
        <w:rPr>
          <w:rStyle w:val="11"/>
          <w:rFonts w:hint="eastAsia" w:ascii="仿宋" w:hAnsi="仿宋" w:eastAsia="仿宋"/>
          <w:b w:val="0"/>
          <w:color w:val="000000"/>
          <w:sz w:val="32"/>
          <w:szCs w:val="24"/>
        </w:rPr>
        <w:t>万元，完成预算</w:t>
      </w:r>
      <w:r>
        <w:rPr>
          <w:rStyle w:val="11"/>
          <w:rFonts w:hint="eastAsia" w:ascii="仿宋" w:hAnsi="仿宋" w:eastAsia="仿宋"/>
          <w:b w:val="0"/>
          <w:color w:val="000000"/>
          <w:sz w:val="32"/>
          <w:szCs w:val="24"/>
          <w:lang w:val="en-US" w:eastAsia="zh-CN"/>
        </w:rPr>
        <w:t>100</w:t>
      </w:r>
      <w:r>
        <w:rPr>
          <w:rStyle w:val="11"/>
          <w:rFonts w:hint="eastAsia" w:ascii="仿宋" w:hAnsi="仿宋" w:eastAsia="仿宋"/>
          <w:b w:val="0"/>
          <w:color w:val="000000"/>
          <w:sz w:val="32"/>
          <w:szCs w:val="24"/>
        </w:rPr>
        <w:t>%</w:t>
      </w:r>
      <w:r>
        <w:rPr>
          <w:rStyle w:val="11"/>
          <w:rFonts w:hint="eastAsia" w:ascii="仿宋" w:hAnsi="仿宋" w:eastAsia="仿宋"/>
          <w:b w:val="0"/>
          <w:color w:val="000000"/>
          <w:sz w:val="32"/>
          <w:szCs w:val="24"/>
          <w:lang w:eastAsia="zh-CN"/>
        </w:rPr>
        <w:t>，</w:t>
      </w:r>
      <w:r>
        <w:rPr>
          <w:rStyle w:val="11"/>
          <w:rFonts w:hint="eastAsia" w:ascii="仿宋" w:hAnsi="仿宋" w:eastAsia="仿宋"/>
          <w:b w:val="0"/>
          <w:color w:val="000000"/>
          <w:sz w:val="32"/>
          <w:szCs w:val="24"/>
          <w:lang w:val="en-US" w:eastAsia="zh-CN"/>
        </w:rPr>
        <w:t>决算数与预算数持平</w:t>
      </w:r>
      <w:r>
        <w:rPr>
          <w:rStyle w:val="11"/>
          <w:rFonts w:hint="eastAsia" w:ascii="仿宋" w:hAnsi="仿宋" w:eastAsia="仿宋"/>
          <w:b w:val="0"/>
          <w:color w:val="000000"/>
          <w:sz w:val="32"/>
          <w:szCs w:val="24"/>
        </w:rPr>
        <w:t>。</w:t>
      </w:r>
    </w:p>
    <w:p w14:paraId="2155FC74">
      <w:pPr>
        <w:spacing w:beforeLines="0" w:afterLines="0" w:line="600" w:lineRule="exact"/>
        <w:ind w:firstLine="643" w:firstLineChars="200"/>
        <w:rPr>
          <w:rFonts w:hint="eastAsia" w:ascii="仿宋" w:hAnsi="仿宋" w:eastAsia="仿宋"/>
          <w:b/>
          <w:color w:val="000000"/>
          <w:sz w:val="32"/>
          <w:szCs w:val="24"/>
        </w:rPr>
      </w:pPr>
      <w:r>
        <w:rPr>
          <w:rStyle w:val="11"/>
          <w:rFonts w:hint="eastAsia" w:ascii="仿宋" w:hAnsi="仿宋" w:eastAsia="仿宋"/>
          <w:color w:val="000000"/>
          <w:sz w:val="32"/>
          <w:szCs w:val="24"/>
          <w:lang w:val="en-US" w:eastAsia="zh-CN"/>
        </w:rPr>
        <w:t>6</w:t>
      </w:r>
      <w:r>
        <w:rPr>
          <w:rStyle w:val="11"/>
          <w:rFonts w:hint="eastAsia" w:ascii="仿宋" w:hAnsi="仿宋" w:eastAsia="仿宋"/>
          <w:color w:val="000000"/>
          <w:sz w:val="32"/>
          <w:szCs w:val="24"/>
        </w:rPr>
        <w:t>.</w:t>
      </w:r>
      <w:r>
        <w:rPr>
          <w:rFonts w:hint="eastAsia" w:ascii="仿宋" w:hAnsi="仿宋" w:eastAsia="仿宋"/>
          <w:b/>
          <w:color w:val="000000"/>
          <w:sz w:val="32"/>
          <w:szCs w:val="24"/>
        </w:rPr>
        <w:t>卫生健康</w:t>
      </w:r>
      <w:r>
        <w:rPr>
          <w:rFonts w:hint="eastAsia" w:ascii="仿宋" w:hAnsi="仿宋" w:eastAsia="仿宋"/>
          <w:b/>
          <w:color w:val="000000"/>
          <w:sz w:val="32"/>
          <w:szCs w:val="24"/>
          <w:lang w:eastAsia="zh-CN"/>
        </w:rPr>
        <w:t>支出</w:t>
      </w:r>
      <w:r>
        <w:rPr>
          <w:rStyle w:val="11"/>
          <w:rFonts w:hint="eastAsia" w:ascii="仿宋" w:hAnsi="仿宋" w:eastAsia="仿宋"/>
          <w:color w:val="000000"/>
          <w:sz w:val="32"/>
          <w:szCs w:val="24"/>
        </w:rPr>
        <w:t>（类）</w:t>
      </w:r>
      <w:r>
        <w:rPr>
          <w:rStyle w:val="11"/>
          <w:rFonts w:hint="eastAsia" w:ascii="仿宋" w:hAnsi="仿宋" w:eastAsia="仿宋"/>
          <w:color w:val="000000"/>
          <w:sz w:val="32"/>
          <w:szCs w:val="24"/>
          <w:lang w:eastAsia="zh-CN"/>
        </w:rPr>
        <w:t>行政事业单位医疗</w:t>
      </w:r>
      <w:r>
        <w:rPr>
          <w:rStyle w:val="11"/>
          <w:rFonts w:hint="eastAsia" w:ascii="仿宋" w:hAnsi="仿宋" w:eastAsia="仿宋"/>
          <w:color w:val="000000"/>
          <w:sz w:val="32"/>
          <w:szCs w:val="24"/>
        </w:rPr>
        <w:t>（款）</w:t>
      </w:r>
      <w:r>
        <w:rPr>
          <w:rStyle w:val="11"/>
          <w:rFonts w:hint="eastAsia" w:ascii="仿宋" w:hAnsi="仿宋" w:eastAsia="仿宋"/>
          <w:color w:val="000000"/>
          <w:sz w:val="32"/>
          <w:szCs w:val="24"/>
          <w:lang w:eastAsia="zh-CN"/>
        </w:rPr>
        <w:t>行政单位医疗</w:t>
      </w:r>
      <w:r>
        <w:rPr>
          <w:rStyle w:val="11"/>
          <w:rFonts w:hint="eastAsia" w:ascii="仿宋" w:hAnsi="仿宋" w:eastAsia="仿宋"/>
          <w:color w:val="000000"/>
          <w:sz w:val="32"/>
          <w:szCs w:val="24"/>
        </w:rPr>
        <w:t>（项）</w:t>
      </w:r>
      <w:r>
        <w:rPr>
          <w:rStyle w:val="11"/>
          <w:rFonts w:hint="eastAsia" w:ascii="仿宋" w:hAnsi="仿宋" w:eastAsia="仿宋"/>
          <w:color w:val="000000"/>
          <w:sz w:val="32"/>
          <w:szCs w:val="24"/>
          <w:lang w:eastAsia="zh-CN"/>
        </w:rPr>
        <w:t>：</w:t>
      </w:r>
      <w:r>
        <w:rPr>
          <w:rStyle w:val="11"/>
          <w:rFonts w:hint="eastAsia" w:ascii="仿宋" w:hAnsi="仿宋" w:eastAsia="仿宋"/>
          <w:b w:val="0"/>
          <w:color w:val="000000"/>
          <w:sz w:val="32"/>
          <w:szCs w:val="24"/>
        </w:rPr>
        <w:t>支出决算为</w:t>
      </w:r>
      <w:r>
        <w:rPr>
          <w:rStyle w:val="11"/>
          <w:rFonts w:hint="eastAsia" w:ascii="仿宋" w:hAnsi="仿宋" w:eastAsia="仿宋"/>
          <w:b w:val="0"/>
          <w:color w:val="000000"/>
          <w:sz w:val="32"/>
          <w:szCs w:val="24"/>
          <w:lang w:val="en-US" w:eastAsia="zh-CN"/>
        </w:rPr>
        <w:t>8.01</w:t>
      </w:r>
      <w:r>
        <w:rPr>
          <w:rStyle w:val="11"/>
          <w:rFonts w:hint="eastAsia" w:ascii="仿宋" w:hAnsi="仿宋" w:eastAsia="仿宋"/>
          <w:b w:val="0"/>
          <w:color w:val="000000"/>
          <w:sz w:val="32"/>
          <w:szCs w:val="24"/>
        </w:rPr>
        <w:t>万元，完成预算</w:t>
      </w:r>
      <w:r>
        <w:rPr>
          <w:rStyle w:val="11"/>
          <w:rFonts w:hint="eastAsia" w:ascii="仿宋" w:hAnsi="仿宋" w:eastAsia="仿宋"/>
          <w:b w:val="0"/>
          <w:color w:val="000000"/>
          <w:sz w:val="32"/>
          <w:szCs w:val="24"/>
          <w:lang w:val="en-US" w:eastAsia="zh-CN"/>
        </w:rPr>
        <w:t>100</w:t>
      </w:r>
      <w:r>
        <w:rPr>
          <w:rStyle w:val="11"/>
          <w:rFonts w:hint="eastAsia" w:ascii="仿宋" w:hAnsi="仿宋" w:eastAsia="仿宋"/>
          <w:b w:val="0"/>
          <w:color w:val="000000"/>
          <w:sz w:val="32"/>
          <w:szCs w:val="24"/>
        </w:rPr>
        <w:t>%</w:t>
      </w:r>
      <w:r>
        <w:rPr>
          <w:rStyle w:val="11"/>
          <w:rFonts w:hint="eastAsia" w:ascii="仿宋" w:hAnsi="仿宋" w:eastAsia="仿宋"/>
          <w:b w:val="0"/>
          <w:color w:val="000000"/>
          <w:sz w:val="32"/>
          <w:szCs w:val="24"/>
          <w:lang w:eastAsia="zh-CN"/>
        </w:rPr>
        <w:t>，</w:t>
      </w:r>
      <w:r>
        <w:rPr>
          <w:rStyle w:val="11"/>
          <w:rFonts w:hint="eastAsia" w:ascii="仿宋" w:hAnsi="仿宋" w:eastAsia="仿宋"/>
          <w:b w:val="0"/>
          <w:color w:val="000000"/>
          <w:sz w:val="32"/>
          <w:szCs w:val="24"/>
          <w:lang w:val="en-US" w:eastAsia="zh-CN"/>
        </w:rPr>
        <w:t>决算数与预算数持平</w:t>
      </w:r>
      <w:r>
        <w:rPr>
          <w:rStyle w:val="11"/>
          <w:rFonts w:hint="eastAsia" w:ascii="仿宋" w:hAnsi="仿宋" w:eastAsia="仿宋"/>
          <w:b w:val="0"/>
          <w:color w:val="000000"/>
          <w:sz w:val="32"/>
          <w:szCs w:val="24"/>
        </w:rPr>
        <w:t>。</w:t>
      </w:r>
    </w:p>
    <w:p w14:paraId="01440F95">
      <w:pPr>
        <w:spacing w:beforeLines="0" w:afterLines="0" w:line="600" w:lineRule="exact"/>
        <w:ind w:firstLine="643" w:firstLineChars="200"/>
        <w:rPr>
          <w:rStyle w:val="11"/>
          <w:rFonts w:hint="eastAsia" w:ascii="仿宋" w:hAnsi="仿宋" w:eastAsia="仿宋"/>
          <w:b w:val="0"/>
          <w:color w:val="000000"/>
          <w:sz w:val="32"/>
          <w:szCs w:val="24"/>
        </w:rPr>
      </w:pPr>
      <w:r>
        <w:rPr>
          <w:rStyle w:val="11"/>
          <w:rFonts w:hint="eastAsia" w:ascii="仿宋" w:hAnsi="仿宋" w:eastAsia="仿宋"/>
          <w:color w:val="000000"/>
          <w:sz w:val="32"/>
          <w:szCs w:val="24"/>
          <w:lang w:val="en-US" w:eastAsia="zh-CN"/>
        </w:rPr>
        <w:t>7</w:t>
      </w:r>
      <w:r>
        <w:rPr>
          <w:rStyle w:val="11"/>
          <w:rFonts w:hint="eastAsia" w:ascii="仿宋" w:hAnsi="仿宋" w:eastAsia="仿宋"/>
          <w:color w:val="000000"/>
          <w:sz w:val="32"/>
          <w:szCs w:val="24"/>
        </w:rPr>
        <w:t>.</w:t>
      </w:r>
      <w:r>
        <w:rPr>
          <w:rFonts w:hint="eastAsia" w:ascii="仿宋" w:hAnsi="仿宋" w:eastAsia="仿宋"/>
          <w:b/>
          <w:color w:val="000000"/>
          <w:sz w:val="32"/>
          <w:szCs w:val="24"/>
        </w:rPr>
        <w:t>卫生健康</w:t>
      </w:r>
      <w:r>
        <w:rPr>
          <w:rFonts w:hint="eastAsia" w:ascii="仿宋" w:hAnsi="仿宋" w:eastAsia="仿宋"/>
          <w:b/>
          <w:color w:val="000000"/>
          <w:sz w:val="32"/>
          <w:szCs w:val="24"/>
          <w:lang w:eastAsia="zh-CN"/>
        </w:rPr>
        <w:t>支出</w:t>
      </w:r>
      <w:r>
        <w:rPr>
          <w:rStyle w:val="11"/>
          <w:rFonts w:hint="eastAsia" w:ascii="仿宋" w:hAnsi="仿宋" w:eastAsia="仿宋"/>
          <w:color w:val="000000"/>
          <w:sz w:val="32"/>
          <w:szCs w:val="24"/>
        </w:rPr>
        <w:t>（类）</w:t>
      </w:r>
      <w:r>
        <w:rPr>
          <w:rStyle w:val="11"/>
          <w:rFonts w:hint="eastAsia" w:ascii="仿宋" w:hAnsi="仿宋" w:eastAsia="仿宋"/>
          <w:color w:val="000000"/>
          <w:sz w:val="32"/>
          <w:szCs w:val="24"/>
          <w:lang w:eastAsia="zh-CN"/>
        </w:rPr>
        <w:t>行政事业单位医疗</w:t>
      </w:r>
      <w:r>
        <w:rPr>
          <w:rStyle w:val="11"/>
          <w:rFonts w:hint="eastAsia" w:ascii="仿宋" w:hAnsi="仿宋" w:eastAsia="仿宋"/>
          <w:color w:val="000000"/>
          <w:sz w:val="32"/>
          <w:szCs w:val="24"/>
        </w:rPr>
        <w:t>（款）</w:t>
      </w:r>
      <w:r>
        <w:rPr>
          <w:rStyle w:val="11"/>
          <w:rFonts w:hint="eastAsia" w:ascii="仿宋" w:hAnsi="仿宋" w:eastAsia="仿宋"/>
          <w:color w:val="000000"/>
          <w:sz w:val="32"/>
          <w:szCs w:val="24"/>
          <w:lang w:eastAsia="zh-CN"/>
        </w:rPr>
        <w:t>公务员医疗补助</w:t>
      </w:r>
      <w:r>
        <w:rPr>
          <w:rStyle w:val="11"/>
          <w:rFonts w:hint="eastAsia" w:ascii="仿宋" w:hAnsi="仿宋" w:eastAsia="仿宋"/>
          <w:color w:val="000000"/>
          <w:sz w:val="32"/>
          <w:szCs w:val="24"/>
        </w:rPr>
        <w:t>（项）</w:t>
      </w:r>
      <w:r>
        <w:rPr>
          <w:rStyle w:val="11"/>
          <w:rFonts w:hint="eastAsia" w:ascii="仿宋" w:hAnsi="仿宋" w:eastAsia="仿宋"/>
          <w:color w:val="000000"/>
          <w:sz w:val="32"/>
          <w:szCs w:val="24"/>
          <w:lang w:eastAsia="zh-CN"/>
        </w:rPr>
        <w:t>：</w:t>
      </w:r>
      <w:r>
        <w:rPr>
          <w:rStyle w:val="11"/>
          <w:rFonts w:hint="eastAsia" w:ascii="仿宋" w:hAnsi="仿宋" w:eastAsia="仿宋"/>
          <w:b w:val="0"/>
          <w:color w:val="000000"/>
          <w:sz w:val="32"/>
          <w:szCs w:val="24"/>
        </w:rPr>
        <w:t>支出决算为</w:t>
      </w:r>
      <w:r>
        <w:rPr>
          <w:rStyle w:val="11"/>
          <w:rFonts w:hint="eastAsia" w:ascii="仿宋" w:hAnsi="仿宋" w:eastAsia="仿宋"/>
          <w:b w:val="0"/>
          <w:color w:val="000000"/>
          <w:sz w:val="32"/>
          <w:szCs w:val="24"/>
          <w:lang w:val="en-US" w:eastAsia="zh-CN"/>
        </w:rPr>
        <w:t>1.08</w:t>
      </w:r>
      <w:r>
        <w:rPr>
          <w:rStyle w:val="11"/>
          <w:rFonts w:hint="eastAsia" w:ascii="仿宋" w:hAnsi="仿宋" w:eastAsia="仿宋"/>
          <w:b w:val="0"/>
          <w:color w:val="000000"/>
          <w:sz w:val="32"/>
          <w:szCs w:val="24"/>
        </w:rPr>
        <w:t>万元，完成预算</w:t>
      </w:r>
      <w:r>
        <w:rPr>
          <w:rStyle w:val="11"/>
          <w:rFonts w:hint="eastAsia" w:ascii="仿宋" w:hAnsi="仿宋" w:eastAsia="仿宋"/>
          <w:b w:val="0"/>
          <w:color w:val="000000"/>
          <w:sz w:val="32"/>
          <w:szCs w:val="24"/>
          <w:lang w:val="en-US" w:eastAsia="zh-CN"/>
        </w:rPr>
        <w:t>100</w:t>
      </w:r>
      <w:r>
        <w:rPr>
          <w:rStyle w:val="11"/>
          <w:rFonts w:hint="eastAsia" w:ascii="仿宋" w:hAnsi="仿宋" w:eastAsia="仿宋"/>
          <w:b w:val="0"/>
          <w:color w:val="000000"/>
          <w:sz w:val="32"/>
          <w:szCs w:val="24"/>
        </w:rPr>
        <w:t>%</w:t>
      </w:r>
      <w:r>
        <w:rPr>
          <w:rStyle w:val="11"/>
          <w:rFonts w:hint="eastAsia" w:ascii="仿宋" w:hAnsi="仿宋" w:eastAsia="仿宋"/>
          <w:b w:val="0"/>
          <w:color w:val="000000"/>
          <w:sz w:val="32"/>
          <w:szCs w:val="24"/>
          <w:lang w:eastAsia="zh-CN"/>
        </w:rPr>
        <w:t>，</w:t>
      </w:r>
      <w:r>
        <w:rPr>
          <w:rStyle w:val="11"/>
          <w:rFonts w:hint="eastAsia" w:ascii="仿宋" w:hAnsi="仿宋" w:eastAsia="仿宋"/>
          <w:b w:val="0"/>
          <w:color w:val="000000"/>
          <w:sz w:val="32"/>
          <w:szCs w:val="24"/>
          <w:lang w:val="en-US" w:eastAsia="zh-CN"/>
        </w:rPr>
        <w:t>决算数与预算数持平</w:t>
      </w:r>
      <w:r>
        <w:rPr>
          <w:rStyle w:val="11"/>
          <w:rFonts w:hint="eastAsia" w:ascii="仿宋" w:hAnsi="仿宋" w:eastAsia="仿宋"/>
          <w:b w:val="0"/>
          <w:color w:val="000000"/>
          <w:sz w:val="32"/>
          <w:szCs w:val="24"/>
        </w:rPr>
        <w:t>。</w:t>
      </w:r>
    </w:p>
    <w:p w14:paraId="6CC7B786">
      <w:pPr>
        <w:spacing w:beforeLines="0" w:afterLines="0" w:line="600" w:lineRule="exact"/>
        <w:ind w:firstLine="643" w:firstLineChars="200"/>
        <w:rPr>
          <w:rFonts w:hint="default"/>
          <w:sz w:val="24"/>
          <w:szCs w:val="24"/>
        </w:rPr>
      </w:pPr>
      <w:r>
        <w:rPr>
          <w:rStyle w:val="11"/>
          <w:rFonts w:hint="eastAsia" w:ascii="仿宋" w:hAnsi="仿宋" w:eastAsia="仿宋"/>
          <w:color w:val="000000"/>
          <w:sz w:val="32"/>
          <w:szCs w:val="24"/>
          <w:lang w:val="en-US" w:eastAsia="zh-CN"/>
        </w:rPr>
        <w:t>8</w:t>
      </w:r>
      <w:r>
        <w:rPr>
          <w:rStyle w:val="11"/>
          <w:rFonts w:hint="eastAsia" w:ascii="仿宋" w:hAnsi="仿宋" w:eastAsia="仿宋"/>
          <w:color w:val="000000"/>
          <w:sz w:val="32"/>
          <w:szCs w:val="24"/>
        </w:rPr>
        <w:t>.</w:t>
      </w:r>
      <w:r>
        <w:rPr>
          <w:rFonts w:hint="eastAsia" w:ascii="仿宋" w:hAnsi="仿宋" w:eastAsia="仿宋"/>
          <w:b/>
          <w:color w:val="000000"/>
          <w:sz w:val="32"/>
          <w:szCs w:val="24"/>
        </w:rPr>
        <w:t>卫生健康</w:t>
      </w:r>
      <w:r>
        <w:rPr>
          <w:rFonts w:hint="eastAsia" w:ascii="仿宋" w:hAnsi="仿宋" w:eastAsia="仿宋"/>
          <w:b/>
          <w:color w:val="000000"/>
          <w:sz w:val="32"/>
          <w:szCs w:val="24"/>
          <w:lang w:eastAsia="zh-CN"/>
        </w:rPr>
        <w:t>支出</w:t>
      </w:r>
      <w:r>
        <w:rPr>
          <w:rStyle w:val="11"/>
          <w:rFonts w:hint="eastAsia" w:ascii="仿宋" w:hAnsi="仿宋" w:eastAsia="仿宋"/>
          <w:color w:val="000000"/>
          <w:sz w:val="32"/>
          <w:szCs w:val="24"/>
        </w:rPr>
        <w:t>（类）</w:t>
      </w:r>
      <w:r>
        <w:rPr>
          <w:rStyle w:val="11"/>
          <w:rFonts w:hint="eastAsia" w:ascii="仿宋" w:hAnsi="仿宋" w:eastAsia="仿宋"/>
          <w:color w:val="000000"/>
          <w:sz w:val="32"/>
          <w:szCs w:val="24"/>
          <w:lang w:eastAsia="zh-CN"/>
        </w:rPr>
        <w:t>医疗保障事务管理</w:t>
      </w:r>
      <w:r>
        <w:rPr>
          <w:rStyle w:val="11"/>
          <w:rFonts w:hint="eastAsia" w:ascii="仿宋" w:hAnsi="仿宋" w:eastAsia="仿宋"/>
          <w:color w:val="000000"/>
          <w:sz w:val="32"/>
          <w:szCs w:val="24"/>
        </w:rPr>
        <w:t>（款）</w:t>
      </w:r>
      <w:r>
        <w:rPr>
          <w:rStyle w:val="11"/>
          <w:rFonts w:hint="eastAsia" w:ascii="仿宋" w:hAnsi="仿宋" w:eastAsia="仿宋"/>
          <w:color w:val="000000"/>
          <w:sz w:val="32"/>
          <w:szCs w:val="24"/>
          <w:lang w:eastAsia="zh-CN"/>
        </w:rPr>
        <w:t>一般行政管理事务</w:t>
      </w:r>
      <w:r>
        <w:rPr>
          <w:rStyle w:val="11"/>
          <w:rFonts w:hint="eastAsia" w:ascii="仿宋" w:hAnsi="仿宋" w:eastAsia="仿宋"/>
          <w:color w:val="000000"/>
          <w:sz w:val="32"/>
          <w:szCs w:val="24"/>
        </w:rPr>
        <w:t>（项）</w:t>
      </w:r>
      <w:r>
        <w:rPr>
          <w:rStyle w:val="11"/>
          <w:rFonts w:hint="eastAsia" w:ascii="仿宋" w:hAnsi="仿宋" w:eastAsia="仿宋"/>
          <w:color w:val="000000"/>
          <w:sz w:val="32"/>
          <w:szCs w:val="24"/>
          <w:lang w:eastAsia="zh-CN"/>
        </w:rPr>
        <w:t>：</w:t>
      </w:r>
      <w:r>
        <w:rPr>
          <w:rStyle w:val="11"/>
          <w:rFonts w:hint="eastAsia" w:ascii="仿宋" w:hAnsi="仿宋" w:eastAsia="仿宋"/>
          <w:b w:val="0"/>
          <w:color w:val="000000"/>
          <w:sz w:val="32"/>
          <w:szCs w:val="24"/>
        </w:rPr>
        <w:t>支出决算为</w:t>
      </w:r>
      <w:r>
        <w:rPr>
          <w:rStyle w:val="11"/>
          <w:rFonts w:hint="eastAsia" w:ascii="仿宋" w:hAnsi="仿宋" w:eastAsia="仿宋"/>
          <w:b w:val="0"/>
          <w:color w:val="000000"/>
          <w:sz w:val="32"/>
          <w:szCs w:val="24"/>
          <w:lang w:val="en-US" w:eastAsia="zh-CN"/>
        </w:rPr>
        <w:t>16</w:t>
      </w:r>
      <w:r>
        <w:rPr>
          <w:rStyle w:val="11"/>
          <w:rFonts w:hint="eastAsia" w:ascii="仿宋" w:hAnsi="仿宋" w:eastAsia="仿宋"/>
          <w:b w:val="0"/>
          <w:color w:val="000000"/>
          <w:sz w:val="32"/>
          <w:szCs w:val="24"/>
        </w:rPr>
        <w:t>万元，完成预算</w:t>
      </w:r>
      <w:r>
        <w:rPr>
          <w:rStyle w:val="11"/>
          <w:rFonts w:hint="eastAsia" w:ascii="仿宋" w:hAnsi="仿宋" w:eastAsia="仿宋"/>
          <w:b w:val="0"/>
          <w:color w:val="000000"/>
          <w:sz w:val="32"/>
          <w:szCs w:val="24"/>
          <w:lang w:val="en-US" w:eastAsia="zh-CN"/>
        </w:rPr>
        <w:t>100</w:t>
      </w:r>
      <w:r>
        <w:rPr>
          <w:rStyle w:val="11"/>
          <w:rFonts w:hint="eastAsia" w:ascii="仿宋" w:hAnsi="仿宋" w:eastAsia="仿宋"/>
          <w:b w:val="0"/>
          <w:color w:val="000000"/>
          <w:sz w:val="32"/>
          <w:szCs w:val="24"/>
        </w:rPr>
        <w:t>%</w:t>
      </w:r>
      <w:r>
        <w:rPr>
          <w:rStyle w:val="11"/>
          <w:rFonts w:hint="eastAsia" w:ascii="仿宋" w:hAnsi="仿宋" w:eastAsia="仿宋"/>
          <w:b w:val="0"/>
          <w:color w:val="000000"/>
          <w:sz w:val="32"/>
          <w:szCs w:val="24"/>
          <w:lang w:eastAsia="zh-CN"/>
        </w:rPr>
        <w:t>，</w:t>
      </w:r>
      <w:r>
        <w:rPr>
          <w:rStyle w:val="11"/>
          <w:rFonts w:hint="eastAsia" w:ascii="仿宋" w:hAnsi="仿宋" w:eastAsia="仿宋"/>
          <w:b w:val="0"/>
          <w:color w:val="000000"/>
          <w:sz w:val="32"/>
          <w:szCs w:val="24"/>
          <w:lang w:val="en-US" w:eastAsia="zh-CN"/>
        </w:rPr>
        <w:t>决算数与预算数持平</w:t>
      </w:r>
      <w:r>
        <w:rPr>
          <w:rStyle w:val="11"/>
          <w:rFonts w:hint="eastAsia" w:ascii="仿宋" w:hAnsi="仿宋" w:eastAsia="仿宋"/>
          <w:b w:val="0"/>
          <w:color w:val="000000"/>
          <w:sz w:val="32"/>
          <w:szCs w:val="24"/>
        </w:rPr>
        <w:t>。</w:t>
      </w:r>
    </w:p>
    <w:p w14:paraId="6413F6E3">
      <w:pPr>
        <w:spacing w:beforeLines="0" w:afterLines="0" w:line="600" w:lineRule="exact"/>
        <w:ind w:firstLine="643" w:firstLineChars="200"/>
        <w:rPr>
          <w:rStyle w:val="11"/>
          <w:rFonts w:hint="eastAsia" w:ascii="仿宋" w:hAnsi="仿宋" w:eastAsia="仿宋"/>
          <w:b w:val="0"/>
          <w:color w:val="000000"/>
          <w:sz w:val="32"/>
          <w:szCs w:val="24"/>
        </w:rPr>
      </w:pPr>
      <w:r>
        <w:rPr>
          <w:rStyle w:val="11"/>
          <w:rFonts w:hint="eastAsia" w:ascii="仿宋" w:hAnsi="仿宋" w:eastAsia="仿宋"/>
          <w:color w:val="000000"/>
          <w:sz w:val="32"/>
          <w:szCs w:val="24"/>
          <w:lang w:val="en-US" w:eastAsia="zh-CN"/>
        </w:rPr>
        <w:t>9</w:t>
      </w:r>
      <w:r>
        <w:rPr>
          <w:rStyle w:val="11"/>
          <w:rFonts w:hint="eastAsia" w:ascii="仿宋" w:hAnsi="仿宋" w:eastAsia="仿宋"/>
          <w:color w:val="000000"/>
          <w:sz w:val="32"/>
          <w:szCs w:val="24"/>
        </w:rPr>
        <w:t>.</w:t>
      </w:r>
      <w:r>
        <w:rPr>
          <w:rFonts w:hint="eastAsia" w:ascii="仿宋" w:hAnsi="仿宋" w:eastAsia="仿宋"/>
          <w:b/>
          <w:color w:val="000000"/>
          <w:sz w:val="32"/>
          <w:szCs w:val="24"/>
          <w:lang w:eastAsia="zh-CN"/>
        </w:rPr>
        <w:t>农林水支出</w:t>
      </w:r>
      <w:r>
        <w:rPr>
          <w:rStyle w:val="11"/>
          <w:rFonts w:hint="eastAsia" w:ascii="仿宋" w:hAnsi="仿宋" w:eastAsia="仿宋"/>
          <w:color w:val="000000"/>
          <w:sz w:val="32"/>
          <w:szCs w:val="24"/>
        </w:rPr>
        <w:t>（类）</w:t>
      </w:r>
      <w:r>
        <w:rPr>
          <w:rStyle w:val="11"/>
          <w:rFonts w:hint="eastAsia" w:ascii="仿宋" w:hAnsi="仿宋" w:eastAsia="仿宋"/>
          <w:color w:val="000000"/>
          <w:sz w:val="32"/>
          <w:szCs w:val="24"/>
          <w:lang w:eastAsia="zh-CN"/>
        </w:rPr>
        <w:t>巩固脱贫衔接乡村振兴</w:t>
      </w:r>
      <w:r>
        <w:rPr>
          <w:rStyle w:val="11"/>
          <w:rFonts w:hint="eastAsia" w:ascii="仿宋" w:hAnsi="仿宋" w:eastAsia="仿宋"/>
          <w:color w:val="000000"/>
          <w:sz w:val="32"/>
          <w:szCs w:val="24"/>
        </w:rPr>
        <w:t>（款）</w:t>
      </w:r>
      <w:r>
        <w:rPr>
          <w:rStyle w:val="11"/>
          <w:rFonts w:hint="eastAsia" w:ascii="仿宋" w:hAnsi="仿宋" w:eastAsia="仿宋"/>
          <w:color w:val="000000"/>
          <w:sz w:val="32"/>
          <w:szCs w:val="24"/>
          <w:lang w:eastAsia="zh-CN"/>
        </w:rPr>
        <w:t>其他巩固脱贫衔接乡村振兴支出</w:t>
      </w:r>
      <w:r>
        <w:rPr>
          <w:rStyle w:val="11"/>
          <w:rFonts w:hint="eastAsia" w:ascii="仿宋" w:hAnsi="仿宋" w:eastAsia="仿宋"/>
          <w:color w:val="000000"/>
          <w:sz w:val="32"/>
          <w:szCs w:val="24"/>
        </w:rPr>
        <w:t>（项）</w:t>
      </w:r>
      <w:r>
        <w:rPr>
          <w:rStyle w:val="11"/>
          <w:rFonts w:hint="eastAsia" w:ascii="仿宋" w:hAnsi="仿宋" w:eastAsia="仿宋"/>
          <w:color w:val="000000"/>
          <w:sz w:val="32"/>
          <w:szCs w:val="24"/>
          <w:lang w:eastAsia="zh-CN"/>
        </w:rPr>
        <w:t>：</w:t>
      </w:r>
      <w:r>
        <w:rPr>
          <w:rStyle w:val="11"/>
          <w:rFonts w:hint="eastAsia" w:ascii="仿宋" w:hAnsi="仿宋" w:eastAsia="仿宋"/>
          <w:b w:val="0"/>
          <w:color w:val="000000"/>
          <w:sz w:val="32"/>
          <w:szCs w:val="24"/>
        </w:rPr>
        <w:t>支出决算为</w:t>
      </w:r>
      <w:r>
        <w:rPr>
          <w:rStyle w:val="11"/>
          <w:rFonts w:hint="eastAsia" w:ascii="仿宋" w:hAnsi="仿宋" w:eastAsia="仿宋"/>
          <w:b w:val="0"/>
          <w:color w:val="000000"/>
          <w:sz w:val="32"/>
          <w:szCs w:val="24"/>
          <w:lang w:val="en-US" w:eastAsia="zh-CN"/>
        </w:rPr>
        <w:t>240.64</w:t>
      </w:r>
      <w:r>
        <w:rPr>
          <w:rStyle w:val="11"/>
          <w:rFonts w:hint="eastAsia" w:ascii="仿宋" w:hAnsi="仿宋" w:eastAsia="仿宋"/>
          <w:b w:val="0"/>
          <w:color w:val="000000"/>
          <w:sz w:val="32"/>
          <w:szCs w:val="24"/>
        </w:rPr>
        <w:t>万元，完成预算</w:t>
      </w:r>
      <w:r>
        <w:rPr>
          <w:rStyle w:val="11"/>
          <w:rFonts w:hint="eastAsia" w:ascii="仿宋" w:hAnsi="仿宋" w:eastAsia="仿宋"/>
          <w:b w:val="0"/>
          <w:color w:val="000000"/>
          <w:sz w:val="32"/>
          <w:szCs w:val="24"/>
          <w:lang w:val="en-US" w:eastAsia="zh-CN"/>
        </w:rPr>
        <w:t>100</w:t>
      </w:r>
      <w:r>
        <w:rPr>
          <w:rStyle w:val="11"/>
          <w:rFonts w:hint="eastAsia" w:ascii="仿宋" w:hAnsi="仿宋" w:eastAsia="仿宋"/>
          <w:b w:val="0"/>
          <w:color w:val="000000"/>
          <w:sz w:val="32"/>
          <w:szCs w:val="24"/>
        </w:rPr>
        <w:t>%</w:t>
      </w:r>
      <w:r>
        <w:rPr>
          <w:rStyle w:val="11"/>
          <w:rFonts w:hint="eastAsia" w:ascii="仿宋" w:hAnsi="仿宋" w:eastAsia="仿宋"/>
          <w:b w:val="0"/>
          <w:color w:val="000000"/>
          <w:sz w:val="32"/>
          <w:szCs w:val="24"/>
          <w:lang w:eastAsia="zh-CN"/>
        </w:rPr>
        <w:t>，</w:t>
      </w:r>
      <w:r>
        <w:rPr>
          <w:rStyle w:val="11"/>
          <w:rFonts w:hint="eastAsia" w:ascii="仿宋" w:hAnsi="仿宋" w:eastAsia="仿宋"/>
          <w:b w:val="0"/>
          <w:color w:val="000000"/>
          <w:sz w:val="32"/>
          <w:szCs w:val="24"/>
          <w:lang w:val="en-US" w:eastAsia="zh-CN"/>
        </w:rPr>
        <w:t>决算数与预算数持平</w:t>
      </w:r>
      <w:r>
        <w:rPr>
          <w:rStyle w:val="11"/>
          <w:rFonts w:hint="eastAsia" w:ascii="仿宋" w:hAnsi="仿宋" w:eastAsia="仿宋"/>
          <w:b w:val="0"/>
          <w:color w:val="000000"/>
          <w:sz w:val="32"/>
          <w:szCs w:val="24"/>
        </w:rPr>
        <w:t>。</w:t>
      </w:r>
    </w:p>
    <w:p w14:paraId="0AD99DE5">
      <w:pPr>
        <w:spacing w:beforeLines="0" w:afterLines="0" w:line="600" w:lineRule="exact"/>
        <w:ind w:firstLine="643" w:firstLineChars="200"/>
        <w:rPr>
          <w:rStyle w:val="11"/>
          <w:rFonts w:hint="eastAsia" w:ascii="仿宋" w:hAnsi="仿宋" w:eastAsia="仿宋"/>
          <w:b w:val="0"/>
          <w:color w:val="000000"/>
          <w:sz w:val="32"/>
          <w:szCs w:val="24"/>
        </w:rPr>
      </w:pPr>
      <w:r>
        <w:rPr>
          <w:rStyle w:val="11"/>
          <w:rFonts w:hint="eastAsia" w:ascii="仿宋" w:hAnsi="仿宋" w:eastAsia="仿宋"/>
          <w:color w:val="000000"/>
          <w:sz w:val="32"/>
          <w:szCs w:val="24"/>
          <w:lang w:val="en-US" w:eastAsia="zh-CN"/>
        </w:rPr>
        <w:t>10</w:t>
      </w:r>
      <w:r>
        <w:rPr>
          <w:rStyle w:val="11"/>
          <w:rFonts w:hint="eastAsia" w:ascii="仿宋" w:hAnsi="仿宋" w:eastAsia="仿宋"/>
          <w:color w:val="000000"/>
          <w:sz w:val="32"/>
          <w:szCs w:val="24"/>
        </w:rPr>
        <w:t>.</w:t>
      </w:r>
      <w:r>
        <w:rPr>
          <w:rFonts w:hint="eastAsia" w:ascii="仿宋" w:hAnsi="仿宋" w:eastAsia="仿宋"/>
          <w:b/>
          <w:color w:val="000000"/>
          <w:sz w:val="32"/>
          <w:szCs w:val="24"/>
          <w:lang w:eastAsia="zh-CN"/>
        </w:rPr>
        <w:t>住房保障支出</w:t>
      </w:r>
      <w:r>
        <w:rPr>
          <w:rStyle w:val="11"/>
          <w:rFonts w:hint="eastAsia" w:ascii="仿宋" w:hAnsi="仿宋" w:eastAsia="仿宋"/>
          <w:color w:val="000000"/>
          <w:sz w:val="32"/>
          <w:szCs w:val="24"/>
        </w:rPr>
        <w:t>（类）</w:t>
      </w:r>
      <w:r>
        <w:rPr>
          <w:rStyle w:val="11"/>
          <w:rFonts w:hint="eastAsia" w:ascii="仿宋" w:hAnsi="仿宋" w:eastAsia="仿宋"/>
          <w:color w:val="000000"/>
          <w:sz w:val="32"/>
          <w:szCs w:val="24"/>
          <w:lang w:eastAsia="zh-CN"/>
        </w:rPr>
        <w:t>住房改革支出</w:t>
      </w:r>
      <w:r>
        <w:rPr>
          <w:rStyle w:val="11"/>
          <w:rFonts w:hint="eastAsia" w:ascii="仿宋" w:hAnsi="仿宋" w:eastAsia="仿宋"/>
          <w:color w:val="000000"/>
          <w:sz w:val="32"/>
          <w:szCs w:val="24"/>
        </w:rPr>
        <w:t>（款）</w:t>
      </w:r>
      <w:r>
        <w:rPr>
          <w:rStyle w:val="11"/>
          <w:rFonts w:hint="eastAsia" w:ascii="仿宋" w:hAnsi="仿宋" w:eastAsia="仿宋"/>
          <w:color w:val="000000"/>
          <w:sz w:val="32"/>
          <w:szCs w:val="24"/>
          <w:lang w:eastAsia="zh-CN"/>
        </w:rPr>
        <w:t>住房公积金</w:t>
      </w:r>
      <w:r>
        <w:rPr>
          <w:rStyle w:val="11"/>
          <w:rFonts w:hint="eastAsia" w:ascii="仿宋" w:hAnsi="仿宋" w:eastAsia="仿宋"/>
          <w:color w:val="000000"/>
          <w:sz w:val="32"/>
          <w:szCs w:val="24"/>
        </w:rPr>
        <w:t>（项）</w:t>
      </w:r>
      <w:r>
        <w:rPr>
          <w:rStyle w:val="11"/>
          <w:rFonts w:hint="eastAsia" w:ascii="仿宋" w:hAnsi="仿宋" w:eastAsia="仿宋"/>
          <w:color w:val="000000"/>
          <w:sz w:val="32"/>
          <w:szCs w:val="24"/>
          <w:lang w:eastAsia="zh-CN"/>
        </w:rPr>
        <w:t>：</w:t>
      </w:r>
      <w:r>
        <w:rPr>
          <w:rStyle w:val="11"/>
          <w:rFonts w:hint="eastAsia" w:ascii="仿宋" w:hAnsi="仿宋" w:eastAsia="仿宋"/>
          <w:b w:val="0"/>
          <w:color w:val="000000"/>
          <w:sz w:val="32"/>
          <w:szCs w:val="24"/>
        </w:rPr>
        <w:t>支出决算为</w:t>
      </w:r>
      <w:r>
        <w:rPr>
          <w:rStyle w:val="11"/>
          <w:rFonts w:hint="eastAsia" w:ascii="仿宋" w:hAnsi="仿宋" w:eastAsia="仿宋"/>
          <w:b w:val="0"/>
          <w:color w:val="000000"/>
          <w:sz w:val="32"/>
          <w:szCs w:val="24"/>
          <w:lang w:val="en-US" w:eastAsia="zh-CN"/>
        </w:rPr>
        <w:t>22.47</w:t>
      </w:r>
      <w:r>
        <w:rPr>
          <w:rStyle w:val="11"/>
          <w:rFonts w:hint="eastAsia" w:ascii="仿宋" w:hAnsi="仿宋" w:eastAsia="仿宋"/>
          <w:b w:val="0"/>
          <w:color w:val="000000"/>
          <w:sz w:val="32"/>
          <w:szCs w:val="24"/>
        </w:rPr>
        <w:t>万元，完成预算</w:t>
      </w:r>
      <w:r>
        <w:rPr>
          <w:rStyle w:val="11"/>
          <w:rFonts w:hint="eastAsia" w:ascii="仿宋" w:hAnsi="仿宋" w:eastAsia="仿宋"/>
          <w:b w:val="0"/>
          <w:color w:val="000000"/>
          <w:sz w:val="32"/>
          <w:szCs w:val="24"/>
          <w:lang w:val="en-US" w:eastAsia="zh-CN"/>
        </w:rPr>
        <w:t>100</w:t>
      </w:r>
      <w:r>
        <w:rPr>
          <w:rStyle w:val="11"/>
          <w:rFonts w:hint="eastAsia" w:ascii="仿宋" w:hAnsi="仿宋" w:eastAsia="仿宋"/>
          <w:b w:val="0"/>
          <w:color w:val="000000"/>
          <w:sz w:val="32"/>
          <w:szCs w:val="24"/>
        </w:rPr>
        <w:t>%</w:t>
      </w:r>
      <w:r>
        <w:rPr>
          <w:rStyle w:val="11"/>
          <w:rFonts w:hint="eastAsia" w:ascii="仿宋" w:hAnsi="仿宋" w:eastAsia="仿宋"/>
          <w:b w:val="0"/>
          <w:color w:val="000000"/>
          <w:sz w:val="32"/>
          <w:szCs w:val="24"/>
          <w:lang w:eastAsia="zh-CN"/>
        </w:rPr>
        <w:t>，</w:t>
      </w:r>
      <w:r>
        <w:rPr>
          <w:rStyle w:val="11"/>
          <w:rFonts w:hint="eastAsia" w:ascii="仿宋" w:hAnsi="仿宋" w:eastAsia="仿宋"/>
          <w:b w:val="0"/>
          <w:color w:val="000000"/>
          <w:sz w:val="32"/>
          <w:szCs w:val="24"/>
          <w:lang w:val="en-US" w:eastAsia="zh-CN"/>
        </w:rPr>
        <w:t>决算数与预算数持平</w:t>
      </w:r>
      <w:r>
        <w:rPr>
          <w:rStyle w:val="11"/>
          <w:rFonts w:hint="eastAsia" w:ascii="仿宋" w:hAnsi="仿宋" w:eastAsia="仿宋"/>
          <w:b w:val="0"/>
          <w:color w:val="000000"/>
          <w:sz w:val="32"/>
          <w:szCs w:val="24"/>
        </w:rPr>
        <w:t>。</w:t>
      </w:r>
    </w:p>
    <w:p w14:paraId="044EE4E5">
      <w:pPr>
        <w:keepNext/>
        <w:keepLines/>
        <w:tabs>
          <w:tab w:val="right" w:pos="8306"/>
        </w:tabs>
        <w:spacing w:beforeLines="0" w:afterLines="0" w:line="576" w:lineRule="exact"/>
        <w:ind w:firstLine="640"/>
        <w:jc w:val="both"/>
        <w:rPr>
          <w:rFonts w:hint="default" w:ascii="Cambria" w:hAnsi="Cambria" w:eastAsia="Cambria"/>
          <w:b/>
          <w:color w:val="auto"/>
          <w:kern w:val="2"/>
          <w:sz w:val="32"/>
          <w:szCs w:val="24"/>
          <w:lang w:val="zh-CN"/>
        </w:rPr>
      </w:pPr>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r>
        <w:rPr>
          <w:rFonts w:hint="eastAsia" w:ascii="黑体" w:hAnsi="黑体" w:eastAsia="黑体"/>
          <w:color w:val="auto"/>
          <w:kern w:val="2"/>
          <w:sz w:val="32"/>
          <w:szCs w:val="24"/>
          <w:lang w:val="zh-CN"/>
        </w:rPr>
        <w:tab/>
      </w:r>
    </w:p>
    <w:p w14:paraId="0FCEC531">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年一般公共预算财政拨款基本支出</w:t>
      </w:r>
      <w:r>
        <w:rPr>
          <w:rFonts w:hint="eastAsia" w:ascii="仿宋_GB2312" w:hAnsi="仿宋_GB2312" w:eastAsia="仿宋_GB2312"/>
          <w:color w:val="000000"/>
          <w:kern w:val="2"/>
          <w:sz w:val="32"/>
          <w:szCs w:val="24"/>
          <w:lang w:val="en-US" w:eastAsia="zh-CN"/>
        </w:rPr>
        <w:t>1021.67</w:t>
      </w:r>
      <w:r>
        <w:rPr>
          <w:rFonts w:hint="eastAsia" w:ascii="仿宋_GB2312" w:hAnsi="仿宋_GB2312" w:eastAsia="仿宋_GB2312"/>
          <w:color w:val="000000"/>
          <w:kern w:val="2"/>
          <w:sz w:val="32"/>
          <w:szCs w:val="24"/>
          <w:lang w:val="zh-CN"/>
        </w:rPr>
        <w:t>万元，其中：</w:t>
      </w:r>
    </w:p>
    <w:p w14:paraId="2A92EF4F">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en-US" w:eastAsia="zh-CN"/>
        </w:rPr>
        <w:t>288.1</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000000"/>
          <w:kern w:val="2"/>
          <w:sz w:val="32"/>
          <w:szCs w:val="24"/>
          <w:lang w:val="en-US"/>
        </w:rPr>
        <w:t>基本工</w:t>
      </w:r>
      <w:r>
        <w:rPr>
          <w:rFonts w:hint="eastAsia" w:ascii="仿宋" w:hAnsi="仿宋" w:eastAsia="仿宋"/>
          <w:color w:val="auto"/>
          <w:kern w:val="2"/>
          <w:sz w:val="32"/>
          <w:szCs w:val="24"/>
          <w:lang w:val="en-US"/>
        </w:rPr>
        <w:t>资、津贴补贴、奖金、伙食补助费、绩效工资、机关事业单位基本养老保险缴费、职业年金缴费、其他社会保障缴费、其他工资福利支出、生活补助、医疗费补助、奖励金、住房公积金、其他对个人和家庭的补助支出等</w:t>
      </w:r>
      <w:r>
        <w:rPr>
          <w:rFonts w:hint="eastAsia" w:ascii="仿宋_GB2312" w:hAnsi="仿宋_GB2312" w:eastAsia="仿宋_GB2312"/>
          <w:color w:val="000000"/>
          <w:kern w:val="2"/>
          <w:sz w:val="32"/>
          <w:szCs w:val="24"/>
          <w:lang w:val="zh-CN"/>
        </w:rPr>
        <w:t>。</w:t>
      </w:r>
    </w:p>
    <w:p w14:paraId="62CE3031">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en-US" w:eastAsia="zh-CN"/>
        </w:rPr>
        <w:t>52.64</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办公费、印刷费、水费、电费、邮电费、差旅费、维修（护）费、培训费、公务接待费、工会经费、福利费、其他交通费、其他商品和服务支出、办公设备购置等</w:t>
      </w:r>
      <w:r>
        <w:rPr>
          <w:rFonts w:hint="eastAsia" w:ascii="仿宋_GB2312" w:hAnsi="仿宋_GB2312" w:eastAsia="仿宋_GB2312"/>
          <w:color w:val="000000"/>
          <w:kern w:val="2"/>
          <w:sz w:val="32"/>
          <w:szCs w:val="24"/>
          <w:lang w:val="zh-CN"/>
        </w:rPr>
        <w:t>。</w:t>
      </w:r>
    </w:p>
    <w:p w14:paraId="600CA743">
      <w:pPr>
        <w:spacing w:beforeLines="0" w:afterLines="0" w:line="600" w:lineRule="exact"/>
        <w:ind w:firstLine="645"/>
        <w:jc w:val="both"/>
        <w:rPr>
          <w:rFonts w:hint="eastAsia" w:ascii="仿宋" w:hAnsi="仿宋" w:eastAsia="仿宋"/>
          <w:b/>
          <w:color w:val="auto"/>
          <w:kern w:val="2"/>
          <w:sz w:val="32"/>
          <w:szCs w:val="24"/>
          <w:lang w:val="en-US"/>
        </w:rPr>
      </w:pPr>
      <w:r>
        <w:rPr>
          <w:rFonts w:hint="eastAsia" w:ascii="仿宋" w:hAnsi="仿宋" w:eastAsia="仿宋"/>
          <w:b/>
          <w:color w:val="auto"/>
          <w:kern w:val="2"/>
          <w:sz w:val="32"/>
          <w:szCs w:val="24"/>
          <w:lang w:val="en-US"/>
        </w:rPr>
        <w:t>（注：数据来源于财决07表和财决08-1表，仅罗列本部门实际支出涉及的经济分类科目）</w:t>
      </w:r>
    </w:p>
    <w:p w14:paraId="4535F6C3">
      <w:pPr>
        <w:keepNext/>
        <w:keepLines/>
        <w:spacing w:beforeLines="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七、</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三公”经费财政拨款支出决算情况说明</w:t>
      </w:r>
    </w:p>
    <w:p w14:paraId="068C639D">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（一）“三公”经费财政拨款支出决算总体情况说明</w:t>
      </w:r>
    </w:p>
    <w:p w14:paraId="5613F9E6">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年“三公”经费财政拨款支出决算为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万元，完成预算100%；较上年减少</w:t>
      </w:r>
      <w:r>
        <w:rPr>
          <w:rFonts w:hint="eastAsia" w:ascii="仿宋_GB2312" w:hAnsi="仿宋_GB2312" w:eastAsia="仿宋_GB2312"/>
          <w:color w:val="000000"/>
          <w:kern w:val="2"/>
          <w:sz w:val="32"/>
          <w:szCs w:val="24"/>
          <w:lang w:val="en-US" w:eastAsia="zh-CN"/>
        </w:rPr>
        <w:t>0.79</w:t>
      </w:r>
      <w:r>
        <w:rPr>
          <w:rFonts w:hint="eastAsia" w:ascii="仿宋_GB2312" w:hAnsi="仿宋_GB2312" w:eastAsia="仿宋_GB2312"/>
          <w:color w:val="000000"/>
          <w:kern w:val="2"/>
          <w:sz w:val="32"/>
          <w:szCs w:val="24"/>
          <w:lang w:val="zh-CN"/>
        </w:rPr>
        <w:t>万元。</w:t>
      </w:r>
      <w:r>
        <w:rPr>
          <w:rFonts w:hint="eastAsia" w:ascii="仿宋" w:hAnsi="仿宋" w:eastAsia="仿宋"/>
          <w:color w:val="000000"/>
          <w:sz w:val="32"/>
          <w:szCs w:val="24"/>
        </w:rPr>
        <w:t>决算数</w:t>
      </w:r>
      <w:r>
        <w:rPr>
          <w:rFonts w:hint="eastAsia" w:ascii="仿宋" w:hAnsi="仿宋" w:eastAsia="仿宋"/>
          <w:color w:val="000000"/>
          <w:sz w:val="32"/>
          <w:szCs w:val="24"/>
          <w:lang w:eastAsia="zh-CN"/>
        </w:rPr>
        <w:t>与预算数持平</w:t>
      </w:r>
      <w:r>
        <w:rPr>
          <w:rFonts w:hint="eastAsia" w:ascii="仿宋_GB2312" w:hAnsi="仿宋_GB2312" w:eastAsia="仿宋_GB2312"/>
          <w:color w:val="000000"/>
          <w:kern w:val="2"/>
          <w:sz w:val="32"/>
          <w:szCs w:val="24"/>
          <w:lang w:val="zh-CN"/>
        </w:rPr>
        <w:t>。</w:t>
      </w:r>
    </w:p>
    <w:p w14:paraId="00FAD1EB">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（二）“三公”经费财政拨款支出决算具体情况说明</w:t>
      </w:r>
    </w:p>
    <w:p w14:paraId="558D403A">
      <w:pPr>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firstLine="641"/>
        <w:jc w:val="both"/>
        <w:textAlignment w:val="auto"/>
        <w:rPr>
          <w:rFonts w:hint="eastAsia" w:eastAsia="宋体"/>
          <w:lang w:eastAsia="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年“三公”经费财政拨款支出决算中，因公出国（境）费支出决算0万元，占0%；公务用车购置及运行维护费支出决算0万元，占0%；公务接待费支出决算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w:t>
      </w:r>
    </w:p>
    <w:p w14:paraId="6A8DFC3F">
      <w:pPr>
        <w:spacing w:beforeLines="0" w:afterLines="0" w:line="600" w:lineRule="exact"/>
        <w:ind w:firstLine="640"/>
        <w:jc w:val="both"/>
        <w:rPr>
          <w:rFonts w:hint="eastAsia" w:eastAsia="宋体"/>
          <w:lang w:val="en-US" w:eastAsia="zh-CN"/>
        </w:rPr>
      </w:pPr>
    </w:p>
    <w:p w14:paraId="69D8B4BD">
      <w:pPr>
        <w:spacing w:beforeLines="0" w:afterLines="0" w:line="600"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1.因公出国（境）经费</w:t>
      </w:r>
      <w:r>
        <w:rPr>
          <w:rFonts w:hint="eastAsia" w:ascii="仿宋_GB2312" w:hAnsi="仿宋_GB2312" w:eastAsia="仿宋_GB2312"/>
          <w:color w:val="000000"/>
          <w:kern w:val="2"/>
          <w:sz w:val="32"/>
          <w:szCs w:val="24"/>
          <w:lang w:val="zh-CN"/>
        </w:rPr>
        <w:t>支出0万元，完成预算0%。全年安排因公出国（境）团组0个，出国（境）0人。</w:t>
      </w:r>
      <w:r>
        <w:rPr>
          <w:rFonts w:hint="eastAsia" w:ascii="仿宋_GB2312" w:hAnsi="Times New Roman" w:eastAsia="仿宋_GB2312"/>
          <w:color w:val="000000"/>
          <w:sz w:val="32"/>
          <w:szCs w:val="24"/>
        </w:rPr>
        <w:t>因公出国（境）支出决算</w:t>
      </w:r>
      <w:r>
        <w:rPr>
          <w:rFonts w:hint="eastAsia" w:ascii="仿宋_GB2312" w:hAnsi="Times New Roman" w:eastAsia="仿宋_GB2312"/>
          <w:color w:val="000000"/>
          <w:sz w:val="32"/>
          <w:szCs w:val="24"/>
          <w:lang w:eastAsia="zh-CN"/>
        </w:rPr>
        <w:t>与</w:t>
      </w:r>
      <w:r>
        <w:rPr>
          <w:rFonts w:hint="eastAsia" w:ascii="仿宋_GB2312" w:hAnsi="Times New Roman" w:eastAsia="仿宋_GB2312"/>
          <w:color w:val="000000"/>
          <w:sz w:val="32"/>
          <w:szCs w:val="24"/>
          <w:lang w:val="en-US" w:eastAsia="zh-CN"/>
        </w:rPr>
        <w:t>2021</w:t>
      </w:r>
      <w:r>
        <w:rPr>
          <w:rFonts w:hint="eastAsia" w:ascii="仿宋_GB2312" w:hAnsi="Times New Roman" w:eastAsia="仿宋_GB2312"/>
          <w:color w:val="000000"/>
          <w:sz w:val="32"/>
          <w:szCs w:val="24"/>
        </w:rPr>
        <w:t>年</w:t>
      </w:r>
      <w:r>
        <w:rPr>
          <w:rFonts w:hint="eastAsia" w:ascii="仿宋_GB2312" w:hAnsi="Times New Roman" w:eastAsia="仿宋_GB2312"/>
          <w:color w:val="000000"/>
          <w:sz w:val="32"/>
          <w:szCs w:val="24"/>
          <w:lang w:eastAsia="zh-CN"/>
        </w:rPr>
        <w:t>持平</w:t>
      </w:r>
      <w:r>
        <w:rPr>
          <w:rFonts w:hint="eastAsia" w:ascii="仿宋_GB2312" w:hAnsi="Times New Roman" w:eastAsia="仿宋_GB2312"/>
          <w:color w:val="000000"/>
          <w:sz w:val="32"/>
          <w:szCs w:val="24"/>
        </w:rPr>
        <w:t>。</w:t>
      </w:r>
    </w:p>
    <w:p w14:paraId="1B33F386">
      <w:pPr>
        <w:spacing w:beforeLines="0" w:afterLines="0" w:line="600" w:lineRule="exact"/>
        <w:ind w:firstLine="640"/>
        <w:rPr>
          <w:rFonts w:hint="eastAsia" w:ascii="仿宋_GB2312" w:hAnsi="Times New Roman" w:eastAsia="仿宋_GB2312"/>
          <w:b/>
          <w:color w:val="000000"/>
          <w:sz w:val="32"/>
          <w:szCs w:val="24"/>
        </w:rPr>
      </w:pPr>
      <w:r>
        <w:rPr>
          <w:rFonts w:hint="eastAsia" w:ascii="仿宋_GB2312" w:hAnsi="Times New Roman" w:eastAsia="仿宋_GB2312"/>
          <w:b/>
          <w:color w:val="000000"/>
          <w:sz w:val="32"/>
          <w:szCs w:val="24"/>
        </w:rPr>
        <w:t>2.公务用车购置及运行维护费支出</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万元</w:t>
      </w:r>
      <w:r>
        <w:rPr>
          <w:rStyle w:val="11"/>
          <w:rFonts w:hint="eastAsia" w:ascii="仿宋" w:hAnsi="仿宋" w:eastAsia="仿宋"/>
          <w:b w:val="0"/>
          <w:color w:val="000000"/>
          <w:sz w:val="32"/>
          <w:szCs w:val="24"/>
        </w:rPr>
        <w:t>。</w:t>
      </w:r>
      <w:r>
        <w:rPr>
          <w:rFonts w:hint="eastAsia" w:ascii="仿宋_GB2312" w:hAnsi="Times New Roman" w:eastAsia="仿宋_GB2312"/>
          <w:color w:val="000000"/>
          <w:sz w:val="32"/>
          <w:szCs w:val="24"/>
        </w:rPr>
        <w:t>公务用车购置及运行维护费支出决算</w:t>
      </w:r>
      <w:r>
        <w:rPr>
          <w:rFonts w:hint="eastAsia" w:ascii="仿宋_GB2312" w:hAnsi="Times New Roman" w:eastAsia="仿宋_GB2312"/>
          <w:color w:val="000000"/>
          <w:sz w:val="32"/>
          <w:szCs w:val="24"/>
          <w:lang w:eastAsia="zh-CN"/>
        </w:rPr>
        <w:t>与</w:t>
      </w:r>
      <w:r>
        <w:rPr>
          <w:rFonts w:hint="eastAsia" w:ascii="仿宋_GB2312" w:hAnsi="Times New Roman" w:eastAsia="仿宋_GB2312"/>
          <w:color w:val="000000"/>
          <w:sz w:val="32"/>
          <w:szCs w:val="24"/>
          <w:lang w:val="en-US" w:eastAsia="zh-CN"/>
        </w:rPr>
        <w:t>2022年持平</w:t>
      </w:r>
      <w:r>
        <w:rPr>
          <w:rFonts w:hint="eastAsia" w:ascii="仿宋_GB2312" w:hAnsi="Times New Roman" w:eastAsia="仿宋_GB2312"/>
          <w:color w:val="000000"/>
          <w:sz w:val="32"/>
          <w:szCs w:val="24"/>
        </w:rPr>
        <w:t>。</w:t>
      </w:r>
    </w:p>
    <w:p w14:paraId="3048EC61">
      <w:pPr>
        <w:spacing w:beforeLines="0" w:afterLines="0" w:line="600" w:lineRule="exact"/>
        <w:ind w:firstLine="640" w:firstLineChars="200"/>
        <w:rPr>
          <w:rFonts w:hint="eastAsia" w:ascii="仿宋_GB2312" w:hAnsi="Times New Roman" w:eastAsia="仿宋_GB2312"/>
          <w:b/>
          <w:color w:val="000000"/>
          <w:sz w:val="32"/>
          <w:szCs w:val="24"/>
        </w:rPr>
      </w:pPr>
      <w:r>
        <w:rPr>
          <w:rFonts w:hint="eastAsia" w:ascii="仿宋_GB2312" w:hAnsi="Times New Roman" w:eastAsia="仿宋_GB2312"/>
          <w:color w:val="000000"/>
          <w:sz w:val="32"/>
          <w:szCs w:val="24"/>
        </w:rPr>
        <w:t>其中：</w:t>
      </w:r>
      <w:r>
        <w:rPr>
          <w:rFonts w:hint="eastAsia" w:ascii="仿宋_GB2312" w:hAnsi="Times New Roman" w:eastAsia="仿宋_GB2312"/>
          <w:b/>
          <w:color w:val="000000"/>
          <w:sz w:val="32"/>
          <w:szCs w:val="24"/>
        </w:rPr>
        <w:t>公务用车购置支出</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万元。全年按规定更新购置公务用车</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辆，其中：轿车</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辆、金额</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万元，越野车</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辆、金额</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万元，载客汽车</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辆、金额</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万元。截至202</w:t>
      </w:r>
      <w:r>
        <w:rPr>
          <w:rFonts w:hint="eastAsia" w:ascii="仿宋_GB2312" w:hAnsi="Times New Roman" w:eastAsia="仿宋_GB2312"/>
          <w:color w:val="000000"/>
          <w:sz w:val="32"/>
          <w:szCs w:val="24"/>
          <w:lang w:val="en-US" w:eastAsia="zh-CN"/>
        </w:rPr>
        <w:t>3年</w:t>
      </w:r>
      <w:r>
        <w:rPr>
          <w:rFonts w:hint="eastAsia" w:ascii="仿宋_GB2312" w:hAnsi="Times New Roman" w:eastAsia="仿宋_GB2312"/>
          <w:color w:val="000000"/>
          <w:sz w:val="32"/>
          <w:szCs w:val="24"/>
        </w:rPr>
        <w:t>12月底，单位共有公务用车</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辆，其中：轿车</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辆、越野车</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辆、载客汽车</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辆。</w:t>
      </w:r>
    </w:p>
    <w:p w14:paraId="6BF56EC0">
      <w:pPr>
        <w:spacing w:beforeLines="0" w:afterLines="0" w:line="600" w:lineRule="exact"/>
        <w:ind w:firstLine="640"/>
        <w:rPr>
          <w:rFonts w:hint="eastAsia" w:ascii="仿宋_GB2312" w:hAnsi="Times New Roman" w:eastAsia="仿宋_GB2312"/>
          <w:color w:val="000000"/>
          <w:sz w:val="32"/>
          <w:szCs w:val="24"/>
          <w:lang w:val="en-US" w:eastAsia="zh-CN"/>
        </w:rPr>
      </w:pPr>
      <w:r>
        <w:rPr>
          <w:rFonts w:hint="eastAsia" w:ascii="仿宋_GB2312" w:hAnsi="Times New Roman" w:eastAsia="仿宋_GB2312"/>
          <w:b/>
          <w:color w:val="000000"/>
          <w:sz w:val="32"/>
          <w:szCs w:val="24"/>
        </w:rPr>
        <w:t>公务用车运行维护费支出</w:t>
      </w:r>
      <w:r>
        <w:rPr>
          <w:rFonts w:hint="eastAsia" w:ascii="仿宋_GB2312" w:hAnsi="Times New Roman" w:eastAsia="仿宋_GB2312"/>
          <w:color w:val="000000"/>
          <w:sz w:val="32"/>
          <w:szCs w:val="24"/>
          <w:lang w:val="en-US" w:eastAsia="zh-CN"/>
        </w:rPr>
        <w:t>0</w:t>
      </w:r>
      <w:r>
        <w:rPr>
          <w:rFonts w:hint="eastAsia" w:ascii="仿宋_GB2312" w:hAnsi="Times New Roman" w:eastAsia="仿宋_GB2312"/>
          <w:color w:val="000000"/>
          <w:sz w:val="32"/>
          <w:szCs w:val="24"/>
        </w:rPr>
        <w:t>万元。</w:t>
      </w:r>
    </w:p>
    <w:p w14:paraId="21A415C4">
      <w:pPr>
        <w:spacing w:beforeLines="0" w:afterLines="0" w:line="600" w:lineRule="exact"/>
        <w:ind w:firstLine="640"/>
        <w:rPr>
          <w:rFonts w:hint="eastAsia" w:ascii="仿宋_GB2312" w:hAnsi="Times New Roman" w:eastAsia="仿宋_GB2312"/>
          <w:color w:val="000000"/>
          <w:sz w:val="32"/>
          <w:szCs w:val="24"/>
        </w:rPr>
      </w:pPr>
      <w:r>
        <w:rPr>
          <w:rFonts w:hint="eastAsia" w:ascii="仿宋_GB2312" w:hAnsi="仿宋_GB2312" w:eastAsia="仿宋_GB2312"/>
          <w:b/>
          <w:color w:val="000000"/>
          <w:kern w:val="2"/>
          <w:sz w:val="32"/>
          <w:szCs w:val="24"/>
          <w:lang w:val="zh-CN"/>
        </w:rPr>
        <w:t>3.公务接待费</w:t>
      </w:r>
      <w:r>
        <w:rPr>
          <w:rFonts w:hint="eastAsia" w:ascii="仿宋_GB2312" w:hAnsi="仿宋_GB2312" w:eastAsia="仿宋_GB2312"/>
          <w:color w:val="000000"/>
          <w:kern w:val="2"/>
          <w:sz w:val="32"/>
          <w:szCs w:val="24"/>
          <w:lang w:val="zh-CN"/>
        </w:rPr>
        <w:t>支出0万元，完成预算100%。公务接待费支出决算比202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年减少</w:t>
      </w:r>
      <w:r>
        <w:rPr>
          <w:rFonts w:hint="eastAsia" w:ascii="仿宋_GB2312" w:hAnsi="仿宋_GB2312" w:eastAsia="仿宋_GB2312"/>
          <w:color w:val="000000"/>
          <w:kern w:val="2"/>
          <w:sz w:val="32"/>
          <w:szCs w:val="24"/>
          <w:lang w:val="en-US" w:eastAsia="zh-CN"/>
        </w:rPr>
        <w:t>0.79</w:t>
      </w:r>
      <w:r>
        <w:rPr>
          <w:rFonts w:hint="eastAsia" w:ascii="仿宋_GB2312" w:hAnsi="仿宋_GB2312" w:eastAsia="仿宋_GB2312"/>
          <w:color w:val="000000"/>
          <w:kern w:val="2"/>
          <w:sz w:val="32"/>
          <w:szCs w:val="24"/>
          <w:lang w:val="zh-CN"/>
        </w:rPr>
        <w:t>万元。</w:t>
      </w:r>
      <w:r>
        <w:rPr>
          <w:rFonts w:hint="eastAsia" w:ascii="仿宋_GB2312" w:hAnsi="Times New Roman" w:eastAsia="仿宋_GB2312"/>
          <w:color w:val="auto"/>
          <w:sz w:val="32"/>
          <w:szCs w:val="24"/>
        </w:rPr>
        <w:t>主要原因是</w:t>
      </w:r>
      <w:r>
        <w:rPr>
          <w:rFonts w:hint="eastAsia" w:ascii="仿宋_GB2312" w:hAnsi="Times New Roman" w:eastAsia="仿宋_GB2312"/>
          <w:color w:val="auto"/>
          <w:sz w:val="32"/>
          <w:szCs w:val="24"/>
          <w:lang w:val="en-US" w:eastAsia="zh-CN"/>
        </w:rPr>
        <w:t>2023年没有三公经费预算</w:t>
      </w:r>
      <w:r>
        <w:rPr>
          <w:rFonts w:hint="eastAsia" w:ascii="仿宋_GB2312" w:hAnsi="Times New Roman" w:eastAsia="仿宋_GB2312"/>
          <w:color w:val="auto"/>
          <w:sz w:val="32"/>
          <w:szCs w:val="24"/>
        </w:rPr>
        <w:t>。其中：</w:t>
      </w:r>
    </w:p>
    <w:p w14:paraId="66690F68">
      <w:pPr>
        <w:spacing w:beforeLines="0" w:afterLines="0" w:line="600" w:lineRule="exact"/>
        <w:ind w:firstLine="643" w:firstLineChars="200"/>
        <w:rPr>
          <w:rFonts w:hint="eastAsia" w:ascii="黑体" w:hAnsi="Times New Roman" w:eastAsia="黑体"/>
          <w:color w:val="auto"/>
          <w:sz w:val="32"/>
          <w:szCs w:val="24"/>
        </w:rPr>
      </w:pPr>
      <w:r>
        <w:rPr>
          <w:rFonts w:hint="eastAsia" w:ascii="仿宋" w:hAnsi="仿宋" w:eastAsia="仿宋"/>
          <w:b/>
          <w:color w:val="auto"/>
          <w:sz w:val="32"/>
          <w:szCs w:val="24"/>
        </w:rPr>
        <w:t>外事接待支出</w:t>
      </w:r>
      <w:r>
        <w:rPr>
          <w:rFonts w:hint="eastAsia" w:ascii="仿宋" w:hAnsi="仿宋" w:eastAsia="仿宋"/>
          <w:color w:val="auto"/>
          <w:sz w:val="32"/>
          <w:szCs w:val="24"/>
          <w:lang w:val="en-US" w:eastAsia="zh-CN"/>
        </w:rPr>
        <w:t>0</w:t>
      </w:r>
      <w:r>
        <w:rPr>
          <w:rFonts w:hint="eastAsia" w:ascii="仿宋_GB2312" w:hAnsi="Times New Roman" w:eastAsia="仿宋_GB2312"/>
          <w:color w:val="auto"/>
          <w:sz w:val="32"/>
          <w:szCs w:val="24"/>
        </w:rPr>
        <w:t>万元，外事接待</w:t>
      </w:r>
      <w:r>
        <w:rPr>
          <w:rFonts w:hint="eastAsia" w:ascii="仿宋_GB2312" w:hAnsi="Times New Roman" w:eastAsia="仿宋_GB2312"/>
          <w:color w:val="auto"/>
          <w:sz w:val="32"/>
          <w:szCs w:val="24"/>
          <w:lang w:val="en-US" w:eastAsia="zh-CN"/>
        </w:rPr>
        <w:t>0</w:t>
      </w:r>
      <w:r>
        <w:rPr>
          <w:rFonts w:hint="eastAsia" w:ascii="仿宋_GB2312" w:hAnsi="Times New Roman" w:eastAsia="仿宋_GB2312"/>
          <w:color w:val="auto"/>
          <w:sz w:val="32"/>
          <w:szCs w:val="24"/>
        </w:rPr>
        <w:t>批次，</w:t>
      </w:r>
      <w:r>
        <w:rPr>
          <w:rFonts w:hint="eastAsia" w:ascii="仿宋_GB2312" w:hAnsi="Times New Roman" w:eastAsia="仿宋_GB2312"/>
          <w:color w:val="auto"/>
          <w:sz w:val="32"/>
          <w:szCs w:val="24"/>
          <w:lang w:val="en-US" w:eastAsia="zh-CN"/>
        </w:rPr>
        <w:t>0</w:t>
      </w:r>
      <w:r>
        <w:rPr>
          <w:rFonts w:hint="eastAsia" w:ascii="仿宋_GB2312" w:hAnsi="Times New Roman" w:eastAsia="仿宋_GB2312"/>
          <w:color w:val="auto"/>
          <w:sz w:val="32"/>
          <w:szCs w:val="24"/>
        </w:rPr>
        <w:t>人，共计支出</w:t>
      </w:r>
      <w:r>
        <w:rPr>
          <w:rFonts w:hint="eastAsia" w:ascii="仿宋_GB2312" w:hAnsi="Times New Roman" w:eastAsia="仿宋_GB2312"/>
          <w:color w:val="auto"/>
          <w:sz w:val="32"/>
          <w:szCs w:val="24"/>
          <w:lang w:val="en-US" w:eastAsia="zh-CN"/>
        </w:rPr>
        <w:t>0</w:t>
      </w:r>
      <w:r>
        <w:rPr>
          <w:rFonts w:hint="eastAsia" w:ascii="仿宋_GB2312" w:hAnsi="Times New Roman" w:eastAsia="仿宋_GB2312"/>
          <w:color w:val="auto"/>
          <w:sz w:val="32"/>
          <w:szCs w:val="24"/>
        </w:rPr>
        <w:t>万元。</w:t>
      </w:r>
    </w:p>
    <w:p w14:paraId="5C27E34D">
      <w:pPr>
        <w:keepNext/>
        <w:keepLines/>
        <w:spacing w:beforeLines="0" w:afterLines="0" w:line="576" w:lineRule="exact"/>
        <w:ind w:firstLine="640"/>
        <w:jc w:val="both"/>
        <w:rPr>
          <w:rFonts w:hint="eastAsia" w:ascii="黑体" w:hAnsi="黑体" w:eastAsia="黑体"/>
          <w:b/>
          <w:color w:val="auto"/>
          <w:kern w:val="2"/>
          <w:sz w:val="32"/>
          <w:szCs w:val="24"/>
          <w:lang w:val="zh-CN"/>
        </w:rPr>
      </w:pPr>
      <w:r>
        <w:rPr>
          <w:rFonts w:hint="eastAsia" w:ascii="黑体" w:hAnsi="黑体" w:eastAsia="黑体"/>
          <w:color w:val="000000"/>
          <w:kern w:val="2"/>
          <w:sz w:val="32"/>
          <w:szCs w:val="24"/>
          <w:lang w:val="zh-CN"/>
        </w:rPr>
        <w:t>八、</w:t>
      </w:r>
      <w:r>
        <w:rPr>
          <w:rFonts w:hint="eastAsia" w:ascii="黑体" w:hAnsi="黑体" w:eastAsia="黑体"/>
          <w:color w:val="auto"/>
          <w:kern w:val="2"/>
          <w:sz w:val="32"/>
          <w:szCs w:val="24"/>
          <w:lang w:val="zh-CN"/>
        </w:rPr>
        <w:t>政府性基金预算支出决算情况说明</w:t>
      </w:r>
    </w:p>
    <w:p w14:paraId="2B1FFBEF">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年政府性基金预算拨款支出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w:t>
      </w:r>
    </w:p>
    <w:p w14:paraId="0CFDF9E8">
      <w:pPr>
        <w:keepNext/>
        <w:keepLines/>
        <w:spacing w:beforeLines="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auto"/>
          <w:kern w:val="2"/>
          <w:sz w:val="32"/>
          <w:szCs w:val="24"/>
          <w:lang w:val="zh-CN"/>
        </w:rPr>
        <w:t>九、国有资本经营预算支出决算情况说明</w:t>
      </w:r>
    </w:p>
    <w:p w14:paraId="1105D01D">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年国有资本经营预算拨款支出0万元。</w:t>
      </w:r>
    </w:p>
    <w:p w14:paraId="7F69EC76">
      <w:pPr>
        <w:keepNext/>
        <w:keepLines/>
        <w:spacing w:beforeLines="0" w:afterLines="0" w:line="576" w:lineRule="exact"/>
        <w:ind w:firstLine="640"/>
        <w:jc w:val="both"/>
        <w:rPr>
          <w:rFonts w:hint="eastAsia" w:ascii="黑体" w:hAnsi="黑体" w:eastAsia="黑体"/>
          <w:b/>
          <w:color w:val="auto"/>
          <w:kern w:val="2"/>
          <w:sz w:val="32"/>
          <w:szCs w:val="24"/>
          <w:lang w:val="zh-CN"/>
        </w:rPr>
      </w:pPr>
      <w:r>
        <w:rPr>
          <w:rFonts w:hint="eastAsia" w:ascii="黑体" w:hAnsi="黑体" w:eastAsia="黑体"/>
          <w:color w:val="000000"/>
          <w:kern w:val="2"/>
          <w:sz w:val="32"/>
          <w:szCs w:val="24"/>
          <w:lang w:val="zh-CN"/>
        </w:rPr>
        <w:t>十</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其他重要事项的情况说明</w:t>
      </w:r>
    </w:p>
    <w:p w14:paraId="426D4A62">
      <w:pPr>
        <w:keepNext/>
        <w:keepLines/>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（一）机关运行经费支出情况</w:t>
      </w:r>
    </w:p>
    <w:p w14:paraId="0D73B01C">
      <w:pPr>
        <w:spacing w:beforeLines="0" w:afterLines="0" w:line="576" w:lineRule="exact"/>
        <w:ind w:firstLine="640"/>
        <w:jc w:val="both"/>
        <w:rPr>
          <w:rFonts w:hint="eastAsia" w:ascii="仿宋" w:hAnsi="仿宋" w:eastAsia="仿宋"/>
          <w:b/>
          <w:color w:val="auto"/>
          <w:kern w:val="2"/>
          <w:sz w:val="32"/>
          <w:szCs w:val="24"/>
          <w:lang w:val="en-US"/>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年，峨边彝族自治县医疗保障局机关运行经费支出</w:t>
      </w:r>
      <w:r>
        <w:rPr>
          <w:rFonts w:hint="eastAsia" w:ascii="仿宋_GB2312" w:hAnsi="仿宋_GB2312" w:eastAsia="仿宋_GB2312"/>
          <w:color w:val="000000"/>
          <w:kern w:val="2"/>
          <w:sz w:val="32"/>
          <w:szCs w:val="24"/>
          <w:lang w:val="en-US" w:eastAsia="zh-CN"/>
        </w:rPr>
        <w:t>52.64</w:t>
      </w:r>
      <w:r>
        <w:rPr>
          <w:rFonts w:hint="eastAsia" w:ascii="仿宋_GB2312" w:hAnsi="仿宋_GB2312" w:eastAsia="仿宋_GB2312"/>
          <w:color w:val="000000"/>
          <w:kern w:val="2"/>
          <w:sz w:val="32"/>
          <w:szCs w:val="24"/>
          <w:lang w:val="zh-CN"/>
        </w:rPr>
        <w:t>万元，比202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年减少</w:t>
      </w:r>
      <w:r>
        <w:rPr>
          <w:rFonts w:hint="eastAsia" w:ascii="仿宋_GB2312" w:hAnsi="仿宋_GB2312" w:eastAsia="仿宋_GB2312"/>
          <w:color w:val="000000"/>
          <w:kern w:val="2"/>
          <w:sz w:val="32"/>
          <w:szCs w:val="24"/>
          <w:lang w:val="en-US" w:eastAsia="zh-CN"/>
        </w:rPr>
        <w:t>0.5</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0.09</w:t>
      </w:r>
      <w:r>
        <w:rPr>
          <w:rFonts w:hint="eastAsia" w:ascii="仿宋_GB2312" w:hAnsi="仿宋_GB2312" w:eastAsia="仿宋_GB2312"/>
          <w:color w:val="000000"/>
          <w:kern w:val="2"/>
          <w:sz w:val="32"/>
          <w:szCs w:val="24"/>
          <w:lang w:val="zh-CN"/>
        </w:rPr>
        <w:t>%。主要原因是人员调动，人员经费减少。</w:t>
      </w:r>
    </w:p>
    <w:p w14:paraId="04E5DFB9">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（二）政府采购支出情况</w:t>
      </w:r>
    </w:p>
    <w:p w14:paraId="42927AD1">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峨边彝族自治县医疗保障局政府采购支出总额0万元，其中：政府采购货物支出0万元、政府采购工程支出0万元、政府采购服务支出0万元。授予中小企业合同金额0万元，占政府采购支出总额的0%，其中：授予小微企业合同金额0万元，</w:t>
      </w:r>
      <w:r>
        <w:rPr>
          <w:rFonts w:hint="eastAsia" w:ascii="仿宋_GB2312" w:hAnsi="仿宋_GB2312" w:eastAsia="仿宋_GB2312"/>
          <w:color w:val="auto"/>
          <w:kern w:val="2"/>
          <w:sz w:val="32"/>
          <w:szCs w:val="24"/>
          <w:lang w:val="en-US"/>
        </w:rPr>
        <w:t>占政府采购支出总额的</w:t>
      </w:r>
      <w:r>
        <w:rPr>
          <w:rFonts w:hint="eastAsia" w:ascii="仿宋_GB2312" w:hAnsi="仿宋_GB2312" w:eastAsia="仿宋_GB2312"/>
          <w:color w:val="000000"/>
          <w:kern w:val="2"/>
          <w:sz w:val="32"/>
          <w:szCs w:val="24"/>
          <w:lang w:val="zh-CN"/>
        </w:rPr>
        <w:t>0%。</w:t>
      </w:r>
    </w:p>
    <w:p w14:paraId="1D5277D6">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（三）国有资产占有使用情况</w:t>
      </w:r>
    </w:p>
    <w:p w14:paraId="00889EB8">
      <w:pPr>
        <w:spacing w:beforeLines="0" w:afterLines="0"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12月31日，峨边彝族自治县医疗保障局共有车辆0辆，其中：副部（省）级及以上领导用车0辆、主要领导干部用车0辆、机要通信用车0辆、应急保障用车0辆、执法执勤用车0辆、特种专业技术用车0辆、离退休干部用车0辆、其他用车0辆。单价100万元（含）以上设备0台（套）。</w:t>
      </w:r>
    </w:p>
    <w:p w14:paraId="39B4A876">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（四）预算绩效管理情况。</w:t>
      </w:r>
    </w:p>
    <w:p w14:paraId="54229925">
      <w:pPr>
        <w:spacing w:beforeLines="0" w:afterLines="0" w:line="576" w:lineRule="exact"/>
        <w:ind w:firstLine="640"/>
        <w:jc w:val="both"/>
      </w:pPr>
      <w:r>
        <w:rPr>
          <w:rFonts w:hint="eastAsia" w:ascii="仿宋_GB2312" w:hAnsi="仿宋_GB2312" w:eastAsia="仿宋_GB2312"/>
          <w:color w:val="000000"/>
          <w:kern w:val="2"/>
          <w:sz w:val="32"/>
          <w:szCs w:val="24"/>
          <w:lang w:val="en-US"/>
        </w:rPr>
        <w:t>根据预算绩效管理要求，本部门在202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年度预算编制阶段，组织对</w:t>
      </w:r>
      <w:r>
        <w:rPr>
          <w:rFonts w:hint="eastAsia" w:ascii="仿宋_GB2312" w:hAnsi="仿宋_GB2312" w:eastAsia="仿宋_GB2312"/>
          <w:color w:val="000000"/>
          <w:kern w:val="2"/>
          <w:sz w:val="32"/>
          <w:szCs w:val="24"/>
          <w:lang w:val="en-US" w:eastAsia="zh-CN"/>
        </w:rPr>
        <w:t>城乡医疗救助</w:t>
      </w:r>
      <w:r>
        <w:rPr>
          <w:rFonts w:hint="eastAsia" w:ascii="仿宋_GB2312" w:hAnsi="仿宋_GB2312" w:eastAsia="仿宋_GB2312"/>
          <w:color w:val="000000"/>
          <w:kern w:val="2"/>
          <w:sz w:val="32"/>
          <w:szCs w:val="24"/>
          <w:highlight w:val="white"/>
          <w:lang w:val="en-US"/>
        </w:rPr>
        <w:t>（</w:t>
      </w:r>
      <w:r>
        <w:rPr>
          <w:rFonts w:hint="eastAsia" w:ascii="仿宋_GB2312" w:hAnsi="仿宋_GB2312" w:eastAsia="仿宋_GB2312"/>
          <w:color w:val="000000"/>
          <w:kern w:val="2"/>
          <w:sz w:val="32"/>
          <w:szCs w:val="24"/>
          <w:highlight w:val="white"/>
          <w:lang w:val="en-US" w:eastAsia="zh-CN"/>
        </w:rPr>
        <w:t>按实</w:t>
      </w:r>
      <w:r>
        <w:rPr>
          <w:rFonts w:hint="eastAsia" w:ascii="仿宋_GB2312" w:hAnsi="仿宋_GB2312" w:eastAsia="仿宋_GB2312"/>
          <w:color w:val="000000"/>
          <w:kern w:val="2"/>
          <w:sz w:val="32"/>
          <w:szCs w:val="24"/>
          <w:highlight w:val="white"/>
          <w:lang w:val="en-US"/>
        </w:rPr>
        <w:t>）</w:t>
      </w:r>
      <w:r>
        <w:rPr>
          <w:rFonts w:hint="eastAsia" w:ascii="仿宋_GB2312" w:hAnsi="仿宋_GB2312" w:eastAsia="仿宋_GB2312"/>
          <w:color w:val="000000"/>
          <w:kern w:val="2"/>
          <w:sz w:val="32"/>
          <w:szCs w:val="24"/>
          <w:lang w:val="en-US"/>
        </w:rPr>
        <w:t>等</w:t>
      </w:r>
      <w:r>
        <w:rPr>
          <w:rFonts w:hint="eastAsia" w:ascii="仿宋_GB2312" w:hAnsi="仿宋_GB2312" w:eastAsia="仿宋_GB2312"/>
          <w:color w:val="000000"/>
          <w:kern w:val="2"/>
          <w:sz w:val="32"/>
          <w:szCs w:val="24"/>
          <w:lang w:val="en-US" w:eastAsia="zh-CN"/>
        </w:rPr>
        <w:t>9</w:t>
      </w:r>
      <w:r>
        <w:rPr>
          <w:rFonts w:hint="eastAsia" w:ascii="仿宋_GB2312" w:hAnsi="仿宋_GB2312" w:eastAsia="仿宋_GB2312"/>
          <w:color w:val="000000"/>
          <w:kern w:val="2"/>
          <w:sz w:val="32"/>
          <w:szCs w:val="24"/>
          <w:lang w:val="en-US"/>
        </w:rPr>
        <w:t>个项目开展了预算事前绩效评估，</w:t>
      </w:r>
      <w:r>
        <w:rPr>
          <w:rFonts w:hint="eastAsia" w:ascii="仿宋_GB2312" w:hAnsi="仿宋_GB2312" w:eastAsia="仿宋_GB2312"/>
          <w:color w:val="000000"/>
          <w:kern w:val="2"/>
          <w:sz w:val="32"/>
          <w:szCs w:val="24"/>
          <w:highlight w:val="yellow"/>
          <w:shd w:val="clear" w:color="FFFFFF" w:fill="D9D9D9"/>
          <w:lang w:val="en-US"/>
        </w:rPr>
        <w:t>对</w:t>
      </w:r>
      <w:r>
        <w:rPr>
          <w:rFonts w:hint="eastAsia" w:ascii="仿宋_GB2312" w:hAnsi="仿宋_GB2312" w:eastAsia="仿宋_GB2312"/>
          <w:color w:val="000000"/>
          <w:kern w:val="2"/>
          <w:sz w:val="32"/>
          <w:szCs w:val="24"/>
          <w:highlight w:val="yellow"/>
          <w:shd w:val="clear" w:color="FFFFFF" w:fill="D9D9D9"/>
          <w:lang w:val="en-US" w:eastAsia="zh-CN"/>
        </w:rPr>
        <w:t>9</w:t>
      </w:r>
      <w:r>
        <w:rPr>
          <w:rFonts w:hint="eastAsia" w:ascii="仿宋_GB2312" w:hAnsi="仿宋_GB2312" w:eastAsia="仿宋_GB2312"/>
          <w:color w:val="000000"/>
          <w:kern w:val="2"/>
          <w:sz w:val="32"/>
          <w:szCs w:val="24"/>
          <w:highlight w:val="yellow"/>
          <w:shd w:val="clear" w:color="FFFFFF" w:fill="D9D9D9"/>
          <w:lang w:val="en-US"/>
        </w:rPr>
        <w:t>个项</w:t>
      </w:r>
      <w:r>
        <w:rPr>
          <w:rFonts w:hint="eastAsia" w:ascii="仿宋_GB2312" w:hAnsi="仿宋_GB2312" w:eastAsia="仿宋_GB2312"/>
          <w:color w:val="000000"/>
          <w:kern w:val="2"/>
          <w:sz w:val="32"/>
          <w:szCs w:val="24"/>
          <w:lang w:val="en-US"/>
        </w:rPr>
        <w:t>目编制了绩效目标，预算执行过程中，选取</w:t>
      </w:r>
      <w:r>
        <w:rPr>
          <w:rFonts w:hint="eastAsia" w:ascii="仿宋_GB2312" w:hAnsi="仿宋_GB2312" w:eastAsia="仿宋_GB2312"/>
          <w:color w:val="000000"/>
          <w:kern w:val="2"/>
          <w:sz w:val="32"/>
          <w:szCs w:val="24"/>
          <w:lang w:val="en-US" w:eastAsia="zh-CN"/>
        </w:rPr>
        <w:t>9</w:t>
      </w:r>
      <w:r>
        <w:rPr>
          <w:rFonts w:hint="eastAsia" w:ascii="仿宋_GB2312" w:hAnsi="仿宋_GB2312" w:eastAsia="仿宋_GB2312"/>
          <w:color w:val="000000"/>
          <w:kern w:val="2"/>
          <w:sz w:val="32"/>
          <w:szCs w:val="24"/>
          <w:lang w:val="en-US"/>
        </w:rPr>
        <w:t>个项目开展绩效监控。</w:t>
      </w:r>
    </w:p>
    <w:p w14:paraId="78CBFE3D">
      <w:pPr>
        <w:keepNext/>
        <w:keepLines/>
        <w:pageBreakBefore w:val="0"/>
        <w:widowControl w:val="0"/>
        <w:kinsoku/>
        <w:wordWrap/>
        <w:overflowPunct/>
        <w:topLinePunct w:val="0"/>
        <w:autoSpaceDE w:val="0"/>
        <w:autoSpaceDN w:val="0"/>
        <w:bidi w:val="0"/>
        <w:adjustRightInd w:val="0"/>
        <w:snapToGrid/>
        <w:spacing w:beforeLines="0" w:afterLines="0" w:line="600" w:lineRule="exact"/>
        <w:jc w:val="both"/>
        <w:textAlignment w:val="auto"/>
        <w:rPr>
          <w:rFonts w:hint="eastAsia" w:ascii="黑体" w:hAnsi="黑体" w:eastAsia="黑体"/>
          <w:color w:val="000000"/>
          <w:kern w:val="2"/>
          <w:sz w:val="44"/>
          <w:szCs w:val="24"/>
          <w:lang w:val="zh-CN"/>
        </w:rPr>
      </w:pPr>
    </w:p>
    <w:p w14:paraId="48E08127">
      <w:pPr>
        <w:keepNext/>
        <w:keepLines/>
        <w:pageBreakBefore w:val="0"/>
        <w:widowControl w:val="0"/>
        <w:kinsoku/>
        <w:wordWrap/>
        <w:overflowPunct/>
        <w:topLinePunct w:val="0"/>
        <w:autoSpaceDE w:val="0"/>
        <w:autoSpaceDN w:val="0"/>
        <w:bidi w:val="0"/>
        <w:adjustRightInd w:val="0"/>
        <w:snapToGrid/>
        <w:spacing w:beforeLines="0" w:afterLines="0" w:line="600" w:lineRule="exact"/>
        <w:jc w:val="center"/>
        <w:textAlignment w:val="auto"/>
        <w:rPr>
          <w:rFonts w:hint="eastAsia" w:ascii="黑体" w:hAnsi="黑体" w:eastAsia="黑体"/>
          <w:color w:val="000000"/>
          <w:kern w:val="2"/>
          <w:sz w:val="44"/>
          <w:szCs w:val="24"/>
          <w:lang w:val="zh-CN"/>
        </w:rPr>
      </w:pPr>
    </w:p>
    <w:p w14:paraId="25F20CBD">
      <w:pPr>
        <w:keepNext/>
        <w:keepLines/>
        <w:pageBreakBefore w:val="0"/>
        <w:widowControl w:val="0"/>
        <w:kinsoku/>
        <w:wordWrap/>
        <w:overflowPunct/>
        <w:topLinePunct w:val="0"/>
        <w:autoSpaceDE w:val="0"/>
        <w:autoSpaceDN w:val="0"/>
        <w:bidi w:val="0"/>
        <w:adjustRightInd w:val="0"/>
        <w:snapToGrid/>
        <w:spacing w:beforeLines="0" w:afterLines="0" w:line="600" w:lineRule="exact"/>
        <w:jc w:val="center"/>
        <w:textAlignment w:val="auto"/>
        <w:rPr>
          <w:rFonts w:hint="eastAsia" w:ascii="黑体" w:hAnsi="黑体" w:eastAsia="黑体"/>
          <w:color w:val="000000"/>
          <w:kern w:val="2"/>
          <w:sz w:val="44"/>
          <w:szCs w:val="24"/>
          <w:lang w:val="zh-CN"/>
        </w:rPr>
      </w:pPr>
    </w:p>
    <w:p w14:paraId="0E00DB02">
      <w:pPr>
        <w:keepNext/>
        <w:keepLines/>
        <w:pageBreakBefore w:val="0"/>
        <w:widowControl w:val="0"/>
        <w:kinsoku/>
        <w:wordWrap/>
        <w:overflowPunct/>
        <w:topLinePunct w:val="0"/>
        <w:autoSpaceDE w:val="0"/>
        <w:autoSpaceDN w:val="0"/>
        <w:bidi w:val="0"/>
        <w:adjustRightInd w:val="0"/>
        <w:snapToGrid/>
        <w:spacing w:beforeLines="0" w:afterLines="0" w:line="600" w:lineRule="exact"/>
        <w:jc w:val="center"/>
        <w:textAlignment w:val="auto"/>
        <w:rPr>
          <w:rFonts w:hint="eastAsia" w:ascii="黑体" w:hAnsi="黑体" w:eastAsia="黑体"/>
          <w:color w:val="000000"/>
          <w:kern w:val="2"/>
          <w:sz w:val="44"/>
          <w:szCs w:val="24"/>
          <w:lang w:val="zh-CN"/>
        </w:rPr>
      </w:pPr>
    </w:p>
    <w:p w14:paraId="541EE3AC">
      <w:pPr>
        <w:pStyle w:val="2"/>
        <w:rPr>
          <w:rFonts w:hint="eastAsia"/>
          <w:lang w:val="zh-CN"/>
        </w:rPr>
      </w:pPr>
    </w:p>
    <w:p w14:paraId="00628514">
      <w:pPr>
        <w:keepNext/>
        <w:keepLines/>
        <w:spacing w:beforeLines="0" w:afterLines="0" w:line="576" w:lineRule="exact"/>
        <w:jc w:val="center"/>
        <w:rPr>
          <w:rFonts w:hint="eastAsia" w:ascii="黑体" w:hAnsi="黑体" w:eastAsia="黑体"/>
          <w:color w:val="auto"/>
          <w:kern w:val="44"/>
          <w:sz w:val="44"/>
          <w:szCs w:val="24"/>
          <w:lang w:val="zh-CN"/>
        </w:rPr>
      </w:pPr>
      <w:r>
        <w:rPr>
          <w:rFonts w:hint="eastAsia" w:ascii="黑体" w:hAnsi="黑体" w:eastAsia="黑体"/>
          <w:color w:val="000000"/>
          <w:kern w:val="2"/>
          <w:sz w:val="44"/>
          <w:szCs w:val="24"/>
          <w:lang w:val="zh-CN"/>
        </w:rPr>
        <w:t>第三部分 名</w:t>
      </w:r>
      <w:r>
        <w:rPr>
          <w:rFonts w:hint="eastAsia" w:ascii="黑体" w:hAnsi="黑体" w:eastAsia="黑体"/>
          <w:color w:val="auto"/>
          <w:kern w:val="44"/>
          <w:sz w:val="44"/>
          <w:szCs w:val="24"/>
          <w:lang w:val="zh-CN"/>
        </w:rPr>
        <w:t>词解释</w:t>
      </w:r>
    </w:p>
    <w:p w14:paraId="362A8F53">
      <w:pPr>
        <w:pStyle w:val="2"/>
        <w:rPr>
          <w:rFonts w:hint="eastAsia"/>
          <w:lang w:val="zh-CN"/>
        </w:rPr>
      </w:pPr>
    </w:p>
    <w:p w14:paraId="442334C8">
      <w:pPr>
        <w:spacing w:beforeLines="0" w:afterLines="0"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1.财政拨款收入：指单位从同级财政部门取得的财政预算资金。</w:t>
      </w:r>
    </w:p>
    <w:p w14:paraId="08C8EBB2">
      <w:pPr>
        <w:spacing w:beforeLines="0" w:afterLines="0"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en-US"/>
        </w:rPr>
        <w:t xml:space="preserve">.年初结转和结余：指以前年度尚未完成、结转到本年按有关规定继续使用的资金。 </w:t>
      </w:r>
    </w:p>
    <w:p w14:paraId="24EA4318">
      <w:pPr>
        <w:spacing w:beforeLines="0" w:afterLines="0" w:line="576" w:lineRule="exact"/>
        <w:ind w:firstLine="640"/>
        <w:rPr>
          <w:rFonts w:hint="eastAsia" w:ascii="仿宋_GB2312" w:eastAsia="仿宋_GB2312"/>
          <w:sz w:val="32"/>
          <w:szCs w:val="32"/>
        </w:rPr>
      </w:pP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en-US"/>
        </w:rPr>
        <w:t>.年末结转和结余：指单位按有关规定结转到下年或以后年度继续使用的资金。</w:t>
      </w:r>
      <w:r>
        <w:rPr>
          <w:rFonts w:hint="eastAsia" w:ascii="仿宋_GB2312" w:eastAsia="仿宋_GB2312"/>
          <w:sz w:val="32"/>
          <w:szCs w:val="32"/>
        </w:rPr>
        <w:t xml:space="preserve"> </w:t>
      </w:r>
    </w:p>
    <w:p w14:paraId="58799C1E">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4.社会保障和就业支出（类）人力资源和社会保障管理事务（款）社会保险经办机构（项）</w:t>
      </w:r>
      <w:r>
        <w:rPr>
          <w:rFonts w:hint="eastAsia" w:ascii="仿宋_GB2312" w:eastAsia="仿宋_GB2312"/>
          <w:sz w:val="32"/>
          <w:szCs w:val="24"/>
          <w:lang w:val="en-US" w:eastAsia="zh-CN"/>
        </w:rPr>
        <w:t>：</w:t>
      </w:r>
      <w:r>
        <w:rPr>
          <w:rFonts w:hint="eastAsia" w:ascii="仿宋_GB2312" w:hAnsi="Times New Roman" w:eastAsia="仿宋_GB2312"/>
          <w:sz w:val="32"/>
          <w:szCs w:val="24"/>
          <w:lang w:val="en-US" w:eastAsia="zh-CN"/>
        </w:rPr>
        <w:t>反映社会保险业务管理和基金监督方面的支出。</w:t>
      </w:r>
    </w:p>
    <w:p w14:paraId="2FAD39FD">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5.社会保障和就业支出（类）人力资源和社会保障管理事务（款）综合业务管理（项）</w:t>
      </w:r>
      <w:r>
        <w:rPr>
          <w:rFonts w:hint="eastAsia" w:ascii="仿宋_GB2312" w:eastAsia="仿宋_GB2312"/>
          <w:sz w:val="32"/>
          <w:szCs w:val="24"/>
          <w:lang w:val="en-US" w:eastAsia="zh-CN"/>
        </w:rPr>
        <w:t>：</w:t>
      </w:r>
      <w:r>
        <w:rPr>
          <w:rFonts w:hint="eastAsia" w:ascii="仿宋_GB2312" w:hAnsi="Times New Roman" w:eastAsia="仿宋_GB2312"/>
          <w:sz w:val="32"/>
          <w:szCs w:val="24"/>
          <w:lang w:val="en-US" w:eastAsia="zh-CN"/>
        </w:rPr>
        <w:t>反映人力资源和社会保障管理方面综合性管理事务支出。</w:t>
      </w:r>
    </w:p>
    <w:p w14:paraId="0DBD214A">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6.社会保障和就业支出（类）行政事业单位离退休（款）机关事业单位基本养老保险缴费支出（项）</w:t>
      </w:r>
      <w:r>
        <w:rPr>
          <w:rFonts w:hint="eastAsia" w:ascii="仿宋_GB2312" w:eastAsia="仿宋_GB2312"/>
          <w:sz w:val="32"/>
          <w:szCs w:val="24"/>
          <w:lang w:val="en-US" w:eastAsia="zh-CN"/>
        </w:rPr>
        <w:t>：反映</w:t>
      </w:r>
      <w:r>
        <w:rPr>
          <w:rFonts w:hint="eastAsia" w:ascii="仿宋_GB2312" w:hAnsi="Times New Roman" w:eastAsia="仿宋_GB2312"/>
          <w:sz w:val="32"/>
          <w:szCs w:val="24"/>
          <w:lang w:val="en-US" w:eastAsia="zh-CN"/>
        </w:rPr>
        <w:t>行政单位在职职工基本养老保险缴费支出。</w:t>
      </w:r>
    </w:p>
    <w:p w14:paraId="0DE47ACC">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7.社会保障和就业支出（类）行政事业单位离退休（款）机关事业单位职业年金缴费支出（项）</w:t>
      </w:r>
      <w:r>
        <w:rPr>
          <w:rFonts w:hint="eastAsia" w:ascii="仿宋_GB2312" w:eastAsia="仿宋_GB2312"/>
          <w:sz w:val="32"/>
          <w:szCs w:val="24"/>
          <w:lang w:val="en-US" w:eastAsia="zh-CN"/>
        </w:rPr>
        <w:t>：</w:t>
      </w:r>
      <w:r>
        <w:rPr>
          <w:rFonts w:hint="eastAsia" w:ascii="仿宋_GB2312" w:hAnsi="Times New Roman" w:eastAsia="仿宋_GB2312"/>
          <w:sz w:val="32"/>
          <w:szCs w:val="24"/>
          <w:lang w:val="en-US" w:eastAsia="zh-CN"/>
        </w:rPr>
        <w:t>反</w:t>
      </w:r>
      <w:r>
        <w:rPr>
          <w:rFonts w:hint="eastAsia" w:ascii="仿宋_GB2312" w:eastAsia="仿宋_GB2312"/>
          <w:sz w:val="32"/>
          <w:szCs w:val="24"/>
          <w:lang w:val="en-US" w:eastAsia="zh-CN"/>
        </w:rPr>
        <w:t>映</w:t>
      </w:r>
      <w:r>
        <w:rPr>
          <w:rFonts w:hint="eastAsia" w:ascii="仿宋_GB2312" w:hAnsi="Times New Roman" w:eastAsia="仿宋_GB2312"/>
          <w:sz w:val="32"/>
          <w:szCs w:val="24"/>
          <w:lang w:val="en-US" w:eastAsia="zh-CN"/>
        </w:rPr>
        <w:t>行政单位在职职工职业年金缴费支出。</w:t>
      </w:r>
    </w:p>
    <w:p w14:paraId="7FBF7579">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18.卫生健康支出（类）行政事业单位医疗（款）行政单位医疗（项）</w:t>
      </w:r>
      <w:r>
        <w:rPr>
          <w:rFonts w:hint="eastAsia" w:ascii="仿宋_GB2312" w:eastAsia="仿宋_GB2312"/>
          <w:sz w:val="32"/>
          <w:szCs w:val="24"/>
          <w:lang w:val="en-US" w:eastAsia="zh-CN"/>
        </w:rPr>
        <w:t>：</w:t>
      </w:r>
      <w:r>
        <w:rPr>
          <w:rFonts w:hint="eastAsia" w:ascii="仿宋_GB2312" w:hAnsi="Times New Roman" w:eastAsia="仿宋_GB2312"/>
          <w:sz w:val="32"/>
          <w:szCs w:val="24"/>
          <w:lang w:val="en-US" w:eastAsia="zh-CN"/>
        </w:rPr>
        <w:t>反映财政部门集中安排行政单位基本医疗保险缴费。</w:t>
      </w:r>
    </w:p>
    <w:p w14:paraId="78581992">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9.住房保障支出（类）住房改革支出（款）住房公积金（项）</w:t>
      </w:r>
      <w:r>
        <w:rPr>
          <w:rFonts w:hint="eastAsia" w:ascii="仿宋_GB2312" w:eastAsia="仿宋_GB2312"/>
          <w:sz w:val="32"/>
          <w:szCs w:val="24"/>
          <w:lang w:val="en-US" w:eastAsia="zh-CN"/>
        </w:rPr>
        <w:t>：</w:t>
      </w:r>
      <w:r>
        <w:rPr>
          <w:rFonts w:hint="eastAsia" w:ascii="仿宋_GB2312" w:hAnsi="Times New Roman" w:eastAsia="仿宋_GB2312"/>
          <w:sz w:val="32"/>
          <w:szCs w:val="24"/>
          <w:lang w:val="en-US" w:eastAsia="zh-CN"/>
        </w:rPr>
        <w:t>反映行政事业单位按人力资源和社会保障部门规定的基本工资和津贴补贴及规定比例为职工缴纳的住房公积金。</w:t>
      </w:r>
    </w:p>
    <w:p w14:paraId="51B5A2E3">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10.</w:t>
      </w:r>
      <w:r>
        <w:rPr>
          <w:rFonts w:hint="eastAsia" w:ascii="仿宋_GB2312" w:hAnsi="Times New Roman" w:eastAsia="仿宋_GB2312" w:cs="Times New Roman"/>
          <w:sz w:val="32"/>
          <w:szCs w:val="24"/>
          <w:lang w:val="en-US" w:eastAsia="zh-CN"/>
        </w:rPr>
        <w:t>农林水支出（类）巩固脱贫衔接乡村振兴（款）其他巩固脱贫衔接乡村振兴支出（项）</w:t>
      </w:r>
      <w:r>
        <w:rPr>
          <w:rFonts w:hint="eastAsia" w:ascii="仿宋_GB2312" w:hAnsi="Times New Roman" w:eastAsia="仿宋_GB2312"/>
          <w:sz w:val="32"/>
          <w:szCs w:val="24"/>
          <w:lang w:val="en-US" w:eastAsia="zh-CN"/>
        </w:rPr>
        <w:t>反映：其他用于巩固拓展脱贫攻坚成果同乡村振兴有效衔接方面的支出。</w:t>
      </w:r>
    </w:p>
    <w:p w14:paraId="5E7EE7D9">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11.社会保障和就业支出（类）其他社会保障和就业支出（款）其他社会保障和就业支出（项）：反映其他用于社会保障和就业方面的支出。</w:t>
      </w:r>
    </w:p>
    <w:p w14:paraId="11F450DD">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12.卫生健康支出（类）行政事业单位医疗（款）公务员医疗补助（项）：反映财政部门安排的公务员医疗补助经费。</w:t>
      </w:r>
    </w:p>
    <w:p w14:paraId="2BBCD113">
      <w:pPr>
        <w:widowControl/>
        <w:spacing w:beforeLines="0" w:afterLines="0" w:line="451" w:lineRule="auto"/>
        <w:ind w:firstLine="640" w:firstLineChars="200"/>
        <w:rPr>
          <w:rFonts w:hint="eastAsia" w:ascii="仿宋_GB2312" w:hAnsi="Times New Roman" w:eastAsia="仿宋_GB2312"/>
          <w:sz w:val="32"/>
          <w:szCs w:val="24"/>
          <w:lang w:val="en-US" w:eastAsia="zh-CN"/>
        </w:rPr>
      </w:pPr>
      <w:r>
        <w:rPr>
          <w:rFonts w:hint="eastAsia" w:ascii="仿宋_GB2312" w:hAnsi="Times New Roman" w:eastAsia="仿宋_GB2312"/>
          <w:sz w:val="32"/>
          <w:szCs w:val="24"/>
          <w:lang w:val="en-US" w:eastAsia="zh-CN"/>
        </w:rPr>
        <w:t>13.卫生健康支出（类）医疗救助（款）其他医疗救助支出（项）：反映其他用于医疗救助方面的支出。</w:t>
      </w:r>
    </w:p>
    <w:p w14:paraId="0B8A0C08">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14.基本支出：指为保障机构正常运转、完成日常工作任务而发生的人员支出和公用支出。</w:t>
      </w:r>
    </w:p>
    <w:p w14:paraId="63737AB8">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 xml:space="preserve">15.项目支出：指在基本支出之外为完成特定行政任务和事业发展目标所发生的支出。 </w:t>
      </w:r>
    </w:p>
    <w:p w14:paraId="1FC84494">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16</w:t>
      </w:r>
      <w:r>
        <w:rPr>
          <w:rFonts w:hint="eastAsia" w:ascii="仿宋_GB2312" w:hAnsi="Times New Roman" w:eastAsia="仿宋_GB2312"/>
          <w:sz w:val="32"/>
          <w:szCs w:val="24"/>
        </w:rPr>
        <w:t>.“三公”经费：指部门用财政拨款安排的因公出国（境）费、公务用车购置及运行费和公务接待费。其中，公务接待费反映单位按规定开支的各类公务接待（含外宾接待）支出。</w:t>
      </w:r>
    </w:p>
    <w:p w14:paraId="21EC7BB7">
      <w:pPr>
        <w:widowControl/>
        <w:spacing w:beforeLines="0" w:afterLines="0" w:line="451" w:lineRule="auto"/>
        <w:ind w:firstLine="640" w:firstLineChars="200"/>
        <w:rPr>
          <w:rFonts w:hint="eastAsia" w:ascii="仿宋_GB2312" w:hAnsi="Times New Roman" w:eastAsia="仿宋_GB2312"/>
          <w:sz w:val="32"/>
          <w:szCs w:val="24"/>
        </w:rPr>
      </w:pPr>
      <w:r>
        <w:rPr>
          <w:rFonts w:hint="eastAsia" w:ascii="仿宋_GB2312" w:hAnsi="Times New Roman" w:eastAsia="仿宋_GB2312"/>
          <w:sz w:val="32"/>
          <w:szCs w:val="24"/>
          <w:lang w:val="en-US" w:eastAsia="zh-CN"/>
        </w:rPr>
        <w:t>17</w:t>
      </w:r>
      <w:r>
        <w:rPr>
          <w:rFonts w:hint="eastAsia" w:ascii="仿宋_GB2312" w:hAnsi="Times New Roman" w:eastAsia="仿宋_GB2312"/>
          <w:sz w:val="32"/>
          <w:szCs w:val="24"/>
        </w:rPr>
        <w:t>.机关运行经费：为保障行政单位（含参照公务员法管理的事业单位）运行用于购买货物和服务的各项资金，包括办公及印刷费、邮电费、差旅费、会议费、福利费、日常维修费、办公用房水电费以及其他费用。</w:t>
      </w:r>
    </w:p>
    <w:p w14:paraId="4F08218E">
      <w:pPr>
        <w:pStyle w:val="13"/>
        <w:spacing w:beforeLines="0" w:afterLines="0" w:line="560" w:lineRule="exact"/>
        <w:ind w:firstLine="640" w:firstLineChars="200"/>
        <w:rPr>
          <w:rFonts w:hint="eastAsia" w:ascii="仿宋_GB2312" w:eastAsia="仿宋_GB2312" w:cs="黑体"/>
          <w:color w:val="auto"/>
          <w:sz w:val="32"/>
          <w:szCs w:val="32"/>
        </w:rPr>
      </w:pPr>
    </w:p>
    <w:p w14:paraId="6992C165">
      <w:pPr>
        <w:keepNext/>
        <w:keepLines/>
        <w:spacing w:beforeLines="0" w:afterLines="0" w:line="576" w:lineRule="exact"/>
        <w:jc w:val="both"/>
        <w:rPr>
          <w:rFonts w:hint="eastAsia" w:ascii="黑体" w:hAnsi="黑体" w:eastAsia="黑体"/>
          <w:color w:val="auto"/>
          <w:kern w:val="44"/>
          <w:sz w:val="44"/>
          <w:szCs w:val="24"/>
          <w:lang w:val="zh-CN"/>
        </w:rPr>
      </w:pPr>
      <w:r>
        <w:rPr>
          <w:rFonts w:hint="default" w:ascii="宋体" w:hAnsi="Times New Roman" w:eastAsia="宋体"/>
          <w:b/>
          <w:color w:val="auto"/>
          <w:sz w:val="44"/>
          <w:szCs w:val="24"/>
        </w:rPr>
        <w:br w:type="page"/>
      </w:r>
    </w:p>
    <w:p w14:paraId="2ACC35B3">
      <w:pPr>
        <w:spacing w:beforeLines="0" w:afterLines="0" w:line="600" w:lineRule="exact"/>
        <w:jc w:val="center"/>
        <w:rPr>
          <w:rFonts w:hint="eastAsia" w:ascii="黑体" w:hAnsi="黑体" w:eastAsia="黑体"/>
          <w:color w:val="auto"/>
          <w:kern w:val="44"/>
          <w:sz w:val="44"/>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 xml:space="preserve">四部分 </w:t>
      </w:r>
    </w:p>
    <w:p w14:paraId="34F034B5">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1</w:t>
      </w:r>
    </w:p>
    <w:p w14:paraId="6662E72F">
      <w:pPr>
        <w:widowControl/>
        <w:spacing w:line="580" w:lineRule="exact"/>
        <w:ind w:firstLine="883" w:firstLineChars="200"/>
        <w:contextualSpacing/>
        <w:jc w:val="center"/>
        <w:rPr>
          <w:rFonts w:ascii="宋体"/>
          <w:b/>
          <w:sz w:val="44"/>
          <w:szCs w:val="44"/>
          <w:shd w:val="clear" w:color="auto" w:fill="FFFFFF"/>
        </w:rPr>
      </w:pPr>
    </w:p>
    <w:p w14:paraId="13132FA2">
      <w:pPr>
        <w:widowControl/>
        <w:spacing w:line="580" w:lineRule="exact"/>
        <w:contextualSpacing/>
        <w:jc w:val="center"/>
        <w:rPr>
          <w:rFonts w:hint="eastAsia" w:ascii="方正小标宋简体" w:hAnsi="方正小标宋简体" w:eastAsia="方正小标宋简体" w:cs="方正小标宋简体"/>
          <w:b w:val="0"/>
          <w:bCs/>
          <w:spacing w:val="-11"/>
          <w:sz w:val="44"/>
          <w:szCs w:val="44"/>
          <w:lang w:val="en-US" w:eastAsia="zh-CN"/>
        </w:rPr>
      </w:pPr>
      <w:r>
        <w:rPr>
          <w:rFonts w:hint="eastAsia" w:ascii="方正小标宋简体" w:hAnsi="方正小标宋简体" w:eastAsia="方正小标宋简体" w:cs="方正小标宋简体"/>
          <w:b w:val="0"/>
          <w:bCs/>
          <w:spacing w:val="-11"/>
          <w:sz w:val="44"/>
          <w:szCs w:val="44"/>
          <w:lang w:val="en-US" w:eastAsia="zh-CN"/>
        </w:rPr>
        <w:t>峨边彝族自治县医疗保障局</w:t>
      </w:r>
    </w:p>
    <w:p w14:paraId="4BB26B78">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w:t>
      </w:r>
    </w:p>
    <w:p w14:paraId="74D7EA3F">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731752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一、部门基本情况</w:t>
      </w:r>
    </w:p>
    <w:p w14:paraId="06A9BD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（一）机构组成</w:t>
      </w:r>
    </w:p>
    <w:p w14:paraId="061DE2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峨边彝族自治县医疗保障局（</w:t>
      </w:r>
      <w:r>
        <w:rPr>
          <w:rFonts w:hint="eastAsia" w:ascii="仿宋_GB2312" w:hAnsi="仿宋_GB2312" w:eastAsia="仿宋_GB2312" w:cs="仿宋_GB2312"/>
          <w:color w:val="auto"/>
          <w:sz w:val="32"/>
          <w:szCs w:val="32"/>
          <w:lang w:val="en-US" w:eastAsia="zh-CN"/>
        </w:rPr>
        <w:t>简称县医保局）为行政机关，一级预算正科级单位。单位设局长1名，副局长2名；内设中层机构3个（办公室、综合业务股、基金监管股）；下属参公事业单位：医疗保障事务中心，设征缴股、审核股、稽核股、财务股。</w:t>
      </w:r>
    </w:p>
    <w:p w14:paraId="25C0C5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val="zh-CN" w:eastAsia="zh-CN"/>
        </w:rPr>
        <w:t>）机构职能和人员概况</w:t>
      </w:r>
    </w:p>
    <w:p w14:paraId="67DA9B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根据峨委办</w:t>
      </w:r>
      <w:r>
        <w:rPr>
          <w:rFonts w:hint="eastAsia" w:ascii="仿宋_GB2312" w:hAnsi="仿宋_GB2312" w:eastAsia="仿宋_GB2312" w:cs="仿宋_GB2312"/>
          <w:color w:val="auto"/>
          <w:sz w:val="32"/>
          <w:szCs w:val="32"/>
          <w:lang w:val="en-US" w:eastAsia="zh-CN"/>
        </w:rPr>
        <w:t>〔2019〕39号文件</w:t>
      </w:r>
      <w:r>
        <w:rPr>
          <w:rFonts w:hint="eastAsia" w:ascii="仿宋_GB2312" w:hAnsi="仿宋_GB2312" w:eastAsia="仿宋_GB2312" w:cs="仿宋_GB2312"/>
          <w:color w:val="auto"/>
          <w:sz w:val="32"/>
          <w:szCs w:val="32"/>
          <w:lang w:val="zh-CN" w:eastAsia="zh-CN"/>
        </w:rPr>
        <w:t>批复的三定方案，我单位的主要职责是：</w:t>
      </w:r>
    </w:p>
    <w:p w14:paraId="33E9EE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1.拟定相关的规范性文件，组织实施市级统筹医疗保险、生育保险、医疗救助等医疗保障方面的政策和监督检查。</w:t>
      </w:r>
    </w:p>
    <w:p w14:paraId="686DC1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2.组织制定并实施医疗保障基金监督管理制度，建立健全医疗保障基金安全防控机制，监督强化全县医疗保障基金的运行管理。</w:t>
      </w:r>
    </w:p>
    <w:p w14:paraId="2DCFDB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3.组织执行省、市城乡统一的药品、医用耗材、医疗服务项目、医疗服务设施等医疗保障目录和支付标准，监督管理全县药品、医用耗材的招标采购政策的实施。</w:t>
      </w:r>
    </w:p>
    <w:p w14:paraId="7DFBDE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4.组织实施药品、医用耗材价格和医疗服务项目、医疗服务设施收费等政策，建立价格信息监测和信息发布制度。</w:t>
      </w:r>
    </w:p>
    <w:p w14:paraId="48CC92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推进医疗保障基金支付方式改革，拟定全县定点医药机构协议和支付管理办法并组织实施，指导全县医疗保障定点机构管理。建立健全医疗保障信用评价体系和信息披露制度，监督管理纳入医疗保障范围内的医疗服务行为和医疗费用，依法查处医疗保障领域违法违规行为。</w:t>
      </w:r>
    </w:p>
    <w:p w14:paraId="54ADEA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负责全县医疗保障经办管理和公共服务体系建设。组织实施异地就医管理和费用结算政策。建立健全医疗保障关系转移接续制度，拟定全民参保计划，推进医疗、生育保险费征收管理，监督管理全县医保经办服务工作。开展医疗保障领域对外合作交流。</w:t>
      </w:r>
    </w:p>
    <w:p w14:paraId="0B061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7.负责规划实施全县医疗保障信息化建设。组织开展医疗保障大数据管理和应用。</w:t>
      </w:r>
    </w:p>
    <w:p w14:paraId="76BBB2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8.负责职责范围内的安全生产和职业健康、生态环境保护、服务便民化等工作。</w:t>
      </w:r>
    </w:p>
    <w:p w14:paraId="16C398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9.与县卫生健康局的职责分工。两部门在医疗、医保、医药等方面加强制度、政策衔接，建立沟通协商机制，协同推进改革，提高医疗资源使用效率和医疗保障水平。</w:t>
      </w:r>
    </w:p>
    <w:p w14:paraId="27C368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10.完成县委、县政府交办的其他工作。</w:t>
      </w:r>
    </w:p>
    <w:p w14:paraId="4B0B8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人员概况：县医保局经机构编制委员会批准行政编制</w:t>
      </w:r>
      <w:r>
        <w:rPr>
          <w:rFonts w:hint="eastAsia" w:ascii="仿宋_GB2312" w:hAnsi="仿宋_GB2312" w:eastAsia="仿宋_GB2312" w:cs="仿宋_GB2312"/>
          <w:color w:val="auto"/>
          <w:sz w:val="32"/>
          <w:szCs w:val="32"/>
          <w:lang w:val="en-US" w:eastAsia="zh-CN"/>
        </w:rPr>
        <w:t>18人，实有公务员4人，参公人员8人，工勤2人。</w:t>
      </w:r>
      <w:r>
        <w:rPr>
          <w:rFonts w:hint="eastAsia" w:ascii="仿宋_GB2312" w:hAnsi="仿宋_GB2312" w:eastAsia="仿宋_GB2312" w:cs="仿宋_GB2312"/>
          <w:color w:val="auto"/>
          <w:sz w:val="32"/>
          <w:szCs w:val="32"/>
          <w:lang w:val="zh-CN" w:eastAsia="zh-CN"/>
        </w:rPr>
        <w:tab/>
      </w:r>
    </w:p>
    <w:p w14:paraId="4B19AC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val="zh-CN" w:eastAsia="zh-CN"/>
        </w:rPr>
        <w:t>）年度主要工作任务</w:t>
      </w:r>
    </w:p>
    <w:p w14:paraId="297A7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1.推进全面参保工作。</w:t>
      </w:r>
      <w:r>
        <w:rPr>
          <w:rFonts w:hint="eastAsia" w:ascii="仿宋_GB2312" w:hAnsi="仿宋_GB2312" w:eastAsia="仿宋_GB2312" w:cs="仿宋_GB2312"/>
          <w:color w:val="auto"/>
          <w:sz w:val="32"/>
          <w:szCs w:val="32"/>
          <w:lang w:val="en-US" w:eastAsia="zh-CN"/>
        </w:rPr>
        <w:t>扎实推进城镇职工、城乡居民基本医疗保险参保工作，全面完成市下参保目标任务。重点做好特困人员、低保对象、防止返贫监测对象、已稳定脱贫人口等重点人员分类资助参保工作，确保应保尽保。</w:t>
      </w:r>
    </w:p>
    <w:p w14:paraId="7C2ABF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2.调整优化医保政策。</w:t>
      </w:r>
      <w:r>
        <w:rPr>
          <w:rFonts w:hint="eastAsia" w:ascii="仿宋_GB2312" w:hAnsi="仿宋_GB2312" w:eastAsia="仿宋_GB2312" w:cs="仿宋_GB2312"/>
          <w:color w:val="auto"/>
          <w:sz w:val="32"/>
          <w:szCs w:val="32"/>
          <w:lang w:val="en-US" w:eastAsia="zh-CN"/>
        </w:rPr>
        <w:t>下发《贯彻落实〈乐山市巩固拓展医疗保障脱贫攻坚成果有效衔接乡村振兴战略实施细则〉有关医疗救助政策待遇的通知》，落实资助参保、大病保险、医疗救助政策，保障重点人员待遇落实到位。</w:t>
      </w:r>
    </w:p>
    <w:p w14:paraId="18799F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3.加强防贫动态监测。</w:t>
      </w:r>
      <w:r>
        <w:rPr>
          <w:rFonts w:hint="eastAsia" w:ascii="仿宋_GB2312" w:hAnsi="仿宋_GB2312" w:eastAsia="仿宋_GB2312" w:cs="仿宋_GB2312"/>
          <w:color w:val="auto"/>
          <w:sz w:val="32"/>
          <w:szCs w:val="32"/>
          <w:lang w:val="en-US" w:eastAsia="zh-CN"/>
        </w:rPr>
        <w:t>会同县乡村振兴局、县民政局，建立数据共享机制，定期推送风险信息，加强分析研判，开展动态监测，防止参保群众因病致贫返贫。</w:t>
      </w:r>
    </w:p>
    <w:p w14:paraId="5918F7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4.推进支付方式改革。</w:t>
      </w:r>
      <w:r>
        <w:rPr>
          <w:rFonts w:hint="eastAsia" w:ascii="仿宋_GB2312" w:hAnsi="仿宋_GB2312" w:eastAsia="仿宋_GB2312" w:cs="仿宋_GB2312"/>
          <w:color w:val="auto"/>
          <w:sz w:val="32"/>
          <w:szCs w:val="32"/>
          <w:lang w:val="en-US" w:eastAsia="zh-CN"/>
        </w:rPr>
        <w:t>落实《乐山市医疗保障局DRG支付方式改革三年行动计划推进方案》，全面启动DRG改革，完成2022年改革任务，推动医保高质量发展。</w:t>
      </w:r>
    </w:p>
    <w:p w14:paraId="486D88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5.落实药品集中采购。</w:t>
      </w:r>
      <w:r>
        <w:rPr>
          <w:rFonts w:hint="eastAsia" w:ascii="仿宋_GB2312" w:hAnsi="仿宋_GB2312" w:eastAsia="仿宋_GB2312" w:cs="仿宋_GB2312"/>
          <w:color w:val="auto"/>
          <w:sz w:val="32"/>
          <w:szCs w:val="32"/>
          <w:lang w:val="en-US" w:eastAsia="zh-CN"/>
        </w:rPr>
        <w:t>组织辖区定点医药机构进行集中采购，加强集中采购和使用日常监测，落实药品集中带量采购和医保资金结余留用政策，做好短缺药品保供稳价工作。</w:t>
      </w:r>
    </w:p>
    <w:p w14:paraId="1565BB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6.深化服务价格改革。</w:t>
      </w:r>
      <w:r>
        <w:rPr>
          <w:rFonts w:hint="eastAsia" w:ascii="仿宋_GB2312" w:hAnsi="仿宋_GB2312" w:eastAsia="仿宋_GB2312" w:cs="仿宋_GB2312"/>
          <w:color w:val="auto"/>
          <w:sz w:val="32"/>
          <w:szCs w:val="32"/>
          <w:lang w:val="en-US" w:eastAsia="zh-CN"/>
        </w:rPr>
        <w:t>推进医疗服务价格项目精细化管理，支持中医药传承创新发展，对部分中医类医疗服务项目进行调整。加强新增医疗服务项目价格管理，做好医疗服务价格培训与医疗服务价格动态调整数据测算、报送工作。</w:t>
      </w:r>
    </w:p>
    <w:p w14:paraId="7B5DE3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7.推进跨省直接结算。</w:t>
      </w:r>
      <w:r>
        <w:rPr>
          <w:rFonts w:hint="eastAsia" w:ascii="仿宋_GB2312" w:hAnsi="仿宋_GB2312" w:eastAsia="仿宋_GB2312" w:cs="仿宋_GB2312"/>
          <w:color w:val="auto"/>
          <w:sz w:val="32"/>
          <w:szCs w:val="32"/>
          <w:lang w:val="en-US" w:eastAsia="zh-CN"/>
        </w:rPr>
        <w:t>落实国家及省门诊费用跨省直接结算工作要求，推进门诊费用（职工医保个人账户）跨省直接结算工作，加大政策宣传力度，提高群众的知晓率，扩大异地就医结算范围，夯实异地就医直接结算工作。</w:t>
      </w:r>
    </w:p>
    <w:p w14:paraId="26DD6B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8.加强政策宣传。</w:t>
      </w:r>
      <w:r>
        <w:rPr>
          <w:rFonts w:hint="eastAsia" w:ascii="仿宋_GB2312" w:hAnsi="仿宋_GB2312" w:eastAsia="仿宋_GB2312" w:cs="仿宋_GB2312"/>
          <w:color w:val="auto"/>
          <w:sz w:val="32"/>
          <w:szCs w:val="32"/>
          <w:lang w:val="en-US" w:eastAsia="zh-CN"/>
        </w:rPr>
        <w:t>贯彻落实《医疗保障基金使用监督管理条例》《医疗保障基金使用监督管理举报处理暂行办法》，结合打击欺诈骗保集中宣传月、定点医药机构专项治理、打击欺诈骗保专项行动，联合多部门参与基金监管，持续保持打击欺诈骗保高压态势。</w:t>
      </w:r>
    </w:p>
    <w:p w14:paraId="51A605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9.完善协议管理。</w:t>
      </w:r>
      <w:r>
        <w:rPr>
          <w:rFonts w:hint="eastAsia" w:ascii="仿宋_GB2312" w:hAnsi="仿宋_GB2312" w:eastAsia="仿宋_GB2312" w:cs="仿宋_GB2312"/>
          <w:color w:val="auto"/>
          <w:sz w:val="32"/>
          <w:szCs w:val="32"/>
          <w:lang w:val="en-US" w:eastAsia="zh-CN"/>
        </w:rPr>
        <w:t>进一步完善协议内容，与辖区所有医药机构签订服务协议，按协议内容对定点医药机构进行管理、考核。严格履行医保基金管理主体责任，引入第三方力量，扎实开展自检自查，确保医疗保障资金的安全和可持续运行。</w:t>
      </w:r>
    </w:p>
    <w:p w14:paraId="11BF16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10.推进智能监管。</w:t>
      </w:r>
      <w:r>
        <w:rPr>
          <w:rFonts w:hint="eastAsia" w:ascii="仿宋_GB2312" w:hAnsi="仿宋_GB2312" w:eastAsia="仿宋_GB2312" w:cs="仿宋_GB2312"/>
          <w:color w:val="auto"/>
          <w:sz w:val="32"/>
          <w:szCs w:val="32"/>
          <w:lang w:val="en-US" w:eastAsia="zh-CN"/>
        </w:rPr>
        <w:t>借助现有智能监控（审核）系统，对医疗机构违规行为进行及时纠正，建立健全医保信用管理制度，规范举报线索办理和奖励机制，建立基金监管应急处置机制，以问题为导向开展专项整治行动，逐步扩大监管领域。实行一企一策，加大对企业拖欠职工医保追缴力度，维护职工合法权益，切实维护社会稳定。</w:t>
      </w:r>
    </w:p>
    <w:p w14:paraId="62BF04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11.加强经办队伍建设。</w:t>
      </w:r>
      <w:r>
        <w:rPr>
          <w:rFonts w:hint="eastAsia" w:ascii="仿宋_GB2312" w:hAnsi="仿宋_GB2312" w:eastAsia="仿宋_GB2312" w:cs="仿宋_GB2312"/>
          <w:color w:val="auto"/>
          <w:sz w:val="32"/>
          <w:szCs w:val="32"/>
          <w:lang w:val="en-US" w:eastAsia="zh-CN"/>
        </w:rPr>
        <w:t>落实全省乡镇行政区划和村级建制调整改革“后半篇文章”相关部署，进一步加强基层医保经办服务能力建设，推动医疗保障经办县、乡（镇）、村全覆盖，打通医疗保障经办服务“最后一公里”。6月底前，完成乡镇便民服务中心（站）、村（社区）便民服务室医保经办服务事项入驻工作。</w:t>
      </w:r>
    </w:p>
    <w:p w14:paraId="6C263A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12.提升经办服务能力。</w:t>
      </w:r>
      <w:r>
        <w:rPr>
          <w:rFonts w:hint="eastAsia" w:ascii="仿宋_GB2312" w:hAnsi="仿宋_GB2312" w:eastAsia="仿宋_GB2312" w:cs="仿宋_GB2312"/>
          <w:color w:val="auto"/>
          <w:sz w:val="32"/>
          <w:szCs w:val="32"/>
          <w:lang w:val="en-US" w:eastAsia="zh-CN"/>
        </w:rPr>
        <w:t>深化“最多跑一次”改革，加快推进服务事项网上办理，提高“一网通办”“网上办”“掌上办”办结率。积极推广医保电子凭证，不断拓展使用渠道，鼓励参保群众使用医保电子凭证就医购药。</w:t>
      </w:r>
    </w:p>
    <w:p w14:paraId="258C5C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13.加强经办行风建设。</w:t>
      </w:r>
      <w:r>
        <w:rPr>
          <w:rFonts w:hint="eastAsia" w:ascii="仿宋_GB2312" w:hAnsi="仿宋_GB2312" w:eastAsia="仿宋_GB2312" w:cs="仿宋_GB2312"/>
          <w:color w:val="auto"/>
          <w:sz w:val="32"/>
          <w:szCs w:val="32"/>
          <w:lang w:val="en-US" w:eastAsia="zh-CN"/>
        </w:rPr>
        <w:t>加强服务窗口规范化建设，定期对窗口工作人员开展业务培训，实施好医疗保障经办政务服务事项“好差评”制度，及时处理窗口人员的违规违纪行为及信访、投诉。</w:t>
      </w:r>
    </w:p>
    <w:p w14:paraId="335EC323">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both"/>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744AC4DC">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auto"/>
          <w:sz w:val="32"/>
          <w:szCs w:val="32"/>
          <w:lang w:val="zh-CN" w:eastAsia="zh-CN"/>
        </w:rPr>
        <w:t>通过年初结合单位实际工作需要编制部门预算，在支出过程中做到严格遵守各项规章制度，所有项目均需制定方案，严格按照方案组织实施，并加强监督。尤其在专项经费上严格执行专项资金财务管理办法，专款专用，无截留、无挪用等现象。使资金使用得到最大效益化，最终实现部门整体支出合理合规。</w:t>
      </w:r>
    </w:p>
    <w:p w14:paraId="27C2CA63">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二、部门财政资金收支情况</w:t>
      </w:r>
    </w:p>
    <w:p w14:paraId="14B2EF77">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（一）部门财政资金收入情况</w:t>
      </w:r>
    </w:p>
    <w:p w14:paraId="78D9B2F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县医保局2023年财政拨款预算收入1601.42万元，其中上级资金0万元，县级资金1601.42万元。</w:t>
      </w:r>
    </w:p>
    <w:p w14:paraId="6957F82A">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部门财政资金支出情况</w:t>
      </w:r>
    </w:p>
    <w:p w14:paraId="2C54825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仿宋_GB2312" w:hAnsi="宋体" w:eastAsia="仿宋_GB2312" w:cs="宋体"/>
          <w:b w:val="0"/>
          <w:bCs w:val="0"/>
          <w:color w:val="auto"/>
          <w:kern w:val="0"/>
          <w:sz w:val="32"/>
          <w:szCs w:val="32"/>
          <w:shd w:val="clear" w:color="auto" w:fill="FFFFFF"/>
          <w:lang w:val="en-US" w:eastAsia="zh-CN" w:bidi="ar-SA"/>
        </w:rPr>
      </w:pPr>
      <w:r>
        <w:rPr>
          <w:rFonts w:hint="eastAsia" w:ascii="仿宋_GB2312" w:hAnsi="仿宋_GB2312" w:eastAsia="仿宋_GB2312" w:cs="仿宋_GB2312"/>
          <w:sz w:val="32"/>
          <w:szCs w:val="32"/>
          <w:lang w:val="zh-CN" w:eastAsia="zh-CN"/>
        </w:rPr>
        <w:t>基本支出</w:t>
      </w:r>
      <w:r>
        <w:rPr>
          <w:rFonts w:hint="eastAsia" w:ascii="仿宋_GB2312" w:hAnsi="仿宋_GB2312" w:eastAsia="仿宋_GB2312" w:cs="仿宋_GB2312"/>
          <w:sz w:val="32"/>
          <w:szCs w:val="32"/>
          <w:lang w:val="en-US" w:eastAsia="zh-CN"/>
        </w:rPr>
        <w:t>341.63万元，项</w:t>
      </w:r>
      <w:r>
        <w:rPr>
          <w:rFonts w:hint="eastAsia" w:ascii="仿宋_GB2312" w:hAnsi="宋体" w:eastAsia="仿宋_GB2312" w:cs="宋体"/>
          <w:b w:val="0"/>
          <w:bCs w:val="0"/>
          <w:color w:val="000000"/>
          <w:kern w:val="0"/>
          <w:sz w:val="32"/>
          <w:szCs w:val="32"/>
          <w:shd w:val="clear" w:color="auto" w:fill="FFFFFF"/>
          <w:lang w:val="en-US" w:eastAsia="zh-CN" w:bidi="ar-SA"/>
        </w:rPr>
        <w:t>目支出1249.79万元，其中项目9个，具体支出为：机关企事业离休干部医疗费40万元；建国初期参加革命工作退休人员门诊补助（按实）9.6万元；城乡医疗保险缴费财政配套资金部分（按实）485.05万元；医疗保险征缴及医疗保险基金安全监管工作相关经费14万元；尘肺病人医疗救助（按实）26.39万元；城乡医疗救助县级配套（按实）333.41万元；新冠疫苗接种费县级配套84.13万元；医保经办服务体系标准化建设26万元；峨边医保局2023年乡村振兴补助资金项目（县级）240.63万元。</w:t>
      </w:r>
    </w:p>
    <w:p w14:paraId="704787AD">
      <w:pPr>
        <w:pStyle w:val="2"/>
        <w:keepNext w:val="0"/>
        <w:keepLines w:val="0"/>
        <w:pageBreakBefore w:val="0"/>
        <w:numPr>
          <w:ilvl w:val="0"/>
          <w:numId w:val="0"/>
        </w:numPr>
        <w:kinsoku/>
        <w:wordWrap/>
        <w:overflowPunct/>
        <w:topLinePunct w:val="0"/>
        <w:autoSpaceDE/>
        <w:autoSpaceDN/>
        <w:bidi w:val="0"/>
        <w:spacing w:before="0" w:after="0" w:line="560" w:lineRule="exact"/>
        <w:ind w:left="0" w:leftChars="0" w:firstLine="640" w:firstLineChars="200"/>
        <w:jc w:val="both"/>
        <w:textAlignment w:val="auto"/>
        <w:rPr>
          <w:rFonts w:hint="eastAsia" w:ascii="仿宋_GB2312" w:hAnsi="宋体" w:eastAsia="仿宋_GB2312" w:cs="宋体"/>
          <w:b w:val="0"/>
          <w:bCs w:val="0"/>
          <w:color w:val="auto"/>
          <w:kern w:val="0"/>
          <w:sz w:val="32"/>
          <w:szCs w:val="32"/>
          <w:shd w:val="clear" w:color="auto" w:fill="FFFFFF"/>
          <w:lang w:val="en-US" w:eastAsia="zh-CN" w:bidi="ar-SA"/>
        </w:rPr>
      </w:pPr>
      <w:r>
        <w:rPr>
          <w:rFonts w:hint="eastAsia" w:ascii="仿宋_GB2312" w:hAnsi="宋体" w:eastAsia="仿宋_GB2312" w:cs="宋体"/>
          <w:b w:val="0"/>
          <w:bCs w:val="0"/>
          <w:color w:val="auto"/>
          <w:kern w:val="0"/>
          <w:sz w:val="32"/>
          <w:szCs w:val="32"/>
          <w:shd w:val="clear" w:color="auto" w:fill="FFFFFF"/>
          <w:lang w:val="en-US" w:eastAsia="zh-CN" w:bidi="ar-SA"/>
        </w:rPr>
        <w:t>（三）部门财政资金结转结余情况</w:t>
      </w:r>
    </w:p>
    <w:p w14:paraId="3BBBC527">
      <w:pPr>
        <w:keepNext w:val="0"/>
        <w:keepLines w:val="0"/>
        <w:pageBreakBefore w:val="0"/>
        <w:numPr>
          <w:ilvl w:val="0"/>
          <w:numId w:val="0"/>
        </w:numPr>
        <w:kinsoku/>
        <w:wordWrap/>
        <w:overflowPunct/>
        <w:topLinePunct w:val="0"/>
        <w:autoSpaceDE/>
        <w:autoSpaceDN/>
        <w:bidi w:val="0"/>
        <w:spacing w:line="560" w:lineRule="exact"/>
        <w:ind w:left="0" w:leftChars="0"/>
        <w:jc w:val="both"/>
        <w:textAlignment w:val="auto"/>
        <w:rPr>
          <w:rFonts w:hint="default" w:ascii="仿宋_GB2312" w:hAnsi="宋体" w:eastAsia="仿宋_GB2312" w:cs="宋体"/>
          <w:b w:val="0"/>
          <w:bCs w:val="0"/>
          <w:color w:val="auto"/>
          <w:kern w:val="0"/>
          <w:sz w:val="32"/>
          <w:szCs w:val="32"/>
          <w:shd w:val="clear" w:color="auto" w:fill="FFFFFF"/>
          <w:lang w:val="en-US" w:eastAsia="zh-CN" w:bidi="ar-SA"/>
        </w:rPr>
      </w:pPr>
      <w:r>
        <w:rPr>
          <w:rFonts w:hint="eastAsia" w:ascii="仿宋_GB2312" w:hAnsi="宋体" w:eastAsia="仿宋_GB2312" w:cs="宋体"/>
          <w:b w:val="0"/>
          <w:bCs w:val="0"/>
          <w:color w:val="auto"/>
          <w:kern w:val="0"/>
          <w:sz w:val="32"/>
          <w:szCs w:val="32"/>
          <w:shd w:val="clear" w:color="auto" w:fill="FFFFFF"/>
          <w:lang w:val="en-US" w:eastAsia="zh-CN" w:bidi="ar-SA"/>
        </w:rPr>
        <w:t xml:space="preserve">     2023年部门财政资金结转结余10万元。</w:t>
      </w:r>
    </w:p>
    <w:p w14:paraId="0F109BAC">
      <w:pPr>
        <w:keepNext w:val="0"/>
        <w:keepLines w:val="0"/>
        <w:pageBreakBefore w:val="0"/>
        <w:numPr>
          <w:ilvl w:val="0"/>
          <w:numId w:val="0"/>
        </w:numPr>
        <w:kinsoku/>
        <w:wordWrap/>
        <w:overflowPunct/>
        <w:topLinePunct w:val="0"/>
        <w:autoSpaceDE/>
        <w:autoSpaceDN/>
        <w:bidi w:val="0"/>
        <w:spacing w:line="560" w:lineRule="exact"/>
        <w:ind w:left="0" w:leftChars="0"/>
        <w:jc w:val="both"/>
        <w:textAlignment w:val="auto"/>
        <w:rPr>
          <w:rFonts w:hint="default" w:ascii="仿宋_GB2312" w:hAnsi="宋体" w:eastAsia="仿宋_GB2312" w:cs="宋体"/>
          <w:b w:val="0"/>
          <w:bCs w:val="0"/>
          <w:color w:val="auto"/>
          <w:kern w:val="0"/>
          <w:sz w:val="32"/>
          <w:szCs w:val="32"/>
          <w:shd w:val="clear" w:color="auto" w:fill="FFFFFF"/>
          <w:lang w:val="en-US" w:eastAsia="zh-CN" w:bidi="ar-SA"/>
        </w:rPr>
      </w:pPr>
    </w:p>
    <w:p w14:paraId="374C076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三、部门整体绩效管理情况</w:t>
      </w:r>
    </w:p>
    <w:p w14:paraId="54C8D7E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sz w:val="32"/>
          <w:szCs w:val="32"/>
          <w:lang w:val="zh-CN" w:eastAsia="zh-CN"/>
        </w:rPr>
        <w:t>（一）部门整体履职绩效分析</w:t>
      </w:r>
    </w:p>
    <w:p w14:paraId="5F309B6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我单位实行预算管理制度，根据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财政局每年下发文件进行相应的预算管理编制和提交。严格预算执行，及时向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反映本部门预算执行情况，依法纠正违反预算的行为。将单位预算管理活动与社会和人民的切身利益相结合，根据社会需求和人民需要进行合理预算管理工作，使预算管理计划成为行政事业单位建设社会、服务大众的方针导向。执行预算绩效管理，编制整体支出和项目支出绩效申报，使单位预算管理</w:t>
      </w:r>
      <w:r>
        <w:rPr>
          <w:rFonts w:hint="eastAsia" w:ascii="仿宋_GB2312" w:hAnsi="仿宋_GB2312" w:eastAsia="仿宋_GB2312" w:cs="仿宋_GB2312"/>
          <w:sz w:val="32"/>
          <w:szCs w:val="32"/>
          <w:lang w:eastAsia="zh-CN"/>
        </w:rPr>
        <w:t>发挥</w:t>
      </w:r>
      <w:r>
        <w:rPr>
          <w:rFonts w:hint="eastAsia" w:ascii="仿宋_GB2312" w:hAnsi="仿宋_GB2312" w:eastAsia="仿宋_GB2312" w:cs="仿宋_GB2312"/>
          <w:sz w:val="32"/>
          <w:szCs w:val="32"/>
        </w:rPr>
        <w:t>最大效用，实现预算管理的目标与效果。</w:t>
      </w:r>
    </w:p>
    <w:p w14:paraId="6F588BA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（二）特定目标类项目绩效分析</w:t>
      </w:r>
    </w:p>
    <w:p w14:paraId="386E09DD">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包括项目绩效目标制定、目标实现、支出控制、及时处置、执行进度、预算完成情况、资金结余率（低效无效率）和违规记录等情况。</w:t>
      </w:r>
    </w:p>
    <w:p w14:paraId="2B7A3A3F">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整体情况：</w:t>
      </w:r>
    </w:p>
    <w:p w14:paraId="2A488D2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县医保局2023年项目为9个，项目支出为680.04万元。</w:t>
      </w:r>
    </w:p>
    <w:p w14:paraId="4D71DBA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2.100万元以上项目：</w:t>
      </w:r>
    </w:p>
    <w:p w14:paraId="77461A1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项目1：城乡医疗保险缴费财政配套资金（按实）</w:t>
      </w:r>
      <w:r>
        <w:rPr>
          <w:rFonts w:hint="eastAsia" w:ascii="仿宋_GB2312" w:hAnsi="仿宋_GB2312" w:eastAsia="仿宋_GB2312" w:cs="仿宋_GB2312"/>
          <w:sz w:val="32"/>
          <w:szCs w:val="32"/>
          <w:lang w:val="en-US" w:eastAsia="zh-CN"/>
        </w:rPr>
        <w:t>485.05万元，用于城乡居民资助参保。</w:t>
      </w:r>
      <w:r>
        <w:rPr>
          <w:rFonts w:hint="eastAsia" w:ascii="仿宋_GB2312" w:hAnsi="仿宋_GB2312" w:eastAsia="仿宋_GB2312" w:cs="仿宋_GB2312"/>
          <w:sz w:val="32"/>
          <w:szCs w:val="32"/>
          <w:lang w:val="zh-CN"/>
        </w:rPr>
        <w:t xml:space="preserve"> </w:t>
      </w:r>
    </w:p>
    <w:p w14:paraId="4E46C5E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项目2：城乡医疗救助县级配套（按实）</w:t>
      </w:r>
      <w:r>
        <w:rPr>
          <w:rFonts w:hint="eastAsia" w:ascii="仿宋_GB2312" w:hAnsi="仿宋_GB2312" w:eastAsia="仿宋_GB2312" w:cs="仿宋_GB2312"/>
          <w:sz w:val="32"/>
          <w:szCs w:val="32"/>
          <w:lang w:val="en-US" w:eastAsia="zh-CN"/>
        </w:rPr>
        <w:t>333.41万元，用于医疗救助医疗费用。</w:t>
      </w:r>
    </w:p>
    <w:p w14:paraId="0784076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项目3:2023年乡村振兴补助资金项目（县级）240.63万元，用于城乡居民资助参保。</w:t>
      </w:r>
    </w:p>
    <w:p w14:paraId="35811862">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（三）结果应用情况</w:t>
      </w:r>
    </w:p>
    <w:p w14:paraId="7EC6DCF5">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为整体为提高资金使用效率防范风险，县医保局严格执行财经纪律，量入为出，收支平衡，科学研判。进行各风险点排查，对各风险点进行防控，制定相关制度，确保资金的安全、高效使用。</w:t>
      </w:r>
    </w:p>
    <w:p w14:paraId="117C0D9C">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2023年度县医保局在县委、县政府的领导下，各相关部门的有力支持下，顺利完成了2023年的医保工作和县委、县政府交办的、市医保局下达的各项临时性工作。</w:t>
      </w:r>
    </w:p>
    <w:p w14:paraId="2FB47CF3">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四、评价结论及建议</w:t>
      </w:r>
    </w:p>
    <w:p w14:paraId="3C9339BC">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（一）评价结论</w:t>
      </w:r>
    </w:p>
    <w:p w14:paraId="2AA5636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县医保局根据《峨边彝族自治县财政局关于开展20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val="zh-CN" w:eastAsia="zh-CN"/>
        </w:rPr>
        <w:t>年部门整体、项目支出预算绩效评价工作的通知》文件精神，</w:t>
      </w:r>
      <w:r>
        <w:rPr>
          <w:rFonts w:hint="eastAsia" w:ascii="仿宋_GB2312" w:hAnsi="仿宋_GB2312" w:eastAsia="仿宋_GB2312" w:cs="仿宋_GB2312"/>
          <w:sz w:val="32"/>
          <w:szCs w:val="32"/>
          <w:lang w:val="en-US" w:eastAsia="zh-CN"/>
        </w:rPr>
        <w:t>认真组织开展了对本部门整体支出绩效评价工作，经对本部门整体绩效综合自评，绩效评价</w:t>
      </w:r>
      <w:r>
        <w:rPr>
          <w:rFonts w:hint="eastAsia" w:ascii="仿宋_GB2312" w:hAnsi="仿宋_GB2312" w:eastAsia="仿宋_GB2312" w:cs="仿宋_GB2312"/>
          <w:sz w:val="32"/>
          <w:szCs w:val="32"/>
          <w:lang w:val="zh-CN" w:eastAsia="zh-CN"/>
        </w:rPr>
        <w:t>得分：</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lang w:val="zh-CN" w:eastAsia="zh-CN"/>
        </w:rPr>
        <w:t>分，评价结果：优。</w:t>
      </w:r>
    </w:p>
    <w:p w14:paraId="29F8549F">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）存在问题</w:t>
      </w:r>
    </w:p>
    <w:p w14:paraId="4760DE41">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项目资金预算</w:t>
      </w:r>
      <w:r>
        <w:rPr>
          <w:rFonts w:hint="eastAsia" w:ascii="仿宋_GB2312" w:hAnsi="仿宋_GB2312" w:eastAsia="仿宋_GB2312" w:cs="仿宋_GB2312"/>
          <w:sz w:val="32"/>
          <w:szCs w:val="32"/>
          <w:lang w:val="en-US" w:eastAsia="zh-CN"/>
        </w:rPr>
        <w:t>经费预算精细化不够，导致经费不够产生中期调整。</w:t>
      </w:r>
    </w:p>
    <w:p w14:paraId="216D8AF0">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zh-CN"/>
        </w:rPr>
        <w:t>）改进建议</w:t>
      </w:r>
    </w:p>
    <w:p w14:paraId="4A9446BB">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加大对资金的预算精准度和使用前瞻性预算。</w:t>
      </w:r>
    </w:p>
    <w:p w14:paraId="03ED14FF">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2.进一步完善各项内部控制制度，加大对资金风险点的防控。</w:t>
      </w:r>
    </w:p>
    <w:p w14:paraId="6F75C829">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p>
    <w:p w14:paraId="551935F2">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eastAsia" w:ascii="仿宋_GB2312" w:hAnsi="仿宋_GB2312" w:eastAsia="仿宋_GB2312" w:cs="仿宋_GB2312"/>
          <w:sz w:val="32"/>
          <w:szCs w:val="32"/>
          <w:lang w:val="en-US" w:eastAsia="zh-CN"/>
        </w:rPr>
      </w:pPr>
    </w:p>
    <w:p w14:paraId="653E46C4">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峨边彝族自治县医疗保障局</w:t>
      </w:r>
    </w:p>
    <w:p w14:paraId="418F405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contextualSpacing/>
        <w:jc w:val="righ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2024年7月15日</w:t>
      </w:r>
    </w:p>
    <w:p w14:paraId="50590F4C">
      <w:pPr>
        <w:pStyle w:val="6"/>
        <w:spacing w:afterLines="0"/>
        <w:jc w:val="right"/>
      </w:pPr>
    </w:p>
    <w:p w14:paraId="312E436D">
      <w:pPr>
        <w:pStyle w:val="6"/>
        <w:spacing w:afterLines="0"/>
      </w:pPr>
    </w:p>
    <w:p w14:paraId="07467FEC">
      <w:pPr>
        <w:pStyle w:val="6"/>
        <w:spacing w:afterLines="0"/>
      </w:pPr>
    </w:p>
    <w:p w14:paraId="07B09369">
      <w:pPr>
        <w:pStyle w:val="6"/>
        <w:spacing w:afterLines="0"/>
      </w:pPr>
    </w:p>
    <w:p w14:paraId="541AB74D">
      <w:pPr>
        <w:pStyle w:val="6"/>
        <w:spacing w:afterLines="0"/>
      </w:pPr>
    </w:p>
    <w:p w14:paraId="0A97BC54">
      <w:pPr>
        <w:pStyle w:val="6"/>
        <w:spacing w:afterLines="0"/>
      </w:pPr>
    </w:p>
    <w:p w14:paraId="57141907">
      <w:pPr>
        <w:pStyle w:val="6"/>
        <w:spacing w:afterLines="0"/>
      </w:pPr>
    </w:p>
    <w:tbl>
      <w:tblPr>
        <w:tblStyle w:val="9"/>
        <w:tblW w:w="10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0"/>
        <w:gridCol w:w="1327"/>
        <w:gridCol w:w="694"/>
        <w:gridCol w:w="326"/>
        <w:gridCol w:w="1336"/>
        <w:gridCol w:w="3227"/>
        <w:gridCol w:w="326"/>
        <w:gridCol w:w="326"/>
        <w:gridCol w:w="326"/>
        <w:gridCol w:w="326"/>
        <w:gridCol w:w="327"/>
        <w:gridCol w:w="731"/>
      </w:tblGrid>
      <w:tr w14:paraId="2544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0" w:type="dxa"/>
            <w:noWrap w:val="0"/>
            <w:vAlign w:val="center"/>
          </w:tcPr>
          <w:p w14:paraId="59932F15">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附件</w:t>
            </w:r>
          </w:p>
        </w:tc>
        <w:tc>
          <w:tcPr>
            <w:tcW w:w="1327" w:type="dxa"/>
            <w:noWrap w:val="0"/>
            <w:vAlign w:val="center"/>
          </w:tcPr>
          <w:p w14:paraId="48E28C97">
            <w:pPr>
              <w:rPr>
                <w:rFonts w:hint="eastAsia" w:ascii="宋体" w:hAnsi="宋体" w:eastAsia="宋体" w:cs="宋体"/>
                <w:i w:val="0"/>
                <w:color w:val="000000"/>
                <w:sz w:val="22"/>
                <w:szCs w:val="22"/>
                <w:u w:val="none"/>
              </w:rPr>
            </w:pPr>
          </w:p>
        </w:tc>
        <w:tc>
          <w:tcPr>
            <w:tcW w:w="694" w:type="dxa"/>
            <w:noWrap w:val="0"/>
            <w:vAlign w:val="center"/>
          </w:tcPr>
          <w:p w14:paraId="4582CDF3">
            <w:pPr>
              <w:rPr>
                <w:rFonts w:hint="eastAsia" w:ascii="宋体" w:hAnsi="宋体" w:eastAsia="宋体" w:cs="宋体"/>
                <w:i w:val="0"/>
                <w:color w:val="000000"/>
                <w:sz w:val="22"/>
                <w:szCs w:val="22"/>
                <w:u w:val="none"/>
              </w:rPr>
            </w:pPr>
          </w:p>
        </w:tc>
        <w:tc>
          <w:tcPr>
            <w:tcW w:w="326" w:type="dxa"/>
            <w:noWrap w:val="0"/>
            <w:vAlign w:val="center"/>
          </w:tcPr>
          <w:p w14:paraId="1B3204CB">
            <w:pPr>
              <w:rPr>
                <w:rFonts w:hint="eastAsia" w:ascii="宋体" w:hAnsi="宋体" w:eastAsia="宋体" w:cs="宋体"/>
                <w:i w:val="0"/>
                <w:color w:val="000000"/>
                <w:sz w:val="22"/>
                <w:szCs w:val="22"/>
                <w:u w:val="none"/>
              </w:rPr>
            </w:pPr>
          </w:p>
        </w:tc>
        <w:tc>
          <w:tcPr>
            <w:tcW w:w="1336" w:type="dxa"/>
            <w:noWrap w:val="0"/>
            <w:vAlign w:val="center"/>
          </w:tcPr>
          <w:p w14:paraId="744925AB">
            <w:pPr>
              <w:rPr>
                <w:rFonts w:hint="eastAsia" w:ascii="宋体" w:hAnsi="宋体" w:eastAsia="宋体" w:cs="宋体"/>
                <w:i w:val="0"/>
                <w:color w:val="000000"/>
                <w:sz w:val="22"/>
                <w:szCs w:val="22"/>
                <w:u w:val="none"/>
              </w:rPr>
            </w:pPr>
          </w:p>
        </w:tc>
        <w:tc>
          <w:tcPr>
            <w:tcW w:w="3227" w:type="dxa"/>
            <w:noWrap w:val="0"/>
            <w:vAlign w:val="center"/>
          </w:tcPr>
          <w:p w14:paraId="351974C1">
            <w:pPr>
              <w:rPr>
                <w:rFonts w:hint="eastAsia" w:ascii="宋体" w:hAnsi="宋体" w:eastAsia="宋体" w:cs="宋体"/>
                <w:i w:val="0"/>
                <w:color w:val="000000"/>
                <w:sz w:val="22"/>
                <w:szCs w:val="22"/>
                <w:u w:val="none"/>
              </w:rPr>
            </w:pPr>
          </w:p>
        </w:tc>
        <w:tc>
          <w:tcPr>
            <w:tcW w:w="326" w:type="dxa"/>
            <w:noWrap w:val="0"/>
            <w:vAlign w:val="center"/>
          </w:tcPr>
          <w:p w14:paraId="451CBEB4">
            <w:pPr>
              <w:rPr>
                <w:rFonts w:hint="eastAsia" w:ascii="宋体" w:hAnsi="宋体" w:eastAsia="宋体" w:cs="宋体"/>
                <w:i w:val="0"/>
                <w:color w:val="000000"/>
                <w:sz w:val="22"/>
                <w:szCs w:val="22"/>
                <w:u w:val="none"/>
              </w:rPr>
            </w:pPr>
          </w:p>
        </w:tc>
        <w:tc>
          <w:tcPr>
            <w:tcW w:w="326" w:type="dxa"/>
            <w:noWrap w:val="0"/>
            <w:vAlign w:val="center"/>
          </w:tcPr>
          <w:p w14:paraId="0B5046E4">
            <w:pPr>
              <w:rPr>
                <w:rFonts w:hint="eastAsia" w:ascii="宋体" w:hAnsi="宋体" w:eastAsia="宋体" w:cs="宋体"/>
                <w:i w:val="0"/>
                <w:color w:val="000000"/>
                <w:sz w:val="22"/>
                <w:szCs w:val="22"/>
                <w:u w:val="none"/>
              </w:rPr>
            </w:pPr>
          </w:p>
        </w:tc>
        <w:tc>
          <w:tcPr>
            <w:tcW w:w="326" w:type="dxa"/>
            <w:noWrap w:val="0"/>
            <w:vAlign w:val="center"/>
          </w:tcPr>
          <w:p w14:paraId="1B8F29DE">
            <w:pPr>
              <w:rPr>
                <w:rFonts w:hint="eastAsia" w:ascii="宋体" w:hAnsi="宋体" w:eastAsia="宋体" w:cs="宋体"/>
                <w:i w:val="0"/>
                <w:color w:val="000000"/>
                <w:sz w:val="22"/>
                <w:szCs w:val="22"/>
                <w:u w:val="none"/>
              </w:rPr>
            </w:pPr>
          </w:p>
        </w:tc>
        <w:tc>
          <w:tcPr>
            <w:tcW w:w="326" w:type="dxa"/>
            <w:noWrap w:val="0"/>
            <w:vAlign w:val="center"/>
          </w:tcPr>
          <w:p w14:paraId="24EF6233">
            <w:pPr>
              <w:rPr>
                <w:rFonts w:hint="eastAsia" w:ascii="宋体" w:hAnsi="宋体" w:eastAsia="宋体" w:cs="宋体"/>
                <w:i w:val="0"/>
                <w:color w:val="000000"/>
                <w:sz w:val="22"/>
                <w:szCs w:val="22"/>
                <w:u w:val="none"/>
              </w:rPr>
            </w:pPr>
          </w:p>
        </w:tc>
        <w:tc>
          <w:tcPr>
            <w:tcW w:w="327" w:type="dxa"/>
            <w:noWrap w:val="0"/>
            <w:vAlign w:val="center"/>
          </w:tcPr>
          <w:p w14:paraId="23CFB112">
            <w:pPr>
              <w:rPr>
                <w:rFonts w:hint="eastAsia" w:ascii="宋体" w:hAnsi="宋体" w:eastAsia="宋体" w:cs="宋体"/>
                <w:i w:val="0"/>
                <w:color w:val="000000"/>
                <w:sz w:val="22"/>
                <w:szCs w:val="22"/>
                <w:u w:val="none"/>
              </w:rPr>
            </w:pPr>
          </w:p>
        </w:tc>
        <w:tc>
          <w:tcPr>
            <w:tcW w:w="731" w:type="dxa"/>
            <w:noWrap w:val="0"/>
            <w:vAlign w:val="center"/>
          </w:tcPr>
          <w:p w14:paraId="17D30D52">
            <w:pPr>
              <w:rPr>
                <w:rFonts w:hint="eastAsia" w:ascii="宋体" w:hAnsi="宋体" w:eastAsia="宋体" w:cs="宋体"/>
                <w:i w:val="0"/>
                <w:color w:val="000000"/>
                <w:sz w:val="22"/>
                <w:szCs w:val="22"/>
                <w:u w:val="none"/>
              </w:rPr>
            </w:pPr>
          </w:p>
        </w:tc>
      </w:tr>
      <w:tr w14:paraId="6FA1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002" w:type="dxa"/>
            <w:gridSpan w:val="12"/>
            <w:tcBorders>
              <w:bottom w:val="single" w:color="000000" w:sz="4" w:space="0"/>
            </w:tcBorders>
            <w:noWrap w:val="0"/>
            <w:vAlign w:val="center"/>
          </w:tcPr>
          <w:p w14:paraId="1E2B7509">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县级部门整体绩效自评打分表</w:t>
            </w:r>
          </w:p>
        </w:tc>
      </w:tr>
      <w:tr w14:paraId="5BC0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7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BFFD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32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0735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AE08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3227" w:type="dxa"/>
            <w:vMerge w:val="restart"/>
            <w:tcBorders>
              <w:top w:val="single" w:color="000000" w:sz="4" w:space="0"/>
              <w:bottom w:val="single" w:color="000000" w:sz="4" w:space="0"/>
              <w:right w:val="single" w:color="000000" w:sz="4" w:space="0"/>
            </w:tcBorders>
            <w:shd w:val="clear" w:color="auto" w:fill="auto"/>
            <w:noWrap w:val="0"/>
            <w:vAlign w:val="center"/>
          </w:tcPr>
          <w:p w14:paraId="5ED867A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计分标准</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4F56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评价方式</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B21A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评价属性</w:t>
            </w:r>
          </w:p>
        </w:tc>
        <w:tc>
          <w:tcPr>
            <w:tcW w:w="327" w:type="dxa"/>
            <w:vMerge w:val="restart"/>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57BD849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自评打分</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772A7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14:paraId="5FCB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72A9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0996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8951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3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1EE2C">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5DBAD">
            <w:pPr>
              <w:jc w:val="center"/>
              <w:rPr>
                <w:rFonts w:hint="eastAsia" w:ascii="宋体" w:hAnsi="宋体" w:eastAsia="宋体" w:cs="宋体"/>
                <w:b/>
                <w:i w:val="0"/>
                <w:color w:val="000000"/>
                <w:sz w:val="24"/>
                <w:szCs w:val="24"/>
                <w:u w:val="none"/>
              </w:rPr>
            </w:pPr>
          </w:p>
        </w:tc>
        <w:tc>
          <w:tcPr>
            <w:tcW w:w="3227" w:type="dxa"/>
            <w:vMerge w:val="continue"/>
            <w:tcBorders>
              <w:top w:val="single" w:color="000000" w:sz="4" w:space="0"/>
              <w:bottom w:val="single" w:color="000000" w:sz="4" w:space="0"/>
              <w:right w:val="single" w:color="000000" w:sz="4" w:space="0"/>
            </w:tcBorders>
            <w:shd w:val="clear" w:color="auto" w:fill="auto"/>
            <w:noWrap w:val="0"/>
            <w:vAlign w:val="center"/>
          </w:tcPr>
          <w:p w14:paraId="1B06DE7D">
            <w:pPr>
              <w:jc w:val="center"/>
              <w:rPr>
                <w:rFonts w:hint="eastAsia" w:ascii="宋体" w:hAnsi="宋体" w:eastAsia="宋体" w:cs="宋体"/>
                <w:b/>
                <w:i w:val="0"/>
                <w:color w:val="000000"/>
                <w:sz w:val="24"/>
                <w:szCs w:val="24"/>
                <w:u w:val="none"/>
              </w:rPr>
            </w:pPr>
          </w:p>
        </w:tc>
        <w:tc>
          <w:tcPr>
            <w:tcW w:w="326" w:type="dxa"/>
            <w:tcBorders>
              <w:top w:val="single" w:color="000000" w:sz="4" w:space="0"/>
              <w:bottom w:val="single" w:color="000000" w:sz="4" w:space="0"/>
              <w:right w:val="single" w:color="000000" w:sz="4" w:space="0"/>
            </w:tcBorders>
            <w:shd w:val="clear" w:color="auto" w:fill="auto"/>
            <w:noWrap w:val="0"/>
            <w:vAlign w:val="center"/>
          </w:tcPr>
          <w:p w14:paraId="7E674E0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整体评价</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F7C7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样本评价</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4189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定性评价</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AD94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定量评价</w:t>
            </w:r>
          </w:p>
        </w:tc>
        <w:tc>
          <w:tcPr>
            <w:tcW w:w="327" w:type="dxa"/>
            <w:vMerge w:val="continue"/>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653209FD">
            <w:pPr>
              <w:jc w:val="center"/>
              <w:rPr>
                <w:rFonts w:hint="eastAsia" w:ascii="宋体" w:hAnsi="宋体" w:eastAsia="宋体" w:cs="宋体"/>
                <w:b/>
                <w:i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1E29F">
            <w:pPr>
              <w:jc w:val="center"/>
              <w:rPr>
                <w:rFonts w:hint="eastAsia" w:ascii="宋体" w:hAnsi="宋体" w:eastAsia="宋体" w:cs="宋体"/>
                <w:b/>
                <w:i w:val="0"/>
                <w:color w:val="000000"/>
                <w:sz w:val="24"/>
                <w:szCs w:val="24"/>
                <w:u w:val="none"/>
              </w:rPr>
            </w:pPr>
          </w:p>
        </w:tc>
      </w:tr>
      <w:tr w14:paraId="1414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315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部门预算项目绩效管理（70分）</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752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目标管理（40分）</w:t>
            </w:r>
          </w:p>
        </w:tc>
        <w:tc>
          <w:tcPr>
            <w:tcW w:w="694" w:type="dxa"/>
            <w:vMerge w:val="restart"/>
            <w:tcBorders>
              <w:top w:val="single" w:color="000000" w:sz="4" w:space="0"/>
              <w:left w:val="single" w:color="000000" w:sz="4" w:space="0"/>
              <w:right w:val="single" w:color="000000" w:sz="4" w:space="0"/>
            </w:tcBorders>
            <w:shd w:val="clear" w:color="auto" w:fill="auto"/>
            <w:noWrap w:val="0"/>
            <w:vAlign w:val="center"/>
          </w:tcPr>
          <w:p w14:paraId="047042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411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A68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是否开展部门内部绩效目标审核工作。</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2D3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部门组织对本部门（含下属单位）绩效目标开展内部审核的，得10分，否则不得分。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054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367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18A55">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16A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3F7B56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C2604F5">
            <w:pPr>
              <w:rPr>
                <w:rFonts w:hint="eastAsia" w:ascii="宋体" w:hAnsi="宋体" w:eastAsia="宋体" w:cs="宋体"/>
                <w:i w:val="0"/>
                <w:color w:val="000000"/>
                <w:sz w:val="24"/>
                <w:szCs w:val="24"/>
                <w:u w:val="none"/>
              </w:rPr>
            </w:pPr>
          </w:p>
        </w:tc>
      </w:tr>
      <w:tr w14:paraId="5773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1"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7AD7A">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EF5EB">
            <w:pPr>
              <w:jc w:val="center"/>
              <w:rPr>
                <w:rFonts w:hint="eastAsia" w:ascii="宋体" w:hAnsi="宋体" w:eastAsia="宋体" w:cs="宋体"/>
                <w:i w:val="0"/>
                <w:color w:val="000000"/>
                <w:sz w:val="24"/>
                <w:szCs w:val="24"/>
                <w:u w:val="none"/>
              </w:rPr>
            </w:pPr>
          </w:p>
        </w:tc>
        <w:tc>
          <w:tcPr>
            <w:tcW w:w="694" w:type="dxa"/>
            <w:vMerge w:val="continue"/>
            <w:tcBorders>
              <w:top w:val="single" w:color="000000" w:sz="4" w:space="0"/>
              <w:left w:val="single" w:color="000000" w:sz="4" w:space="0"/>
              <w:right w:val="single" w:color="000000" w:sz="4" w:space="0"/>
            </w:tcBorders>
            <w:shd w:val="clear" w:color="auto" w:fill="auto"/>
            <w:noWrap w:val="0"/>
            <w:vAlign w:val="center"/>
          </w:tcPr>
          <w:p w14:paraId="286EBC71">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AD2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A24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根据年度绩效目标实现情况，评价部门绩效目标是否科学合理、规范完整、细化量化并与预算安排相匹配。</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DF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1.绩效目标编制科学合理的，得2分，否则酌情扣分。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5.评价部门绩效目标纳入部门党组（委）会（办公会）集体决策范围的得2分，否则不得分。                                                                                                                    </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164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58F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E9E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CEB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6D089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3534BE7">
            <w:pPr>
              <w:rPr>
                <w:rFonts w:hint="eastAsia" w:ascii="宋体" w:hAnsi="宋体" w:eastAsia="宋体" w:cs="宋体"/>
                <w:i w:val="0"/>
                <w:color w:val="000000"/>
                <w:sz w:val="24"/>
                <w:szCs w:val="24"/>
                <w:u w:val="none"/>
              </w:rPr>
            </w:pPr>
          </w:p>
        </w:tc>
      </w:tr>
      <w:tr w14:paraId="7073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DB4A8">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BB782">
            <w:pPr>
              <w:jc w:val="center"/>
              <w:rPr>
                <w:rFonts w:hint="eastAsia" w:ascii="宋体" w:hAnsi="宋体" w:eastAsia="宋体" w:cs="宋体"/>
                <w:i w:val="0"/>
                <w:color w:val="000000"/>
                <w:sz w:val="24"/>
                <w:szCs w:val="24"/>
                <w:u w:val="none"/>
              </w:rPr>
            </w:pP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665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428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715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评价部门整体支出绩效目标实现程度与预期目标的偏离度。</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3E2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BE4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EBD16">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A0D84">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F51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DB7FD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72CA9DDA">
            <w:pPr>
              <w:rPr>
                <w:rFonts w:hint="eastAsia" w:ascii="宋体" w:hAnsi="宋体" w:eastAsia="宋体" w:cs="宋体"/>
                <w:i w:val="0"/>
                <w:color w:val="000000"/>
                <w:sz w:val="24"/>
                <w:szCs w:val="24"/>
                <w:u w:val="none"/>
              </w:rPr>
            </w:pPr>
          </w:p>
        </w:tc>
      </w:tr>
      <w:tr w14:paraId="582ED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6"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B4651">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722C5">
            <w:pPr>
              <w:jc w:val="center"/>
              <w:rPr>
                <w:rFonts w:hint="eastAsia" w:ascii="宋体" w:hAnsi="宋体" w:eastAsia="宋体" w:cs="宋体"/>
                <w:i w:val="0"/>
                <w:color w:val="000000"/>
                <w:sz w:val="24"/>
                <w:szCs w:val="24"/>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77DE">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BCD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C08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评价部门预算项目绩效目标实际实现程度与预期目标的偏离度。</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947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ED6CC">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90A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AD549">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8E1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6C7A25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75CAC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部门自评范围为部门所有纳入绩效目标管理的部门预算项目</w:t>
            </w:r>
          </w:p>
        </w:tc>
      </w:tr>
      <w:tr w14:paraId="6A9B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1"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8CA8A">
            <w:pPr>
              <w:jc w:val="center"/>
              <w:rPr>
                <w:rFonts w:hint="eastAsia" w:ascii="宋体" w:hAnsi="宋体" w:eastAsia="宋体" w:cs="宋体"/>
                <w:i w:val="0"/>
                <w:color w:val="000000"/>
                <w:sz w:val="24"/>
                <w:szCs w:val="24"/>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20F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动态调整（15分）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15A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068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D62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部门公用经费及非定额公用支出控制情况。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1F1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20%之间的，得5分，偏差度超过20%的，不得分。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2B6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C6D77">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BEF0C">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040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72BE40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C4B5120">
            <w:pPr>
              <w:rPr>
                <w:rFonts w:hint="eastAsia" w:ascii="宋体" w:hAnsi="宋体" w:eastAsia="宋体" w:cs="宋体"/>
                <w:i w:val="0"/>
                <w:color w:val="000000"/>
                <w:sz w:val="24"/>
                <w:szCs w:val="24"/>
                <w:u w:val="none"/>
              </w:rPr>
            </w:pPr>
          </w:p>
        </w:tc>
      </w:tr>
      <w:tr w14:paraId="2521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22662">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E8D29">
            <w:pPr>
              <w:jc w:val="center"/>
              <w:rPr>
                <w:rFonts w:hint="eastAsia" w:ascii="宋体" w:hAnsi="宋体" w:eastAsia="宋体" w:cs="宋体"/>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E22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及时处置</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B1B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851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评价部门开展绩效运行监控后，将绩效监控结果应用到预算调整的情况。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C1E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BA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4064D">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FF19E">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B1D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97FFB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7C84E36">
            <w:pPr>
              <w:rPr>
                <w:rFonts w:hint="eastAsia" w:ascii="宋体" w:hAnsi="宋体" w:eastAsia="宋体" w:cs="宋体"/>
                <w:i w:val="0"/>
                <w:color w:val="000000"/>
                <w:sz w:val="24"/>
                <w:szCs w:val="24"/>
                <w:u w:val="none"/>
              </w:rPr>
            </w:pPr>
          </w:p>
        </w:tc>
      </w:tr>
      <w:tr w14:paraId="1778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1"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E6EA1">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0CB14">
            <w:pPr>
              <w:jc w:val="center"/>
              <w:rPr>
                <w:rFonts w:hint="eastAsia" w:ascii="宋体" w:hAnsi="宋体" w:eastAsia="宋体" w:cs="宋体"/>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836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AF4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F80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评价部门在6、9、11月的预算执行情况。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D02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color w:val="000000"/>
                <w:kern w:val="0"/>
                <w:sz w:val="24"/>
                <w:szCs w:val="24"/>
                <w:u w:val="none"/>
                <w:lang w:val="en-US" w:eastAsia="zh-CN" w:bidi="ar"/>
              </w:rPr>
              <w:t>的</w:t>
            </w:r>
            <w:r>
              <w:rPr>
                <w:rFonts w:hint="eastAsia" w:ascii="宋体" w:hAnsi="宋体" w:eastAsia="宋体" w:cs="宋体"/>
                <w:i w:val="0"/>
                <w:color w:val="000000"/>
                <w:kern w:val="0"/>
                <w:sz w:val="24"/>
                <w:szCs w:val="24"/>
                <w:u w:val="none"/>
                <w:lang w:val="en-US" w:eastAsia="zh-CN" w:bidi="ar"/>
              </w:rPr>
              <w:t xml:space="preserve">按其实际进度占目标进度的比重计算得分。                                             </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52D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FC558">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BFBC2">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741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3089B2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6E6A165">
            <w:pPr>
              <w:rPr>
                <w:rFonts w:hint="eastAsia" w:ascii="宋体" w:hAnsi="宋体" w:eastAsia="宋体" w:cs="宋体"/>
                <w:i w:val="0"/>
                <w:color w:val="000000"/>
                <w:sz w:val="24"/>
                <w:szCs w:val="24"/>
                <w:u w:val="none"/>
              </w:rPr>
            </w:pPr>
          </w:p>
        </w:tc>
      </w:tr>
      <w:tr w14:paraId="0AFD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874FD">
            <w:pPr>
              <w:jc w:val="center"/>
              <w:rPr>
                <w:rFonts w:hint="eastAsia" w:ascii="宋体" w:hAnsi="宋体" w:eastAsia="宋体" w:cs="宋体"/>
                <w:i w:val="0"/>
                <w:color w:val="000000"/>
                <w:sz w:val="24"/>
                <w:szCs w:val="24"/>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712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完成结果（10分）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E33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资金结余率（低效无效率）</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0F4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05A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评价部门预算项目年终资金结余情况。                 </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E83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部门预算项目资金结余率小于0.1的项目数/部门预算项目总数*5。</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ED2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D7122">
            <w:pPr>
              <w:jc w:val="left"/>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07C9A">
            <w:pPr>
              <w:jc w:val="left"/>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707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E3C2D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451A0BF">
            <w:pPr>
              <w:rPr>
                <w:rFonts w:hint="eastAsia" w:ascii="宋体" w:hAnsi="宋体" w:eastAsia="宋体" w:cs="宋体"/>
                <w:i w:val="0"/>
                <w:color w:val="000000"/>
                <w:sz w:val="24"/>
                <w:szCs w:val="24"/>
                <w:u w:val="none"/>
              </w:rPr>
            </w:pPr>
          </w:p>
        </w:tc>
      </w:tr>
      <w:tr w14:paraId="7451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D63D2">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54115">
            <w:pPr>
              <w:jc w:val="center"/>
              <w:rPr>
                <w:rFonts w:hint="eastAsia" w:ascii="宋体" w:hAnsi="宋体" w:eastAsia="宋体" w:cs="宋体"/>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417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196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7F6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根据审计监督、财会监督和部门自查结果反映部门上一年度部门预算管理是否存在相关问题。</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9E7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965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FB106">
            <w:pPr>
              <w:jc w:val="left"/>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E95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9D4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2BD19C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5378351B">
            <w:pPr>
              <w:rPr>
                <w:rFonts w:hint="eastAsia" w:ascii="宋体" w:hAnsi="宋体" w:eastAsia="宋体" w:cs="宋体"/>
                <w:i w:val="0"/>
                <w:color w:val="000000"/>
                <w:sz w:val="24"/>
                <w:szCs w:val="24"/>
                <w:u w:val="none"/>
              </w:rPr>
            </w:pPr>
          </w:p>
        </w:tc>
      </w:tr>
      <w:tr w14:paraId="44A8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999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绩效结果应用（30分）</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35E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内部应用（10分）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E70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预算挂钩</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0D7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D84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部门内部绩效结果与预算挂钩情况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E55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B88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79F8F">
            <w:pPr>
              <w:jc w:val="left"/>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898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1BFB6">
            <w:pPr>
              <w:jc w:val="center"/>
              <w:rPr>
                <w:rFonts w:hint="eastAsia" w:ascii="宋体" w:hAnsi="宋体" w:eastAsia="宋体" w:cs="宋体"/>
                <w:i w:val="0"/>
                <w:color w:val="000000"/>
                <w:sz w:val="24"/>
                <w:szCs w:val="24"/>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4B64DF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07B54DE">
            <w:pPr>
              <w:rPr>
                <w:rFonts w:hint="eastAsia" w:ascii="宋体" w:hAnsi="宋体" w:eastAsia="宋体" w:cs="宋体"/>
                <w:i w:val="0"/>
                <w:color w:val="000000"/>
                <w:sz w:val="24"/>
                <w:szCs w:val="24"/>
                <w:u w:val="none"/>
              </w:rPr>
            </w:pPr>
          </w:p>
        </w:tc>
      </w:tr>
      <w:tr w14:paraId="2E17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2133C">
            <w:pPr>
              <w:jc w:val="center"/>
              <w:rPr>
                <w:rFonts w:hint="eastAsia" w:ascii="宋体" w:hAnsi="宋体" w:eastAsia="宋体" w:cs="宋体"/>
                <w:i w:val="0"/>
                <w:color w:val="000000"/>
                <w:sz w:val="24"/>
                <w:szCs w:val="24"/>
                <w:u w:val="none"/>
              </w:rPr>
            </w:pPr>
          </w:p>
        </w:tc>
        <w:tc>
          <w:tcPr>
            <w:tcW w:w="1327" w:type="dxa"/>
            <w:tcBorders>
              <w:left w:val="single" w:color="000000" w:sz="4" w:space="0"/>
              <w:bottom w:val="single" w:color="000000" w:sz="4" w:space="0"/>
              <w:right w:val="single" w:color="000000" w:sz="4" w:space="0"/>
            </w:tcBorders>
            <w:shd w:val="clear" w:color="auto" w:fill="auto"/>
            <w:noWrap w:val="0"/>
            <w:vAlign w:val="center"/>
          </w:tcPr>
          <w:p w14:paraId="7D679E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5分</w:t>
            </w:r>
            <w:r>
              <w:rPr>
                <w:rFonts w:hint="eastAsia" w:ascii="宋体" w:hAnsi="宋体" w:cs="宋体"/>
                <w:i w:val="0"/>
                <w:color w:val="000000"/>
                <w:kern w:val="0"/>
                <w:sz w:val="24"/>
                <w:szCs w:val="24"/>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37F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0EE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437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评价部门是否按要求将部门整体绩效自评情况和自行组织的评价情况向社会公开。</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601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按要求将相关绩效信息随同决算公开的，得10分，否则不得分。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3E2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5196F">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D5238">
            <w:pPr>
              <w:rPr>
                <w:rFonts w:hint="eastAsia" w:ascii="宋体" w:hAnsi="宋体" w:eastAsia="宋体" w:cs="宋体"/>
                <w:i w:val="0"/>
                <w:color w:val="000000"/>
                <w:sz w:val="24"/>
                <w:szCs w:val="24"/>
                <w:u w:val="none"/>
              </w:rPr>
            </w:pP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3E7EC5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5938799">
            <w:pPr>
              <w:rPr>
                <w:rFonts w:hint="eastAsia" w:ascii="宋体" w:hAnsi="宋体" w:eastAsia="宋体" w:cs="宋体"/>
                <w:i w:val="0"/>
                <w:color w:val="000000"/>
                <w:sz w:val="24"/>
                <w:szCs w:val="24"/>
                <w:u w:val="none"/>
              </w:rPr>
            </w:pPr>
          </w:p>
        </w:tc>
      </w:tr>
      <w:tr w14:paraId="2468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C0B11">
            <w:pPr>
              <w:jc w:val="center"/>
              <w:rPr>
                <w:rFonts w:hint="eastAsia" w:ascii="宋体" w:hAnsi="宋体" w:eastAsia="宋体" w:cs="宋体"/>
                <w:i w:val="0"/>
                <w:color w:val="000000"/>
                <w:sz w:val="24"/>
                <w:szCs w:val="24"/>
                <w:u w:val="none"/>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781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整改反馈（10分）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204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问题整改</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FEC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A9CB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评价部门根据绩效管理结果整改问题、完善政策、改进管理的情况。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CD1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966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A431D">
            <w:pP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EEB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512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765733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49202317">
            <w:pPr>
              <w:rPr>
                <w:rFonts w:hint="eastAsia" w:ascii="宋体" w:hAnsi="宋体" w:eastAsia="宋体" w:cs="宋体"/>
                <w:i w:val="0"/>
                <w:color w:val="000000"/>
                <w:sz w:val="24"/>
                <w:szCs w:val="24"/>
                <w:u w:val="none"/>
              </w:rPr>
            </w:pPr>
          </w:p>
        </w:tc>
      </w:tr>
      <w:tr w14:paraId="7D72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E25D6">
            <w:pPr>
              <w:jc w:val="center"/>
              <w:rPr>
                <w:rFonts w:hint="eastAsia" w:ascii="宋体" w:hAnsi="宋体" w:eastAsia="宋体" w:cs="宋体"/>
                <w:i w:val="0"/>
                <w:color w:val="000000"/>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A3701">
            <w:pPr>
              <w:jc w:val="center"/>
              <w:rPr>
                <w:rFonts w:hint="eastAsia" w:ascii="宋体" w:hAnsi="宋体" w:eastAsia="宋体" w:cs="宋体"/>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ED9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4C0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3F1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评价部门按要求及时向财政部门反馈结果应用情况。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D97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部门在规定时间内向财政部门反馈应用绩效结果报告的，得5分，否则不得分。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933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71329">
            <w:pPr>
              <w:jc w:val="left"/>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659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536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1A97E4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6D4701D">
            <w:pPr>
              <w:rPr>
                <w:rFonts w:hint="eastAsia" w:ascii="宋体" w:hAnsi="宋体" w:eastAsia="宋体" w:cs="宋体"/>
                <w:i w:val="0"/>
                <w:color w:val="000000"/>
                <w:sz w:val="24"/>
                <w:szCs w:val="24"/>
                <w:u w:val="none"/>
              </w:rPr>
            </w:pPr>
          </w:p>
        </w:tc>
      </w:tr>
      <w:tr w14:paraId="2398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275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C31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扣分项（10分）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517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F60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被评价单位配合评价工作情况。</w:t>
            </w:r>
          </w:p>
        </w:tc>
        <w:tc>
          <w:tcPr>
            <w:tcW w:w="3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2FE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D85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DF741">
            <w:pPr>
              <w:jc w:val="center"/>
              <w:rPr>
                <w:rFonts w:hint="eastAsia" w:ascii="宋体" w:hAnsi="宋体" w:eastAsia="宋体" w:cs="宋体"/>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A4C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9BC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6A0E0D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9999348">
            <w:pPr>
              <w:rPr>
                <w:rFonts w:hint="eastAsia" w:ascii="宋体" w:hAnsi="宋体" w:eastAsia="宋体" w:cs="宋体"/>
                <w:i w:val="0"/>
                <w:color w:val="000000"/>
                <w:sz w:val="22"/>
                <w:szCs w:val="22"/>
                <w:u w:val="none"/>
              </w:rPr>
            </w:pPr>
          </w:p>
        </w:tc>
      </w:tr>
      <w:tr w14:paraId="4190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8944"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5230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 门 整 体 自 评 得 分</w:t>
            </w:r>
          </w:p>
        </w:tc>
        <w:tc>
          <w:tcPr>
            <w:tcW w:w="327" w:type="dxa"/>
            <w:tcBorders>
              <w:top w:val="single" w:color="000000" w:sz="4" w:space="0"/>
              <w:left w:val="single" w:color="000000" w:sz="4" w:space="0"/>
              <w:bottom w:val="single" w:color="000000" w:sz="4" w:space="0"/>
              <w:right w:val="single" w:color="000000" w:sz="4" w:space="0"/>
            </w:tcBorders>
            <w:shd w:val="clear" w:color="auto" w:fill="FDE9D9"/>
            <w:noWrap w:val="0"/>
            <w:vAlign w:val="center"/>
          </w:tcPr>
          <w:p w14:paraId="0337D5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354AEE6A">
            <w:pPr>
              <w:rPr>
                <w:rFonts w:hint="eastAsia" w:ascii="宋体" w:hAnsi="宋体" w:eastAsia="宋体" w:cs="宋体"/>
                <w:i w:val="0"/>
                <w:color w:val="000000"/>
                <w:sz w:val="22"/>
                <w:szCs w:val="22"/>
                <w:u w:val="none"/>
              </w:rPr>
            </w:pPr>
          </w:p>
        </w:tc>
      </w:tr>
    </w:tbl>
    <w:p w14:paraId="02BA3F5A">
      <w:pPr>
        <w:pStyle w:val="6"/>
        <w:spacing w:afterLines="0"/>
      </w:pPr>
    </w:p>
    <w:p w14:paraId="09818295">
      <w:pPr>
        <w:spacing w:beforeLines="0" w:afterLines="0" w:line="600" w:lineRule="exact"/>
        <w:rPr>
          <w:rFonts w:hint="eastAsia" w:ascii="方正黑体_GBK" w:hAnsi="方正黑体_GBK" w:eastAsia="方正黑体_GBK" w:cs="方正黑体_GBK"/>
          <w:sz w:val="33"/>
          <w:szCs w:val="33"/>
        </w:rPr>
      </w:pPr>
    </w:p>
    <w:p w14:paraId="04C5D982">
      <w:pPr>
        <w:spacing w:beforeLines="0" w:afterLines="0" w:line="600" w:lineRule="exact"/>
        <w:rPr>
          <w:rFonts w:hint="eastAsia" w:ascii="Times New Roman" w:hAnsi="Times New Roman" w:eastAsia="方正黑体_GBK"/>
          <w:sz w:val="33"/>
          <w:szCs w:val="24"/>
          <w:lang w:val="en-US" w:eastAsia="zh-CN"/>
        </w:rPr>
      </w:pPr>
      <w:r>
        <w:rPr>
          <w:rFonts w:hint="eastAsia" w:ascii="方正黑体_GBK" w:hAnsi="方正黑体_GBK" w:eastAsia="方正黑体_GBK" w:cs="方正黑体_GBK"/>
          <w:sz w:val="33"/>
          <w:szCs w:val="33"/>
        </w:rPr>
        <w:t>附件</w:t>
      </w:r>
    </w:p>
    <w:p w14:paraId="78FA6CB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sz w:val="30"/>
          <w:szCs w:val="30"/>
        </w:rPr>
      </w:pPr>
      <w:bookmarkStart w:id="11" w:name="_Toc15396618"/>
      <w:bookmarkStart w:id="12" w:name="_Toc11160_WPSOffice_Level1"/>
      <w:r>
        <w:rPr>
          <w:rFonts w:hint="eastAsia" w:ascii="方正小标宋简体" w:hAnsi="方正小标宋简体" w:eastAsia="方正小标宋简体" w:cs="方正小标宋简体"/>
          <w:b w:val="0"/>
          <w:bCs/>
          <w:spacing w:val="-11"/>
          <w:sz w:val="44"/>
          <w:szCs w:val="44"/>
          <w:lang w:val="en-US" w:eastAsia="zh-CN"/>
        </w:rPr>
        <w:t>峨边彝族自治县医疗保障局</w:t>
      </w:r>
    </w:p>
    <w:p w14:paraId="756DC6DC">
      <w:pPr>
        <w:pStyle w:val="14"/>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287A5811">
      <w:pPr>
        <w:pStyle w:val="14"/>
        <w:spacing w:line="600" w:lineRule="exact"/>
        <w:ind w:firstLine="640"/>
        <w:jc w:val="center"/>
        <w:rPr>
          <w:rFonts w:hint="eastAsia" w:ascii="宋体" w:hAnsi="宋体"/>
          <w:color w:val="auto"/>
          <w:kern w:val="2"/>
          <w:sz w:val="32"/>
          <w:szCs w:val="32"/>
          <w:lang w:eastAsia="zh-CN"/>
        </w:rPr>
      </w:pPr>
      <w:r>
        <w:rPr>
          <w:rFonts w:hint="eastAsia" w:ascii="宋体" w:hAnsi="宋体"/>
          <w:color w:val="auto"/>
          <w:kern w:val="2"/>
          <w:sz w:val="32"/>
          <w:szCs w:val="32"/>
          <w:lang w:eastAsia="zh-CN"/>
        </w:rPr>
        <w:t>【峨边彝族自治县医疗保障局</w:t>
      </w:r>
    </w:p>
    <w:p w14:paraId="793BBBA3">
      <w:pPr>
        <w:pStyle w:val="14"/>
        <w:spacing w:line="600" w:lineRule="exact"/>
        <w:ind w:firstLine="640"/>
        <w:jc w:val="center"/>
        <w:rPr>
          <w:rFonts w:hint="eastAsia" w:ascii="宋体" w:hAnsi="宋体" w:eastAsia="宋体"/>
          <w:color w:val="auto"/>
          <w:kern w:val="2"/>
          <w:sz w:val="32"/>
          <w:szCs w:val="32"/>
          <w:lang w:eastAsia="zh-CN"/>
        </w:rPr>
      </w:pPr>
      <w:r>
        <w:rPr>
          <w:rFonts w:hint="eastAsia" w:ascii="宋体" w:hAnsi="宋体"/>
          <w:color w:val="auto"/>
          <w:kern w:val="2"/>
          <w:sz w:val="32"/>
          <w:szCs w:val="32"/>
          <w:lang w:val="en-US" w:eastAsia="zh-CN"/>
        </w:rPr>
        <w:t>2023年乡村振兴补助资金项目</w:t>
      </w:r>
      <w:r>
        <w:rPr>
          <w:rFonts w:hint="eastAsia" w:ascii="宋体" w:hAnsi="宋体"/>
          <w:color w:val="auto"/>
          <w:kern w:val="2"/>
          <w:sz w:val="32"/>
          <w:szCs w:val="32"/>
          <w:lang w:eastAsia="zh-CN"/>
        </w:rPr>
        <w:t>（县级）】</w:t>
      </w:r>
    </w:p>
    <w:p w14:paraId="05B2165E">
      <w:pPr>
        <w:pStyle w:val="14"/>
        <w:spacing w:line="600" w:lineRule="exact"/>
        <w:ind w:firstLine="640"/>
        <w:jc w:val="center"/>
        <w:rPr>
          <w:rFonts w:hint="eastAsia" w:ascii="宋体" w:hAnsi="宋体" w:eastAsia="宋体"/>
          <w:color w:val="auto"/>
          <w:kern w:val="2"/>
          <w:sz w:val="32"/>
          <w:szCs w:val="32"/>
          <w:lang w:eastAsia="zh-CN"/>
        </w:rPr>
      </w:pPr>
    </w:p>
    <w:p w14:paraId="38A21FC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宋体"/>
          <w:color w:val="auto"/>
          <w:sz w:val="28"/>
          <w:szCs w:val="24"/>
          <w:lang w:val="zh-CN" w:eastAsia="zh-CN"/>
        </w:rPr>
      </w:pPr>
      <w:r>
        <w:rPr>
          <w:rFonts w:hint="eastAsia" w:ascii="仿宋_GB2312" w:hAnsi="宋体" w:eastAsia="宋体"/>
          <w:color w:val="auto"/>
          <w:sz w:val="28"/>
          <w:szCs w:val="24"/>
          <w:lang w:val="en-US" w:eastAsia="zh-CN"/>
        </w:rPr>
        <w:t>一、</w:t>
      </w:r>
      <w:r>
        <w:rPr>
          <w:rFonts w:hint="eastAsia" w:ascii="仿宋_GB2312" w:hAnsi="宋体" w:eastAsia="宋体"/>
          <w:color w:val="auto"/>
          <w:sz w:val="28"/>
          <w:szCs w:val="24"/>
          <w:lang w:val="zh-CN" w:eastAsia="zh-CN"/>
        </w:rPr>
        <w:t>项目概况</w:t>
      </w:r>
    </w:p>
    <w:p w14:paraId="0BBB19CC">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宋体"/>
          <w:color w:val="auto"/>
          <w:sz w:val="28"/>
          <w:szCs w:val="24"/>
          <w:lang w:val="zh-CN" w:eastAsia="zh-CN"/>
        </w:rPr>
      </w:pPr>
      <w:r>
        <w:rPr>
          <w:rFonts w:hint="eastAsia" w:ascii="仿宋_GB2312" w:hAnsi="宋体" w:eastAsia="宋体"/>
          <w:color w:val="auto"/>
          <w:sz w:val="28"/>
          <w:szCs w:val="24"/>
          <w:lang w:val="zh-CN" w:eastAsia="zh-CN"/>
        </w:rPr>
        <w:t>（一）项目基本情况</w:t>
      </w:r>
    </w:p>
    <w:p w14:paraId="4D73E7C5">
      <w:pPr>
        <w:pStyle w:val="14"/>
        <w:spacing w:line="600" w:lineRule="exact"/>
        <w:ind w:firstLine="640"/>
        <w:jc w:val="left"/>
        <w:rPr>
          <w:rFonts w:hint="default" w:ascii="仿宋_GB2312" w:hAnsi="宋体" w:eastAsia="宋体"/>
          <w:color w:val="auto"/>
          <w:sz w:val="28"/>
          <w:szCs w:val="24"/>
          <w:lang w:val="en-US" w:eastAsia="zh-CN"/>
        </w:rPr>
      </w:pPr>
      <w:r>
        <w:rPr>
          <w:rFonts w:hint="eastAsia" w:ascii="仿宋_GB2312" w:hAnsi="宋体" w:eastAsia="宋体"/>
          <w:color w:val="auto"/>
          <w:sz w:val="28"/>
          <w:szCs w:val="24"/>
          <w:lang w:val="en-US" w:eastAsia="zh-CN"/>
        </w:rPr>
        <w:t>根据峨边府办发2023年11号文件关于印发2023年峨边彝族自治县县级财政衔接推进乡村振兴补助资金使用调整方案的通知</w:t>
      </w:r>
      <w:r>
        <w:rPr>
          <w:rFonts w:hint="eastAsia" w:ascii="仿宋_GB2312" w:hAnsi="宋体"/>
          <w:color w:val="auto"/>
          <w:sz w:val="28"/>
          <w:szCs w:val="24"/>
          <w:lang w:val="en-US" w:eastAsia="zh-CN"/>
        </w:rPr>
        <w:t>，</w:t>
      </w:r>
      <w:r>
        <w:rPr>
          <w:rFonts w:hint="eastAsia" w:ascii="仿宋_GB2312" w:hAnsi="宋体" w:eastAsia="宋体"/>
          <w:color w:val="auto"/>
          <w:sz w:val="28"/>
          <w:szCs w:val="24"/>
          <w:lang w:val="en-US" w:eastAsia="zh-CN"/>
        </w:rPr>
        <w:t>为保障全县脱贫人口、监测户等参加医疗保险进行资助及医疗负担重的困难群众进行救助，财政批复240.64万元用于全县脱贫人口、监测户等参加医疗保险进行资助及医疗负担重的困难群众进行救助，实际按实2023年支付240.64万元峨边彝族自治县医疗保障局2023年乡村振兴补助资金项目，</w:t>
      </w:r>
      <w:r>
        <w:rPr>
          <w:rFonts w:hint="eastAsia" w:ascii="仿宋_GB2312" w:hAnsi="宋体" w:eastAsia="宋体"/>
          <w:color w:val="auto"/>
          <w:sz w:val="28"/>
          <w:szCs w:val="24"/>
          <w:lang w:val="zh-CN" w:eastAsia="zh-CN"/>
        </w:rPr>
        <w:t>符合资金管理办法等相关规定。</w:t>
      </w:r>
    </w:p>
    <w:p w14:paraId="1C26442E">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宋体"/>
          <w:color w:val="auto"/>
          <w:sz w:val="28"/>
          <w:szCs w:val="24"/>
          <w:lang w:val="zh-CN" w:eastAsia="zh-CN"/>
        </w:rPr>
      </w:pPr>
      <w:r>
        <w:rPr>
          <w:rFonts w:hint="eastAsia" w:ascii="仿宋_GB2312" w:hAnsi="宋体" w:eastAsia="宋体"/>
          <w:color w:val="auto"/>
          <w:sz w:val="28"/>
          <w:szCs w:val="24"/>
          <w:lang w:val="zh-CN" w:eastAsia="zh-CN"/>
        </w:rPr>
        <w:t>（二）项目绩效目标</w:t>
      </w:r>
    </w:p>
    <w:p w14:paraId="5A048A23">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宋体"/>
          <w:color w:val="auto"/>
          <w:sz w:val="28"/>
          <w:szCs w:val="24"/>
          <w:lang w:val="en-US" w:eastAsia="zh-CN"/>
        </w:rPr>
      </w:pPr>
      <w:r>
        <w:rPr>
          <w:rFonts w:hint="eastAsia" w:ascii="仿宋_GB2312" w:hAnsi="宋体" w:eastAsia="宋体"/>
          <w:color w:val="auto"/>
          <w:sz w:val="28"/>
          <w:szCs w:val="24"/>
          <w:lang w:val="en-US" w:eastAsia="zh-CN"/>
        </w:rPr>
        <w:t>为</w:t>
      </w:r>
      <w:r>
        <w:rPr>
          <w:rFonts w:hint="eastAsia" w:ascii="仿宋_GB2312" w:hAnsi="宋体"/>
          <w:color w:val="auto"/>
          <w:sz w:val="28"/>
          <w:szCs w:val="24"/>
          <w:lang w:val="en-US" w:eastAsia="zh-CN"/>
        </w:rPr>
        <w:t>全县</w:t>
      </w:r>
      <w:r>
        <w:rPr>
          <w:rFonts w:hint="eastAsia" w:ascii="仿宋_GB2312" w:hAnsi="宋体" w:eastAsia="宋体"/>
          <w:color w:val="auto"/>
          <w:sz w:val="28"/>
          <w:szCs w:val="24"/>
          <w:lang w:val="en-US" w:eastAsia="zh-CN"/>
        </w:rPr>
        <w:t>脱贫人口、监测户等参加医疗保险进行资助及医疗负担重的困难群众进行救助。</w:t>
      </w:r>
    </w:p>
    <w:p w14:paraId="7862C988">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宋体"/>
          <w:color w:val="auto"/>
          <w:sz w:val="28"/>
          <w:szCs w:val="24"/>
          <w:lang w:val="zh-CN" w:eastAsia="zh-CN"/>
        </w:rPr>
      </w:pPr>
      <w:r>
        <w:rPr>
          <w:rFonts w:hint="eastAsia" w:ascii="仿宋_GB2312" w:hAnsi="宋体" w:eastAsia="宋体"/>
          <w:color w:val="auto"/>
          <w:sz w:val="28"/>
          <w:szCs w:val="24"/>
          <w:lang w:val="zh-CN" w:eastAsia="zh-CN"/>
        </w:rPr>
        <w:t>（三）项目自评步骤及方法</w:t>
      </w:r>
    </w:p>
    <w:p w14:paraId="2191BC2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宋体" w:eastAsia="宋体"/>
          <w:color w:val="auto"/>
          <w:sz w:val="28"/>
          <w:szCs w:val="24"/>
          <w:lang w:val="zh-CN" w:eastAsia="zh-CN"/>
        </w:rPr>
      </w:pPr>
      <w:r>
        <w:rPr>
          <w:rFonts w:hint="eastAsia" w:ascii="仿宋_GB2312" w:hAnsi="宋体" w:eastAsia="宋体"/>
          <w:color w:val="auto"/>
          <w:sz w:val="28"/>
          <w:szCs w:val="24"/>
          <w:lang w:val="zh-CN" w:eastAsia="zh-CN"/>
        </w:rPr>
        <w:t>自评工作开展前我单位制定了自评方案，办公室牵头、由分管领导和财务人员组成自评小组，对前期项目立项依据进行审查</w:t>
      </w:r>
      <w:r>
        <w:rPr>
          <w:rFonts w:hint="eastAsia" w:ascii="仿宋_GB2312" w:hAnsi="宋体" w:eastAsia="宋体"/>
          <w:color w:val="auto"/>
          <w:sz w:val="28"/>
          <w:szCs w:val="24"/>
          <w:lang w:val="en-US" w:eastAsia="zh-CN"/>
        </w:rPr>
        <w:t>对</w:t>
      </w:r>
      <w:r>
        <w:rPr>
          <w:rFonts w:hint="eastAsia" w:ascii="仿宋_GB2312" w:hAnsi="宋体" w:eastAsia="宋体"/>
          <w:color w:val="auto"/>
          <w:sz w:val="28"/>
          <w:szCs w:val="24"/>
          <w:lang w:val="zh-CN" w:eastAsia="zh-CN"/>
        </w:rPr>
        <w:t>项目开展过程合法合理性进行自查，确保自评工作取得实效。</w:t>
      </w:r>
    </w:p>
    <w:p w14:paraId="323E79C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宋体" w:eastAsia="宋体"/>
          <w:color w:val="auto"/>
          <w:sz w:val="28"/>
          <w:szCs w:val="24"/>
          <w:lang w:val="en-US" w:eastAsia="zh-CN"/>
        </w:rPr>
      </w:pPr>
      <w:r>
        <w:rPr>
          <w:rFonts w:hint="eastAsia" w:ascii="仿宋_GB2312" w:hAnsi="宋体" w:eastAsia="宋体"/>
          <w:color w:val="auto"/>
          <w:sz w:val="28"/>
          <w:szCs w:val="24"/>
          <w:lang w:val="en-US" w:eastAsia="zh-CN"/>
        </w:rPr>
        <w:t>二、项目资金申报及使用情况</w:t>
      </w:r>
    </w:p>
    <w:p w14:paraId="30D9A321">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宋体"/>
          <w:color w:val="auto"/>
          <w:sz w:val="28"/>
          <w:szCs w:val="24"/>
          <w:lang w:val="zh-CN" w:eastAsia="zh-CN"/>
        </w:rPr>
      </w:pPr>
      <w:r>
        <w:rPr>
          <w:rFonts w:hint="eastAsia" w:ascii="仿宋_GB2312" w:hAnsi="宋体" w:eastAsia="宋体"/>
          <w:color w:val="auto"/>
          <w:sz w:val="28"/>
          <w:szCs w:val="24"/>
          <w:lang w:val="zh-CN" w:eastAsia="zh-CN"/>
        </w:rPr>
        <w:t>（一）项目资金申报及批复情况</w:t>
      </w:r>
    </w:p>
    <w:p w14:paraId="1C1AFFB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宋体" w:eastAsia="宋体"/>
          <w:color w:val="auto"/>
          <w:sz w:val="28"/>
          <w:szCs w:val="24"/>
          <w:lang w:val="zh-CN" w:eastAsia="zh-CN"/>
        </w:rPr>
      </w:pPr>
      <w:r>
        <w:rPr>
          <w:rFonts w:hint="eastAsia" w:ascii="仿宋_GB2312" w:hAnsi="宋体" w:eastAsia="宋体"/>
          <w:color w:val="auto"/>
          <w:sz w:val="28"/>
          <w:szCs w:val="24"/>
          <w:lang w:val="zh-CN" w:eastAsia="zh-CN"/>
        </w:rPr>
        <w:t>根据项目开展进度以及所需资金按照年初预算指标向县财政提出项目用款计划表，财政审核后下拨资金到我单位，根据相关政策进行资助参保与救助。</w:t>
      </w:r>
    </w:p>
    <w:p w14:paraId="39E1378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宋体" w:eastAsia="宋体"/>
          <w:color w:val="auto"/>
          <w:sz w:val="28"/>
          <w:szCs w:val="24"/>
          <w:lang w:val="zh-CN" w:eastAsia="zh-CN"/>
        </w:rPr>
      </w:pPr>
      <w:r>
        <w:rPr>
          <w:rFonts w:hint="eastAsia" w:ascii="仿宋_GB2312" w:hAnsi="宋体" w:eastAsia="宋体"/>
          <w:color w:val="auto"/>
          <w:sz w:val="28"/>
          <w:szCs w:val="24"/>
          <w:lang w:val="zh-CN" w:eastAsia="zh-CN"/>
        </w:rPr>
        <w:t>（二）资金计划、到位及使用情况（可用表格形式反映）</w:t>
      </w:r>
    </w:p>
    <w:p w14:paraId="06FA44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1．资金计划。项目资金</w:t>
      </w:r>
      <w:r>
        <w:rPr>
          <w:rFonts w:hint="eastAsia" w:ascii="仿宋_GB2312" w:hAnsi="仿宋_GB2312" w:cs="仿宋_GB2312"/>
          <w:color w:val="auto"/>
          <w:sz w:val="32"/>
          <w:szCs w:val="32"/>
          <w:lang w:val="zh-CN"/>
        </w:rPr>
        <w:t>来源主要</w:t>
      </w:r>
      <w:r>
        <w:rPr>
          <w:rFonts w:hint="eastAsia" w:ascii="仿宋_GB2312" w:hAnsi="仿宋_GB2312" w:eastAsia="仿宋_GB2312" w:cs="仿宋_GB2312"/>
          <w:color w:val="auto"/>
          <w:sz w:val="32"/>
          <w:szCs w:val="32"/>
          <w:lang w:val="zh-CN"/>
        </w:rPr>
        <w:t>通过本单位年初预算</w:t>
      </w:r>
      <w:r>
        <w:rPr>
          <w:rFonts w:hint="eastAsia" w:ascii="仿宋_GB2312" w:hAnsi="仿宋_GB2312" w:cs="仿宋_GB2312"/>
          <w:color w:val="auto"/>
          <w:sz w:val="32"/>
          <w:szCs w:val="32"/>
          <w:lang w:val="zh-CN"/>
        </w:rPr>
        <w:t>，</w:t>
      </w:r>
      <w:r>
        <w:rPr>
          <w:rFonts w:hint="eastAsia" w:ascii="仿宋_GB2312" w:hAnsi="仿宋_GB2312" w:eastAsia="仿宋_GB2312" w:cs="仿宋_GB2312"/>
          <w:color w:val="auto"/>
          <w:sz w:val="32"/>
          <w:szCs w:val="32"/>
          <w:lang w:val="zh-CN"/>
        </w:rPr>
        <w:t>由</w:t>
      </w:r>
      <w:r>
        <w:rPr>
          <w:rFonts w:hint="eastAsia" w:ascii="仿宋_GB2312" w:hAnsi="仿宋_GB2312" w:cs="仿宋_GB2312"/>
          <w:color w:val="auto"/>
          <w:sz w:val="32"/>
          <w:szCs w:val="32"/>
          <w:lang w:val="zh-CN"/>
        </w:rPr>
        <w:t>县级</w:t>
      </w:r>
      <w:r>
        <w:rPr>
          <w:rFonts w:hint="eastAsia" w:ascii="仿宋_GB2312" w:hAnsi="仿宋_GB2312" w:eastAsia="仿宋_GB2312" w:cs="仿宋_GB2312"/>
          <w:color w:val="auto"/>
          <w:sz w:val="32"/>
          <w:szCs w:val="32"/>
          <w:lang w:val="zh-CN"/>
        </w:rPr>
        <w:t>财政统一安排资金，</w:t>
      </w:r>
      <w:r>
        <w:rPr>
          <w:rFonts w:hint="eastAsia" w:ascii="仿宋_GB2312" w:hAnsi="仿宋_GB2312" w:eastAsia="仿宋_GB2312" w:cs="仿宋_GB2312"/>
          <w:color w:val="auto"/>
          <w:sz w:val="32"/>
          <w:szCs w:val="32"/>
        </w:rPr>
        <w:t>预算资金为</w:t>
      </w:r>
      <w:r>
        <w:rPr>
          <w:rFonts w:hint="eastAsia" w:ascii="仿宋_GB2312" w:hAnsi="仿宋_GB2312" w:cs="仿宋_GB2312"/>
          <w:color w:val="auto"/>
          <w:sz w:val="32"/>
          <w:szCs w:val="32"/>
          <w:lang w:val="en-US" w:eastAsia="zh-CN"/>
        </w:rPr>
        <w:t>240.64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zh-CN"/>
        </w:rPr>
        <w:t>。</w:t>
      </w:r>
    </w:p>
    <w:p w14:paraId="4F88F9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2．资金到位。</w:t>
      </w:r>
      <w:r>
        <w:rPr>
          <w:rFonts w:hint="eastAsia" w:ascii="仿宋_GB2312" w:hAnsi="仿宋_GB2312" w:cs="仿宋_GB2312"/>
          <w:color w:val="auto"/>
          <w:sz w:val="32"/>
          <w:szCs w:val="32"/>
          <w:lang w:val="zh-CN"/>
        </w:rPr>
        <w:t>根据项目实施进度</w:t>
      </w:r>
      <w:r>
        <w:rPr>
          <w:rFonts w:hint="eastAsia" w:ascii="仿宋_GB2312" w:hAnsi="仿宋_GB2312" w:eastAsia="仿宋_GB2312" w:cs="仿宋_GB2312"/>
          <w:color w:val="auto"/>
          <w:sz w:val="32"/>
          <w:szCs w:val="32"/>
          <w:lang w:val="zh-CN"/>
        </w:rPr>
        <w:t>，通过申请由县财政拨付项目资金，</w:t>
      </w:r>
      <w:r>
        <w:rPr>
          <w:rFonts w:hint="eastAsia" w:ascii="仿宋_GB2312" w:hAnsi="仿宋_GB2312" w:cs="仿宋_GB2312"/>
          <w:color w:val="auto"/>
          <w:sz w:val="32"/>
          <w:szCs w:val="32"/>
          <w:lang w:val="en-US" w:eastAsia="zh-CN"/>
        </w:rPr>
        <w:t>拨付金额为240.64万元</w:t>
      </w:r>
      <w:r>
        <w:rPr>
          <w:rFonts w:hint="eastAsia" w:ascii="仿宋_GB2312" w:hAnsi="仿宋_GB2312" w:eastAsia="仿宋_GB2312" w:cs="仿宋_GB2312"/>
          <w:color w:val="auto"/>
          <w:sz w:val="32"/>
          <w:szCs w:val="32"/>
          <w:lang w:val="zh-CN"/>
        </w:rPr>
        <w:t>。</w:t>
      </w:r>
    </w:p>
    <w:p w14:paraId="7692655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zh-CN"/>
        </w:rPr>
        <w:t>3．资金使用。</w:t>
      </w:r>
      <w:r>
        <w:rPr>
          <w:rFonts w:hint="eastAsia" w:ascii="仿宋_GB2312" w:hAnsi="仿宋_GB2312" w:cs="仿宋_GB2312"/>
          <w:color w:val="auto"/>
          <w:sz w:val="32"/>
          <w:szCs w:val="32"/>
          <w:lang w:val="zh-CN" w:eastAsia="zh-CN"/>
        </w:rPr>
        <w:t>通过业务科室与相关部门核对数据，数据比对准确后上报市医保局，</w:t>
      </w:r>
      <w:r>
        <w:rPr>
          <w:rFonts w:hint="eastAsia" w:ascii="仿宋_GB2312" w:hAnsi="仿宋_GB2312" w:cs="仿宋_GB2312"/>
          <w:color w:val="auto"/>
          <w:sz w:val="32"/>
          <w:szCs w:val="32"/>
          <w:lang w:val="en-US" w:eastAsia="zh-CN"/>
        </w:rPr>
        <w:t>2023年度使用240.64万元</w:t>
      </w:r>
      <w:r>
        <w:rPr>
          <w:rFonts w:hint="eastAsia" w:ascii="仿宋_GB2312" w:hAnsi="仿宋_GB2312" w:eastAsia="仿宋_GB2312" w:cs="仿宋_GB2312"/>
          <w:color w:val="auto"/>
          <w:sz w:val="32"/>
          <w:szCs w:val="32"/>
        </w:rPr>
        <w:t>。</w:t>
      </w:r>
    </w:p>
    <w:p w14:paraId="778085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（三）项目财务管理情况</w:t>
      </w:r>
    </w:p>
    <w:p w14:paraId="4DAC57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我局建立了资金预算、收支业务等系列财务管理制度，设置了财务管理机构财务室，严格资金先预算后使用、专款专用的原则，在收支业务发生后及时进行会计核算并进行账务处理，做到账实相符。</w:t>
      </w:r>
    </w:p>
    <w:p w14:paraId="314BA4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三、项目实施及管理情况</w:t>
      </w:r>
    </w:p>
    <w:p w14:paraId="640DE6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（一）项目组织架构及实施流程。</w:t>
      </w:r>
      <w:r>
        <w:rPr>
          <w:rFonts w:hint="eastAsia" w:ascii="仿宋_GB2312" w:hAnsi="仿宋_GB2312" w:eastAsia="仿宋_GB2312" w:cs="仿宋_GB2312"/>
          <w:color w:val="auto"/>
          <w:sz w:val="32"/>
          <w:szCs w:val="32"/>
          <w:lang w:val="en-US" w:eastAsia="zh-CN"/>
        </w:rPr>
        <w:t>根据峨边府办发2023年11号文件关于印发2023年峨边彝族自治县县级财政衔接推进乡村振兴补助资金使用调整方案的通知，</w:t>
      </w:r>
      <w:r>
        <w:rPr>
          <w:rFonts w:hint="eastAsia" w:ascii="仿宋_GB2312" w:hAnsi="仿宋_GB2312" w:eastAsia="仿宋_GB2312" w:cs="仿宋_GB2312"/>
          <w:color w:val="auto"/>
          <w:sz w:val="32"/>
          <w:szCs w:val="32"/>
          <w:lang w:val="zh-CN" w:eastAsia="zh-CN"/>
        </w:rPr>
        <w:t>通过业务科室与相关部门核对数据，数据比对准确后，根据业务股室提供的资助参保人数将资金上解市医保局。</w:t>
      </w:r>
    </w:p>
    <w:p w14:paraId="5069A5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（二）项目管理情况。结合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我单位均按照据实据效的方式开展，严格执行预算法、财政资金支付有关规定。</w:t>
      </w:r>
    </w:p>
    <w:p w14:paraId="4BF7C4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（三）项目监管情况。</w:t>
      </w:r>
      <w:r>
        <w:rPr>
          <w:rFonts w:hint="eastAsia" w:ascii="仿宋_GB2312" w:hAnsi="仿宋_GB2312" w:eastAsia="仿宋_GB2312" w:cs="仿宋_GB2312"/>
          <w:color w:val="auto"/>
          <w:sz w:val="32"/>
          <w:szCs w:val="32"/>
          <w:lang w:val="en-US" w:eastAsia="zh-CN"/>
        </w:rPr>
        <w:t>我单位严格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03D6F8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四、项目绩效情况</w:t>
      </w:r>
      <w:r>
        <w:rPr>
          <w:rFonts w:hint="eastAsia" w:ascii="仿宋_GB2312" w:hAnsi="仿宋_GB2312" w:eastAsia="仿宋_GB2312" w:cs="仿宋_GB2312"/>
          <w:color w:val="auto"/>
          <w:sz w:val="32"/>
          <w:szCs w:val="32"/>
          <w:lang w:val="zh-CN"/>
        </w:rPr>
        <w:tab/>
      </w:r>
    </w:p>
    <w:p w14:paraId="0DF851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（一）项目完成情况</w:t>
      </w:r>
    </w:p>
    <w:p w14:paraId="4C977A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2023年，完成全县脱贫人口、监测户等参加医疗保险进行资助及医疗负担重的困难群众进行救助。</w:t>
      </w:r>
    </w:p>
    <w:p w14:paraId="0A4F73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（二）项目效益情况</w:t>
      </w:r>
    </w:p>
    <w:p w14:paraId="5B6DCDE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ascii="楷体_GB2312" w:hAnsi="宋体" w:eastAsia="楷体_GB2312"/>
          <w:b/>
          <w:color w:val="FF0000"/>
          <w:lang w:val="zh-CN"/>
        </w:rPr>
      </w:pPr>
      <w:r>
        <w:rPr>
          <w:rFonts w:hint="eastAsia" w:ascii="仿宋_GB2312" w:hAnsi="宋体"/>
          <w:lang w:val="en-US" w:eastAsia="zh-CN"/>
        </w:rPr>
        <w:t xml:space="preserve">  </w:t>
      </w:r>
      <w:r>
        <w:rPr>
          <w:rFonts w:hint="eastAsia" w:ascii="仿宋_GB2312" w:hAnsi="宋体"/>
          <w:color w:val="000000"/>
          <w:lang w:val="en-US" w:eastAsia="zh-CN"/>
        </w:rPr>
        <w:t xml:space="preserve"> 让全县</w:t>
      </w:r>
      <w:r>
        <w:rPr>
          <w:rFonts w:hint="eastAsia" w:ascii="仿宋_GB2312" w:hAnsi="宋体"/>
          <w:color w:val="auto"/>
          <w:lang w:val="en-US" w:eastAsia="zh-CN"/>
        </w:rPr>
        <w:t>脱贫人口、监测户等参加医疗保险得到资助及医疗负担重的困难群众进行了救助</w:t>
      </w:r>
      <w:r>
        <w:rPr>
          <w:rFonts w:hint="eastAsia" w:ascii="仿宋_GB2312" w:hAnsi="宋体"/>
          <w:color w:val="000000"/>
          <w:lang w:val="en-US" w:eastAsia="zh-CN"/>
        </w:rPr>
        <w:t>，群众满意度提升。</w:t>
      </w:r>
    </w:p>
    <w:p w14:paraId="6B42841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sz w:val="32"/>
          <w:szCs w:val="32"/>
          <w:lang w:val="zh-CN"/>
        </w:rPr>
      </w:pPr>
      <w:r>
        <w:rPr>
          <w:rFonts w:hint="eastAsia" w:ascii="仿宋_GB2312" w:hAnsi="仿宋_GB2312" w:cs="仿宋_GB2312"/>
          <w:sz w:val="32"/>
          <w:szCs w:val="32"/>
          <w:lang w:val="zh-CN"/>
        </w:rPr>
        <w:t>五、评价结论及建议</w:t>
      </w:r>
    </w:p>
    <w:p w14:paraId="15555AE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sz w:val="32"/>
          <w:szCs w:val="32"/>
          <w:lang w:val="zh-CN"/>
        </w:rPr>
      </w:pPr>
      <w:r>
        <w:rPr>
          <w:rFonts w:hint="eastAsia" w:ascii="仿宋_GB2312" w:hAnsi="仿宋_GB2312" w:cs="仿宋_GB2312"/>
          <w:sz w:val="32"/>
          <w:szCs w:val="32"/>
          <w:lang w:val="zh-CN"/>
        </w:rPr>
        <w:t>（一）评价结论</w:t>
      </w:r>
    </w:p>
    <w:p w14:paraId="2CE9C57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sz w:val="32"/>
          <w:szCs w:val="32"/>
          <w:lang w:val="zh-CN"/>
        </w:rPr>
      </w:pPr>
      <w:r>
        <w:rPr>
          <w:rFonts w:hint="eastAsia" w:ascii="仿宋_GB2312" w:hAnsi="仿宋_GB2312" w:cs="仿宋_GB2312"/>
          <w:sz w:val="32"/>
          <w:szCs w:val="32"/>
          <w:lang w:val="zh-CN"/>
        </w:rPr>
        <w:t>从项目的数量指标、质量指标、时效指标、成本指标、社会效益指标、满意度指标等方面对该项目进行了一次深入的自查，对保障</w:t>
      </w:r>
      <w:r>
        <w:rPr>
          <w:rFonts w:hint="eastAsia" w:ascii="仿宋_GB2312" w:hAnsi="仿宋_GB2312" w:cs="仿宋_GB2312"/>
          <w:sz w:val="32"/>
          <w:szCs w:val="32"/>
          <w:lang w:val="en-US" w:eastAsia="zh-CN"/>
        </w:rPr>
        <w:t>全县脱贫人口、监测户等参加医疗保险进行资助及医疗负担重的困难群众进行救助，</w:t>
      </w:r>
      <w:r>
        <w:rPr>
          <w:rFonts w:hint="eastAsia" w:ascii="仿宋_GB2312" w:hAnsi="仿宋_GB2312" w:cs="仿宋_GB2312"/>
          <w:sz w:val="32"/>
          <w:szCs w:val="32"/>
          <w:lang w:val="zh-CN"/>
        </w:rPr>
        <w:t>具有很大的必要性。</w:t>
      </w:r>
    </w:p>
    <w:p w14:paraId="7316744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sz w:val="32"/>
          <w:szCs w:val="32"/>
          <w:lang w:val="zh-CN"/>
        </w:rPr>
      </w:pPr>
      <w:r>
        <w:rPr>
          <w:rFonts w:hint="eastAsia" w:ascii="仿宋_GB2312" w:hAnsi="仿宋_GB2312" w:cs="仿宋_GB2312"/>
          <w:sz w:val="32"/>
          <w:szCs w:val="32"/>
          <w:lang w:val="zh-CN"/>
        </w:rPr>
        <w:t>（二）存在的问题</w:t>
      </w:r>
    </w:p>
    <w:p w14:paraId="51022A1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sz w:val="32"/>
          <w:szCs w:val="32"/>
          <w:lang w:val="zh-CN"/>
        </w:rPr>
      </w:pPr>
      <w:r>
        <w:rPr>
          <w:rFonts w:hint="eastAsia" w:ascii="仿宋_GB2312" w:hAnsi="仿宋_GB2312" w:cs="仿宋_GB2312"/>
          <w:sz w:val="32"/>
          <w:szCs w:val="32"/>
          <w:lang w:val="zh-CN"/>
        </w:rPr>
        <w:t>无</w:t>
      </w:r>
      <w:r>
        <w:rPr>
          <w:rFonts w:hint="eastAsia" w:ascii="仿宋_GB2312" w:hAnsi="仿宋_GB2312" w:cs="仿宋_GB2312"/>
          <w:sz w:val="32"/>
          <w:szCs w:val="32"/>
          <w:lang w:val="zh-CN"/>
        </w:rPr>
        <w:tab/>
      </w:r>
    </w:p>
    <w:p w14:paraId="43CAC57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sz w:val="32"/>
          <w:szCs w:val="32"/>
          <w:lang w:val="zh-CN"/>
        </w:rPr>
      </w:pPr>
      <w:r>
        <w:rPr>
          <w:rFonts w:hint="eastAsia" w:ascii="仿宋_GB2312" w:hAnsi="仿宋_GB2312" w:cs="仿宋_GB2312"/>
          <w:sz w:val="32"/>
          <w:szCs w:val="32"/>
          <w:lang w:val="zh-CN"/>
        </w:rPr>
        <w:t>（三）相关建议</w:t>
      </w:r>
    </w:p>
    <w:p w14:paraId="6214F87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无</w:t>
      </w:r>
    </w:p>
    <w:p w14:paraId="4749AEC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right"/>
        <w:textAlignment w:val="auto"/>
        <w:rPr>
          <w:rFonts w:hint="eastAsia" w:ascii="仿宋_GB2312" w:hAnsi="仿宋_GB2312" w:cs="仿宋_GB2312"/>
          <w:sz w:val="32"/>
          <w:szCs w:val="32"/>
          <w:lang w:val="en-US" w:eastAsia="zh-CN"/>
        </w:rPr>
      </w:pPr>
    </w:p>
    <w:p w14:paraId="1E4564AB">
      <w:pPr>
        <w:pStyle w:val="6"/>
        <w:spacing w:afterLines="0"/>
        <w:rPr>
          <w:rFonts w:hint="eastAsia" w:hAnsi="仿宋_GB2312" w:cs="仿宋_GB2312"/>
          <w:sz w:val="32"/>
          <w:szCs w:val="32"/>
          <w:lang w:val="en-US" w:eastAsia="zh-CN"/>
        </w:rPr>
      </w:pPr>
    </w:p>
    <w:p w14:paraId="3C131DD5">
      <w:pPr>
        <w:spacing w:line="600" w:lineRule="exact"/>
        <w:rPr>
          <w:rFonts w:hint="eastAsia" w:eastAsia="方正黑体_GBK"/>
          <w:sz w:val="33"/>
          <w:szCs w:val="33"/>
          <w:lang w:val="en-US" w:eastAsia="zh-CN"/>
        </w:rPr>
      </w:pPr>
      <w:r>
        <w:rPr>
          <w:rFonts w:hint="eastAsia" w:ascii="方正黑体_GBK" w:hAnsi="方正黑体_GBK" w:eastAsia="方正黑体_GBK" w:cs="方正黑体_GBK"/>
          <w:sz w:val="33"/>
          <w:szCs w:val="33"/>
        </w:rPr>
        <w:t>附件</w:t>
      </w:r>
    </w:p>
    <w:p w14:paraId="1C7057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sz w:val="30"/>
          <w:szCs w:val="30"/>
        </w:rPr>
      </w:pPr>
      <w:r>
        <w:rPr>
          <w:rFonts w:hint="eastAsia" w:ascii="方正小标宋简体" w:hAnsi="方正小标宋简体" w:eastAsia="方正小标宋简体" w:cs="方正小标宋简体"/>
          <w:b w:val="0"/>
          <w:bCs/>
          <w:spacing w:val="-11"/>
          <w:sz w:val="44"/>
          <w:szCs w:val="44"/>
          <w:lang w:val="en-US" w:eastAsia="zh-CN"/>
        </w:rPr>
        <w:t>峨边彝族自治县医疗保障局</w:t>
      </w:r>
    </w:p>
    <w:p w14:paraId="18423913">
      <w:pPr>
        <w:pStyle w:val="14"/>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3CD76667">
      <w:pPr>
        <w:pStyle w:val="14"/>
        <w:spacing w:line="600" w:lineRule="exact"/>
        <w:ind w:firstLine="640"/>
        <w:jc w:val="center"/>
        <w:rPr>
          <w:rFonts w:hint="eastAsia" w:ascii="宋体" w:hAnsi="宋体" w:eastAsia="宋体"/>
          <w:color w:val="auto"/>
          <w:kern w:val="2"/>
          <w:sz w:val="32"/>
          <w:szCs w:val="32"/>
          <w:lang w:eastAsia="zh-CN"/>
        </w:rPr>
      </w:pPr>
      <w:r>
        <w:rPr>
          <w:rFonts w:hint="eastAsia" w:ascii="宋体" w:hAnsi="宋体"/>
          <w:color w:val="auto"/>
          <w:kern w:val="2"/>
          <w:sz w:val="32"/>
          <w:szCs w:val="32"/>
          <w:lang w:eastAsia="zh-CN"/>
        </w:rPr>
        <w:t>【</w:t>
      </w:r>
      <w:r>
        <w:rPr>
          <w:rFonts w:hint="eastAsia" w:ascii="宋体" w:hAnsi="宋体"/>
          <w:color w:val="auto"/>
          <w:kern w:val="2"/>
          <w:sz w:val="32"/>
          <w:szCs w:val="32"/>
        </w:rPr>
        <w:t>城乡医疗救助县级配套（按实）</w:t>
      </w:r>
      <w:r>
        <w:rPr>
          <w:rFonts w:hint="eastAsia" w:ascii="宋体" w:hAnsi="宋体"/>
          <w:color w:val="auto"/>
          <w:kern w:val="2"/>
          <w:sz w:val="32"/>
          <w:szCs w:val="32"/>
          <w:lang w:eastAsia="zh-CN"/>
        </w:rPr>
        <w:t>】</w:t>
      </w:r>
    </w:p>
    <w:p w14:paraId="011F5D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一、项目概况</w:t>
      </w:r>
    </w:p>
    <w:p w14:paraId="0FE4DB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（一）项目基本情况</w:t>
      </w:r>
    </w:p>
    <w:p w14:paraId="5E4E1B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zh-CN"/>
        </w:rPr>
        <w:t>为了加强社会救助，保障特困、孤儿、低保对象、低保边缘家庭成员、纳入监测范围的农村易返贫致贫人口、不符合特困人员救助供养、低保或低保边缘家庭条件，但因高额医疗费用支出导致家庭基本生活出现严重困难的大病患者的基本生活，促进机会公平，维护社会和谐稳定，最大限度减轻以上六类患者医疗支出负担，对救助人员给予医疗方面的资金补助。</w:t>
      </w:r>
      <w:r>
        <w:rPr>
          <w:rFonts w:hint="eastAsia" w:ascii="仿宋_GB2312" w:hAnsi="仿宋_GB2312" w:eastAsia="仿宋_GB2312" w:cs="仿宋_GB2312"/>
          <w:color w:val="auto"/>
          <w:sz w:val="32"/>
          <w:szCs w:val="32"/>
          <w:lang w:val="en-US" w:eastAsia="zh-CN"/>
        </w:rPr>
        <w:t>按照《关于印发乐山市健全重特大疾病医疗保险和救助制度实施细则的通知》（乐府办规〔2023〕3号），我县救助对象应当纳入医疗救助人员范围。2023年我局向县财政局申报救助对象医疗救助（按实）预算项目，县财政局批复333.41万元用于救助对象医疗救助，实际</w:t>
      </w:r>
      <w:bookmarkStart w:id="14" w:name="_GoBack"/>
      <w:r>
        <w:rPr>
          <w:rFonts w:hint="eastAsia" w:ascii="仿宋_GB2312" w:hAnsi="仿宋_GB2312" w:eastAsia="仿宋_GB2312" w:cs="仿宋_GB2312"/>
          <w:color w:val="auto"/>
          <w:sz w:val="32"/>
          <w:szCs w:val="32"/>
          <w:lang w:val="en-US" w:eastAsia="zh-CN"/>
        </w:rPr>
        <w:t>按实</w:t>
      </w:r>
      <w:bookmarkEnd w:id="14"/>
      <w:r>
        <w:rPr>
          <w:rFonts w:hint="eastAsia" w:ascii="仿宋_GB2312" w:hAnsi="仿宋_GB2312" w:eastAsia="仿宋_GB2312" w:cs="仿宋_GB2312"/>
          <w:color w:val="auto"/>
          <w:sz w:val="32"/>
          <w:szCs w:val="32"/>
          <w:lang w:val="en-US" w:eastAsia="zh-CN"/>
        </w:rPr>
        <w:t>2023年支付333.41万元，</w:t>
      </w:r>
      <w:r>
        <w:rPr>
          <w:rFonts w:hint="eastAsia" w:ascii="仿宋_GB2312" w:hAnsi="仿宋_GB2312" w:eastAsia="仿宋_GB2312" w:cs="仿宋_GB2312"/>
          <w:color w:val="auto"/>
          <w:sz w:val="32"/>
          <w:szCs w:val="32"/>
          <w:lang w:val="zh-CN"/>
        </w:rPr>
        <w:t>符合资金管理办法等相关规定。</w:t>
      </w:r>
    </w:p>
    <w:p w14:paraId="38EF09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（二）项目绩效目标</w:t>
      </w:r>
    </w:p>
    <w:p w14:paraId="555125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2023年1月1日至2023年12月31日，完成符合救助条件的救助对象医疗救助待遇的发放。截至2023年12月31日，我局支出333.41万元用于我县救助对象医疗救助，完成了2023年全部救助任务。</w:t>
      </w:r>
    </w:p>
    <w:p w14:paraId="5C4DB3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（三）项目自评步骤及方法</w:t>
      </w:r>
    </w:p>
    <w:p w14:paraId="3A3721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自评工作开展前我单位制定了自评方案，办公室牵头、由分管领导和财务人员组成自评小组，对前期项目立项依据进行审查对项目开展过程合法合理性进行自查，确保自评工作取得实效。</w:t>
      </w:r>
    </w:p>
    <w:p w14:paraId="5D27E4F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二、项目资金申报及使用情况</w:t>
      </w:r>
    </w:p>
    <w:p w14:paraId="44EC29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（一）项目资金申报及批复情况</w:t>
      </w:r>
    </w:p>
    <w:p w14:paraId="0EEEC6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根据项目开展进度以及所需资金按照年初预算指标向县财政提出项目用款计划表，财政审核后通过一卡通拨付到救助对象银行账户。</w:t>
      </w:r>
    </w:p>
    <w:p w14:paraId="2DB876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（二）资金计划、到位及使用情况（可用表格形式反映）</w:t>
      </w:r>
    </w:p>
    <w:p w14:paraId="77BCC6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1．资金计划。项目资金来源主要通过本单位年初预算，由县级财政统一安排资金，预算资金为</w:t>
      </w:r>
      <w:r>
        <w:rPr>
          <w:rFonts w:hint="eastAsia" w:ascii="仿宋_GB2312" w:hAnsi="仿宋_GB2312" w:eastAsia="仿宋_GB2312" w:cs="仿宋_GB2312"/>
          <w:color w:val="auto"/>
          <w:sz w:val="32"/>
          <w:szCs w:val="32"/>
          <w:lang w:val="en-US" w:eastAsia="zh-CN"/>
        </w:rPr>
        <w:t>333.41</w:t>
      </w:r>
      <w:r>
        <w:rPr>
          <w:rFonts w:hint="eastAsia" w:ascii="仿宋_GB2312" w:hAnsi="仿宋_GB2312" w:eastAsia="仿宋_GB2312" w:cs="仿宋_GB2312"/>
          <w:color w:val="auto"/>
          <w:sz w:val="32"/>
          <w:szCs w:val="32"/>
          <w:lang w:val="zh-CN"/>
        </w:rPr>
        <w:t>万元。</w:t>
      </w:r>
    </w:p>
    <w:p w14:paraId="42D5F9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2．资金到位。根据项目实施进度，通过申请由县财政拨付项目资金，</w:t>
      </w:r>
      <w:r>
        <w:rPr>
          <w:rFonts w:hint="eastAsia" w:ascii="仿宋_GB2312" w:hAnsi="仿宋_GB2312" w:eastAsia="仿宋_GB2312" w:cs="仿宋_GB2312"/>
          <w:color w:val="auto"/>
          <w:sz w:val="32"/>
          <w:szCs w:val="32"/>
          <w:lang w:val="en-US" w:eastAsia="zh-CN"/>
        </w:rPr>
        <w:t>拨付金额为333.41万元</w:t>
      </w:r>
      <w:r>
        <w:rPr>
          <w:rFonts w:hint="eastAsia" w:ascii="仿宋_GB2312" w:hAnsi="仿宋_GB2312" w:eastAsia="仿宋_GB2312" w:cs="仿宋_GB2312"/>
          <w:color w:val="auto"/>
          <w:sz w:val="32"/>
          <w:szCs w:val="32"/>
          <w:lang w:val="zh-CN"/>
        </w:rPr>
        <w:t>。</w:t>
      </w:r>
    </w:p>
    <w:p w14:paraId="774EF2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3．资金使用。该项目资金通过分批次提出用款计划已进行了支付，在支付资金时严格按照</w:t>
      </w:r>
      <w:r>
        <w:rPr>
          <w:rFonts w:hint="eastAsia" w:ascii="仿宋_GB2312" w:hAnsi="仿宋_GB2312" w:eastAsia="仿宋_GB2312" w:cs="仿宋_GB2312"/>
          <w:color w:val="auto"/>
          <w:sz w:val="32"/>
          <w:szCs w:val="32"/>
          <w:lang w:val="zh-CN" w:eastAsia="zh-CN"/>
        </w:rPr>
        <w:t>审核救助</w:t>
      </w:r>
      <w:r>
        <w:rPr>
          <w:rFonts w:hint="eastAsia" w:ascii="仿宋_GB2312" w:hAnsi="仿宋_GB2312" w:eastAsia="仿宋_GB2312" w:cs="仿宋_GB2312"/>
          <w:color w:val="auto"/>
          <w:sz w:val="32"/>
          <w:szCs w:val="32"/>
          <w:lang w:val="zh-CN"/>
        </w:rPr>
        <w:t>的金额</w:t>
      </w:r>
      <w:r>
        <w:rPr>
          <w:rFonts w:hint="eastAsia" w:ascii="仿宋_GB2312" w:hAnsi="仿宋_GB2312" w:eastAsia="仿宋_GB2312" w:cs="仿宋_GB2312"/>
          <w:color w:val="auto"/>
          <w:sz w:val="32"/>
          <w:szCs w:val="32"/>
          <w:lang w:val="zh-CN" w:eastAsia="zh-CN"/>
        </w:rPr>
        <w:t>进行支付</w:t>
      </w:r>
      <w:r>
        <w:rPr>
          <w:rFonts w:hint="eastAsia" w:ascii="仿宋_GB2312" w:hAnsi="仿宋_GB2312" w:eastAsia="仿宋_GB2312" w:cs="仿宋_GB2312"/>
          <w:color w:val="auto"/>
          <w:sz w:val="32"/>
          <w:szCs w:val="32"/>
          <w:lang w:val="zh-CN"/>
        </w:rPr>
        <w:t>，项目资金达到专款专用合理支付</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2023年度使用333.41万元</w:t>
      </w:r>
      <w:r>
        <w:rPr>
          <w:rFonts w:hint="eastAsia" w:ascii="仿宋_GB2312" w:hAnsi="仿宋_GB2312" w:eastAsia="仿宋_GB2312" w:cs="仿宋_GB2312"/>
          <w:color w:val="auto"/>
          <w:sz w:val="32"/>
          <w:szCs w:val="32"/>
          <w:lang w:val="zh-CN"/>
        </w:rPr>
        <w:t>。</w:t>
      </w:r>
    </w:p>
    <w:p w14:paraId="38C256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（三）项目财务管理情况</w:t>
      </w:r>
    </w:p>
    <w:p w14:paraId="0685A8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我局建立了资金预算、收支业务等系列财务管理制度，设置了财务管理机构财务室，严格资金先预算后使用、专款专用的原则，在收支业务发生后及时进行会计核算并进行账务处理，做到账实相符。</w:t>
      </w:r>
    </w:p>
    <w:p w14:paraId="47EF34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三、项目实施及管理情况</w:t>
      </w:r>
    </w:p>
    <w:p w14:paraId="777608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（一）项目组织架构及实施流程。</w:t>
      </w:r>
      <w:r>
        <w:rPr>
          <w:rFonts w:hint="eastAsia" w:ascii="仿宋_GB2312" w:hAnsi="仿宋_GB2312" w:eastAsia="仿宋_GB2312" w:cs="仿宋_GB2312"/>
          <w:color w:val="auto"/>
          <w:sz w:val="32"/>
          <w:szCs w:val="32"/>
          <w:lang w:val="en-US" w:eastAsia="zh-CN"/>
        </w:rPr>
        <w:t>按照《关于印发乐山市健全重特大疾病医疗保险和救助制度实施细则的通知》（乐府办规〔2023〕3号）要求，符合救助条件的救助对象需填写救助个人审批表，并经村（社）→乡（镇）审核签字盖章后交到县医疗保障局综合业务股审核，并推送县财政，由县财政通过一卡通发放。</w:t>
      </w:r>
    </w:p>
    <w:p w14:paraId="21ABA9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（二）项目管理情况。结合</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rPr>
        <w:t>项目特点，</w:t>
      </w:r>
      <w:r>
        <w:rPr>
          <w:rFonts w:hint="eastAsia" w:ascii="仿宋_GB2312" w:hAnsi="仿宋_GB2312" w:eastAsia="仿宋_GB2312" w:cs="仿宋_GB2312"/>
          <w:color w:val="auto"/>
          <w:sz w:val="32"/>
          <w:szCs w:val="32"/>
          <w:lang w:val="en-US" w:eastAsia="zh-CN"/>
        </w:rPr>
        <w:t>我单位均按照据实据效的方式开展，严格执行预算法、财政资金支付有关规定。</w:t>
      </w:r>
    </w:p>
    <w:p w14:paraId="1F7D4B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（三）项目监管情况。</w:t>
      </w:r>
      <w:r>
        <w:rPr>
          <w:rFonts w:hint="eastAsia" w:ascii="仿宋_GB2312" w:hAnsi="仿宋_GB2312" w:eastAsia="仿宋_GB2312" w:cs="仿宋_GB2312"/>
          <w:color w:val="auto"/>
          <w:sz w:val="32"/>
          <w:szCs w:val="32"/>
          <w:lang w:val="en-US" w:eastAsia="zh-CN"/>
        </w:rPr>
        <w:t>我单位严格</w:t>
      </w:r>
      <w:r>
        <w:rPr>
          <w:rFonts w:hint="eastAsia" w:ascii="仿宋_GB2312" w:hAnsi="仿宋_GB2312" w:eastAsia="仿宋_GB2312" w:cs="仿宋_GB2312"/>
          <w:color w:val="auto"/>
          <w:sz w:val="32"/>
          <w:szCs w:val="32"/>
          <w:lang w:val="zh-CN"/>
        </w:rPr>
        <w:t>项目管理</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1F009E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四、项目绩效情况</w:t>
      </w:r>
      <w:r>
        <w:rPr>
          <w:rFonts w:hint="eastAsia" w:ascii="仿宋_GB2312" w:hAnsi="仿宋_GB2312" w:eastAsia="仿宋_GB2312" w:cs="仿宋_GB2312"/>
          <w:color w:val="auto"/>
          <w:sz w:val="32"/>
          <w:szCs w:val="32"/>
          <w:lang w:val="zh-CN"/>
        </w:rPr>
        <w:tab/>
      </w:r>
    </w:p>
    <w:p w14:paraId="2B2180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（一）项目完成情况</w:t>
      </w:r>
    </w:p>
    <w:p w14:paraId="4DB651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基本解决我县</w:t>
      </w:r>
      <w:r>
        <w:rPr>
          <w:rFonts w:hint="eastAsia" w:ascii="仿宋_GB2312" w:hAnsi="仿宋_GB2312" w:eastAsia="仿宋_GB2312" w:cs="仿宋_GB2312"/>
          <w:color w:val="auto"/>
          <w:sz w:val="32"/>
          <w:szCs w:val="32"/>
          <w:lang w:val="en-US" w:eastAsia="zh-CN"/>
        </w:rPr>
        <w:t>符合救助条件的救助对象</w:t>
      </w:r>
      <w:r>
        <w:rPr>
          <w:rFonts w:hint="eastAsia" w:ascii="仿宋_GB2312" w:hAnsi="仿宋_GB2312" w:eastAsia="仿宋_GB2312" w:cs="仿宋_GB2312"/>
          <w:color w:val="auto"/>
          <w:sz w:val="32"/>
          <w:szCs w:val="32"/>
          <w:lang w:val="zh-CN"/>
        </w:rPr>
        <w:t>医疗保障，满足救助人员基本需求，坚持托底供养，为我县</w:t>
      </w:r>
      <w:r>
        <w:rPr>
          <w:rFonts w:hint="eastAsia" w:ascii="仿宋_GB2312" w:hAnsi="仿宋_GB2312" w:eastAsia="仿宋_GB2312" w:cs="仿宋_GB2312"/>
          <w:color w:val="auto"/>
          <w:sz w:val="32"/>
          <w:szCs w:val="32"/>
          <w:lang w:val="en-US" w:eastAsia="zh-CN"/>
        </w:rPr>
        <w:t>符合救助条件的救助对象</w:t>
      </w:r>
      <w:r>
        <w:rPr>
          <w:rFonts w:hint="eastAsia" w:ascii="仿宋_GB2312" w:hAnsi="仿宋_GB2312" w:eastAsia="仿宋_GB2312" w:cs="仿宋_GB2312"/>
          <w:color w:val="auto"/>
          <w:sz w:val="32"/>
          <w:szCs w:val="32"/>
          <w:lang w:val="zh-CN"/>
        </w:rPr>
        <w:t>提供基本医疗保障，做到应救尽救。医疗救助费用及时拨付，拨付准确率达</w:t>
      </w:r>
      <w:r>
        <w:rPr>
          <w:rFonts w:hint="eastAsia" w:ascii="仿宋_GB2312" w:hAnsi="仿宋_GB2312" w:eastAsia="仿宋_GB2312" w:cs="仿宋_GB2312"/>
          <w:color w:val="auto"/>
          <w:sz w:val="32"/>
          <w:szCs w:val="32"/>
          <w:lang w:val="en-US" w:eastAsia="zh-CN"/>
        </w:rPr>
        <w:t>100%；2023年12月31日前完成所有救助资金发放，发放及时率达100%。</w:t>
      </w:r>
    </w:p>
    <w:p w14:paraId="250094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（二）项目效益情况</w:t>
      </w:r>
    </w:p>
    <w:p w14:paraId="72ECFB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1.强化了政府托底职责，为符合救助条件的救助对象提供基本保障，解决了社会中困难人群的基本需求，完善了社会救助体系、编密织牢了明确身份标识的救助对象的基本民生安全网。</w:t>
      </w:r>
    </w:p>
    <w:p w14:paraId="166487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2.提高了符合救助条件的救助对象的生活水平，让他们享受到了发展成果。保证他们病有所医，确保了救治人员的身心健康。</w:t>
      </w:r>
    </w:p>
    <w:p w14:paraId="77C362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五、评价结论及建议</w:t>
      </w:r>
    </w:p>
    <w:p w14:paraId="11AFBE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（一）评价结论</w:t>
      </w:r>
    </w:p>
    <w:p w14:paraId="5BB075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从项目的数量指标、质量指标、时效指标、成本指标、社会效益指标、满意度指标等方面对该项目进行了一次深入的自查，解决</w:t>
      </w:r>
      <w:r>
        <w:rPr>
          <w:rFonts w:hint="eastAsia" w:ascii="仿宋_GB2312" w:hAnsi="仿宋_GB2312" w:eastAsia="仿宋_GB2312" w:cs="仿宋_GB2312"/>
          <w:color w:val="auto"/>
          <w:sz w:val="32"/>
          <w:szCs w:val="32"/>
          <w:lang w:val="en-US" w:eastAsia="zh-CN"/>
        </w:rPr>
        <w:t>符合救助条件的救助对象</w:t>
      </w:r>
      <w:r>
        <w:rPr>
          <w:rFonts w:hint="eastAsia" w:ascii="仿宋_GB2312" w:hAnsi="仿宋_GB2312" w:eastAsia="仿宋_GB2312" w:cs="仿宋_GB2312"/>
          <w:color w:val="auto"/>
          <w:sz w:val="32"/>
          <w:szCs w:val="32"/>
          <w:lang w:val="zh-CN"/>
        </w:rPr>
        <w:t>医疗保障政策后个人负担部分医疗救助费用，具有很大的必要性。</w:t>
      </w:r>
    </w:p>
    <w:p w14:paraId="2DC5C8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（二）存在的问题</w:t>
      </w:r>
    </w:p>
    <w:p w14:paraId="41CF69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无</w:t>
      </w:r>
      <w:r>
        <w:rPr>
          <w:rFonts w:hint="eastAsia" w:ascii="仿宋_GB2312" w:hAnsi="仿宋_GB2312" w:eastAsia="仿宋_GB2312" w:cs="仿宋_GB2312"/>
          <w:color w:val="auto"/>
          <w:sz w:val="32"/>
          <w:szCs w:val="32"/>
          <w:lang w:val="zh-CN"/>
        </w:rPr>
        <w:tab/>
      </w:r>
    </w:p>
    <w:p w14:paraId="4F2F2E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（三）相关建议</w:t>
      </w:r>
    </w:p>
    <w:p w14:paraId="28C7D4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提高经办人员业务水平，强化责任，加强对救助人员的资格审核，及时申报审核情况。对符合救助条件的尘肺病患者要应救尽救，并及时将救助资金拨付到位。</w:t>
      </w:r>
    </w:p>
    <w:p w14:paraId="756F152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lang w:val="en-US" w:eastAsia="zh-CN"/>
        </w:rPr>
      </w:pPr>
    </w:p>
    <w:p w14:paraId="2F2535D3">
      <w:pPr>
        <w:adjustRightInd w:val="0"/>
        <w:snapToGrid w:val="0"/>
        <w:spacing w:line="600" w:lineRule="exact"/>
      </w:pPr>
    </w:p>
    <w:p w14:paraId="66A790AD">
      <w:pPr>
        <w:pStyle w:val="6"/>
        <w:spacing w:afterLines="0"/>
        <w:rPr>
          <w:rFonts w:hint="eastAsia" w:hAnsi="仿宋_GB2312" w:cs="仿宋_GB2312"/>
          <w:sz w:val="32"/>
          <w:szCs w:val="32"/>
          <w:lang w:val="en-US" w:eastAsia="zh-CN"/>
        </w:rPr>
      </w:pPr>
    </w:p>
    <w:p w14:paraId="66AF60D3">
      <w:pPr>
        <w:pStyle w:val="6"/>
        <w:spacing w:afterLines="0"/>
        <w:rPr>
          <w:rFonts w:hint="eastAsia" w:hAnsi="仿宋_GB2312" w:cs="仿宋_GB2312"/>
          <w:sz w:val="32"/>
          <w:szCs w:val="32"/>
          <w:lang w:val="en-US" w:eastAsia="zh-CN"/>
        </w:rPr>
      </w:pPr>
    </w:p>
    <w:p w14:paraId="3FD28729">
      <w:pPr>
        <w:pStyle w:val="6"/>
        <w:spacing w:afterLines="0"/>
        <w:rPr>
          <w:rFonts w:hint="eastAsia" w:hAnsi="仿宋_GB2312" w:cs="仿宋_GB2312"/>
          <w:sz w:val="32"/>
          <w:szCs w:val="32"/>
          <w:lang w:val="en-US" w:eastAsia="zh-CN"/>
        </w:rPr>
      </w:pPr>
    </w:p>
    <w:p w14:paraId="109382FB">
      <w:pPr>
        <w:pStyle w:val="6"/>
        <w:spacing w:afterLines="0"/>
        <w:rPr>
          <w:rFonts w:hint="eastAsia" w:hAnsi="仿宋_GB2312" w:cs="仿宋_GB2312"/>
          <w:sz w:val="32"/>
          <w:szCs w:val="32"/>
          <w:lang w:val="en-US" w:eastAsia="zh-CN"/>
        </w:rPr>
      </w:pPr>
    </w:p>
    <w:p w14:paraId="71AA8942">
      <w:pPr>
        <w:pStyle w:val="6"/>
        <w:spacing w:afterLines="0"/>
        <w:rPr>
          <w:rFonts w:hint="eastAsia" w:hAnsi="仿宋_GB2312" w:cs="仿宋_GB2312"/>
          <w:sz w:val="32"/>
          <w:szCs w:val="32"/>
          <w:lang w:val="en-US" w:eastAsia="zh-CN"/>
        </w:rPr>
      </w:pPr>
    </w:p>
    <w:p w14:paraId="0E3D9629">
      <w:pPr>
        <w:pStyle w:val="6"/>
        <w:spacing w:afterLines="0"/>
        <w:rPr>
          <w:rFonts w:hint="eastAsia" w:hAnsi="仿宋_GB2312" w:cs="仿宋_GB2312"/>
          <w:sz w:val="32"/>
          <w:szCs w:val="32"/>
          <w:lang w:val="en-US" w:eastAsia="zh-CN"/>
        </w:rPr>
      </w:pPr>
    </w:p>
    <w:p w14:paraId="6901DFD3">
      <w:pPr>
        <w:pStyle w:val="6"/>
        <w:spacing w:afterLines="0"/>
        <w:rPr>
          <w:rFonts w:hint="eastAsia" w:hAnsi="仿宋_GB2312" w:cs="仿宋_GB2312"/>
          <w:sz w:val="32"/>
          <w:szCs w:val="32"/>
          <w:lang w:val="en-US" w:eastAsia="zh-CN"/>
        </w:rPr>
      </w:pPr>
    </w:p>
    <w:p w14:paraId="1533468B">
      <w:pPr>
        <w:pStyle w:val="6"/>
        <w:spacing w:afterLines="0"/>
        <w:rPr>
          <w:rFonts w:hint="eastAsia" w:hAnsi="仿宋_GB2312" w:cs="仿宋_GB2312"/>
          <w:sz w:val="32"/>
          <w:szCs w:val="32"/>
          <w:lang w:val="en-US" w:eastAsia="zh-CN"/>
        </w:rPr>
      </w:pPr>
    </w:p>
    <w:p w14:paraId="45888015">
      <w:pPr>
        <w:pStyle w:val="6"/>
        <w:spacing w:afterLines="0"/>
        <w:rPr>
          <w:rFonts w:hint="eastAsia" w:hAnsi="仿宋_GB2312" w:cs="仿宋_GB2312"/>
          <w:sz w:val="32"/>
          <w:szCs w:val="32"/>
          <w:lang w:val="en-US" w:eastAsia="zh-CN"/>
        </w:rPr>
      </w:pPr>
    </w:p>
    <w:p w14:paraId="1480FEBB">
      <w:pPr>
        <w:pStyle w:val="6"/>
        <w:spacing w:afterLines="0"/>
        <w:rPr>
          <w:rFonts w:hint="eastAsia" w:hAnsi="仿宋_GB2312" w:cs="仿宋_GB2312"/>
          <w:sz w:val="32"/>
          <w:szCs w:val="32"/>
          <w:lang w:val="en-US" w:eastAsia="zh-CN"/>
        </w:rPr>
      </w:pPr>
    </w:p>
    <w:p w14:paraId="126EC889">
      <w:pPr>
        <w:pStyle w:val="6"/>
        <w:spacing w:afterLines="0"/>
        <w:rPr>
          <w:rFonts w:hint="eastAsia" w:hAnsi="仿宋_GB2312" w:cs="仿宋_GB2312"/>
          <w:sz w:val="32"/>
          <w:szCs w:val="32"/>
          <w:lang w:val="en-US" w:eastAsia="zh-CN"/>
        </w:rPr>
      </w:pPr>
    </w:p>
    <w:p w14:paraId="03D2CE98">
      <w:pPr>
        <w:pStyle w:val="6"/>
        <w:spacing w:afterLines="0"/>
        <w:rPr>
          <w:rFonts w:hint="eastAsia" w:hAnsi="仿宋_GB2312" w:cs="仿宋_GB2312"/>
          <w:sz w:val="32"/>
          <w:szCs w:val="32"/>
          <w:lang w:val="en-US" w:eastAsia="zh-CN"/>
        </w:rPr>
      </w:pPr>
    </w:p>
    <w:p w14:paraId="7F525383">
      <w:pPr>
        <w:rPr>
          <w:rFonts w:hint="eastAsia"/>
        </w:rPr>
      </w:pPr>
    </w:p>
    <w:p w14:paraId="17402344">
      <w:pPr>
        <w:rPr>
          <w:rFonts w:hint="eastAsia"/>
        </w:rPr>
      </w:pPr>
    </w:p>
    <w:p w14:paraId="34A02592">
      <w:pPr>
        <w:widowControl/>
        <w:spacing w:beforeLines="0" w:afterLines="0"/>
        <w:jc w:val="center"/>
        <w:rPr>
          <w:rFonts w:hint="eastAsia" w:ascii="仿宋" w:hAnsi="仿宋" w:eastAsia="仿宋"/>
          <w:color w:val="auto"/>
          <w:sz w:val="24"/>
          <w:szCs w:val="24"/>
        </w:rPr>
      </w:pPr>
      <w:r>
        <w:rPr>
          <w:rFonts w:hint="eastAsia" w:ascii="黑体" w:hAnsi="黑体" w:eastAsia="黑体"/>
          <w:color w:val="auto"/>
          <w:sz w:val="44"/>
          <w:szCs w:val="24"/>
        </w:rPr>
        <w:t>第</w:t>
      </w:r>
      <w:r>
        <w:rPr>
          <w:rStyle w:val="17"/>
          <w:rFonts w:hint="eastAsia" w:ascii="黑体" w:hAnsi="黑体" w:eastAsia="黑体"/>
          <w:b w:val="0"/>
          <w:color w:val="auto"/>
          <w:sz w:val="44"/>
          <w:szCs w:val="24"/>
        </w:rPr>
        <w:t>五部分 附表</w:t>
      </w:r>
      <w:bookmarkEnd w:id="11"/>
      <w:bookmarkEnd w:id="12"/>
      <w:bookmarkStart w:id="13" w:name="_Toc15396619"/>
    </w:p>
    <w:bookmarkEnd w:id="13"/>
    <w:p w14:paraId="3358066E">
      <w:pPr>
        <w:pStyle w:val="4"/>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一、收入支出决算总表</w:t>
      </w:r>
    </w:p>
    <w:p w14:paraId="68CEAE8B">
      <w:pPr>
        <w:pStyle w:val="4"/>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二、收入决算表</w:t>
      </w:r>
    </w:p>
    <w:p w14:paraId="47796B20">
      <w:pPr>
        <w:pStyle w:val="4"/>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三、支出决算表</w:t>
      </w:r>
    </w:p>
    <w:p w14:paraId="09BDCC9E">
      <w:pPr>
        <w:pStyle w:val="4"/>
        <w:keepNext/>
        <w:keepLines/>
        <w:spacing w:before="260" w:beforeLines="0" w:after="260" w:afterLines="0" w:line="408" w:lineRule="auto"/>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四、财政拨款收入支出决算总表</w:t>
      </w:r>
    </w:p>
    <w:p w14:paraId="07526DC9">
      <w:pPr>
        <w:pStyle w:val="4"/>
        <w:keepNext/>
        <w:keepLines/>
        <w:spacing w:before="260" w:beforeLines="0" w:after="260" w:afterLines="0" w:line="408" w:lineRule="auto"/>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五、财政拨款支出决算明细表</w:t>
      </w:r>
    </w:p>
    <w:p w14:paraId="49985151">
      <w:pPr>
        <w:pStyle w:val="4"/>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六、一般公共预算财政拨款支出决算表</w:t>
      </w:r>
    </w:p>
    <w:p w14:paraId="65C86A2A">
      <w:pPr>
        <w:pStyle w:val="4"/>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七、一般公共预算财政拨款支出决算明细表</w:t>
      </w:r>
    </w:p>
    <w:p w14:paraId="52F92EB0">
      <w:pPr>
        <w:pStyle w:val="4"/>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八、一般公共预算财政拨款基本支出决算表</w:t>
      </w:r>
    </w:p>
    <w:p w14:paraId="679CFD42">
      <w:pPr>
        <w:pStyle w:val="4"/>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九、一般公共预算财政拨款项目支出决算表</w:t>
      </w:r>
    </w:p>
    <w:p w14:paraId="5EF62E7E">
      <w:pPr>
        <w:pStyle w:val="4"/>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十、政府性基金预算财政拨款收入支出决算表</w:t>
      </w:r>
    </w:p>
    <w:p w14:paraId="546508FA">
      <w:pPr>
        <w:pStyle w:val="4"/>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十一、国有资本经营预算财政拨款收入支出决算表</w:t>
      </w:r>
    </w:p>
    <w:p w14:paraId="1F0282F2">
      <w:pPr>
        <w:pStyle w:val="4"/>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十二、国有资本经营预算财政拨款支出决算表</w:t>
      </w:r>
    </w:p>
    <w:p w14:paraId="66B5D675">
      <w:pPr>
        <w:pStyle w:val="4"/>
        <w:keepNext/>
        <w:keepLines/>
        <w:spacing w:before="260" w:beforeLines="0" w:after="260" w:afterLines="0" w:line="408" w:lineRule="auto"/>
        <w:jc w:val="both"/>
        <w:rPr>
          <w:rFonts w:hint="eastAsia" w:ascii="华文中宋" w:hAnsi="华文中宋" w:eastAsia="华文中宋"/>
          <w:color w:val="auto"/>
          <w:kern w:val="2"/>
          <w:sz w:val="36"/>
          <w:szCs w:val="24"/>
          <w:lang w:val="en-US"/>
        </w:rPr>
      </w:pPr>
      <w:r>
        <w:rPr>
          <w:rFonts w:hint="eastAsia" w:ascii="仿宋" w:hAnsi="仿宋" w:eastAsia="仿宋"/>
          <w:color w:val="auto"/>
          <w:kern w:val="2"/>
          <w:sz w:val="32"/>
          <w:szCs w:val="24"/>
          <w:lang w:val="en-US"/>
        </w:rPr>
        <w:t>十三、财政拨款“三公”经费支出决算表</w:t>
      </w:r>
    </w:p>
    <w:sectPr>
      <w:pgSz w:w="12240" w:h="15840"/>
      <w:pgMar w:top="1134" w:right="1134" w:bottom="1134" w:left="1134"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ABBBC5-E6AE-43FB-B440-6BB28566CF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3C0DE5D8-7739-453D-93BB-FF9100D0B68D}"/>
  </w:font>
  <w:font w:name="仿宋_GB2312">
    <w:panose1 w:val="02010609030101010101"/>
    <w:charset w:val="86"/>
    <w:family w:val="modern"/>
    <w:pitch w:val="default"/>
    <w:sig w:usb0="00000001" w:usb1="080E0000" w:usb2="00000000" w:usb3="00000000" w:csb0="00040000" w:csb1="00000000"/>
    <w:embedRegular r:id="rId3" w:fontKey="{DF42AF46-D8F2-47CB-AD52-74BDFB89B7C1}"/>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embedRegular r:id="rId4" w:fontKey="{C7CCD166-D99E-4D9C-997D-16645DD30EEB}"/>
  </w:font>
  <w:font w:name="方正小标宋简体">
    <w:panose1 w:val="02000000000000000000"/>
    <w:charset w:val="86"/>
    <w:family w:val="script"/>
    <w:pitch w:val="default"/>
    <w:sig w:usb0="00000001" w:usb1="080E0000" w:usb2="00000000" w:usb3="00000000" w:csb0="00040000" w:csb1="00000000"/>
    <w:embedRegular r:id="rId5" w:fontKey="{3EE8BE15-E313-4680-BDC5-11E797840670}"/>
  </w:font>
  <w:font w:name="方正黑体_GBK">
    <w:panose1 w:val="03000509000000000000"/>
    <w:charset w:val="86"/>
    <w:family w:val="auto"/>
    <w:pitch w:val="default"/>
    <w:sig w:usb0="00000001" w:usb1="080E0000" w:usb2="00000000" w:usb3="00000000" w:csb0="00040000" w:csb1="00000000"/>
    <w:embedRegular r:id="rId6" w:fontKey="{C5E6101B-F4FA-4274-9275-E11DAC5A4C7D}"/>
  </w:font>
  <w:font w:name="方正仿宋_GBK">
    <w:panose1 w:val="03000509000000000000"/>
    <w:charset w:val="86"/>
    <w:family w:val="auto"/>
    <w:pitch w:val="default"/>
    <w:sig w:usb0="00000001" w:usb1="080E0000" w:usb2="00000000" w:usb3="00000000" w:csb0="00040000" w:csb1="00000000"/>
    <w:embedRegular r:id="rId7" w:fontKey="{EAA023F6-BE29-45FF-B6DC-F7D5CD98FBE1}"/>
  </w:font>
  <w:font w:name="楷体">
    <w:panose1 w:val="02010609060101010101"/>
    <w:charset w:val="86"/>
    <w:family w:val="auto"/>
    <w:pitch w:val="default"/>
    <w:sig w:usb0="800002BF" w:usb1="38CF7CFA" w:usb2="00000016" w:usb3="00000000" w:csb0="00040001" w:csb1="00000000"/>
    <w:embedRegular r:id="rId8" w:fontKey="{BFA8D14A-CAA0-43B1-AB04-40F07205BBE5}"/>
  </w:font>
  <w:font w:name="楷体_GB2312">
    <w:panose1 w:val="02010609030101010101"/>
    <w:charset w:val="86"/>
    <w:family w:val="modern"/>
    <w:pitch w:val="default"/>
    <w:sig w:usb0="00000001" w:usb1="080E0000" w:usb2="00000000" w:usb3="00000000" w:csb0="00040000" w:csb1="00000000"/>
    <w:embedRegular r:id="rId9" w:fontKey="{F0F938D7-676A-4999-AF85-0EEDB820CD43}"/>
  </w:font>
  <w:font w:name="华文中宋">
    <w:panose1 w:val="02010600040101010101"/>
    <w:charset w:val="86"/>
    <w:family w:val="auto"/>
    <w:pitch w:val="default"/>
    <w:sig w:usb0="00000287" w:usb1="080F0000" w:usb2="00000000" w:usb3="00000000" w:csb0="0004009F" w:csb1="DFD70000"/>
    <w:embedRegular r:id="rId10" w:fontKey="{4B1C3B42-0FD8-4BEF-A300-41406B1A2E9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172A27"/>
    <w:rsid w:val="0179020E"/>
    <w:rsid w:val="01EF61BD"/>
    <w:rsid w:val="037E6786"/>
    <w:rsid w:val="089A0467"/>
    <w:rsid w:val="0F90017B"/>
    <w:rsid w:val="101A0499"/>
    <w:rsid w:val="105266A9"/>
    <w:rsid w:val="13480630"/>
    <w:rsid w:val="15025F7F"/>
    <w:rsid w:val="15116F8E"/>
    <w:rsid w:val="1B9A342D"/>
    <w:rsid w:val="1DE173F4"/>
    <w:rsid w:val="1E034E18"/>
    <w:rsid w:val="202A5AF9"/>
    <w:rsid w:val="21285D38"/>
    <w:rsid w:val="2A975780"/>
    <w:rsid w:val="2AA82D8E"/>
    <w:rsid w:val="2B9144CC"/>
    <w:rsid w:val="2BFE47B2"/>
    <w:rsid w:val="329C2289"/>
    <w:rsid w:val="32C14C2D"/>
    <w:rsid w:val="358E1228"/>
    <w:rsid w:val="363A4E82"/>
    <w:rsid w:val="387D3793"/>
    <w:rsid w:val="388A584C"/>
    <w:rsid w:val="398304ED"/>
    <w:rsid w:val="41973D45"/>
    <w:rsid w:val="459736E0"/>
    <w:rsid w:val="4B465BAD"/>
    <w:rsid w:val="4CB132D9"/>
    <w:rsid w:val="4D3462B0"/>
    <w:rsid w:val="4F7E757C"/>
    <w:rsid w:val="57677A13"/>
    <w:rsid w:val="57E15CB5"/>
    <w:rsid w:val="5826385F"/>
    <w:rsid w:val="5C710D8F"/>
    <w:rsid w:val="5D4A2A18"/>
    <w:rsid w:val="5D5855C9"/>
    <w:rsid w:val="5D702204"/>
    <w:rsid w:val="5DBE372A"/>
    <w:rsid w:val="6067035A"/>
    <w:rsid w:val="614366D4"/>
    <w:rsid w:val="641D2496"/>
    <w:rsid w:val="660C15FB"/>
    <w:rsid w:val="67192A25"/>
    <w:rsid w:val="67E04112"/>
    <w:rsid w:val="6AF66605"/>
    <w:rsid w:val="6CC617A9"/>
    <w:rsid w:val="6F317B0F"/>
    <w:rsid w:val="6F5B2A4C"/>
    <w:rsid w:val="704A24E9"/>
    <w:rsid w:val="7B1F1A55"/>
    <w:rsid w:val="7C5757E9"/>
    <w:rsid w:val="7CE032EF"/>
    <w:rsid w:val="7DB321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iPriority="99"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3">
    <w:name w:val="heading 1"/>
    <w:basedOn w:val="1"/>
    <w:next w:val="1"/>
    <w:link w:val="18"/>
    <w:unhideWhenUsed/>
    <w:qFormat/>
    <w:uiPriority w:val="99"/>
    <w:pPr>
      <w:spacing w:beforeLines="0" w:afterLines="0"/>
      <w:outlineLvl w:val="0"/>
    </w:pPr>
    <w:rPr>
      <w:rFonts w:hint="default"/>
      <w:sz w:val="24"/>
      <w:szCs w:val="24"/>
    </w:rPr>
  </w:style>
  <w:style w:type="paragraph" w:styleId="4">
    <w:name w:val="heading 2"/>
    <w:basedOn w:val="1"/>
    <w:next w:val="1"/>
    <w:link w:val="16"/>
    <w:unhideWhenUsed/>
    <w:qFormat/>
    <w:uiPriority w:val="99"/>
    <w:pPr>
      <w:spacing w:beforeLines="0" w:afterLines="0"/>
      <w:outlineLvl w:val="1"/>
    </w:pPr>
    <w:rPr>
      <w:rFonts w:hint="default"/>
      <w:sz w:val="24"/>
      <w:szCs w:val="24"/>
    </w:rPr>
  </w:style>
  <w:style w:type="character" w:default="1" w:styleId="10">
    <w:name w:val="Default Paragraph Font"/>
    <w:unhideWhenUsed/>
    <w:qFormat/>
    <w:uiPriority w:val="1"/>
    <w:rPr>
      <w:rFonts w:hint="default"/>
      <w:sz w:val="24"/>
      <w:szCs w:val="24"/>
    </w:rPr>
  </w:style>
  <w:style w:type="table" w:default="1" w:styleId="9">
    <w:name w:val="Normal Table"/>
    <w:qFormat/>
    <w:uiPriority w:val="99"/>
    <w:tblPr>
      <w:tblCellMar>
        <w:top w:w="0" w:type="dxa"/>
        <w:left w:w="108" w:type="dxa"/>
        <w:bottom w:w="0" w:type="dxa"/>
        <w:right w:w="108" w:type="dxa"/>
      </w:tblCellMar>
    </w:tblPr>
  </w:style>
  <w:style w:type="paragraph" w:styleId="2">
    <w:name w:val="Title"/>
    <w:basedOn w:val="1"/>
    <w:next w:val="1"/>
    <w:unhideWhenUsed/>
    <w:qFormat/>
    <w:uiPriority w:val="99"/>
    <w:pPr>
      <w:spacing w:before="240" w:beforeLines="0" w:after="60" w:afterLines="0"/>
      <w:jc w:val="center"/>
      <w:outlineLvl w:val="0"/>
    </w:pPr>
    <w:rPr>
      <w:rFonts w:hint="default" w:ascii="Arial" w:hAnsi="Arial" w:eastAsia="宋体" w:cs="Arial"/>
      <w:b/>
      <w:sz w:val="24"/>
      <w:szCs w:val="24"/>
    </w:rPr>
  </w:style>
  <w:style w:type="paragraph" w:styleId="5">
    <w:name w:val="annotation text"/>
    <w:basedOn w:val="1"/>
    <w:qFormat/>
    <w:uiPriority w:val="99"/>
    <w:pPr>
      <w:jc w:val="left"/>
    </w:pPr>
  </w:style>
  <w:style w:type="paragraph" w:styleId="6">
    <w:name w:val="Body Text"/>
    <w:basedOn w:val="1"/>
    <w:unhideWhenUsed/>
    <w:qFormat/>
    <w:uiPriority w:val="99"/>
    <w:pPr>
      <w:spacing w:beforeLines="30" w:afterLines="0"/>
    </w:pPr>
    <w:rPr>
      <w:rFonts w:hint="eastAsia" w:ascii="仿宋_GB2312" w:hAnsi="Times New Roman" w:eastAsia="仿宋_GB2312"/>
      <w:sz w:val="30"/>
      <w:szCs w:val="24"/>
    </w:rPr>
  </w:style>
  <w:style w:type="paragraph" w:styleId="7">
    <w:name w:val="footer"/>
    <w:basedOn w:val="1"/>
    <w:next w:val="1"/>
    <w:unhideWhenUsed/>
    <w:qFormat/>
    <w:uiPriority w:val="99"/>
    <w:pPr>
      <w:tabs>
        <w:tab w:val="center" w:pos="4153"/>
        <w:tab w:val="right" w:pos="8306"/>
      </w:tabs>
      <w:snapToGrid w:val="0"/>
      <w:spacing w:beforeLines="0" w:afterLines="0"/>
    </w:pPr>
    <w:rPr>
      <w:rFonts w:hint="default" w:ascii="Calibri" w:hAnsi="Calibri" w:eastAsia="宋体"/>
      <w:sz w:val="18"/>
      <w:szCs w:val="24"/>
    </w:rPr>
  </w:style>
  <w:style w:type="paragraph" w:styleId="8">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default" w:ascii="Calibri" w:hAnsi="Calibri" w:eastAsia="宋体"/>
      <w:sz w:val="18"/>
      <w:szCs w:val="24"/>
    </w:rPr>
  </w:style>
  <w:style w:type="character" w:styleId="11">
    <w:name w:val="Strong"/>
    <w:basedOn w:val="10"/>
    <w:unhideWhenUsed/>
    <w:qFormat/>
    <w:uiPriority w:val="99"/>
    <w:rPr>
      <w:rFonts w:hint="default"/>
      <w:b/>
      <w:sz w:val="24"/>
      <w:szCs w:val="24"/>
    </w:rPr>
  </w:style>
  <w:style w:type="paragraph" w:customStyle="1" w:styleId="12">
    <w:name w:val="WPSOffice手动目录 2"/>
    <w:qFormat/>
    <w:uiPriority w:val="0"/>
    <w:pPr>
      <w:ind w:leftChars="200"/>
    </w:pPr>
    <w:rPr>
      <w:rFonts w:ascii="Calibri" w:hAnsi="Calibri" w:eastAsia="宋体" w:cs="Times New Roman"/>
      <w:sz w:val="20"/>
      <w:szCs w:val="20"/>
    </w:rPr>
  </w:style>
  <w:style w:type="paragraph" w:customStyle="1" w:styleId="13">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paragraph" w:customStyle="1" w:styleId="14">
    <w:name w:val="四号正文"/>
    <w:basedOn w:val="1"/>
    <w:unhideWhenUsed/>
    <w:qFormat/>
    <w:uiPriority w:val="0"/>
    <w:pPr>
      <w:spacing w:beforeLines="0" w:afterLines="0" w:line="360" w:lineRule="auto"/>
    </w:pPr>
    <w:rPr>
      <w:rFonts w:hint="default" w:ascii="??" w:hAnsi="??" w:eastAsia="宋体"/>
      <w:color w:val="000000"/>
      <w:sz w:val="28"/>
      <w:szCs w:val="24"/>
      <w:lang w:val="zh-CN"/>
    </w:rPr>
  </w:style>
  <w:style w:type="character" w:customStyle="1" w:styleId="15">
    <w:name w:val="标题 2 Char"/>
    <w:basedOn w:val="10"/>
    <w:link w:val="4"/>
    <w:unhideWhenUsed/>
    <w:qFormat/>
    <w:uiPriority w:val="9"/>
    <w:rPr>
      <w:rFonts w:hint="default" w:ascii="Cambria" w:hAnsi="Cambria" w:eastAsia="宋体" w:cs="Times New Roman"/>
      <w:b/>
      <w:kern w:val="2"/>
      <w:sz w:val="32"/>
      <w:szCs w:val="32"/>
    </w:rPr>
  </w:style>
  <w:style w:type="character" w:customStyle="1" w:styleId="16">
    <w:name w:val=" Char Char5"/>
    <w:basedOn w:val="10"/>
    <w:link w:val="4"/>
    <w:unhideWhenUsed/>
    <w:qFormat/>
    <w:locked/>
    <w:uiPriority w:val="9"/>
    <w:rPr>
      <w:rFonts w:hint="default"/>
      <w:sz w:val="24"/>
      <w:szCs w:val="24"/>
    </w:rPr>
  </w:style>
  <w:style w:type="character" w:customStyle="1" w:styleId="17">
    <w:name w:val="标题 1 Char"/>
    <w:basedOn w:val="10"/>
    <w:link w:val="3"/>
    <w:unhideWhenUsed/>
    <w:qFormat/>
    <w:uiPriority w:val="9"/>
    <w:rPr>
      <w:rFonts w:hint="eastAsia" w:ascii="Times New Roman" w:hAnsi="Times New Roman" w:eastAsia="Times New Roman"/>
      <w:b/>
      <w:kern w:val="44"/>
      <w:sz w:val="44"/>
      <w:szCs w:val="24"/>
    </w:rPr>
  </w:style>
  <w:style w:type="character" w:customStyle="1" w:styleId="18">
    <w:name w:val=" Char Char6"/>
    <w:basedOn w:val="10"/>
    <w:link w:val="3"/>
    <w:unhideWhenUsed/>
    <w:qFormat/>
    <w:locked/>
    <w:uiPriority w:val="9"/>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13844</Words>
  <Characters>14665</Characters>
  <TotalTime>3</TotalTime>
  <ScaleCrop>false</ScaleCrop>
  <LinksUpToDate>false</LinksUpToDate>
  <CharactersWithSpaces>15209</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2023-10-19T03:26:00Z</dcterms:created>
  <dc:creator>Administrator</dc:creator>
  <cp:lastModifiedBy>碧云天</cp:lastModifiedBy>
  <cp:lastPrinted>2023-10-25T08:38:00Z</cp:lastPrinted>
  <dcterms:modified xsi:type="dcterms:W3CDTF">2024-12-09T01:13:53Z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28A40388BCAF4B2BBEE6BFA26315D409_13</vt:lpwstr>
  </property>
</Properties>
</file>