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5C5C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宋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color w:val="auto"/>
          <w:sz w:val="44"/>
          <w:szCs w:val="44"/>
        </w:rPr>
        <w:t>项目支出绩效自评报告</w:t>
      </w:r>
    </w:p>
    <w:p w14:paraId="369C950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（对残疾人救济救助专项经费）</w:t>
      </w:r>
    </w:p>
    <w:p w14:paraId="15B7AB73">
      <w:pPr>
        <w:rPr>
          <w:rFonts w:hint="eastAsia"/>
          <w:color w:val="auto"/>
          <w:lang w:val="zh-CN"/>
        </w:rPr>
      </w:pPr>
    </w:p>
    <w:p w14:paraId="04766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lang w:val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lang w:val="zh-CN"/>
        </w:rPr>
        <w:t>项目概况</w:t>
      </w:r>
    </w:p>
    <w:p w14:paraId="1303A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lang w:val="zh-CN"/>
        </w:rPr>
      </w:pPr>
      <w:r>
        <w:rPr>
          <w:rFonts w:hint="eastAsia" w:ascii="楷体_GB2312" w:hAnsi="楷体_GB2312" w:eastAsia="楷体_GB2312" w:cs="楷体_GB2312"/>
          <w:color w:val="auto"/>
          <w:lang w:val="zh-CN"/>
        </w:rPr>
        <w:t>（</w:t>
      </w:r>
      <w:r>
        <w:rPr>
          <w:rFonts w:hint="eastAsia" w:ascii="楷体_GB2312" w:hAnsi="楷体_GB2312" w:eastAsia="楷体_GB2312" w:cs="楷体_GB2312"/>
          <w:color w:val="auto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lang w:val="zh-CN"/>
        </w:rPr>
        <w:t>）项目资金申报及批复情况。</w:t>
      </w:r>
    </w:p>
    <w:p w14:paraId="6928E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lang w:val="zh-CN"/>
        </w:rPr>
        <w:t>2023年对残疾人救济救助专项经费县级预算128.94万元，主要项目资金情况：医疗保险补助31.44万</w:t>
      </w:r>
      <w:r>
        <w:rPr>
          <w:rFonts w:hint="eastAsia" w:ascii="仿宋_GB2312" w:hAnsi="仿宋_GB2312" w:cs="仿宋_GB2312"/>
          <w:color w:val="auto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lang w:val="zh-CN"/>
        </w:rPr>
        <w:t>、紧急救助2.1万</w:t>
      </w:r>
      <w:r>
        <w:rPr>
          <w:rFonts w:hint="eastAsia" w:ascii="仿宋_GB2312" w:hAnsi="仿宋_GB2312" w:cs="仿宋_GB2312"/>
          <w:color w:val="auto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lang w:val="zh-CN"/>
        </w:rPr>
        <w:t>、残疾人慰问27.9万</w:t>
      </w:r>
      <w:r>
        <w:rPr>
          <w:rFonts w:hint="eastAsia" w:ascii="仿宋_GB2312" w:hAnsi="仿宋_GB2312" w:cs="仿宋_GB2312"/>
          <w:color w:val="auto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lang w:val="zh-CN"/>
        </w:rPr>
        <w:t>、残疾学生和残疾人子女就学补助5.85万</w:t>
      </w:r>
      <w:r>
        <w:rPr>
          <w:rFonts w:hint="eastAsia" w:ascii="仿宋_GB2312" w:hAnsi="仿宋_GB2312" w:cs="仿宋_GB2312"/>
          <w:color w:val="auto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lang w:val="zh-CN"/>
        </w:rPr>
        <w:t>、残疾人居家灵活就业13.51万</w:t>
      </w:r>
      <w:r>
        <w:rPr>
          <w:rFonts w:hint="eastAsia" w:ascii="仿宋_GB2312" w:hAnsi="仿宋_GB2312" w:cs="仿宋_GB2312"/>
          <w:color w:val="auto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lang w:val="zh-CN"/>
        </w:rPr>
        <w:t>、为残疾人购意外保险25.14万</w:t>
      </w:r>
      <w:r>
        <w:rPr>
          <w:rFonts w:hint="eastAsia" w:ascii="仿宋_GB2312" w:hAnsi="仿宋_GB2312" w:cs="仿宋_GB2312"/>
          <w:color w:val="auto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lang w:val="zh-CN"/>
        </w:rPr>
        <w:t>、扶持残疾人发展生产23万</w:t>
      </w:r>
      <w:r>
        <w:rPr>
          <w:rFonts w:hint="eastAsia" w:ascii="仿宋_GB2312" w:hAnsi="仿宋_GB2312" w:cs="仿宋_GB2312"/>
          <w:color w:val="auto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lang w:val="zh-CN"/>
        </w:rPr>
        <w:t>。</w:t>
      </w:r>
    </w:p>
    <w:p w14:paraId="6ECF6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lang w:val="zh-CN"/>
        </w:rPr>
      </w:pPr>
      <w:r>
        <w:rPr>
          <w:rFonts w:hint="eastAsia" w:ascii="楷体_GB2312" w:hAnsi="楷体_GB2312" w:eastAsia="楷体_GB2312" w:cs="楷体_GB2312"/>
          <w:color w:val="auto"/>
          <w:lang w:val="zh-CN"/>
        </w:rPr>
        <w:t>（二）项目绩效目标。</w:t>
      </w:r>
    </w:p>
    <w:p w14:paraId="00C9B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lang w:val="zh-CN"/>
        </w:rPr>
        <w:t>医疗保险补助人数按实、紧急救助按实、残疾人慰问750人、残疾学生和残疾人子女就学补助按实、残疾人居家灵活就业补助800人、为残疾人购意外保险按实、扶持残疾人发展生产补助200人。</w:t>
      </w:r>
    </w:p>
    <w:p w14:paraId="799CC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lang w:val="zh-CN"/>
        </w:rPr>
      </w:pPr>
      <w:r>
        <w:rPr>
          <w:rFonts w:hint="eastAsia" w:ascii="楷体_GB2312" w:hAnsi="楷体_GB2312" w:eastAsia="楷体_GB2312" w:cs="楷体_GB2312"/>
          <w:color w:val="auto"/>
          <w:lang w:val="zh-CN"/>
        </w:rPr>
        <w:t>（三）项目资金申报相符性。</w:t>
      </w:r>
    </w:p>
    <w:p w14:paraId="69157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lang w:val="zh-CN"/>
        </w:rPr>
        <w:t>根据市下目标任务和峨边县惠残助残实施方案申报各项目资金，申报内容与实施内容相符，申报目标合理可行。</w:t>
      </w:r>
    </w:p>
    <w:p w14:paraId="6FFCF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二、项目实施及管理情况</w:t>
      </w:r>
    </w:p>
    <w:p w14:paraId="6D993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lang w:val="zh-CN"/>
        </w:rPr>
      </w:pPr>
      <w:r>
        <w:rPr>
          <w:rFonts w:hint="eastAsia" w:ascii="楷体_GB2312" w:hAnsi="楷体_GB2312" w:eastAsia="楷体_GB2312" w:cs="楷体_GB2312"/>
          <w:color w:val="auto"/>
          <w:lang w:val="zh-CN"/>
        </w:rPr>
        <w:t>（一）资金计划、到位及使用情况。</w:t>
      </w:r>
    </w:p>
    <w:p w14:paraId="09556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color w:val="auto"/>
          <w:lang w:val="zh-CN"/>
        </w:rPr>
      </w:pPr>
      <w:r>
        <w:rPr>
          <w:rFonts w:hint="eastAsia"/>
          <w:color w:val="auto"/>
          <w:lang w:val="zh-CN"/>
        </w:rPr>
        <w:t>1.资金计划及到位。</w:t>
      </w:r>
    </w:p>
    <w:p w14:paraId="7AFAE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lang w:val="zh-CN"/>
        </w:rPr>
        <w:t>2023年对残疾人救济救助专项经费县级预算资金到位128.94万元。</w:t>
      </w:r>
    </w:p>
    <w:p w14:paraId="510D7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color w:val="auto"/>
          <w:lang w:val="zh-CN"/>
        </w:rPr>
      </w:pPr>
      <w:r>
        <w:rPr>
          <w:rFonts w:hint="eastAsia"/>
          <w:color w:val="auto"/>
          <w:lang w:val="zh-CN"/>
        </w:rPr>
        <w:t>2.资金使用。</w:t>
      </w:r>
    </w:p>
    <w:p w14:paraId="39677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lang w:val="zh-CN"/>
        </w:rPr>
        <w:t>2023年对残疾人救济救助专项经费县级预算资金支付128.94万元。资金支付范围、标准、依据合规合法，与预算相符。</w:t>
      </w:r>
    </w:p>
    <w:p w14:paraId="57D48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lang w:val="zh-CN"/>
        </w:rPr>
      </w:pPr>
      <w:r>
        <w:rPr>
          <w:rFonts w:hint="eastAsia" w:ascii="楷体_GB2312" w:hAnsi="楷体_GB2312" w:eastAsia="楷体_GB2312" w:cs="楷体_GB2312"/>
          <w:color w:val="auto"/>
          <w:lang w:val="zh-CN"/>
        </w:rPr>
        <w:t>（二）项目财务管理情况。</w:t>
      </w:r>
    </w:p>
    <w:p w14:paraId="79F02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lang w:val="zh-CN"/>
        </w:rPr>
        <w:t>残联项目财务管理制度健全，制定三校三审制度，严格执行财务管理制度、财务处理及时、会计核算规范。</w:t>
      </w:r>
    </w:p>
    <w:p w14:paraId="1EB8E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lang w:val="zh-CN"/>
        </w:rPr>
      </w:pPr>
      <w:r>
        <w:rPr>
          <w:rFonts w:hint="eastAsia" w:ascii="楷体_GB2312" w:hAnsi="楷体_GB2312" w:eastAsia="楷体_GB2312" w:cs="楷体_GB2312"/>
          <w:color w:val="auto"/>
          <w:lang w:val="zh-CN"/>
        </w:rPr>
        <w:t>（三）项目组织实施情况。</w:t>
      </w:r>
    </w:p>
    <w:p w14:paraId="4955B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lang w:val="zh-CN"/>
        </w:rPr>
        <w:t>残联项目实施首先由县残联下发项目实施方案，经乡镇残联上报，县残联具体业务人收集汇总并初审，然后提交办公会审核，通过后支付资金。由于项目资金量小，政府采购主要采用竞争性磋商和邀请比选方式，严格按照政府采购制度规范实施。</w:t>
      </w:r>
    </w:p>
    <w:p w14:paraId="1210B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lang w:val="zh-CN"/>
        </w:rPr>
      </w:pPr>
      <w:r>
        <w:rPr>
          <w:rFonts w:hint="eastAsia" w:ascii="黑体" w:hAnsi="黑体" w:eastAsia="黑体" w:cs="黑体"/>
          <w:color w:val="auto"/>
        </w:rPr>
        <w:t>三、项目绩效情况</w:t>
      </w:r>
      <w:r>
        <w:rPr>
          <w:rFonts w:hint="eastAsia" w:ascii="黑体" w:hAnsi="黑体" w:eastAsia="黑体" w:cs="黑体"/>
          <w:color w:val="auto"/>
          <w:lang w:val="zh-CN"/>
        </w:rPr>
        <w:tab/>
      </w:r>
    </w:p>
    <w:p w14:paraId="5436B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lang w:val="zh-CN"/>
        </w:rPr>
      </w:pPr>
      <w:r>
        <w:rPr>
          <w:rFonts w:hint="eastAsia" w:ascii="楷体_GB2312" w:hAnsi="楷体_GB2312" w:eastAsia="楷体_GB2312" w:cs="楷体_GB2312"/>
          <w:color w:val="auto"/>
          <w:lang w:val="zh-CN"/>
        </w:rPr>
        <w:t>（一）项目完成情况。</w:t>
      </w:r>
    </w:p>
    <w:p w14:paraId="1E0E5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lang w:val="zh-CN"/>
        </w:rPr>
        <w:t>2023年对残疾人救济救助专项经费县级预算资金目标完成情况：医疗保险补助1328人、紧急救助5人、残疾人慰问755人、残疾学生和残疾人子女就学补助258人、残疾人居家灵活就业800人、为残疾人购意外保险5028人、扶持残疾人发展生产200人。</w:t>
      </w:r>
    </w:p>
    <w:p w14:paraId="3FB23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lang w:val="zh-CN"/>
        </w:rPr>
      </w:pPr>
      <w:r>
        <w:rPr>
          <w:rFonts w:hint="eastAsia" w:ascii="楷体_GB2312" w:hAnsi="楷体_GB2312" w:eastAsia="楷体_GB2312" w:cs="楷体_GB2312"/>
          <w:color w:val="auto"/>
          <w:lang w:val="zh-CN"/>
        </w:rPr>
        <w:t>（二）项目效益情况。</w:t>
      </w:r>
    </w:p>
    <w:p w14:paraId="49AC5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lang w:val="zh-CN"/>
        </w:rPr>
        <w:t>残疾人事业发展项目的实施，有效减轻了残疾人家庭经济负担，提升了残疾人康复水平，改善了残疾人生活状况，关心、理解、支持残疾人的社会氛围逐步形成，接受服务的残疾人或残疾人家属满意度达85%以上。</w:t>
      </w:r>
    </w:p>
    <w:p w14:paraId="35C1E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四、问题及建议</w:t>
      </w:r>
    </w:p>
    <w:p w14:paraId="6BCA8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lang w:val="zh-CN"/>
        </w:rPr>
      </w:pPr>
      <w:r>
        <w:rPr>
          <w:rFonts w:hint="eastAsia" w:ascii="楷体_GB2312" w:hAnsi="楷体_GB2312" w:eastAsia="楷体_GB2312" w:cs="楷体_GB2312"/>
          <w:color w:val="auto"/>
          <w:lang w:val="zh-CN"/>
        </w:rPr>
        <w:t>（一）存在的问题。</w:t>
      </w:r>
    </w:p>
    <w:p w14:paraId="3A98B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lang w:val="zh-CN"/>
        </w:rPr>
        <w:t>无。</w:t>
      </w:r>
    </w:p>
    <w:p w14:paraId="02B3B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lang w:val="zh-CN"/>
        </w:rPr>
      </w:pPr>
      <w:r>
        <w:rPr>
          <w:rFonts w:hint="eastAsia" w:ascii="楷体_GB2312" w:hAnsi="楷体_GB2312" w:eastAsia="楷体_GB2312" w:cs="楷体_GB2312"/>
          <w:color w:val="auto"/>
          <w:lang w:val="zh-CN"/>
        </w:rPr>
        <w:t>（二）相关建议。</w:t>
      </w:r>
    </w:p>
    <w:p w14:paraId="5EB54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lang w:val="zh-CN"/>
        </w:rPr>
        <w:t>按照习近平总书记提出“残疾人群体是特殊群体，需要全社会格外关心、格外关注”，建议对残疾人事业发展增加投入，促进全县残疾人事业健康稳步发展。</w:t>
      </w:r>
    </w:p>
    <w:p w14:paraId="7DAA7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color w:val="auto"/>
          <w:lang w:val="zh-CN"/>
        </w:rPr>
      </w:pPr>
    </w:p>
    <w:p w14:paraId="52CB9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color w:val="auto"/>
          <w:lang w:val="zh-CN"/>
        </w:rPr>
      </w:pPr>
    </w:p>
    <w:p w14:paraId="3811E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color w:val="auto"/>
          <w:lang w:val="zh-CN"/>
        </w:rPr>
      </w:pPr>
    </w:p>
    <w:p w14:paraId="3479B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lang w:val="zh-CN"/>
        </w:rPr>
        <w:t xml:space="preserve">                   峨边彝族自治县残疾人联合会</w:t>
      </w:r>
    </w:p>
    <w:p w14:paraId="49B76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lang w:val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lang w:val="zh-CN"/>
        </w:rPr>
        <w:t xml:space="preserve">  2024年10月24日</w:t>
      </w:r>
    </w:p>
    <w:p w14:paraId="144D9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jc w:val="left"/>
        <w:textAlignment w:val="auto"/>
        <w:rPr>
          <w:color w:val="auto"/>
        </w:rPr>
      </w:pPr>
    </w:p>
    <w:bookmarkEnd w:id="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0067300"/>
      <w:docPartObj>
        <w:docPartGallery w:val="autotext"/>
      </w:docPartObj>
    </w:sdtPr>
    <w:sdtContent>
      <w:p w14:paraId="4885D3E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01E9A8E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7D2C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56E8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602D7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E59D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9CDE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g1YzQ0ZTNhODVlNTc2MTdlYzMxZGIyMmRhMjU3MTgifQ=="/>
  </w:docVars>
  <w:rsids>
    <w:rsidRoot w:val="291C455A"/>
    <w:rsid w:val="00080B12"/>
    <w:rsid w:val="000B342D"/>
    <w:rsid w:val="000B383D"/>
    <w:rsid w:val="000E12D6"/>
    <w:rsid w:val="00160BE3"/>
    <w:rsid w:val="00175C6C"/>
    <w:rsid w:val="00185DC6"/>
    <w:rsid w:val="001B1813"/>
    <w:rsid w:val="001F6313"/>
    <w:rsid w:val="00214C6D"/>
    <w:rsid w:val="002647D0"/>
    <w:rsid w:val="00293335"/>
    <w:rsid w:val="00294B88"/>
    <w:rsid w:val="002A5E78"/>
    <w:rsid w:val="002C6216"/>
    <w:rsid w:val="002E1072"/>
    <w:rsid w:val="003315AE"/>
    <w:rsid w:val="003339C7"/>
    <w:rsid w:val="003416A0"/>
    <w:rsid w:val="0049716B"/>
    <w:rsid w:val="004C3FF3"/>
    <w:rsid w:val="00511227"/>
    <w:rsid w:val="0055523D"/>
    <w:rsid w:val="005D7E8E"/>
    <w:rsid w:val="00620D5C"/>
    <w:rsid w:val="006F6CE7"/>
    <w:rsid w:val="00760822"/>
    <w:rsid w:val="00770CA2"/>
    <w:rsid w:val="0079197E"/>
    <w:rsid w:val="00802874"/>
    <w:rsid w:val="00823C2F"/>
    <w:rsid w:val="00825E3D"/>
    <w:rsid w:val="008261F5"/>
    <w:rsid w:val="00837041"/>
    <w:rsid w:val="008A5375"/>
    <w:rsid w:val="008B1975"/>
    <w:rsid w:val="008D1A18"/>
    <w:rsid w:val="009142A9"/>
    <w:rsid w:val="009D3498"/>
    <w:rsid w:val="009D776C"/>
    <w:rsid w:val="00A27F80"/>
    <w:rsid w:val="00A35F43"/>
    <w:rsid w:val="00A545D2"/>
    <w:rsid w:val="00A63F7D"/>
    <w:rsid w:val="00AA3FB2"/>
    <w:rsid w:val="00B13672"/>
    <w:rsid w:val="00B4217A"/>
    <w:rsid w:val="00C073E9"/>
    <w:rsid w:val="00C41E74"/>
    <w:rsid w:val="00C62676"/>
    <w:rsid w:val="00C641BE"/>
    <w:rsid w:val="00CF0765"/>
    <w:rsid w:val="00D039C9"/>
    <w:rsid w:val="00D16F9F"/>
    <w:rsid w:val="00DC0A4B"/>
    <w:rsid w:val="00DC1E3A"/>
    <w:rsid w:val="00DD47B3"/>
    <w:rsid w:val="00E1081C"/>
    <w:rsid w:val="00E42B1E"/>
    <w:rsid w:val="00E43927"/>
    <w:rsid w:val="00EA228B"/>
    <w:rsid w:val="00ED2B7B"/>
    <w:rsid w:val="00ED4F14"/>
    <w:rsid w:val="00F51815"/>
    <w:rsid w:val="00F67372"/>
    <w:rsid w:val="00FB0C7E"/>
    <w:rsid w:val="00FE3C16"/>
    <w:rsid w:val="00FE4A2A"/>
    <w:rsid w:val="0C187218"/>
    <w:rsid w:val="0D466608"/>
    <w:rsid w:val="0D850CC5"/>
    <w:rsid w:val="13722809"/>
    <w:rsid w:val="19B536B9"/>
    <w:rsid w:val="1E0A5785"/>
    <w:rsid w:val="25943CEA"/>
    <w:rsid w:val="291C455A"/>
    <w:rsid w:val="2A502512"/>
    <w:rsid w:val="2EA81C50"/>
    <w:rsid w:val="31A5501E"/>
    <w:rsid w:val="35DE2E40"/>
    <w:rsid w:val="36926D0C"/>
    <w:rsid w:val="414A628B"/>
    <w:rsid w:val="482B1C7F"/>
    <w:rsid w:val="5135746F"/>
    <w:rsid w:val="539454CB"/>
    <w:rsid w:val="64131CE1"/>
    <w:rsid w:val="673E27F9"/>
    <w:rsid w:val="6CED7AE1"/>
    <w:rsid w:val="6D950364"/>
    <w:rsid w:val="6EF16389"/>
    <w:rsid w:val="73246DDB"/>
    <w:rsid w:val="74276058"/>
    <w:rsid w:val="769A650E"/>
    <w:rsid w:val="79016D9C"/>
    <w:rsid w:val="7B23700B"/>
    <w:rsid w:val="FFA3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仿宋_GB2312" w:cs="Times New Roman"/>
      <w:kern w:val="2"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950</Words>
  <Characters>1027</Characters>
  <Lines>1</Lines>
  <Paragraphs>2</Paragraphs>
  <TotalTime>3</TotalTime>
  <ScaleCrop>false</ScaleCrop>
  <LinksUpToDate>false</LinksUpToDate>
  <CharactersWithSpaces>1072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2020-06-30T16:19:00Z</dcterms:created>
  <dc:creator>Administrator</dc:creator>
  <cp:lastModifiedBy>Wise</cp:lastModifiedBy>
  <cp:lastPrinted>2024-10-23T01:32:00Z</cp:lastPrinted>
  <dcterms:modified xsi:type="dcterms:W3CDTF">2024-10-24T02:50:56Z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2295F6004E7C4908A6170C90E5C595B7</vt:lpwstr>
  </property>
</Properties>
</file>