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34F83">
      <w:pPr>
        <w:keepNext w:val="0"/>
        <w:keepLines w:val="0"/>
        <w:pageBreakBefore w:val="0"/>
        <w:widowControl w:val="0"/>
        <w:kinsoku/>
        <w:wordWrap/>
        <w:overflowPunct/>
        <w:topLinePunct w:val="0"/>
        <w:bidi w:val="0"/>
        <w:spacing w:line="600" w:lineRule="exact"/>
        <w:jc w:val="center"/>
        <w:textAlignment w:val="auto"/>
        <w:outlineLvl w:val="0"/>
        <w:rPr>
          <w:rFonts w:ascii="微软雅黑" w:hAnsi="宋体" w:eastAsia="微软雅黑"/>
          <w:sz w:val="72"/>
          <w:szCs w:val="72"/>
        </w:rPr>
      </w:pPr>
      <w:bookmarkStart w:id="0" w:name="_Toc15396597"/>
      <w:bookmarkStart w:id="1" w:name="_Toc15378441"/>
      <w:bookmarkStart w:id="2" w:name="_Toc15396475"/>
      <w:bookmarkStart w:id="3" w:name="_Toc15377425"/>
      <w:bookmarkStart w:id="4" w:name="_Toc15377193"/>
      <w:bookmarkStart w:id="5" w:name="_Toc15306267"/>
    </w:p>
    <w:p w14:paraId="589B96E2">
      <w:pPr>
        <w:pStyle w:val="2"/>
        <w:keepNext w:val="0"/>
        <w:keepLines w:val="0"/>
        <w:pageBreakBefore w:val="0"/>
        <w:widowControl w:val="0"/>
        <w:kinsoku/>
        <w:wordWrap/>
        <w:overflowPunct/>
        <w:topLinePunct w:val="0"/>
        <w:bidi w:val="0"/>
        <w:spacing w:before="93"/>
        <w:textAlignment w:val="auto"/>
      </w:pPr>
    </w:p>
    <w:p w14:paraId="4EB9BB05">
      <w:pPr>
        <w:keepNext w:val="0"/>
        <w:keepLines w:val="0"/>
        <w:pageBreakBefore w:val="0"/>
        <w:widowControl w:val="0"/>
        <w:kinsoku/>
        <w:wordWrap/>
        <w:overflowPunct/>
        <w:topLinePunct w:val="0"/>
        <w:bidi w:val="0"/>
        <w:spacing w:line="600" w:lineRule="exact"/>
        <w:jc w:val="center"/>
        <w:textAlignment w:val="auto"/>
        <w:outlineLvl w:val="0"/>
        <w:rPr>
          <w:rFonts w:ascii="微软雅黑" w:hAnsi="宋体" w:eastAsia="微软雅黑"/>
          <w:sz w:val="72"/>
          <w:szCs w:val="72"/>
        </w:rPr>
      </w:pPr>
    </w:p>
    <w:p w14:paraId="455DB0EF">
      <w:pPr>
        <w:keepNext w:val="0"/>
        <w:keepLines w:val="0"/>
        <w:pageBreakBefore w:val="0"/>
        <w:widowControl w:val="0"/>
        <w:kinsoku/>
        <w:wordWrap/>
        <w:overflowPunct/>
        <w:topLinePunct w:val="0"/>
        <w:bidi w:val="0"/>
        <w:spacing w:line="600" w:lineRule="exact"/>
        <w:jc w:val="center"/>
        <w:textAlignment w:val="auto"/>
        <w:outlineLvl w:val="0"/>
        <w:rPr>
          <w:rFonts w:ascii="微软雅黑" w:hAnsi="宋体" w:eastAsia="微软雅黑"/>
          <w:sz w:val="72"/>
          <w:szCs w:val="72"/>
        </w:rPr>
      </w:pPr>
    </w:p>
    <w:p w14:paraId="6EDF2349">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60"/>
          <w:szCs w:val="60"/>
        </w:rPr>
      </w:pPr>
    </w:p>
    <w:p w14:paraId="6F86EE7B">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60"/>
          <w:szCs w:val="60"/>
        </w:rPr>
      </w:pPr>
    </w:p>
    <w:p w14:paraId="3235C95A">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w:t>
      </w:r>
      <w:bookmarkEnd w:id="0"/>
      <w:bookmarkEnd w:id="1"/>
      <w:bookmarkEnd w:id="2"/>
      <w:bookmarkEnd w:id="3"/>
      <w:bookmarkEnd w:id="4"/>
    </w:p>
    <w:bookmarkEnd w:id="5"/>
    <w:p w14:paraId="635BDB84">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44"/>
          <w:szCs w:val="44"/>
        </w:rPr>
      </w:pPr>
      <w:bookmarkStart w:id="6" w:name="_Toc15377194"/>
      <w:bookmarkStart w:id="7" w:name="_Toc15377426"/>
      <w:bookmarkStart w:id="8" w:name="_Toc15396476"/>
      <w:bookmarkStart w:id="9" w:name="_Toc15378442"/>
      <w:bookmarkStart w:id="10" w:name="_Toc15396598"/>
      <w:bookmarkStart w:id="11" w:name="_Toc15306268"/>
      <w:r>
        <w:rPr>
          <w:rFonts w:hint="eastAsia" w:ascii="方正小标宋简体" w:hAnsi="方正小标宋简体" w:eastAsia="方正小标宋简体" w:cs="方正小标宋简体"/>
          <w:sz w:val="44"/>
          <w:szCs w:val="44"/>
        </w:rPr>
        <w:t>中共峨边彝族自治县委机构编制委员会办公室</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rPr>
        <w:t>决算</w:t>
      </w:r>
      <w:bookmarkEnd w:id="6"/>
      <w:bookmarkEnd w:id="7"/>
      <w:bookmarkEnd w:id="8"/>
      <w:bookmarkEnd w:id="9"/>
      <w:bookmarkEnd w:id="10"/>
      <w:bookmarkEnd w:id="11"/>
    </w:p>
    <w:p w14:paraId="316F5351">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ascii="微软雅黑" w:hAnsi="宋体" w:eastAsia="微软雅黑"/>
          <w:sz w:val="52"/>
          <w:szCs w:val="52"/>
        </w:rPr>
      </w:pPr>
    </w:p>
    <w:p w14:paraId="1756AC19">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rPr>
      </w:pPr>
      <w:r>
        <w:rPr>
          <w:rFonts w:ascii="微软雅黑" w:hAnsi="宋体" w:eastAsia="微软雅黑"/>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1A5A4C95">
      <w:pPr>
        <w:pStyle w:val="1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14:paraId="530FF127">
      <w:pPr>
        <w:keepNext w:val="0"/>
        <w:keepLines w:val="0"/>
        <w:pageBreakBefore w:val="0"/>
        <w:widowControl w:val="0"/>
        <w:kinsoku/>
        <w:wordWrap/>
        <w:overflowPunct/>
        <w:topLinePunct w:val="0"/>
        <w:bidi w:val="0"/>
        <w:textAlignment w:val="auto"/>
      </w:pPr>
    </w:p>
    <w:p w14:paraId="177C148B">
      <w:pPr>
        <w:pStyle w:val="12"/>
        <w:keepNext w:val="0"/>
        <w:keepLines w:val="0"/>
        <w:pageBreakBefore w:val="0"/>
        <w:widowControl w:val="0"/>
        <w:kinsoku/>
        <w:wordWrap/>
        <w:overflowPunct/>
        <w:topLinePunct w:val="0"/>
        <w:autoSpaceDE/>
        <w:autoSpaceDN/>
        <w:bidi w:val="0"/>
        <w:adjustRightInd w:val="0"/>
        <w:snapToGrid w:val="0"/>
        <w:spacing w:before="0" w:line="60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一、部门职责</w:t>
      </w:r>
      <w:r>
        <w:rPr>
          <w:rFonts w:hint="default" w:ascii="Arial" w:hAnsi="Arial" w:eastAsia="仿宋_GB2312" w:cs="Arial"/>
          <w:sz w:val="32"/>
          <w:szCs w:val="32"/>
        </w:rPr>
        <w:t>…………………………………………………</w:t>
      </w:r>
      <w:r>
        <w:rPr>
          <w:rFonts w:hint="eastAsia"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1</w:t>
      </w:r>
    </w:p>
    <w:p w14:paraId="4075081E">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2</w:t>
      </w:r>
    </w:p>
    <w:p w14:paraId="60DECD6E">
      <w:pPr>
        <w:pStyle w:val="12"/>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2023年度部门决算情况说明</w:t>
      </w:r>
      <w:r>
        <w:rPr>
          <w:rFonts w:hint="default" w:ascii="Arial" w:hAnsi="Arial" w:eastAsia="仿宋_GB2312" w:cs="Arial"/>
          <w:sz w:val="32"/>
          <w:szCs w:val="32"/>
        </w:rPr>
        <w:t>…………………………</w:t>
      </w:r>
      <w:r>
        <w:rPr>
          <w:rFonts w:hint="eastAsia"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3</w:t>
      </w:r>
    </w:p>
    <w:p w14:paraId="48BDC45B">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3</w:t>
      </w:r>
    </w:p>
    <w:p w14:paraId="15343A0C">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3</w:t>
      </w:r>
    </w:p>
    <w:p w14:paraId="4D46021D">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4</w:t>
      </w:r>
    </w:p>
    <w:p w14:paraId="7A588485">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5</w:t>
      </w:r>
    </w:p>
    <w:p w14:paraId="2A73779C">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5</w:t>
      </w:r>
    </w:p>
    <w:p w14:paraId="57F9F1AA">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7</w:t>
      </w:r>
    </w:p>
    <w:p w14:paraId="18C7C13C">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8</w:t>
      </w:r>
    </w:p>
    <w:p w14:paraId="3854FFA0">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9</w:t>
      </w:r>
    </w:p>
    <w:p w14:paraId="1DC54186">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9</w:t>
      </w:r>
    </w:p>
    <w:p w14:paraId="1F9F84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Style w:val="18"/>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9</w:t>
      </w:r>
    </w:p>
    <w:p w14:paraId="1A9DD1C6">
      <w:pPr>
        <w:pStyle w:val="12"/>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11</w:t>
      </w:r>
    </w:p>
    <w:p w14:paraId="67EDE0BC">
      <w:pPr>
        <w:pStyle w:val="12"/>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14</w:t>
      </w:r>
    </w:p>
    <w:p w14:paraId="33F4B899">
      <w:pPr>
        <w:pStyle w:val="12"/>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28</w:t>
      </w:r>
    </w:p>
    <w:p w14:paraId="3BDA69A0">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16F0D102">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4C4BA372">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63CB8BA1">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377AA5F8">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1B81CC89">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六、一般公共预算财政拨款支出决算表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0B9D724B">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七、一般公共预算财政拨款支出决算明细表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2AA8F39B">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lang w:val="en-US"/>
        </w:rPr>
      </w:pPr>
      <w:r>
        <w:rPr>
          <w:rFonts w:hint="eastAsia" w:ascii="仿宋_GB2312" w:hAnsi="仿宋_GB2312" w:eastAsia="仿宋_GB2312" w:cs="仿宋_GB2312"/>
          <w:sz w:val="32"/>
          <w:szCs w:val="32"/>
        </w:rPr>
        <w:t>八、一般公共预算财政拨款基本支出决算明细表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2593E8CA">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九、一般公共预算财政拨款项目支出决算表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3F02B6E8">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十、政府性基金预算财政拨款收入支出决算表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5340B97D">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7CCA6894">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十二、国有资本经营预算财政拨款支出决算表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569CE274">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十三、财政拨款“三公”经费支出决算表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75FA64F9">
      <w:pPr>
        <w:pStyle w:val="3"/>
        <w:keepNext w:val="0"/>
        <w:keepLines w:val="0"/>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eastAsia" w:ascii="黑体" w:hAnsi="黑体" w:eastAsia="黑体"/>
          <w:b w:val="0"/>
        </w:rPr>
        <w:sectPr>
          <w:footerReference r:id="rId5" w:type="first"/>
          <w:headerReference r:id="rId3" w:type="default"/>
          <w:footerReference r:id="rId4" w:type="default"/>
          <w:pgSz w:w="11906" w:h="16838"/>
          <w:pgMar w:top="2041" w:right="1468" w:bottom="2154" w:left="1468" w:header="851" w:footer="992" w:gutter="0"/>
          <w:pgNumType w:start="1"/>
          <w:cols w:space="425" w:num="1"/>
          <w:titlePg/>
          <w:docGrid w:type="lines" w:linePitch="312" w:charSpace="0"/>
        </w:sectPr>
      </w:pPr>
      <w:bookmarkStart w:id="12" w:name="_Toc15396599"/>
      <w:bookmarkStart w:id="13" w:name="_Toc15377196"/>
    </w:p>
    <w:p w14:paraId="0866646F">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Style w:val="28"/>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Fonts w:hint="eastAsia" w:ascii="方正小标宋简体" w:hAnsi="方正小标宋简体" w:eastAsia="方正小标宋简体" w:cs="方正小标宋简体"/>
          <w:b w:val="0"/>
          <w:lang w:val="en-US" w:eastAsia="zh-CN"/>
        </w:rPr>
        <w:t xml:space="preserve"> </w:t>
      </w:r>
      <w:r>
        <w:rPr>
          <w:rStyle w:val="28"/>
          <w:rFonts w:hint="eastAsia" w:ascii="方正小标宋简体" w:hAnsi="方正小标宋简体" w:eastAsia="方正小标宋简体" w:cs="方正小标宋简体"/>
          <w:b w:val="0"/>
          <w:bCs w:val="0"/>
        </w:rPr>
        <w:t>部门概况</w:t>
      </w:r>
      <w:bookmarkEnd w:id="12"/>
      <w:bookmarkEnd w:id="13"/>
    </w:p>
    <w:p w14:paraId="43D09157">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textAlignment w:val="auto"/>
        <w:rPr>
          <w:rFonts w:hint="eastAsia" w:ascii="黑体" w:hAnsi="黑体" w:eastAsia="黑体"/>
          <w:b w:val="0"/>
          <w:sz w:val="32"/>
          <w:szCs w:val="32"/>
        </w:rPr>
      </w:pPr>
      <w:bookmarkStart w:id="14" w:name="_Toc15396600"/>
      <w:bookmarkStart w:id="15" w:name="_Toc15377197"/>
    </w:p>
    <w:p w14:paraId="6E2FC5E1">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textAlignment w:val="auto"/>
        <w:rPr>
          <w:rFonts w:hint="eastAsia" w:ascii="黑体" w:hAnsi="黑体" w:eastAsia="黑体"/>
          <w:b w:val="0"/>
          <w:sz w:val="32"/>
          <w:szCs w:val="32"/>
        </w:rPr>
      </w:pPr>
      <w:r>
        <w:rPr>
          <w:rFonts w:hint="eastAsia" w:ascii="黑体" w:hAnsi="黑体" w:eastAsia="黑体"/>
          <w:b w:val="0"/>
          <w:sz w:val="32"/>
          <w:szCs w:val="32"/>
        </w:rPr>
        <w:t>一、</w:t>
      </w:r>
      <w:bookmarkEnd w:id="14"/>
      <w:bookmarkEnd w:id="15"/>
      <w:r>
        <w:rPr>
          <w:rFonts w:hint="eastAsia" w:ascii="黑体" w:hAnsi="黑体" w:eastAsia="黑体"/>
          <w:b w:val="0"/>
          <w:sz w:val="32"/>
          <w:szCs w:val="32"/>
        </w:rPr>
        <w:t>部门职责</w:t>
      </w:r>
    </w:p>
    <w:p w14:paraId="751B44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县委编办是在县委机构编制委员会领导下负责全县行政管理体制和机构改革及机构编制管理的工作部门，主要职能职责包括以下几个方面：</w:t>
      </w:r>
    </w:p>
    <w:p w14:paraId="4CCC86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（1）贯彻执行中央和省、市关于行政管理体制和机构改革、事业单位改革及机构编制管理的方针政策、法律法规规章，组织草拟机构编制管理规范性文件并实施监督。</w:t>
      </w:r>
    </w:p>
    <w:p w14:paraId="726AE1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（2）拟定全县行政管理体制改革和机构改革方案并组织实施，审核县级各部门“三定”规定和乡镇机构改革方案，指导、协调全县行政管理体制改革和机构改革，参与行政审批制度改革工作。</w:t>
      </w:r>
    </w:p>
    <w:p w14:paraId="7E4047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（3）按规定上报跨层级调整行政编制事项。负责全县行政事业编制总量控制和机关事业单位机构编制实名制管理工作。对县级机关和县属事业单位使用空缺编制补充人员进行核批。</w:t>
      </w:r>
    </w:p>
    <w:p w14:paraId="51BD6E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（4）负责县委、县政府各部门，县人大、县政协机关，县法院、县检察院机关，县人民团体机关的机构编制管理工作。协调县级各部门之间以及与乡镇的职责分工。</w:t>
      </w:r>
    </w:p>
    <w:p w14:paraId="082635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（5）拟定全县事业单位改革总体方案并组织实施，负责县属事业单位机构编制管理，审核县属事业单位的机构编制方案，负责拟参照公务员管理事业单位职责的审核上报工作。</w:t>
      </w:r>
    </w:p>
    <w:p w14:paraId="3682F1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（6）监督检查全县行政管理体制改革和机构改革方案及机构编制规定执行情况，开展县政府部门“三定”规定执行情况评估工作。</w:t>
      </w:r>
    </w:p>
    <w:p w14:paraId="2795BA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（7）负责全县事业单位登记管理、党政群机关事业单位（含民办非企业）政务和公益中文域名注册管理工作。</w:t>
      </w:r>
    </w:p>
    <w:p w14:paraId="06B90A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（8）承办县委、县政府和县机构编制委员会交办的其他工作。</w:t>
      </w:r>
    </w:p>
    <w:p w14:paraId="78106316">
      <w:pPr>
        <w:pStyle w:val="4"/>
        <w:keepNext w:val="0"/>
        <w:keepLines w:val="0"/>
        <w:pageBreakBefore w:val="0"/>
        <w:widowControl w:val="0"/>
        <w:kinsoku/>
        <w:wordWrap/>
        <w:overflowPunct/>
        <w:topLinePunct w:val="0"/>
        <w:autoSpaceDE/>
        <w:autoSpaceDN/>
        <w:bidi w:val="0"/>
        <w:spacing w:before="0" w:after="0" w:line="600" w:lineRule="exact"/>
        <w:ind w:firstLine="640" w:firstLineChars="200"/>
        <w:textAlignment w:val="auto"/>
        <w:rPr>
          <w:rStyle w:val="29"/>
          <w:b w:val="0"/>
          <w:bCs w:val="0"/>
        </w:rPr>
      </w:pPr>
      <w:bookmarkStart w:id="16" w:name="_Toc15396601"/>
      <w:bookmarkStart w:id="17"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6"/>
      <w:bookmarkEnd w:id="17"/>
    </w:p>
    <w:p w14:paraId="683DBD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中共峨边彝族自治县委机构编制委员会办公室下属二级预算单位1个，其中行政单位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14:paraId="341F11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kern w:val="0"/>
          <w:sz w:val="32"/>
          <w:szCs w:val="32"/>
        </w:rPr>
      </w:pPr>
      <w:r>
        <w:rPr>
          <w:rFonts w:hint="eastAsia" w:ascii="仿宋_GB2312" w:hAnsi="仿宋_GB2312" w:eastAsia="仿宋_GB2312" w:cs="仿宋_GB2312"/>
          <w:sz w:val="32"/>
          <w:szCs w:val="32"/>
        </w:rPr>
        <w:t>纳入中共峨边彝族自治县委机构编制委员会办公室2023年度部门决算编制范围的二级预算单位</w:t>
      </w:r>
      <w:r>
        <w:rPr>
          <w:rFonts w:hint="eastAsia" w:ascii="仿宋_GB2312" w:hAnsi="仿宋_GB2312" w:eastAsia="仿宋_GB2312" w:cs="仿宋_GB2312"/>
          <w:sz w:val="32"/>
          <w:szCs w:val="32"/>
          <w:lang w:val="en-US" w:eastAsia="zh-CN"/>
        </w:rPr>
        <w:t>1个。</w:t>
      </w:r>
      <w:r>
        <w:rPr>
          <w:rFonts w:ascii="仿宋" w:hAnsi="仿宋" w:eastAsia="仿宋"/>
          <w:sz w:val="32"/>
          <w:szCs w:val="32"/>
        </w:rPr>
        <w:br w:type="page"/>
      </w:r>
    </w:p>
    <w:p w14:paraId="77CFCCEE">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right="442"/>
        <w:jc w:val="center"/>
        <w:textAlignment w:val="auto"/>
        <w:rPr>
          <w:rStyle w:val="28"/>
          <w:rFonts w:hint="eastAsia" w:ascii="方正小标宋简体" w:hAnsi="方正小标宋简体" w:eastAsia="方正小标宋简体" w:cs="方正小标宋简体"/>
          <w:b w:val="0"/>
          <w:bCs/>
        </w:rPr>
      </w:pPr>
      <w:bookmarkStart w:id="18" w:name="_Toc15377204"/>
      <w:bookmarkStart w:id="19" w:name="_Toc15396602"/>
      <w:r>
        <w:rPr>
          <w:rFonts w:hint="eastAsia" w:ascii="方正小标宋简体" w:hAnsi="方正小标宋简体" w:eastAsia="方正小标宋简体" w:cs="方正小标宋简体"/>
          <w:b w:val="0"/>
        </w:rPr>
        <w:t xml:space="preserve">第二部分 </w:t>
      </w:r>
      <w:r>
        <w:rPr>
          <w:rFonts w:hint="eastAsia" w:ascii="方正小标宋简体" w:hAnsi="方正小标宋简体" w:eastAsia="方正小标宋简体" w:cs="方正小标宋简体"/>
          <w:b w:val="0"/>
          <w:lang w:val="en-US" w:eastAsia="zh-CN"/>
        </w:rPr>
        <w:t xml:space="preserve"> </w:t>
      </w:r>
      <w:r>
        <w:rPr>
          <w:rFonts w:hint="eastAsia" w:ascii="方正小标宋简体" w:hAnsi="方正小标宋简体" w:eastAsia="方正小标宋简体" w:cs="方正小标宋简体"/>
          <w:b w:val="0"/>
        </w:rPr>
        <w:t>2023年度</w:t>
      </w:r>
      <w:r>
        <w:rPr>
          <w:rStyle w:val="28"/>
          <w:rFonts w:hint="eastAsia" w:ascii="方正小标宋简体" w:hAnsi="方正小标宋简体" w:eastAsia="方正小标宋简体" w:cs="方正小标宋简体"/>
          <w:b w:val="0"/>
          <w:bCs/>
        </w:rPr>
        <w:t>部门决算情况说明</w:t>
      </w:r>
      <w:bookmarkEnd w:id="18"/>
      <w:bookmarkEnd w:id="19"/>
    </w:p>
    <w:p w14:paraId="35A208D8">
      <w:pPr>
        <w:pStyle w:val="27"/>
        <w:keepNext w:val="0"/>
        <w:keepLines w:val="0"/>
        <w:pageBreakBefore w:val="0"/>
        <w:widowControl w:val="0"/>
        <w:numPr>
          <w:ilvl w:val="0"/>
          <w:numId w:val="0"/>
        </w:numPr>
        <w:kinsoku/>
        <w:wordWrap/>
        <w:overflowPunct/>
        <w:topLinePunct w:val="0"/>
        <w:bidi w:val="0"/>
        <w:adjustRightInd w:val="0"/>
        <w:snapToGrid w:val="0"/>
        <w:spacing w:line="600" w:lineRule="exact"/>
        <w:textAlignment w:val="auto"/>
        <w:outlineLvl w:val="1"/>
        <w:rPr>
          <w:rFonts w:hint="eastAsia" w:ascii="黑体" w:hAnsi="黑体" w:eastAsia="黑体"/>
          <w:sz w:val="32"/>
          <w:szCs w:val="32"/>
        </w:rPr>
      </w:pPr>
      <w:bookmarkStart w:id="20" w:name="_Toc15396603"/>
      <w:bookmarkStart w:id="21" w:name="_Toc15377205"/>
    </w:p>
    <w:p w14:paraId="2008DC48">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1"/>
        <w:rPr>
          <w:rStyle w:val="29"/>
          <w:rFonts w:ascii="黑体" w:hAnsi="黑体" w:eastAsia="黑体"/>
          <w:b w:val="0"/>
        </w:rPr>
      </w:pPr>
      <w:r>
        <w:rPr>
          <w:rFonts w:hint="eastAsia" w:ascii="黑体" w:hAnsi="黑体" w:eastAsia="黑体"/>
          <w:sz w:val="32"/>
          <w:szCs w:val="32"/>
          <w:lang w:val="en-US" w:eastAsia="zh-CN"/>
        </w:rPr>
        <w:t>一、</w:t>
      </w:r>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14:paraId="454138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2023年度收</w:t>
      </w:r>
      <w:r>
        <w:rPr>
          <w:rFonts w:hint="eastAsia" w:ascii="仿宋_GB2312" w:hAnsi="仿宋_GB2312" w:eastAsia="仿宋_GB2312" w:cs="仿宋_GB2312"/>
          <w:color w:val="auto"/>
          <w:sz w:val="32"/>
          <w:szCs w:val="32"/>
        </w:rPr>
        <w:t>、支总计均为187.35万元。与2022年度相比，收、支总计各增加</w:t>
      </w:r>
      <w:r>
        <w:rPr>
          <w:rFonts w:hint="eastAsia" w:ascii="仿宋_GB2312" w:hAnsi="仿宋_GB2312" w:eastAsia="仿宋_GB2312" w:cs="仿宋_GB2312"/>
          <w:color w:val="auto"/>
          <w:sz w:val="32"/>
          <w:szCs w:val="32"/>
          <w:lang w:val="en-US" w:eastAsia="zh-CN"/>
        </w:rPr>
        <w:t>39.54</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26.75</w:t>
      </w:r>
      <w:r>
        <w:rPr>
          <w:rFonts w:hint="eastAsia" w:ascii="仿宋_GB2312" w:hAnsi="仿宋_GB2312" w:eastAsia="仿宋_GB2312" w:cs="仿宋_GB2312"/>
          <w:color w:val="auto"/>
          <w:sz w:val="32"/>
          <w:szCs w:val="32"/>
        </w:rPr>
        <w:t>%。主要变动原因是人员增加，保险基数增加。</w:t>
      </w:r>
    </w:p>
    <w:p w14:paraId="240FD71D">
      <w:pPr>
        <w:keepNext w:val="0"/>
        <w:keepLines w:val="0"/>
        <w:pageBreakBefore w:val="0"/>
        <w:widowControl w:val="0"/>
        <w:kinsoku/>
        <w:wordWrap/>
        <w:overflowPunct/>
        <w:topLinePunct w:val="0"/>
        <w:bidi w:val="0"/>
        <w:adjustRightInd w:val="0"/>
        <w:snapToGrid w:val="0"/>
        <w:spacing w:line="600" w:lineRule="exact"/>
        <w:ind w:firstLine="420" w:firstLineChars="200"/>
        <w:textAlignment w:val="auto"/>
        <w:rPr>
          <w:rFonts w:hint="eastAsia" w:ascii="仿宋" w:hAnsi="仿宋" w:eastAsia="仿宋"/>
          <w:color w:val="FF0000"/>
          <w:sz w:val="32"/>
          <w:szCs w:val="32"/>
        </w:rPr>
      </w:pPr>
      <w:r>
        <w:drawing>
          <wp:anchor distT="0" distB="0" distL="114300" distR="114300" simplePos="0" relativeHeight="251659264" behindDoc="0" locked="0" layoutInCell="1" allowOverlap="1">
            <wp:simplePos x="0" y="0"/>
            <wp:positionH relativeFrom="column">
              <wp:posOffset>400685</wp:posOffset>
            </wp:positionH>
            <wp:positionV relativeFrom="paragraph">
              <wp:posOffset>162560</wp:posOffset>
            </wp:positionV>
            <wp:extent cx="4689475" cy="2625090"/>
            <wp:effectExtent l="4445" t="4445" r="5080" b="12065"/>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977948C">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38E77D31">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1EAD814A">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93AD131">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625868F7">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2E1BC25C">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10D2D0C1">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 w:hAnsi="仿宋" w:eastAsia="仿宋"/>
          <w:color w:val="auto"/>
          <w:sz w:val="32"/>
          <w:szCs w:val="32"/>
        </w:rPr>
      </w:pPr>
      <w:r>
        <w:rPr>
          <w:rFonts w:hint="eastAsia" w:ascii="仿宋_GB2312" w:hAnsi="仿宋_GB2312" w:eastAsia="仿宋_GB2312" w:cs="仿宋_GB2312"/>
          <w:color w:val="auto"/>
          <w:sz w:val="32"/>
          <w:szCs w:val="32"/>
        </w:rPr>
        <w:t>（图1：收、支决算总计变动情况图）（柱状图）</w:t>
      </w:r>
    </w:p>
    <w:p w14:paraId="1CB9533A">
      <w:pPr>
        <w:pStyle w:val="27"/>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color w:val="auto"/>
        </w:rPr>
      </w:pPr>
      <w:bookmarkStart w:id="22" w:name="_Toc15396604"/>
      <w:bookmarkStart w:id="23" w:name="_Toc15377206"/>
      <w:r>
        <w:rPr>
          <w:rFonts w:hint="eastAsia" w:ascii="黑体" w:hAnsi="黑体" w:eastAsia="黑体"/>
          <w:color w:val="auto"/>
          <w:sz w:val="32"/>
          <w:szCs w:val="32"/>
          <w:lang w:val="en-US" w:eastAsia="zh-CN"/>
        </w:rPr>
        <w:t>二、</w:t>
      </w:r>
      <w:r>
        <w:rPr>
          <w:rFonts w:hint="eastAsia" w:ascii="黑体" w:hAnsi="黑体" w:eastAsia="黑体"/>
          <w:color w:val="auto"/>
          <w:sz w:val="32"/>
          <w:szCs w:val="32"/>
        </w:rPr>
        <w:t>收</w:t>
      </w:r>
      <w:r>
        <w:rPr>
          <w:rStyle w:val="29"/>
          <w:rFonts w:hint="eastAsia" w:ascii="黑体" w:hAnsi="黑体" w:eastAsia="黑体"/>
          <w:b w:val="0"/>
          <w:color w:val="auto"/>
        </w:rPr>
        <w:t>入决算情况说明</w:t>
      </w:r>
      <w:bookmarkEnd w:id="22"/>
      <w:bookmarkEnd w:id="23"/>
    </w:p>
    <w:p w14:paraId="2F9DF4AD">
      <w:pPr>
        <w:keepNext w:val="0"/>
        <w:keepLines w:val="0"/>
        <w:pageBreakBefore w:val="0"/>
        <w:widowControl w:val="0"/>
        <w:kinsoku/>
        <w:wordWrap/>
        <w:overflowPunct/>
        <w:topLinePunct w:val="0"/>
        <w:bidi w:val="0"/>
        <w:adjustRightInd w:val="0"/>
        <w:snapToGrid w:val="0"/>
        <w:spacing w:line="60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2023年度本年收入合计187.35万元，其中：一般公共预算财政拨款收入186.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万元，占99.33%；政府性基金预算财政拨款收入1.25万元，占0.6</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%；国有资本经营预算财政拨款收入0万元，占0%；上级补助收入0万元，占0%；事业收入0万元，占0%；经营收入0万元，占0%；附属单位上缴收入0万元，占0%；其他收入0万元，占0%。</w:t>
      </w:r>
    </w:p>
    <w:p w14:paraId="1CCA6EDB">
      <w:pPr>
        <w:keepNext w:val="0"/>
        <w:keepLines w:val="0"/>
        <w:pageBreakBefore w:val="0"/>
        <w:widowControl w:val="0"/>
        <w:kinsoku/>
        <w:wordWrap/>
        <w:overflowPunct/>
        <w:topLinePunct w:val="0"/>
        <w:bidi w:val="0"/>
        <w:adjustRightInd w:val="0"/>
        <w:snapToGrid w:val="0"/>
        <w:spacing w:line="600" w:lineRule="exact"/>
        <w:ind w:firstLine="420" w:firstLineChars="200"/>
        <w:textAlignment w:val="auto"/>
        <w:rPr>
          <w:rFonts w:hint="eastAsia" w:ascii="仿宋" w:hAnsi="仿宋" w:eastAsia="仿宋"/>
          <w:color w:val="FF0000"/>
          <w:sz w:val="32"/>
          <w:szCs w:val="32"/>
        </w:rPr>
      </w:pPr>
      <w:r>
        <w:drawing>
          <wp:anchor distT="0" distB="0" distL="114300" distR="114300" simplePos="0" relativeHeight="251660288" behindDoc="0" locked="0" layoutInCell="1" allowOverlap="1">
            <wp:simplePos x="0" y="0"/>
            <wp:positionH relativeFrom="column">
              <wp:posOffset>764540</wp:posOffset>
            </wp:positionH>
            <wp:positionV relativeFrom="paragraph">
              <wp:posOffset>127635</wp:posOffset>
            </wp:positionV>
            <wp:extent cx="4138930" cy="2431415"/>
            <wp:effectExtent l="5080" t="4445" r="8890" b="15240"/>
            <wp:wrapSquare wrapText="bothSides"/>
            <wp:docPr id="10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4BBC4DA">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00DBBAF7">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4894C60B">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740B51F8">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30A04F8B">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5F77D4E">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4F7229D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（图2：收入决算结构图）（饼状图）</w:t>
      </w:r>
    </w:p>
    <w:p w14:paraId="41AF24A6">
      <w:pPr>
        <w:pStyle w:val="27"/>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color w:val="auto"/>
        </w:rPr>
      </w:pPr>
      <w:bookmarkStart w:id="24" w:name="_Toc15377207"/>
      <w:bookmarkStart w:id="25" w:name="_Toc15396605"/>
      <w:r>
        <w:rPr>
          <w:rFonts w:hint="eastAsia" w:ascii="黑体" w:hAnsi="黑体" w:eastAsia="黑体"/>
          <w:color w:val="auto"/>
          <w:sz w:val="32"/>
          <w:szCs w:val="32"/>
          <w:lang w:val="en-US" w:eastAsia="zh-CN"/>
        </w:rPr>
        <w:t>三、</w:t>
      </w:r>
      <w:r>
        <w:rPr>
          <w:rFonts w:hint="eastAsia" w:ascii="黑体" w:hAnsi="黑体" w:eastAsia="黑体"/>
          <w:color w:val="auto"/>
          <w:sz w:val="32"/>
          <w:szCs w:val="32"/>
        </w:rPr>
        <w:t>支</w:t>
      </w:r>
      <w:r>
        <w:rPr>
          <w:rStyle w:val="29"/>
          <w:rFonts w:hint="eastAsia" w:ascii="黑体" w:hAnsi="黑体" w:eastAsia="黑体"/>
          <w:b w:val="0"/>
          <w:color w:val="auto"/>
        </w:rPr>
        <w:t>出决算情况说明</w:t>
      </w:r>
      <w:bookmarkEnd w:id="24"/>
      <w:bookmarkEnd w:id="25"/>
    </w:p>
    <w:p w14:paraId="4A0DCB5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2023年度本年支出合计187.35万元，其中：基本支出183.61万元，占98%；项目支出3.74万元，占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%；上缴上级支出0万元，占0%；经营支出0万元，占0%；对附属单位补助支出0万元，占0%。</w:t>
      </w:r>
    </w:p>
    <w:p w14:paraId="64A91A92">
      <w:pPr>
        <w:keepNext w:val="0"/>
        <w:keepLines w:val="0"/>
        <w:pageBreakBefore w:val="0"/>
        <w:widowControl w:val="0"/>
        <w:kinsoku/>
        <w:wordWrap/>
        <w:overflowPunct/>
        <w:topLinePunct w:val="0"/>
        <w:bidi w:val="0"/>
        <w:adjustRightInd w:val="0"/>
        <w:snapToGrid w:val="0"/>
        <w:spacing w:line="600" w:lineRule="exact"/>
        <w:ind w:firstLine="420" w:firstLineChars="200"/>
        <w:textAlignment w:val="auto"/>
        <w:rPr>
          <w:rFonts w:hint="eastAsia" w:ascii="仿宋" w:hAnsi="仿宋" w:eastAsia="仿宋"/>
          <w:color w:val="FF0000"/>
          <w:sz w:val="32"/>
          <w:szCs w:val="32"/>
        </w:rPr>
      </w:pPr>
      <w:r>
        <w:drawing>
          <wp:anchor distT="0" distB="0" distL="114300" distR="114300" simplePos="0" relativeHeight="251661312" behindDoc="0" locked="0" layoutInCell="1" allowOverlap="1">
            <wp:simplePos x="0" y="0"/>
            <wp:positionH relativeFrom="column">
              <wp:posOffset>859790</wp:posOffset>
            </wp:positionH>
            <wp:positionV relativeFrom="paragraph">
              <wp:posOffset>55880</wp:posOffset>
            </wp:positionV>
            <wp:extent cx="4065270" cy="2092325"/>
            <wp:effectExtent l="4445" t="4445" r="6985" b="1143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18C0B46">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78FB810">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4B0AA0D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ADFC0D5">
      <w:pPr>
        <w:keepNext w:val="0"/>
        <w:keepLines w:val="0"/>
        <w:pageBreakBefore w:val="0"/>
        <w:widowControl w:val="0"/>
        <w:kinsoku/>
        <w:wordWrap/>
        <w:overflowPunct/>
        <w:topLinePunct w:val="0"/>
        <w:bidi w:val="0"/>
        <w:adjustRightInd w:val="0"/>
        <w:snapToGrid w:val="0"/>
        <w:spacing w:line="60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（图3：支出决算结构图）（饼状图）</w:t>
      </w:r>
    </w:p>
    <w:p w14:paraId="2DB03450">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color w:val="auto"/>
        </w:rPr>
      </w:pPr>
      <w:bookmarkStart w:id="26" w:name="_Toc15396606"/>
      <w:bookmarkStart w:id="27" w:name="_Toc15377208"/>
      <w:r>
        <w:rPr>
          <w:rFonts w:hint="eastAsia" w:ascii="黑体" w:hAnsi="黑体" w:eastAsia="黑体"/>
          <w:color w:val="auto"/>
          <w:sz w:val="32"/>
          <w:szCs w:val="32"/>
        </w:rPr>
        <w:t>四、财</w:t>
      </w:r>
      <w:r>
        <w:rPr>
          <w:rStyle w:val="29"/>
          <w:rFonts w:hint="eastAsia" w:ascii="黑体" w:hAnsi="黑体" w:eastAsia="黑体"/>
          <w:b w:val="0"/>
          <w:color w:val="auto"/>
        </w:rPr>
        <w:t>政拨款收入支出决算总体情况说明</w:t>
      </w:r>
      <w:bookmarkEnd w:id="26"/>
      <w:bookmarkEnd w:id="27"/>
    </w:p>
    <w:p w14:paraId="5026B2A4">
      <w:pPr>
        <w:keepNext w:val="0"/>
        <w:keepLines w:val="0"/>
        <w:pageBreakBefore w:val="0"/>
        <w:widowControl w:val="0"/>
        <w:kinsoku/>
        <w:wordWrap/>
        <w:overflowPunct/>
        <w:topLinePunct w:val="0"/>
        <w:bidi w:val="0"/>
        <w:adjustRightInd w:val="0"/>
        <w:snapToGrid w:val="0"/>
        <w:spacing w:line="6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2023年度财政拨款收、支总计均为187.35万元。与2022年度相比，财政拨款收、支总计各增加</w:t>
      </w:r>
      <w:r>
        <w:rPr>
          <w:rFonts w:hint="eastAsia" w:ascii="仿宋_GB2312" w:hAnsi="仿宋_GB2312" w:eastAsia="仿宋_GB2312" w:cs="仿宋_GB2312"/>
          <w:color w:val="auto"/>
          <w:sz w:val="32"/>
          <w:szCs w:val="32"/>
          <w:lang w:val="en-US" w:eastAsia="zh-CN"/>
        </w:rPr>
        <w:t>39.54</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26.75</w:t>
      </w:r>
      <w:r>
        <w:rPr>
          <w:rFonts w:hint="eastAsia" w:ascii="仿宋_GB2312" w:hAnsi="仿宋_GB2312" w:eastAsia="仿宋_GB2312" w:cs="仿宋_GB2312"/>
          <w:color w:val="auto"/>
          <w:sz w:val="32"/>
          <w:szCs w:val="32"/>
        </w:rPr>
        <w:t>%。主要变动原因是人员增加，保险基数增加。</w:t>
      </w:r>
    </w:p>
    <w:p w14:paraId="3042F2DD">
      <w:pPr>
        <w:keepNext w:val="0"/>
        <w:keepLines w:val="0"/>
        <w:pageBreakBefore w:val="0"/>
        <w:widowControl w:val="0"/>
        <w:kinsoku/>
        <w:wordWrap/>
        <w:overflowPunct/>
        <w:topLinePunct w:val="0"/>
        <w:bidi w:val="0"/>
        <w:adjustRightInd w:val="0"/>
        <w:snapToGrid w:val="0"/>
        <w:spacing w:line="600" w:lineRule="exact"/>
        <w:ind w:firstLine="420" w:firstLineChars="200"/>
        <w:textAlignment w:val="auto"/>
        <w:rPr>
          <w:rFonts w:hint="eastAsia" w:ascii="仿宋" w:hAnsi="仿宋" w:eastAsia="仿宋"/>
          <w:color w:val="FF0000"/>
          <w:sz w:val="32"/>
          <w:szCs w:val="32"/>
        </w:rPr>
      </w:pPr>
      <w:r>
        <w:drawing>
          <wp:anchor distT="0" distB="0" distL="114300" distR="114300" simplePos="0" relativeHeight="251662336" behindDoc="0" locked="0" layoutInCell="1" allowOverlap="1">
            <wp:simplePos x="0" y="0"/>
            <wp:positionH relativeFrom="column">
              <wp:posOffset>842010</wp:posOffset>
            </wp:positionH>
            <wp:positionV relativeFrom="paragraph">
              <wp:posOffset>127000</wp:posOffset>
            </wp:positionV>
            <wp:extent cx="3522345" cy="2978785"/>
            <wp:effectExtent l="4445" t="4445" r="16510" b="13970"/>
            <wp:wrapSquare wrapText="bothSides"/>
            <wp:docPr id="10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7460E06">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037E418D">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1041B4CD">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7B7C1617">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A13472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7C0A0008">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870C27F">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1C90A254">
      <w:pPr>
        <w:pStyle w:val="2"/>
        <w:rPr>
          <w:rFonts w:hint="eastAsia"/>
        </w:rPr>
      </w:pPr>
    </w:p>
    <w:p w14:paraId="3CA9E4AA">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（图4：财政拨款收、支决算总计变动情况）（柱状图）</w:t>
      </w:r>
    </w:p>
    <w:p w14:paraId="5C9F7F99">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color w:val="auto"/>
        </w:rPr>
      </w:pPr>
      <w:bookmarkStart w:id="28" w:name="_Toc15396607"/>
      <w:bookmarkStart w:id="29" w:name="_Toc15377209"/>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9"/>
          <w:rFonts w:hint="eastAsia" w:ascii="黑体" w:hAnsi="黑体" w:eastAsia="黑体"/>
          <w:b w:val="0"/>
          <w:color w:val="auto"/>
        </w:rPr>
        <w:t>般公共预算财政拨款支出决算情况说明</w:t>
      </w:r>
      <w:bookmarkEnd w:id="28"/>
      <w:bookmarkEnd w:id="29"/>
    </w:p>
    <w:p w14:paraId="7C6F0FBA">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30" w:name="_Toc15377210"/>
      <w:r>
        <w:rPr>
          <w:rFonts w:hint="eastAsia" w:ascii="楷体_GB2312" w:hAnsi="楷体_GB2312" w:eastAsia="楷体_GB2312" w:cs="楷体_GB2312"/>
          <w:b w:val="0"/>
          <w:bCs/>
          <w:color w:val="auto"/>
          <w:sz w:val="32"/>
          <w:szCs w:val="32"/>
        </w:rPr>
        <w:t>（一）一般公共预算财政拨款支出决算总体情况</w:t>
      </w:r>
      <w:bookmarkEnd w:id="30"/>
    </w:p>
    <w:p w14:paraId="7DCF5309">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2023年度一般公共预算财政拨款支出186.</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万元，占本年支出合计的99.33%。与2022年度相比，一般公共预算财政拨款支出增加</w:t>
      </w:r>
      <w:r>
        <w:rPr>
          <w:rFonts w:hint="eastAsia" w:ascii="仿宋_GB2312" w:hAnsi="仿宋_GB2312" w:eastAsia="仿宋_GB2312" w:cs="仿宋_GB2312"/>
          <w:color w:val="auto"/>
          <w:sz w:val="32"/>
          <w:szCs w:val="32"/>
          <w:lang w:val="en-US" w:eastAsia="zh-CN"/>
        </w:rPr>
        <w:t>38.28</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25.89</w:t>
      </w:r>
      <w:r>
        <w:rPr>
          <w:rFonts w:hint="eastAsia" w:ascii="仿宋_GB2312" w:hAnsi="仿宋_GB2312" w:eastAsia="仿宋_GB2312" w:cs="仿宋_GB2312"/>
          <w:color w:val="auto"/>
          <w:sz w:val="32"/>
          <w:szCs w:val="32"/>
        </w:rPr>
        <w:t>%。主要变动原因是人员增加，保险基数增加。</w:t>
      </w:r>
    </w:p>
    <w:p w14:paraId="6E0D2EA1">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auto"/>
          <w:sz w:val="32"/>
          <w:szCs w:val="32"/>
        </w:rPr>
      </w:pPr>
    </w:p>
    <w:p w14:paraId="0421333A">
      <w:pPr>
        <w:keepNext w:val="0"/>
        <w:keepLines w:val="0"/>
        <w:pageBreakBefore w:val="0"/>
        <w:widowControl w:val="0"/>
        <w:kinsoku/>
        <w:wordWrap/>
        <w:overflowPunct/>
        <w:topLinePunct w:val="0"/>
        <w:bidi w:val="0"/>
        <w:adjustRightInd w:val="0"/>
        <w:snapToGrid w:val="0"/>
        <w:spacing w:line="600" w:lineRule="exact"/>
        <w:ind w:firstLine="420" w:firstLineChars="200"/>
        <w:textAlignment w:val="auto"/>
        <w:rPr>
          <w:rFonts w:hint="eastAsia" w:ascii="仿宋" w:hAnsi="仿宋" w:eastAsia="仿宋"/>
          <w:color w:val="FF0000"/>
          <w:sz w:val="32"/>
          <w:szCs w:val="32"/>
        </w:rPr>
      </w:pPr>
      <w:r>
        <w:drawing>
          <wp:anchor distT="0" distB="0" distL="114300" distR="114300" simplePos="0" relativeHeight="251663360" behindDoc="0" locked="0" layoutInCell="1" allowOverlap="1">
            <wp:simplePos x="0" y="0"/>
            <wp:positionH relativeFrom="column">
              <wp:posOffset>323215</wp:posOffset>
            </wp:positionH>
            <wp:positionV relativeFrom="paragraph">
              <wp:posOffset>33020</wp:posOffset>
            </wp:positionV>
            <wp:extent cx="4480560" cy="2172335"/>
            <wp:effectExtent l="5080" t="5080" r="10160" b="6985"/>
            <wp:wrapSquare wrapText="bothSides"/>
            <wp:docPr id="10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0530DE3">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6EC060E0">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42C4080E">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6E5B5549">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40A1DB03">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color w:val="auto"/>
          <w:sz w:val="32"/>
          <w:szCs w:val="32"/>
        </w:rPr>
      </w:pPr>
    </w:p>
    <w:p w14:paraId="5D8079E1">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（图5：一般公共预算财政拨款支出决算变动情况）（柱状图）</w:t>
      </w:r>
    </w:p>
    <w:p w14:paraId="4893A57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31" w:name="_Toc15377211"/>
      <w:r>
        <w:rPr>
          <w:rFonts w:hint="eastAsia" w:ascii="楷体_GB2312" w:hAnsi="楷体_GB2312" w:eastAsia="楷体_GB2312" w:cs="楷体_GB2312"/>
          <w:b w:val="0"/>
          <w:bCs/>
          <w:color w:val="auto"/>
          <w:sz w:val="32"/>
          <w:szCs w:val="32"/>
        </w:rPr>
        <w:t>（二）一般公共预算财政拨款支出决算结构情况</w:t>
      </w:r>
      <w:bookmarkEnd w:id="31"/>
    </w:p>
    <w:p w14:paraId="15E16718">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2023年度一般公共预算财政拨款支出186.09万元，主要用于以下方面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sz w:val="32"/>
          <w:szCs w:val="32"/>
        </w:rPr>
        <w:t>一般公共服务</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136.74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73.48</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30.26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16.26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lang w:val="en-US" w:eastAsia="zh-CN"/>
        </w:rPr>
        <w:t>5.98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3.22</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lang w:val="en-US" w:eastAsia="zh-CN"/>
        </w:rPr>
        <w:t>13.11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7.04</w:t>
      </w:r>
      <w:r>
        <w:rPr>
          <w:rFonts w:hint="eastAsia" w:ascii="仿宋_GB2312" w:hAnsi="仿宋_GB2312" w:eastAsia="仿宋_GB2312" w:cs="仿宋_GB2312"/>
          <w:sz w:val="32"/>
          <w:szCs w:val="32"/>
        </w:rPr>
        <w:t>%。</w:t>
      </w:r>
    </w:p>
    <w:p w14:paraId="607CDBC1">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drawing>
          <wp:anchor distT="0" distB="0" distL="114300" distR="114300" simplePos="0" relativeHeight="251664384" behindDoc="0" locked="0" layoutInCell="1" allowOverlap="1">
            <wp:simplePos x="0" y="0"/>
            <wp:positionH relativeFrom="column">
              <wp:posOffset>220345</wp:posOffset>
            </wp:positionH>
            <wp:positionV relativeFrom="paragraph">
              <wp:posOffset>115570</wp:posOffset>
            </wp:positionV>
            <wp:extent cx="5166360" cy="2259330"/>
            <wp:effectExtent l="4445" t="4445" r="10795" b="22225"/>
            <wp:wrapSquare wrapText="bothSides"/>
            <wp:docPr id="104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auto"/>
          <w:sz w:val="32"/>
          <w:szCs w:val="32"/>
        </w:rPr>
        <w:t>图6：一般公共预算财政拨款支出决算结构）（饼状图）</w:t>
      </w:r>
    </w:p>
    <w:p w14:paraId="2D4BF0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32" w:name="_Toc15377212"/>
      <w:r>
        <w:rPr>
          <w:rFonts w:hint="eastAsia" w:ascii="楷体_GB2312" w:hAnsi="楷体_GB2312" w:eastAsia="楷体_GB2312" w:cs="楷体_GB2312"/>
          <w:b w:val="0"/>
          <w:bCs/>
          <w:color w:val="auto"/>
          <w:sz w:val="32"/>
          <w:szCs w:val="32"/>
        </w:rPr>
        <w:t>（三）一般公共预算财政拨款支出决算具体情况</w:t>
      </w:r>
      <w:bookmarkEnd w:id="32"/>
    </w:p>
    <w:p w14:paraId="0AF079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2"/>
        <w:rPr>
          <w:rFonts w:hint="eastAsia" w:ascii="仿宋_GB2312" w:hAnsi="仿宋_GB2312" w:eastAsia="仿宋_GB2312" w:cs="仿宋_GB2312"/>
          <w:b w:val="0"/>
          <w:bCs/>
          <w:sz w:val="32"/>
          <w:szCs w:val="32"/>
        </w:rPr>
      </w:pPr>
      <w:bookmarkStart w:id="33" w:name="_Toc15378460"/>
      <w:bookmarkStart w:id="34" w:name="_Toc15377444"/>
      <w:bookmarkStart w:id="35" w:name="_Toc15377213"/>
      <w:r>
        <w:rPr>
          <w:rFonts w:hint="eastAsia" w:ascii="仿宋_GB2312" w:hAnsi="仿宋_GB2312" w:eastAsia="仿宋_GB2312" w:cs="仿宋_GB2312"/>
          <w:b w:val="0"/>
          <w:bCs/>
          <w:sz w:val="32"/>
          <w:szCs w:val="32"/>
        </w:rPr>
        <w:t>2023年度一般公共预算支出决算数为186.09</w:t>
      </w:r>
      <w:r>
        <w:rPr>
          <w:rFonts w:hint="eastAsia" w:ascii="仿宋_GB2312" w:hAnsi="仿宋_GB2312" w:eastAsia="仿宋_GB2312" w:cs="仿宋_GB2312"/>
          <w:b w:val="0"/>
          <w:bCs/>
          <w:sz w:val="32"/>
          <w:szCs w:val="32"/>
          <w:lang w:eastAsia="zh-CN"/>
        </w:rPr>
        <w:t>万元</w:t>
      </w:r>
      <w:bookmarkStart w:id="51" w:name="_GoBack"/>
      <w:bookmarkEnd w:id="51"/>
      <w:r>
        <w:rPr>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rPr>
        <w:t>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%。其中：</w:t>
      </w:r>
      <w:bookmarkEnd w:id="33"/>
      <w:bookmarkEnd w:id="34"/>
      <w:bookmarkEnd w:id="35"/>
    </w:p>
    <w:p w14:paraId="0FD61BB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Style w:val="17"/>
          <w:rFonts w:hint="eastAsia" w:ascii="仿宋_GB2312" w:hAnsi="仿宋_GB2312" w:eastAsia="仿宋_GB2312" w:cs="仿宋_GB2312"/>
          <w:b w:val="0"/>
          <w:bCs/>
          <w:color w:val="auto"/>
          <w:sz w:val="32"/>
          <w:szCs w:val="32"/>
          <w:highlight w:val="none"/>
          <w:lang w:val="en-US" w:eastAsia="zh-CN"/>
        </w:rPr>
        <w:t>1.</w:t>
      </w:r>
      <w:r>
        <w:rPr>
          <w:rStyle w:val="17"/>
          <w:rFonts w:hint="eastAsia" w:ascii="仿宋_GB2312" w:hAnsi="仿宋_GB2312" w:eastAsia="仿宋_GB2312" w:cs="仿宋_GB2312"/>
          <w:b w:val="0"/>
          <w:bCs/>
          <w:color w:val="auto"/>
          <w:sz w:val="32"/>
          <w:szCs w:val="32"/>
          <w:highlight w:val="none"/>
        </w:rPr>
        <w:t>一般公共服务（类）</w:t>
      </w:r>
      <w:r>
        <w:rPr>
          <w:rStyle w:val="17"/>
          <w:rFonts w:hint="eastAsia" w:ascii="仿宋_GB2312" w:hAnsi="仿宋_GB2312" w:eastAsia="仿宋_GB2312" w:cs="仿宋_GB2312"/>
          <w:b w:val="0"/>
          <w:bCs/>
          <w:color w:val="auto"/>
          <w:sz w:val="32"/>
          <w:szCs w:val="32"/>
          <w:highlight w:val="none"/>
          <w:lang w:eastAsia="zh-CN"/>
        </w:rPr>
        <w:t>组织事务</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其他组织事务支出</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136.74</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w:t>
      </w:r>
      <w:r>
        <w:rPr>
          <w:rStyle w:val="17"/>
          <w:rFonts w:hint="eastAsia" w:ascii="仿宋_GB2312" w:hAnsi="仿宋_GB2312" w:eastAsia="仿宋_GB2312" w:cs="仿宋_GB2312"/>
          <w:b w:val="0"/>
          <w:bCs/>
          <w:sz w:val="32"/>
          <w:szCs w:val="32"/>
          <w:lang w:val="en-US" w:eastAsia="zh-CN"/>
        </w:rPr>
        <w:t>决算数与预算数持平。</w:t>
      </w:r>
    </w:p>
    <w:p w14:paraId="2D0FAE6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Style w:val="17"/>
          <w:rFonts w:hint="eastAsia" w:ascii="仿宋_GB2312" w:hAnsi="仿宋_GB2312" w:eastAsia="仿宋_GB2312" w:cs="仿宋_GB2312"/>
          <w:b w:val="0"/>
          <w:bCs/>
          <w:color w:val="auto"/>
          <w:sz w:val="32"/>
          <w:szCs w:val="32"/>
          <w:highlight w:val="none"/>
          <w:lang w:val="en-US" w:eastAsia="zh-CN"/>
        </w:rPr>
        <w:t>2</w:t>
      </w:r>
      <w:r>
        <w:rPr>
          <w:rStyle w:val="17"/>
          <w:rFonts w:hint="eastAsia" w:ascii="仿宋_GB2312" w:hAnsi="仿宋_GB2312" w:eastAsia="仿宋_GB2312" w:cs="仿宋_GB2312"/>
          <w:b w:val="0"/>
          <w:bCs/>
          <w:color w:val="auto"/>
          <w:sz w:val="32"/>
          <w:szCs w:val="32"/>
          <w:highlight w:val="none"/>
        </w:rPr>
        <w:t>.社会保障和就业（类）行政事业单位养老支出</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款）机关事业单位基本养老保险缴费支出（项）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rPr>
        <w:t xml:space="preserve"> 支出决算为</w:t>
      </w:r>
      <w:r>
        <w:rPr>
          <w:rStyle w:val="17"/>
          <w:rFonts w:hint="eastAsia" w:ascii="仿宋_GB2312" w:hAnsi="仿宋_GB2312" w:eastAsia="仿宋_GB2312" w:cs="仿宋_GB2312"/>
          <w:b w:val="0"/>
          <w:bCs/>
          <w:color w:val="auto"/>
          <w:sz w:val="32"/>
          <w:szCs w:val="32"/>
          <w:lang w:val="en-US" w:eastAsia="zh-CN"/>
        </w:rPr>
        <w:t>17.85</w:t>
      </w:r>
      <w:r>
        <w:rPr>
          <w:rStyle w:val="17"/>
          <w:rFonts w:hint="eastAsia" w:ascii="仿宋_GB2312" w:hAnsi="仿宋_GB2312" w:eastAsia="仿宋_GB2312" w:cs="仿宋_GB2312"/>
          <w:b w:val="0"/>
          <w:bCs/>
          <w:color w:val="auto"/>
          <w:sz w:val="32"/>
          <w:szCs w:val="32"/>
        </w:rPr>
        <w:t>万元，完成预算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Style w:val="17"/>
          <w:rFonts w:hint="eastAsia" w:ascii="仿宋_GB2312" w:hAnsi="仿宋_GB2312" w:eastAsia="仿宋_GB2312" w:cs="仿宋_GB2312"/>
          <w:b w:val="0"/>
          <w:bCs/>
          <w:color w:val="auto"/>
          <w:sz w:val="32"/>
          <w:szCs w:val="32"/>
          <w:lang w:eastAsia="zh-CN"/>
        </w:rPr>
        <w:t>，</w:t>
      </w:r>
      <w:r>
        <w:rPr>
          <w:rStyle w:val="17"/>
          <w:rFonts w:hint="eastAsia" w:ascii="仿宋_GB2312" w:hAnsi="仿宋_GB2312" w:eastAsia="仿宋_GB2312" w:cs="仿宋_GB2312"/>
          <w:b w:val="0"/>
          <w:bCs/>
          <w:color w:val="auto"/>
          <w:sz w:val="32"/>
          <w:szCs w:val="32"/>
          <w:lang w:val="en-US" w:eastAsia="zh-CN"/>
        </w:rPr>
        <w:t>决算数与预算数持平。</w:t>
      </w:r>
    </w:p>
    <w:p w14:paraId="4D1CE31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auto"/>
          <w:sz w:val="32"/>
          <w:szCs w:val="32"/>
        </w:rPr>
      </w:pPr>
      <w:r>
        <w:rPr>
          <w:rStyle w:val="17"/>
          <w:rFonts w:hint="eastAsia" w:ascii="仿宋_GB2312" w:hAnsi="仿宋_GB2312" w:eastAsia="仿宋_GB2312" w:cs="仿宋_GB2312"/>
          <w:b w:val="0"/>
          <w:bCs/>
          <w:color w:val="auto"/>
          <w:sz w:val="32"/>
          <w:szCs w:val="32"/>
          <w:highlight w:val="none"/>
          <w:lang w:val="en-US" w:eastAsia="zh-CN"/>
        </w:rPr>
        <w:t>3.</w:t>
      </w:r>
      <w:r>
        <w:rPr>
          <w:rStyle w:val="17"/>
          <w:rFonts w:hint="eastAsia" w:ascii="仿宋_GB2312" w:hAnsi="仿宋_GB2312" w:eastAsia="仿宋_GB2312" w:cs="仿宋_GB2312"/>
          <w:b w:val="0"/>
          <w:bCs/>
          <w:color w:val="auto"/>
          <w:sz w:val="32"/>
          <w:szCs w:val="32"/>
          <w:highlight w:val="none"/>
        </w:rPr>
        <w:t>社会保障和就业（类）行政事业单位养老支出</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款）机关事业单位职业年金缴费支出（项）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rPr>
        <w:t xml:space="preserve"> 支出决算为</w:t>
      </w:r>
      <w:r>
        <w:rPr>
          <w:rStyle w:val="17"/>
          <w:rFonts w:hint="eastAsia" w:ascii="仿宋_GB2312" w:hAnsi="仿宋_GB2312" w:eastAsia="仿宋_GB2312" w:cs="仿宋_GB2312"/>
          <w:b w:val="0"/>
          <w:bCs/>
          <w:color w:val="auto"/>
          <w:sz w:val="32"/>
          <w:szCs w:val="32"/>
          <w:lang w:val="en-US" w:eastAsia="zh-CN"/>
        </w:rPr>
        <w:t>10.30</w:t>
      </w:r>
      <w:r>
        <w:rPr>
          <w:rStyle w:val="17"/>
          <w:rFonts w:hint="eastAsia" w:ascii="仿宋_GB2312" w:hAnsi="仿宋_GB2312" w:eastAsia="仿宋_GB2312" w:cs="仿宋_GB2312"/>
          <w:b w:val="0"/>
          <w:bCs/>
          <w:color w:val="auto"/>
          <w:sz w:val="32"/>
          <w:szCs w:val="32"/>
        </w:rPr>
        <w:t>万元，完成预算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Style w:val="17"/>
          <w:rFonts w:hint="eastAsia" w:ascii="仿宋_GB2312" w:hAnsi="仿宋_GB2312" w:eastAsia="仿宋_GB2312" w:cs="仿宋_GB2312"/>
          <w:b w:val="0"/>
          <w:bCs/>
          <w:color w:val="auto"/>
          <w:sz w:val="32"/>
          <w:szCs w:val="32"/>
          <w:lang w:eastAsia="zh-CN"/>
        </w:rPr>
        <w:t>，</w:t>
      </w:r>
      <w:r>
        <w:rPr>
          <w:rStyle w:val="17"/>
          <w:rFonts w:hint="eastAsia" w:ascii="仿宋_GB2312" w:hAnsi="仿宋_GB2312" w:eastAsia="仿宋_GB2312" w:cs="仿宋_GB2312"/>
          <w:b w:val="0"/>
          <w:bCs/>
          <w:color w:val="auto"/>
          <w:sz w:val="32"/>
          <w:szCs w:val="32"/>
          <w:lang w:val="en-US" w:eastAsia="zh-CN"/>
        </w:rPr>
        <w:t>决算数与预算数持平。</w:t>
      </w:r>
    </w:p>
    <w:p w14:paraId="0D5A5B0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auto"/>
          <w:sz w:val="32"/>
          <w:szCs w:val="32"/>
        </w:rPr>
      </w:pPr>
      <w:r>
        <w:rPr>
          <w:rStyle w:val="17"/>
          <w:rFonts w:hint="eastAsia" w:ascii="仿宋_GB2312" w:hAnsi="仿宋_GB2312" w:eastAsia="仿宋_GB2312" w:cs="仿宋_GB2312"/>
          <w:b w:val="0"/>
          <w:bCs/>
          <w:color w:val="auto"/>
          <w:sz w:val="32"/>
          <w:szCs w:val="32"/>
          <w:highlight w:val="none"/>
          <w:lang w:val="en-US" w:eastAsia="zh-CN"/>
        </w:rPr>
        <w:t>4</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（类）行政事业单位医疗（款）行政单位医疗</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5.98</w:t>
      </w:r>
      <w:r>
        <w:rPr>
          <w:rStyle w:val="17"/>
          <w:rFonts w:hint="eastAsia" w:ascii="仿宋_GB2312" w:hAnsi="仿宋_GB2312" w:eastAsia="仿宋_GB2312" w:cs="仿宋_GB2312"/>
          <w:b w:val="0"/>
          <w:bCs/>
          <w:color w:val="auto"/>
          <w:sz w:val="32"/>
          <w:szCs w:val="32"/>
        </w:rPr>
        <w:t>万元，完成预算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Style w:val="17"/>
          <w:rFonts w:hint="eastAsia" w:ascii="仿宋_GB2312" w:hAnsi="仿宋_GB2312" w:eastAsia="仿宋_GB2312" w:cs="仿宋_GB2312"/>
          <w:b w:val="0"/>
          <w:bCs/>
          <w:color w:val="auto"/>
          <w:sz w:val="32"/>
          <w:szCs w:val="32"/>
          <w:lang w:eastAsia="zh-CN"/>
        </w:rPr>
        <w:t>，</w:t>
      </w:r>
      <w:r>
        <w:rPr>
          <w:rStyle w:val="17"/>
          <w:rFonts w:hint="eastAsia" w:ascii="仿宋_GB2312" w:hAnsi="仿宋_GB2312" w:eastAsia="仿宋_GB2312" w:cs="仿宋_GB2312"/>
          <w:b w:val="0"/>
          <w:bCs/>
          <w:color w:val="auto"/>
          <w:sz w:val="32"/>
          <w:szCs w:val="32"/>
          <w:lang w:val="en-US" w:eastAsia="zh-CN"/>
        </w:rPr>
        <w:t>决算数与预算数持平。</w:t>
      </w:r>
    </w:p>
    <w:p w14:paraId="317DDE5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rPr>
        <w:t>住房保障支出</w:t>
      </w:r>
      <w:r>
        <w:rPr>
          <w:rStyle w:val="17"/>
          <w:rFonts w:hint="eastAsia" w:ascii="仿宋_GB2312" w:hAnsi="仿宋_GB2312" w:eastAsia="仿宋_GB2312" w:cs="仿宋_GB2312"/>
          <w:b w:val="0"/>
          <w:bCs/>
          <w:color w:val="auto"/>
          <w:sz w:val="32"/>
          <w:szCs w:val="32"/>
          <w:highlight w:val="none"/>
        </w:rPr>
        <w:t>（类）住房改革支出（款）住房公积金</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13.11</w:t>
      </w:r>
      <w:r>
        <w:rPr>
          <w:rStyle w:val="17"/>
          <w:rFonts w:hint="eastAsia" w:ascii="仿宋_GB2312" w:hAnsi="仿宋_GB2312" w:eastAsia="仿宋_GB2312" w:cs="仿宋_GB2312"/>
          <w:b w:val="0"/>
          <w:bCs/>
          <w:color w:val="auto"/>
          <w:sz w:val="32"/>
          <w:szCs w:val="32"/>
        </w:rPr>
        <w:t>万元，完成预算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Style w:val="17"/>
          <w:rFonts w:hint="eastAsia" w:ascii="仿宋_GB2312" w:hAnsi="仿宋_GB2312" w:eastAsia="仿宋_GB2312" w:cs="仿宋_GB2312"/>
          <w:b w:val="0"/>
          <w:bCs/>
          <w:color w:val="auto"/>
          <w:sz w:val="32"/>
          <w:szCs w:val="32"/>
          <w:lang w:eastAsia="zh-CN"/>
        </w:rPr>
        <w:t>，</w:t>
      </w:r>
      <w:r>
        <w:rPr>
          <w:rStyle w:val="17"/>
          <w:rFonts w:hint="eastAsia" w:ascii="仿宋_GB2312" w:hAnsi="仿宋_GB2312" w:eastAsia="仿宋_GB2312" w:cs="仿宋_GB2312"/>
          <w:b w:val="0"/>
          <w:bCs/>
          <w:color w:val="auto"/>
          <w:sz w:val="32"/>
          <w:szCs w:val="32"/>
          <w:lang w:val="en-US" w:eastAsia="zh-CN"/>
        </w:rPr>
        <w:t>决算数与预算数持平。</w:t>
      </w:r>
    </w:p>
    <w:p w14:paraId="7B8211A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auto"/>
          <w:sz w:val="32"/>
          <w:szCs w:val="32"/>
        </w:rPr>
      </w:pPr>
      <w:r>
        <w:rPr>
          <w:rStyle w:val="17"/>
          <w:rFonts w:hint="eastAsia" w:ascii="仿宋_GB2312" w:hAnsi="仿宋_GB2312" w:eastAsia="仿宋_GB2312" w:cs="仿宋_GB2312"/>
          <w:b w:val="0"/>
          <w:bCs/>
          <w:color w:val="auto"/>
          <w:sz w:val="32"/>
          <w:szCs w:val="32"/>
        </w:rPr>
        <w:t>6.</w:t>
      </w:r>
      <w:r>
        <w:rPr>
          <w:rStyle w:val="17"/>
          <w:rFonts w:hint="eastAsia" w:ascii="仿宋_GB2312" w:hAnsi="仿宋_GB2312" w:eastAsia="仿宋_GB2312" w:cs="仿宋_GB2312"/>
          <w:b w:val="0"/>
          <w:bCs/>
          <w:color w:val="auto"/>
          <w:sz w:val="32"/>
          <w:szCs w:val="32"/>
          <w:highlight w:val="none"/>
        </w:rPr>
        <w:t>社会保障和就业（类）</w:t>
      </w:r>
      <w:r>
        <w:rPr>
          <w:rStyle w:val="17"/>
          <w:rFonts w:hint="eastAsia" w:ascii="仿宋_GB2312" w:hAnsi="仿宋_GB2312" w:eastAsia="仿宋_GB2312" w:cs="仿宋_GB2312"/>
          <w:b w:val="0"/>
          <w:bCs/>
          <w:color w:val="auto"/>
          <w:sz w:val="32"/>
          <w:szCs w:val="32"/>
          <w:highlight w:val="none"/>
          <w:lang w:val="en-US" w:eastAsia="zh-CN"/>
        </w:rPr>
        <w:t>其他社会保障和就业支出（类）其他社会保障和就业支出（款）：</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2.1</w:t>
      </w:r>
      <w:r>
        <w:rPr>
          <w:rStyle w:val="17"/>
          <w:rFonts w:hint="eastAsia" w:ascii="仿宋_GB2312" w:hAnsi="仿宋_GB2312" w:eastAsia="仿宋_GB2312" w:cs="仿宋_GB2312"/>
          <w:b w:val="0"/>
          <w:bCs/>
          <w:color w:val="auto"/>
          <w:sz w:val="32"/>
          <w:szCs w:val="32"/>
        </w:rPr>
        <w:t>万元，完成预算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Style w:val="17"/>
          <w:rFonts w:hint="eastAsia" w:ascii="仿宋_GB2312" w:hAnsi="仿宋_GB2312" w:eastAsia="仿宋_GB2312" w:cs="仿宋_GB2312"/>
          <w:b w:val="0"/>
          <w:bCs/>
          <w:color w:val="auto"/>
          <w:sz w:val="32"/>
          <w:szCs w:val="32"/>
          <w:lang w:eastAsia="zh-CN"/>
        </w:rPr>
        <w:t>，</w:t>
      </w:r>
      <w:r>
        <w:rPr>
          <w:rStyle w:val="17"/>
          <w:rFonts w:hint="eastAsia" w:ascii="仿宋_GB2312" w:hAnsi="仿宋_GB2312" w:eastAsia="仿宋_GB2312" w:cs="仿宋_GB2312"/>
          <w:b w:val="0"/>
          <w:bCs/>
          <w:color w:val="auto"/>
          <w:sz w:val="32"/>
          <w:szCs w:val="32"/>
          <w:lang w:val="en-US" w:eastAsia="zh-CN"/>
        </w:rPr>
        <w:t>决算数与预算数持平。</w:t>
      </w:r>
    </w:p>
    <w:p w14:paraId="21F6A5F2">
      <w:pPr>
        <w:keepNext w:val="0"/>
        <w:keepLines w:val="0"/>
        <w:pageBreakBefore w:val="0"/>
        <w:widowControl w:val="0"/>
        <w:tabs>
          <w:tab w:val="right" w:pos="8306"/>
        </w:tabs>
        <w:kinsoku/>
        <w:wordWrap/>
        <w:overflowPunct/>
        <w:topLinePunct w:val="0"/>
        <w:autoSpaceDE/>
        <w:autoSpaceDN/>
        <w:bidi w:val="0"/>
        <w:adjustRightInd w:val="0"/>
        <w:snapToGrid w:val="0"/>
        <w:spacing w:line="600" w:lineRule="exact"/>
        <w:ind w:firstLine="640" w:firstLineChars="200"/>
        <w:textAlignment w:val="auto"/>
        <w:outlineLvl w:val="1"/>
        <w:rPr>
          <w:rStyle w:val="29"/>
        </w:rPr>
      </w:pPr>
      <w:bookmarkStart w:id="36" w:name="_Toc15377214"/>
      <w:bookmarkStart w:id="37"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6"/>
      <w:bookmarkEnd w:id="37"/>
      <w:r>
        <w:rPr>
          <w:rStyle w:val="29"/>
          <w:rFonts w:ascii="黑体" w:hAnsi="黑体" w:eastAsia="黑体"/>
          <w:b w:val="0"/>
        </w:rPr>
        <w:tab/>
      </w:r>
    </w:p>
    <w:p w14:paraId="7C1BAA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2023年度一般公共预算财政拨款基本支出183.61万元，其中：</w:t>
      </w:r>
    </w:p>
    <w:p w14:paraId="1CA5A0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人员经费157.1万元，主要包括：基本工资</w:t>
      </w:r>
      <w:r>
        <w:rPr>
          <w:rFonts w:hint="eastAsia" w:ascii="仿宋_GB2312" w:hAnsi="仿宋_GB2312" w:eastAsia="仿宋_GB2312" w:cs="仿宋_GB2312"/>
          <w:sz w:val="32"/>
          <w:szCs w:val="32"/>
          <w:lang w:val="en-US" w:eastAsia="zh-CN"/>
        </w:rPr>
        <w:t>36.41万元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27.19万元</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val="en-US" w:eastAsia="zh-CN"/>
        </w:rPr>
        <w:t>42.35万元</w:t>
      </w:r>
      <w:r>
        <w:rPr>
          <w:rFonts w:hint="eastAsia" w:ascii="仿宋_GB2312" w:hAnsi="仿宋_GB2312" w:eastAsia="仿宋_GB2312" w:cs="仿宋_GB2312"/>
          <w:sz w:val="32"/>
          <w:szCs w:val="32"/>
        </w:rPr>
        <w:t>、伙食补助费</w:t>
      </w:r>
      <w:r>
        <w:rPr>
          <w:rFonts w:hint="eastAsia" w:ascii="仿宋_GB2312" w:hAnsi="仿宋_GB2312" w:eastAsia="仿宋_GB2312" w:cs="仿宋_GB2312"/>
          <w:sz w:val="32"/>
          <w:szCs w:val="32"/>
          <w:lang w:val="en-US" w:eastAsia="zh-CN"/>
        </w:rPr>
        <w:t>1.79万元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17.85万元</w:t>
      </w:r>
      <w:r>
        <w:rPr>
          <w:rFonts w:hint="eastAsia" w:ascii="仿宋_GB2312" w:hAnsi="仿宋_GB2312" w:eastAsia="仿宋_GB2312" w:cs="仿宋_GB2312"/>
          <w:sz w:val="32"/>
          <w:szCs w:val="32"/>
        </w:rPr>
        <w:t>、职业年金缴费</w:t>
      </w:r>
      <w:r>
        <w:rPr>
          <w:rFonts w:hint="eastAsia" w:ascii="仿宋_GB2312" w:hAnsi="仿宋_GB2312" w:eastAsia="仿宋_GB2312" w:cs="仿宋_GB2312"/>
          <w:sz w:val="32"/>
          <w:szCs w:val="32"/>
          <w:lang w:val="en-US" w:eastAsia="zh-CN"/>
        </w:rPr>
        <w:t>10.31万元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职工基本医疗保险缴费</w:t>
      </w:r>
      <w:r>
        <w:rPr>
          <w:rFonts w:hint="eastAsia" w:ascii="仿宋_GB2312" w:hAnsi="仿宋_GB2312" w:eastAsia="仿宋_GB2312" w:cs="仿宋_GB2312"/>
          <w:sz w:val="32"/>
          <w:szCs w:val="32"/>
          <w:lang w:val="en-US" w:eastAsia="zh-CN"/>
        </w:rPr>
        <w:t>5.5万元、公务员医疗补助缴费0.48万元、</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2.11万元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13.11万元</w:t>
      </w:r>
      <w:r>
        <w:rPr>
          <w:rFonts w:hint="eastAsia" w:ascii="仿宋_GB2312" w:hAnsi="仿宋_GB2312" w:eastAsia="仿宋_GB2312" w:cs="仿宋_GB2312"/>
          <w:sz w:val="32"/>
          <w:szCs w:val="32"/>
        </w:rPr>
        <w:t>。</w:t>
      </w:r>
    </w:p>
    <w:p w14:paraId="4FBC60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用经费26.51万元，主要包括：办公费</w:t>
      </w:r>
      <w:r>
        <w:rPr>
          <w:rFonts w:hint="eastAsia" w:ascii="仿宋_GB2312" w:hAnsi="仿宋_GB2312" w:eastAsia="仿宋_GB2312" w:cs="仿宋_GB2312"/>
          <w:sz w:val="32"/>
          <w:szCs w:val="32"/>
          <w:lang w:val="en-US" w:eastAsia="zh-CN"/>
        </w:rPr>
        <w:t>6.72万元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1.43万元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0.37万元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4.9万元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0.2万元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1.84万元</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val="en-US" w:eastAsia="zh-CN"/>
        </w:rPr>
        <w:t>1.23万元</w:t>
      </w:r>
      <w:r>
        <w:rPr>
          <w:rFonts w:hint="eastAsia" w:ascii="仿宋_GB2312" w:hAnsi="仿宋_GB2312" w:eastAsia="仿宋_GB2312" w:cs="仿宋_GB2312"/>
          <w:sz w:val="32"/>
          <w:szCs w:val="32"/>
        </w:rPr>
        <w:t>、其他交通费</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lang w:val="en-US" w:eastAsia="zh-CN"/>
        </w:rPr>
        <w:t>7.93万元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1.89万元</w:t>
      </w:r>
      <w:r>
        <w:rPr>
          <w:rFonts w:hint="eastAsia" w:ascii="仿宋_GB2312" w:hAnsi="仿宋_GB2312" w:eastAsia="仿宋_GB2312" w:cs="仿宋_GB2312"/>
          <w:sz w:val="32"/>
          <w:szCs w:val="32"/>
        </w:rPr>
        <w:t>。</w:t>
      </w:r>
    </w:p>
    <w:p w14:paraId="073F4E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Style w:val="29"/>
          <w:rFonts w:ascii="黑体" w:hAnsi="黑体" w:eastAsia="黑体"/>
          <w:b w:val="0"/>
        </w:rPr>
      </w:pPr>
      <w:bookmarkStart w:id="38" w:name="_Toc15377215"/>
      <w:bookmarkStart w:id="39"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8"/>
      <w:bookmarkEnd w:id="39"/>
    </w:p>
    <w:p w14:paraId="660BC6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0" w:name="_Toc15377216"/>
      <w:r>
        <w:rPr>
          <w:rFonts w:hint="eastAsia" w:ascii="楷体_GB2312" w:hAnsi="楷体_GB2312" w:eastAsia="楷体_GB2312" w:cs="楷体_GB2312"/>
          <w:b w:val="0"/>
          <w:bCs/>
          <w:sz w:val="32"/>
          <w:szCs w:val="32"/>
        </w:rPr>
        <w:t>（一）“三公”经费财政拨款支出决算总体情况说明</w:t>
      </w:r>
      <w:bookmarkEnd w:id="40"/>
    </w:p>
    <w:p w14:paraId="3A6EA2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2023年度“三公”经费财政拨款支出决算为0.19万元，完成预算100%，较上年度减少</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与预算数持平</w:t>
      </w:r>
      <w:r>
        <w:rPr>
          <w:rFonts w:hint="eastAsia" w:ascii="仿宋_GB2312" w:hAnsi="仿宋_GB2312" w:eastAsia="仿宋_GB2312" w:cs="仿宋_GB2312"/>
          <w:color w:val="auto"/>
          <w:sz w:val="32"/>
          <w:szCs w:val="32"/>
        </w:rPr>
        <w:t>。</w:t>
      </w:r>
    </w:p>
    <w:p w14:paraId="477192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1" w:name="_Toc15377217"/>
      <w:r>
        <w:rPr>
          <w:rFonts w:hint="eastAsia" w:ascii="楷体_GB2312" w:hAnsi="楷体_GB2312" w:eastAsia="楷体_GB2312" w:cs="楷体_GB2312"/>
          <w:b w:val="0"/>
          <w:bCs/>
          <w:sz w:val="32"/>
          <w:szCs w:val="32"/>
        </w:rPr>
        <w:t>（二）“三公”经费财政拨款支出决算具体情况说明</w:t>
      </w:r>
      <w:bookmarkEnd w:id="41"/>
    </w:p>
    <w:p w14:paraId="3078EA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2023年度“三公”经费财政拨款支出决算中，因公出国（境）费支出决算0万元，占0%；公务用车购置及运行维护费支出决算0万元，占0%；公务接待费支出决算0.19万元，占100%。具体情况如下：</w:t>
      </w:r>
    </w:p>
    <w:p w14:paraId="181BB9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63B19CCD">
      <w:pPr>
        <w:keepNext w:val="0"/>
        <w:keepLines w:val="0"/>
        <w:pageBreakBefore w:val="0"/>
        <w:widowControl w:val="0"/>
        <w:kinsoku/>
        <w:wordWrap/>
        <w:overflowPunct/>
        <w:topLinePunct w:val="0"/>
        <w:bidi w:val="0"/>
        <w:adjustRightInd w:val="0"/>
        <w:snapToGrid w:val="0"/>
        <w:spacing w:line="600" w:lineRule="exact"/>
        <w:textAlignment w:val="auto"/>
        <w:rPr>
          <w:rFonts w:hint="eastAsia" w:ascii="仿宋" w:hAnsi="仿宋" w:eastAsia="仿宋"/>
          <w:color w:val="FF0000"/>
          <w:sz w:val="32"/>
          <w:szCs w:val="32"/>
        </w:rPr>
      </w:pPr>
    </w:p>
    <w:p w14:paraId="280DA511">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r>
        <w:drawing>
          <wp:anchor distT="0" distB="0" distL="114300" distR="114300" simplePos="0" relativeHeight="251665408" behindDoc="0" locked="0" layoutInCell="1" allowOverlap="1">
            <wp:simplePos x="0" y="0"/>
            <wp:positionH relativeFrom="column">
              <wp:posOffset>629920</wp:posOffset>
            </wp:positionH>
            <wp:positionV relativeFrom="paragraph">
              <wp:posOffset>-356870</wp:posOffset>
            </wp:positionV>
            <wp:extent cx="4057650" cy="2441575"/>
            <wp:effectExtent l="4445" t="4445" r="14605" b="11430"/>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1573BA9">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p>
    <w:p w14:paraId="48D57211">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p>
    <w:p w14:paraId="71B7BA96">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p>
    <w:p w14:paraId="337EC424">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p>
    <w:p w14:paraId="4156CA82">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p>
    <w:p w14:paraId="6C5B2EDB">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（图7：“三公”经费财政拨款支出结构）（饼状图）</w:t>
      </w:r>
    </w:p>
    <w:p w14:paraId="149681D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0万元。全年安排因公出国（境）团组0次，出国（境）0人。</w:t>
      </w:r>
    </w:p>
    <w:p w14:paraId="26CB1F6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rPr>
        <w:t>0万元。其中：公务用车购置支出0万元。截至2023年12月31日，单位共有公务用车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辆。公务用车运行维护费支出0万元。</w:t>
      </w:r>
    </w:p>
    <w:p w14:paraId="2C6E757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rPr>
        <w:t>0.19万元，</w:t>
      </w:r>
      <w:r>
        <w:rPr>
          <w:rStyle w:val="17"/>
          <w:rFonts w:hint="eastAsia" w:ascii="仿宋_GB2312" w:hAnsi="仿宋_GB2312" w:eastAsia="仿宋_GB2312" w:cs="仿宋_GB2312"/>
          <w:b w:val="0"/>
          <w:bCs/>
          <w:sz w:val="32"/>
          <w:szCs w:val="32"/>
        </w:rPr>
        <w:t>完成预算</w:t>
      </w:r>
      <w:r>
        <w:rPr>
          <w:rFonts w:hint="eastAsia" w:ascii="仿宋_GB2312" w:hAnsi="仿宋_GB2312" w:eastAsia="仿宋_GB2312" w:cs="仿宋_GB2312"/>
          <w:sz w:val="32"/>
          <w:szCs w:val="32"/>
        </w:rPr>
        <w:t>100%</w:t>
      </w:r>
      <w:r>
        <w:rPr>
          <w:rStyle w:val="17"/>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公务接待费支出决算比2022年度减少</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%。主要原因是接待人次变少，厉行节约。其中：</w:t>
      </w:r>
    </w:p>
    <w:p w14:paraId="2FC5EB6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国内公务接待支出</w:t>
      </w:r>
      <w:r>
        <w:rPr>
          <w:rFonts w:hint="eastAsia" w:ascii="仿宋_GB2312" w:hAnsi="仿宋_GB2312" w:eastAsia="仿宋_GB2312" w:cs="仿宋_GB2312"/>
          <w:color w:val="auto"/>
          <w:sz w:val="32"/>
          <w:szCs w:val="32"/>
          <w:lang w:val="en-US" w:eastAsia="zh-CN"/>
        </w:rPr>
        <w:t>0.19</w:t>
      </w:r>
      <w:r>
        <w:rPr>
          <w:rFonts w:hint="eastAsia" w:ascii="仿宋_GB2312" w:hAnsi="仿宋_GB2312" w:eastAsia="仿宋_GB2312" w:cs="仿宋_GB2312"/>
          <w:color w:val="auto"/>
          <w:sz w:val="32"/>
          <w:szCs w:val="32"/>
        </w:rPr>
        <w:t>万元，主要用于</w:t>
      </w:r>
      <w:r>
        <w:rPr>
          <w:rFonts w:hint="eastAsia" w:ascii="仿宋_GB2312" w:hAnsi="仿宋_GB2312" w:eastAsia="仿宋_GB2312" w:cs="仿宋_GB2312"/>
          <w:color w:val="auto"/>
          <w:sz w:val="32"/>
          <w:szCs w:val="32"/>
          <w:lang w:eastAsia="zh-CN"/>
        </w:rPr>
        <w:t>开展业务活动用餐费。</w:t>
      </w:r>
      <w:r>
        <w:rPr>
          <w:rFonts w:hint="eastAsia" w:ascii="仿宋_GB2312" w:hAnsi="仿宋_GB2312" w:eastAsia="仿宋_GB2312" w:cs="仿宋_GB2312"/>
          <w:color w:val="auto"/>
          <w:sz w:val="32"/>
          <w:szCs w:val="32"/>
        </w:rPr>
        <w:t>国内公务接待</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人次（不包括陪同人员），共计支出</w:t>
      </w:r>
      <w:r>
        <w:rPr>
          <w:rFonts w:hint="eastAsia" w:ascii="仿宋_GB2312" w:hAnsi="仿宋_GB2312" w:eastAsia="仿宋_GB2312" w:cs="仿宋_GB2312"/>
          <w:color w:val="auto"/>
          <w:sz w:val="32"/>
          <w:szCs w:val="32"/>
          <w:lang w:val="en-US" w:eastAsia="zh-CN"/>
        </w:rPr>
        <w:t>0.19</w:t>
      </w:r>
      <w:r>
        <w:rPr>
          <w:rFonts w:hint="eastAsia" w:ascii="仿宋_GB2312" w:hAnsi="仿宋_GB2312" w:eastAsia="仿宋_GB2312" w:cs="仿宋_GB2312"/>
          <w:color w:val="auto"/>
          <w:sz w:val="32"/>
          <w:szCs w:val="32"/>
        </w:rPr>
        <w:t>万元，具体内容包括</w:t>
      </w:r>
      <w:r>
        <w:rPr>
          <w:rFonts w:hint="eastAsia" w:ascii="仿宋_GB2312" w:hAnsi="仿宋_GB2312" w:eastAsia="仿宋_GB2312" w:cs="仿宋_GB2312"/>
          <w:color w:val="auto"/>
          <w:sz w:val="32"/>
          <w:szCs w:val="32"/>
          <w:lang w:eastAsia="zh-CN"/>
        </w:rPr>
        <w:t>开展区县联合事业单位公示抽查餐费</w:t>
      </w:r>
      <w:r>
        <w:rPr>
          <w:rFonts w:hint="eastAsia" w:ascii="仿宋_GB2312" w:hAnsi="仿宋_GB2312" w:eastAsia="仿宋_GB2312" w:cs="仿宋_GB2312"/>
          <w:color w:val="auto"/>
          <w:sz w:val="32"/>
          <w:szCs w:val="32"/>
          <w:lang w:val="en-US" w:eastAsia="zh-CN"/>
        </w:rPr>
        <w:t>0.19万元</w:t>
      </w:r>
      <w:r>
        <w:rPr>
          <w:rFonts w:hint="eastAsia" w:ascii="仿宋_GB2312" w:hAnsi="仿宋_GB2312" w:eastAsia="仿宋_GB2312" w:cs="仿宋_GB2312"/>
          <w:color w:val="auto"/>
          <w:sz w:val="32"/>
          <w:szCs w:val="32"/>
        </w:rPr>
        <w:t>。</w:t>
      </w:r>
    </w:p>
    <w:p w14:paraId="23D386B8">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rPr>
      </w:pPr>
      <w:bookmarkStart w:id="42" w:name="_Toc15377218"/>
      <w:bookmarkStart w:id="43" w:name="_Toc15396610"/>
      <w:r>
        <w:rPr>
          <w:rFonts w:hint="eastAsia" w:ascii="黑体" w:eastAsia="黑体"/>
          <w:sz w:val="32"/>
          <w:szCs w:val="32"/>
        </w:rPr>
        <w:t>八、</w:t>
      </w:r>
      <w:r>
        <w:rPr>
          <w:rStyle w:val="29"/>
          <w:rFonts w:hint="eastAsia" w:ascii="黑体" w:hAnsi="黑体" w:eastAsia="黑体"/>
          <w:b w:val="0"/>
        </w:rPr>
        <w:t>政府性基金预算支出决算情况说明</w:t>
      </w:r>
      <w:bookmarkEnd w:id="42"/>
      <w:bookmarkEnd w:id="43"/>
    </w:p>
    <w:p w14:paraId="024FE1CE">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1.25</w:t>
      </w:r>
      <w:r>
        <w:rPr>
          <w:rFonts w:hint="eastAsia" w:ascii="仿宋_GB2312" w:eastAsia="仿宋_GB2312"/>
          <w:sz w:val="32"/>
          <w:szCs w:val="32"/>
        </w:rPr>
        <w:t>万元。</w:t>
      </w:r>
    </w:p>
    <w:p w14:paraId="01503392">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rPr>
      </w:pPr>
      <w:bookmarkStart w:id="44" w:name="_Toc15377219"/>
      <w:bookmarkStart w:id="45" w:name="_Toc15396611"/>
      <w:r>
        <w:rPr>
          <w:rStyle w:val="29"/>
          <w:rFonts w:hint="eastAsia" w:ascii="黑体" w:hAnsi="黑体" w:eastAsia="黑体"/>
          <w:b w:val="0"/>
          <w:lang w:val="en-US" w:eastAsia="zh-CN"/>
        </w:rPr>
        <w:t>九、</w:t>
      </w:r>
      <w:r>
        <w:rPr>
          <w:rStyle w:val="29"/>
          <w:rFonts w:hint="eastAsia" w:ascii="黑体" w:hAnsi="黑体" w:eastAsia="黑体"/>
          <w:b w:val="0"/>
        </w:rPr>
        <w:t>国有资本经营预算支出决算情况说明</w:t>
      </w:r>
      <w:bookmarkEnd w:id="44"/>
      <w:bookmarkEnd w:id="45"/>
    </w:p>
    <w:p w14:paraId="3B6F7118">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7455E9BB">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rPr>
      </w:pPr>
      <w:bookmarkStart w:id="46" w:name="_Toc15377221"/>
      <w:bookmarkStart w:id="47" w:name="_Toc15396612"/>
      <w:r>
        <w:rPr>
          <w:rStyle w:val="29"/>
          <w:rFonts w:hint="eastAsia" w:ascii="黑体" w:hAnsi="黑体" w:eastAsia="黑体"/>
          <w:b w:val="0"/>
          <w:lang w:val="en-US" w:eastAsia="zh-CN"/>
        </w:rPr>
        <w:t>十、</w:t>
      </w:r>
      <w:r>
        <w:rPr>
          <w:rStyle w:val="29"/>
          <w:rFonts w:hint="eastAsia" w:ascii="黑体" w:hAnsi="黑体" w:eastAsia="黑体"/>
          <w:b w:val="0"/>
        </w:rPr>
        <w:t>其他重要事项的情况说明</w:t>
      </w:r>
      <w:bookmarkEnd w:id="46"/>
      <w:bookmarkEnd w:id="47"/>
    </w:p>
    <w:p w14:paraId="75E26C1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48" w:name="_Toc15377222"/>
      <w:r>
        <w:rPr>
          <w:rFonts w:hint="eastAsia" w:ascii="楷体_GB2312" w:hAnsi="楷体_GB2312" w:eastAsia="楷体_GB2312" w:cs="楷体_GB2312"/>
          <w:b w:val="0"/>
          <w:bCs/>
          <w:sz w:val="32"/>
          <w:szCs w:val="32"/>
        </w:rPr>
        <w:t>（一）机关运行经费支出情况</w:t>
      </w:r>
      <w:bookmarkEnd w:id="48"/>
    </w:p>
    <w:p w14:paraId="27028333">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2023年度，中共峨边彝族自治县委机构编制委员会办公室机关运行经费支出26.51万元，比2022年度增加</w:t>
      </w:r>
      <w:r>
        <w:rPr>
          <w:rFonts w:hint="eastAsia" w:ascii="仿宋_GB2312" w:hAnsi="仿宋_GB2312" w:eastAsia="仿宋_GB2312" w:cs="仿宋_GB2312"/>
          <w:sz w:val="32"/>
          <w:szCs w:val="32"/>
          <w:lang w:val="en-US" w:eastAsia="zh-CN"/>
        </w:rPr>
        <w:t>4.13</w:t>
      </w:r>
      <w:r>
        <w:rPr>
          <w:rFonts w:hint="eastAsia" w:ascii="仿宋_GB2312" w:hAnsi="仿宋_GB2312" w:eastAsia="仿宋_GB2312" w:cs="仿宋_GB2312"/>
          <w:sz w:val="32"/>
          <w:szCs w:val="32"/>
        </w:rPr>
        <w:t>万元，增长</w:t>
      </w:r>
      <w:r>
        <w:rPr>
          <w:rFonts w:hint="eastAsia" w:ascii="仿宋_GB2312" w:hAnsi="仿宋_GB2312" w:eastAsia="仿宋_GB2312" w:cs="仿宋_GB2312"/>
          <w:color w:val="auto"/>
          <w:sz w:val="32"/>
          <w:szCs w:val="32"/>
          <w:lang w:val="en-US" w:eastAsia="zh-CN"/>
        </w:rPr>
        <w:t>18.45</w:t>
      </w:r>
      <w:r>
        <w:rPr>
          <w:rFonts w:hint="eastAsia" w:ascii="仿宋_GB2312" w:hAnsi="仿宋_GB2312" w:eastAsia="仿宋_GB2312" w:cs="仿宋_GB2312"/>
          <w:color w:val="auto"/>
          <w:sz w:val="32"/>
          <w:szCs w:val="32"/>
        </w:rPr>
        <w:t>%。主要原因是人员增加，保险基数增加。</w:t>
      </w:r>
    </w:p>
    <w:p w14:paraId="24C4F7B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49" w:name="_Toc15377223"/>
      <w:r>
        <w:rPr>
          <w:rFonts w:hint="eastAsia" w:ascii="楷体_GB2312" w:hAnsi="楷体_GB2312" w:eastAsia="楷体_GB2312" w:cs="楷体_GB2312"/>
          <w:b w:val="0"/>
          <w:bCs/>
          <w:sz w:val="32"/>
          <w:szCs w:val="32"/>
        </w:rPr>
        <w:t>（二）政府采购支出情况</w:t>
      </w:r>
      <w:bookmarkEnd w:id="49"/>
    </w:p>
    <w:p w14:paraId="79583EEF">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2023年度，中共峨边彝族自治县委机构编制委员会办公室政府采购支出总额0万元。授予中小企业合同金额0万元。</w:t>
      </w:r>
    </w:p>
    <w:p w14:paraId="6E7FCD8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0" w:name="_Toc15377224"/>
      <w:r>
        <w:rPr>
          <w:rFonts w:hint="eastAsia" w:ascii="楷体_GB2312" w:hAnsi="楷体_GB2312" w:eastAsia="楷体_GB2312" w:cs="楷体_GB2312"/>
          <w:b w:val="0"/>
          <w:bCs/>
          <w:sz w:val="32"/>
          <w:szCs w:val="32"/>
        </w:rPr>
        <w:t>（三）国有资产占有使用情况</w:t>
      </w:r>
      <w:bookmarkEnd w:id="50"/>
    </w:p>
    <w:p w14:paraId="00B1312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截至2023年12月31日，中共峨边彝族自治县委机构编制委员会办公室共有车辆0辆。</w:t>
      </w:r>
    </w:p>
    <w:p w14:paraId="49728E0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（四）预算绩效管理情况</w:t>
      </w:r>
    </w:p>
    <w:p w14:paraId="0B82306D">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p>
    <w:p w14:paraId="7FE8B132">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组织对2023年度一般公共预算、政府性基金预算、国有资本经营预算、社会保险基</w:t>
      </w:r>
      <w:r>
        <w:rPr>
          <w:rFonts w:hint="eastAsia" w:ascii="仿宋_GB2312" w:hAnsi="仿宋_GB2312" w:eastAsia="仿宋_GB2312" w:cs="仿宋_GB2312"/>
          <w:color w:val="auto"/>
          <w:sz w:val="32"/>
          <w:szCs w:val="32"/>
        </w:rPr>
        <w:t>金预算以及资本资产、债券资金等全面开展绩效自评，形成县委编办整体（含部门预算项目）绩效自评报告、专项预算项目绩效自评报告，其中，</w:t>
      </w:r>
      <w:r>
        <w:rPr>
          <w:rFonts w:hint="eastAsia" w:ascii="仿宋_GB2312" w:hAnsi="仿宋_GB2312" w:eastAsia="仿宋_GB2312" w:cs="仿宋_GB2312"/>
          <w:color w:val="auto"/>
          <w:sz w:val="32"/>
          <w:szCs w:val="32"/>
          <w:highlight w:val="none"/>
          <w:lang w:val="en-US" w:eastAsia="zh-CN"/>
        </w:rPr>
        <w:t>县委编办</w:t>
      </w:r>
      <w:r>
        <w:rPr>
          <w:rFonts w:hint="eastAsia" w:ascii="仿宋_GB2312" w:hAnsi="仿宋_GB2312" w:eastAsia="仿宋_GB2312" w:cs="仿宋_GB2312"/>
          <w:color w:val="auto"/>
          <w:sz w:val="32"/>
          <w:szCs w:val="32"/>
        </w:rPr>
        <w:t>整体（含部门预算项目）绩效自评得分为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分；绩效自评报告详见附件。</w:t>
      </w:r>
    </w:p>
    <w:p w14:paraId="2F8D9229">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黑体" w:hAnsi="黑体" w:eastAsia="黑体" w:cs="Times New Roman"/>
          <w:b w:val="0"/>
        </w:rPr>
      </w:pPr>
    </w:p>
    <w:p w14:paraId="1FE89334">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33F737F4">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20F3C58E">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7D6EE5DC">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59D38B7E">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69FE105B">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1B0BA840">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051350B0">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1C652F63">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5F5C405E">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041F4041">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370704B9">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0244481A">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3955885E">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29C7FB3C">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650D692C">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both"/>
        <w:textAlignment w:val="auto"/>
        <w:rPr>
          <w:rFonts w:hint="eastAsia" w:ascii="方正小标宋简体" w:hAnsi="方正小标宋简体" w:eastAsia="方正小标宋简体" w:cs="方正小标宋简体"/>
          <w:b w:val="0"/>
        </w:rPr>
      </w:pPr>
    </w:p>
    <w:p w14:paraId="34E56EDD">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第三部分</w:t>
      </w:r>
      <w:r>
        <w:rPr>
          <w:rFonts w:hint="eastAsia" w:ascii="方正小标宋简体" w:hAnsi="方正小标宋简体" w:eastAsia="方正小标宋简体" w:cs="方正小标宋简体"/>
          <w:b w:val="0"/>
          <w:lang w:val="en-US" w:eastAsia="zh-CN"/>
        </w:rPr>
        <w:t xml:space="preserve"> </w:t>
      </w:r>
      <w:r>
        <w:rPr>
          <w:rFonts w:hint="eastAsia" w:ascii="方正小标宋简体" w:hAnsi="方正小标宋简体" w:eastAsia="方正小标宋简体" w:cs="方正小标宋简体"/>
          <w:b w:val="0"/>
        </w:rPr>
        <w:t xml:space="preserve"> 名词解释</w:t>
      </w:r>
    </w:p>
    <w:p w14:paraId="2161FEFC">
      <w:pPr>
        <w:keepNext w:val="0"/>
        <w:keepLines w:val="0"/>
        <w:pageBreakBefore w:val="0"/>
        <w:widowControl w:val="0"/>
        <w:kinsoku/>
        <w:wordWrap/>
        <w:overflowPunct/>
        <w:topLinePunct w:val="0"/>
        <w:autoSpaceDE/>
        <w:autoSpaceDN/>
        <w:bidi w:val="0"/>
        <w:spacing w:line="600" w:lineRule="exact"/>
        <w:ind w:firstLine="640" w:firstLineChars="200"/>
        <w:textAlignment w:val="auto"/>
        <w:rPr>
          <w:sz w:val="32"/>
          <w:szCs w:val="32"/>
        </w:rPr>
      </w:pPr>
    </w:p>
    <w:p w14:paraId="280150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2F4B0D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3F46A0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2C497C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14:paraId="0B9695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24D1CC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21A7EC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5B1AAC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4737AD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9.社会保障和就业（类）行政事业单位养老支出（款）机关事业单位基本养老保险缴费支出（项）：指部门实施养老保险制度由单位缴纳的养老保险费的支出。 </w:t>
      </w:r>
    </w:p>
    <w:p w14:paraId="2F13F9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10.社会保障和就业（类）行政事业单位养老支出（款）机关事业单位职业年金缴费支出（项）：指部门实施养老保险制度由单位缴纳的职业年金的支出。 </w:t>
      </w:r>
    </w:p>
    <w:p w14:paraId="5EBE58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11.社会保障和就业（类）其他社会保障和就业支出（款）其他社会保障和就业支出（项）：指除上述项目外，其他用于行政事业单位离退休方面的支出。 </w:t>
      </w:r>
    </w:p>
    <w:p w14:paraId="3B1703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12.卫生健康支出（类）行政事业单位医疗（款）行政单位医疗（项）：指行政单位及参公管理事业单位用于缴纳单位基本医疗保险支出。 </w:t>
      </w:r>
    </w:p>
    <w:p w14:paraId="0EFDAB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13.住房保障支出（类）住房改革支出（款）住房公积金（项）：指由单位及其在职职工按规定缴存的住房公积金支出。 </w:t>
      </w:r>
    </w:p>
    <w:p w14:paraId="427B2F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14.基本支出：指为保障机构正常运转、完成日常工作任务而发生的人员支出和公用支出。</w:t>
      </w:r>
    </w:p>
    <w:p w14:paraId="35CB8B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15.项目支出：指在基本支出之外为完成特定行政任务和事业发展目标所发生的支出。 </w:t>
      </w:r>
    </w:p>
    <w:p w14:paraId="775811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7866D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2437B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18.卫生健康支出（类）行政事业单位医疗（款）公务员医疗补助（项）：反映财政部门安排的公务员医疗补助经费。</w:t>
      </w:r>
    </w:p>
    <w:p w14:paraId="5506513A">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pPr>
    </w:p>
    <w:p w14:paraId="6B73394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仿宋" w:hAnsi="仿宋" w:eastAsia="仿宋"/>
          <w:b/>
          <w:sz w:val="32"/>
          <w:szCs w:val="32"/>
        </w:rPr>
      </w:pPr>
    </w:p>
    <w:p w14:paraId="6998B77C">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49F2F394">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67557DD5">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34E5C891">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72A12844">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2F4AC67B">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6A8E9B7F">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37D4DD47">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 xml:space="preserve">第四部分 </w:t>
      </w:r>
      <w:r>
        <w:rPr>
          <w:rFonts w:hint="eastAsia" w:ascii="方正小标宋简体" w:hAnsi="方正小标宋简体" w:eastAsia="方正小标宋简体" w:cs="方正小标宋简体"/>
          <w:b w:val="0"/>
          <w:lang w:val="en-US" w:eastAsia="zh-CN"/>
        </w:rPr>
        <w:t xml:space="preserve"> </w:t>
      </w:r>
      <w:r>
        <w:rPr>
          <w:rFonts w:hint="eastAsia" w:ascii="方正小标宋简体" w:hAnsi="方正小标宋简体" w:eastAsia="方正小标宋简体" w:cs="方正小标宋简体"/>
          <w:b w:val="0"/>
        </w:rPr>
        <w:t>附件</w:t>
      </w:r>
    </w:p>
    <w:p w14:paraId="2E34FD8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hAnsi="黑体" w:eastAsia="黑体"/>
          <w:sz w:val="32"/>
          <w:szCs w:val="32"/>
        </w:rPr>
      </w:pPr>
      <w:r>
        <w:rPr>
          <w:rFonts w:hint="eastAsia" w:ascii="黑体" w:hAnsi="黑体" w:eastAsia="黑体"/>
          <w:sz w:val="32"/>
          <w:szCs w:val="32"/>
        </w:rPr>
        <w:t>附件1</w:t>
      </w:r>
    </w:p>
    <w:p w14:paraId="03A9186B">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lang w:eastAsia="zh-CN"/>
        </w:rPr>
      </w:pPr>
      <w:r>
        <w:rPr>
          <w:rFonts w:hint="eastAsia" w:ascii="方正小标宋简体" w:hAnsi="方正小标宋简体" w:eastAsia="方正小标宋简体" w:cs="方正小标宋简体"/>
          <w:b w:val="0"/>
          <w:lang w:eastAsia="zh-CN"/>
        </w:rPr>
        <w:t>县委编办整体绩效自评报告</w:t>
      </w:r>
    </w:p>
    <w:p w14:paraId="0A33BC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p>
    <w:p w14:paraId="4B1E26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一、部门（单位）基本情况</w:t>
      </w:r>
    </w:p>
    <w:p w14:paraId="2575B7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b w:val="0"/>
          <w:bCs/>
          <w:sz w:val="32"/>
          <w:szCs w:val="32"/>
        </w:rPr>
        <w:t>（一）机构组成。</w:t>
      </w:r>
      <w:r>
        <w:rPr>
          <w:rFonts w:hint="eastAsia" w:ascii="仿宋_GB2312" w:hAnsi="仿宋_GB2312" w:eastAsia="仿宋_GB2312" w:cs="仿宋_GB2312"/>
          <w:sz w:val="32"/>
          <w:szCs w:val="32"/>
        </w:rPr>
        <w:t>县委编办内设综合股，下设参公事业单位县事业单位登记服务中心。</w:t>
      </w:r>
    </w:p>
    <w:p w14:paraId="2F223B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（二）机构职能。</w:t>
      </w:r>
    </w:p>
    <w:p w14:paraId="51C0BD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1.贯彻执行中央和省、市关于行政管理体制改革和机构改革，事业单位改革及机构编制管理的方针政策，法律法规规章，组织草拟机构编制管理规范性文件并监督实施。</w:t>
      </w:r>
    </w:p>
    <w:p w14:paraId="3BEDB7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2.组织编制全县机关、事业单位年度用编计划。</w:t>
      </w:r>
    </w:p>
    <w:p w14:paraId="454CB5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3.拟订全县行政管理体制改革和机构改革方案并组织实施，审核县级各部门“三定”规定和乡镇机构改革方案，指导、协调全县行政管理体制改革和机构改革。</w:t>
      </w:r>
    </w:p>
    <w:p w14:paraId="655B81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4.按规定上报跨层级调整行政编制事项。负责全县行政事业编制总量控制和机关事业单位机构编制实名制管理工作。对县级机关和县属事业单位使用空缺编制补充人员进行核批。</w:t>
      </w:r>
    </w:p>
    <w:p w14:paraId="3546A8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5.负责县委、县政府各部门，县人大、县政协机关，县法院、县检察院机关，县人民团体机关的机构编制管理工作。协调县级各部门之间以及与乡镇之间的职责分工。</w:t>
      </w:r>
    </w:p>
    <w:p w14:paraId="34FAF5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6.拟订全县事业单位改革总体方案并组织实施，负责县属事业单位机构编制管理，审核县属事业单位的机构编制方案。</w:t>
      </w:r>
    </w:p>
    <w:p w14:paraId="57BC88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7.监督检查全县行政管理体制改革和机构改革方案及机构编制规定执行情况，开展县政府部门“三定”规定执行情况评估工作。</w:t>
      </w:r>
    </w:p>
    <w:p w14:paraId="4237B3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8.负责全县事业单位登记管理、党政群机关事业单位政务和公益中文域名注册管理工作。</w:t>
      </w:r>
    </w:p>
    <w:p w14:paraId="2DA197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9.完成县委交办的其他工作。</w:t>
      </w:r>
    </w:p>
    <w:p w14:paraId="09BBC1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（三）人员概况。</w:t>
      </w:r>
    </w:p>
    <w:p w14:paraId="7C1635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县委编办总编制7名，其中：行政编制5名，参公事业编制2名。在职人员总数6名，其中：行政3名，参公事业3名。离休0名。年末实有人数6人。</w:t>
      </w:r>
    </w:p>
    <w:p w14:paraId="061775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二、部门资金收支情况</w:t>
      </w:r>
    </w:p>
    <w:p w14:paraId="526BB1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楷体_GB2312" w:eastAsia="楷体_GB2312"/>
          <w:b w:val="0"/>
          <w:bCs/>
          <w:sz w:val="32"/>
          <w:szCs w:val="32"/>
        </w:rPr>
        <w:t>（一）部门财政资金收入情况。</w:t>
      </w:r>
      <w:r>
        <w:rPr>
          <w:rFonts w:hint="eastAsia" w:ascii="仿宋_GB2312" w:hAnsi="仿宋_GB2312" w:eastAsia="仿宋_GB2312" w:cs="仿宋_GB2312"/>
          <w:b w:val="0"/>
          <w:bCs/>
          <w:color w:val="auto"/>
          <w:sz w:val="32"/>
          <w:szCs w:val="32"/>
        </w:rPr>
        <w:t>我单位为县级一级预算单位，实行独立核算，为财政全额拨款行政单位，2023年财政资金收入为186.09万元，我单位每年结合单位在职人员数量、工作实际需要开展年初预算工作，由县财政统一审核、批复，并在日常工作中按照预算指标以及工作开展进度申请资金，形成部门财政资金收入。</w:t>
      </w:r>
    </w:p>
    <w:p w14:paraId="4F2739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楷体_GB2312" w:eastAsia="楷体_GB2312"/>
          <w:b w:val="0"/>
          <w:bCs/>
          <w:sz w:val="32"/>
          <w:szCs w:val="32"/>
        </w:rPr>
        <w:t>（二）部门财政资金支出情况。</w:t>
      </w:r>
      <w:r>
        <w:rPr>
          <w:rFonts w:hint="eastAsia" w:ascii="仿宋_GB2312" w:hAnsi="仿宋_GB2312" w:eastAsia="仿宋_GB2312" w:cs="仿宋_GB2312"/>
          <w:b w:val="0"/>
          <w:bCs/>
          <w:color w:val="auto"/>
          <w:sz w:val="32"/>
          <w:szCs w:val="32"/>
        </w:rPr>
        <w:t>2023年我单位财政资金支出186.09万元，其中基本支出134.25万元，项目支出3.74万元，我单位遵循不超预算、不超范围支出原则，每年按照年初预算指标结合单位工作开展实际需要向县财政提交用款计划表，财政审</w:t>
      </w:r>
      <w:r>
        <w:rPr>
          <w:rFonts w:hint="eastAsia" w:ascii="仿宋_GB2312" w:hAnsi="仿宋_GB2312" w:eastAsia="仿宋_GB2312" w:cs="仿宋_GB2312"/>
          <w:b w:val="0"/>
          <w:bCs/>
          <w:color w:val="auto"/>
          <w:sz w:val="32"/>
          <w:szCs w:val="32"/>
          <w:lang w:eastAsia="zh-CN"/>
        </w:rPr>
        <w:t>核通</w:t>
      </w:r>
      <w:r>
        <w:rPr>
          <w:rFonts w:hint="eastAsia" w:ascii="仿宋_GB2312" w:hAnsi="仿宋_GB2312" w:eastAsia="仿宋_GB2312" w:cs="仿宋_GB2312"/>
          <w:b w:val="0"/>
          <w:bCs/>
          <w:color w:val="auto"/>
          <w:sz w:val="32"/>
          <w:szCs w:val="32"/>
        </w:rPr>
        <w:t>过后下达资金给各单位，各单位再按实际需要列支，在列支每一笔经费时都按照专款专用、按实列支、票据齐全等要求进行支付，不浪费、不违规使用资金。确保营造一个健康、有序的财政资金支出环境。</w:t>
      </w:r>
    </w:p>
    <w:p w14:paraId="657050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楷体_GB2312" w:eastAsia="楷体_GB2312"/>
          <w:b w:val="0"/>
          <w:bCs/>
          <w:sz w:val="32"/>
          <w:szCs w:val="32"/>
        </w:rPr>
        <w:t>（三）结余分配和结转结余情况。</w:t>
      </w:r>
      <w:r>
        <w:rPr>
          <w:rFonts w:hint="eastAsia" w:ascii="仿宋_GB2312" w:hAnsi="Times New Roman" w:eastAsia="仿宋_GB2312" w:cs="Times New Roman"/>
          <w:b w:val="0"/>
          <w:bCs/>
          <w:sz w:val="32"/>
          <w:szCs w:val="32"/>
        </w:rPr>
        <w:t>我</w:t>
      </w:r>
      <w:r>
        <w:rPr>
          <w:rFonts w:hint="eastAsia" w:ascii="仿宋_GB2312" w:hAnsi="Times New Roman" w:eastAsia="仿宋_GB2312" w:cs="Times New Roman"/>
          <w:sz w:val="32"/>
          <w:szCs w:val="32"/>
        </w:rPr>
        <w:t>办无财政资金结转结余情况。</w:t>
      </w:r>
    </w:p>
    <w:p w14:paraId="3795D6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三、部门预算绩效分析</w:t>
      </w:r>
    </w:p>
    <w:p w14:paraId="549E19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（一）部门预算总体绩效分析。</w:t>
      </w:r>
    </w:p>
    <w:p w14:paraId="54BD21F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本单位按照财政要求结合单位实际制定了切实可行的部门绩效目标，绩效目标是建设项目库、编制部门预算、实施绩效监控、开展绩效评价的重要基础和依据。进一步加强预算绩效管理，提高县级预算绩效目标管理的科学性、规范性和有效性，为本单位准确编制年初预算提供了依据。在日常支出中我单位加强专项资金管理，专款专用，不虚列项目支出，不截留、挤占、挪用、浪费、套取、转移专项资金。本单位还建立健全内部控制制度和内部稽核、审批、审查制度，完善内部支出管理，强化内部约束，不断降低本单位运行成本。各项支出符合国家的现行规定，不擅自提高补贴标准，不巧立名目、不变相扩大个人补贴范围；不随意提高差旅费、会议费等报销标准，严格控制支出。年初在制定预算时针对本年度工作开展实际需要以及结合上年度资金使用情况进行了动态调整，使资金充分发挥有效作用更好地为各项工作服务，使预算工作有序、圆满完成，无违规现象。</w:t>
      </w:r>
    </w:p>
    <w:p w14:paraId="2B4453E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（二）部门预算项目绩效分析。</w:t>
      </w:r>
    </w:p>
    <w:p w14:paraId="38820EA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2023年我单位结合业务工作需要制定了项目年初预算，其中包括：事业单位改革、实名制管理维护2个项目，各项目按照计划有序实施，在实施过程中进行了事前、事中及事后自查和监督，确保了所有项目有序、规范开展并严格进行了项目验收工作，项目实际完成任务量和效果达到规划预期情况。</w:t>
      </w:r>
    </w:p>
    <w:p w14:paraId="36AB9B6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（三）绩效结果应用情况。</w:t>
      </w:r>
    </w:p>
    <w:p w14:paraId="7436B3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sz w:val="32"/>
          <w:szCs w:val="32"/>
          <w:lang w:val="zh-CN"/>
        </w:rPr>
      </w:pPr>
      <w:r>
        <w:rPr>
          <w:rFonts w:hint="eastAsia" w:eastAsia="仿宋_GB2312"/>
          <w:b w:val="0"/>
          <w:bCs/>
          <w:sz w:val="32"/>
          <w:szCs w:val="32"/>
          <w:lang w:val="zh-CN"/>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w:t>
      </w:r>
      <w:r>
        <w:rPr>
          <w:rFonts w:hint="eastAsia" w:eastAsia="仿宋_GB2312"/>
          <w:sz w:val="32"/>
          <w:szCs w:val="32"/>
          <w:lang w:val="zh-CN"/>
        </w:rPr>
        <w:t>预算绩效管理工作。</w:t>
      </w:r>
    </w:p>
    <w:p w14:paraId="0178C7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四、评价结论及建议</w:t>
      </w:r>
    </w:p>
    <w:p w14:paraId="541193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（一）评价结论。</w:t>
      </w:r>
    </w:p>
    <w:p w14:paraId="655EE2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b w:val="0"/>
          <w:bCs/>
          <w:sz w:val="32"/>
          <w:szCs w:val="32"/>
          <w:lang w:val="zh-CN"/>
        </w:rPr>
      </w:pPr>
      <w:r>
        <w:rPr>
          <w:rFonts w:hint="eastAsia" w:eastAsia="仿宋_GB2312"/>
          <w:b w:val="0"/>
          <w:bCs/>
          <w:sz w:val="32"/>
          <w:szCs w:val="32"/>
          <w:lang w:val="zh-CN"/>
        </w:rPr>
        <w:t>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金使用情况进行了动态调整，使预算管理工作取得最大化成效，切实提高部门预算收支管理水平。</w:t>
      </w:r>
    </w:p>
    <w:p w14:paraId="114C7F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b w:val="0"/>
          <w:bCs/>
          <w:sz w:val="32"/>
          <w:szCs w:val="32"/>
          <w:lang w:val="zh-CN"/>
        </w:rPr>
      </w:pPr>
      <w:r>
        <w:rPr>
          <w:rFonts w:hint="eastAsia" w:ascii="Times New Roman" w:hAnsi="Times New Roman" w:eastAsia="仿宋_GB2312" w:cs="Times New Roman"/>
          <w:b w:val="0"/>
          <w:bCs/>
          <w:sz w:val="32"/>
          <w:szCs w:val="32"/>
          <w:lang w:val="zh-CN"/>
        </w:rPr>
        <w:t>绩效评价得分：</w:t>
      </w:r>
      <w:r>
        <w:rPr>
          <w:rFonts w:hint="eastAsia" w:ascii="Times New Roman" w:hAnsi="Times New Roman" w:eastAsia="仿宋_GB2312" w:cs="Times New Roman"/>
          <w:b w:val="0"/>
          <w:bCs/>
          <w:sz w:val="32"/>
          <w:szCs w:val="32"/>
          <w:lang w:val="en-US" w:eastAsia="zh-CN"/>
        </w:rPr>
        <w:t>100</w:t>
      </w:r>
      <w:r>
        <w:rPr>
          <w:rFonts w:hint="eastAsia" w:ascii="Times New Roman" w:hAnsi="Times New Roman" w:eastAsia="仿宋_GB2312" w:cs="Times New Roman"/>
          <w:b w:val="0"/>
          <w:bCs/>
          <w:sz w:val="32"/>
          <w:szCs w:val="32"/>
          <w:lang w:val="zh-CN"/>
        </w:rPr>
        <w:t>分。</w:t>
      </w:r>
    </w:p>
    <w:p w14:paraId="5CCFE0C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（二）存在问题。</w:t>
      </w:r>
    </w:p>
    <w:p w14:paraId="7232E2D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eastAsia="仿宋_GB2312"/>
          <w:b w:val="0"/>
          <w:bCs/>
          <w:sz w:val="32"/>
          <w:szCs w:val="32"/>
          <w:lang w:val="zh-CN"/>
        </w:rPr>
      </w:pPr>
      <w:r>
        <w:rPr>
          <w:rFonts w:hint="eastAsia" w:eastAsia="仿宋_GB2312"/>
          <w:b w:val="0"/>
          <w:bCs/>
          <w:sz w:val="32"/>
          <w:szCs w:val="32"/>
          <w:lang w:val="zh-CN"/>
        </w:rPr>
        <w:t>在部门整体预算绩效管理工作我</w:t>
      </w:r>
      <w:r>
        <w:rPr>
          <w:rFonts w:hint="eastAsia" w:eastAsia="仿宋_GB2312"/>
          <w:b w:val="0"/>
          <w:bCs/>
          <w:sz w:val="32"/>
          <w:szCs w:val="32"/>
          <w:lang w:val="en-US" w:eastAsia="zh-CN"/>
        </w:rPr>
        <w:t>办</w:t>
      </w:r>
      <w:r>
        <w:rPr>
          <w:rFonts w:hint="eastAsia" w:eastAsia="仿宋_GB2312"/>
          <w:b w:val="0"/>
          <w:bCs/>
          <w:sz w:val="32"/>
          <w:szCs w:val="32"/>
          <w:lang w:val="zh-CN"/>
        </w:rPr>
        <w:t>还存在预算管理制度不健全、预算编制粗放、预算执行分析不及时等问题。</w:t>
      </w:r>
    </w:p>
    <w:p w14:paraId="6433EE4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（三）改进建议。</w:t>
      </w:r>
    </w:p>
    <w:p w14:paraId="5618BD1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sz w:val="32"/>
          <w:szCs w:val="32"/>
          <w:lang w:val="zh-CN"/>
        </w:rPr>
      </w:pPr>
      <w:r>
        <w:rPr>
          <w:rFonts w:hint="eastAsia" w:eastAsia="仿宋_GB2312"/>
          <w:b w:val="0"/>
          <w:bCs/>
          <w:sz w:val="32"/>
          <w:szCs w:val="32"/>
          <w:lang w:val="en-US" w:eastAsia="zh-CN"/>
        </w:rPr>
        <w:t>一是</w:t>
      </w:r>
      <w:r>
        <w:rPr>
          <w:rFonts w:hint="eastAsia" w:eastAsia="仿宋_GB2312"/>
          <w:b w:val="0"/>
          <w:bCs/>
          <w:sz w:val="32"/>
          <w:szCs w:val="32"/>
          <w:lang w:val="zh-CN"/>
        </w:rPr>
        <w:t>科学合理编制预算，严格执行预算绩效管理；</w:t>
      </w:r>
      <w:r>
        <w:rPr>
          <w:rFonts w:hint="eastAsia" w:eastAsia="仿宋_GB2312"/>
          <w:b w:val="0"/>
          <w:bCs/>
          <w:sz w:val="32"/>
          <w:szCs w:val="32"/>
          <w:lang w:val="en-US" w:eastAsia="zh-CN"/>
        </w:rPr>
        <w:t>二是</w:t>
      </w:r>
      <w:r>
        <w:rPr>
          <w:rFonts w:hint="eastAsia" w:eastAsia="仿宋_GB2312"/>
          <w:b w:val="0"/>
          <w:bCs/>
          <w:sz w:val="32"/>
          <w:szCs w:val="32"/>
          <w:lang w:val="zh-CN"/>
        </w:rPr>
        <w:t>规范账务处理，提高财务信息质量；</w:t>
      </w:r>
      <w:r>
        <w:rPr>
          <w:rFonts w:hint="eastAsia" w:eastAsia="仿宋_GB2312"/>
          <w:b w:val="0"/>
          <w:bCs/>
          <w:sz w:val="32"/>
          <w:szCs w:val="32"/>
          <w:lang w:val="en-US" w:eastAsia="zh-CN"/>
        </w:rPr>
        <w:t>三是</w:t>
      </w:r>
      <w:r>
        <w:rPr>
          <w:rFonts w:hint="eastAsia" w:eastAsia="仿宋_GB2312"/>
          <w:b w:val="0"/>
          <w:bCs/>
          <w:sz w:val="32"/>
          <w:szCs w:val="32"/>
          <w:lang w:val="zh-CN"/>
        </w:rPr>
        <w:t>完善管理制度，进一步加强资产管理；</w:t>
      </w:r>
      <w:r>
        <w:rPr>
          <w:rFonts w:hint="eastAsia" w:eastAsia="仿宋_GB2312"/>
          <w:b w:val="0"/>
          <w:bCs/>
          <w:sz w:val="32"/>
          <w:szCs w:val="32"/>
          <w:lang w:val="en-US" w:eastAsia="zh-CN"/>
        </w:rPr>
        <w:t>四是</w:t>
      </w:r>
      <w:r>
        <w:rPr>
          <w:rFonts w:hint="eastAsia" w:eastAsia="仿宋_GB2312"/>
          <w:b w:val="0"/>
          <w:bCs/>
          <w:sz w:val="32"/>
          <w:szCs w:val="32"/>
          <w:lang w:val="zh-CN"/>
        </w:rPr>
        <w:t>加强财务专业知识学习培训。</w:t>
      </w:r>
    </w:p>
    <w:p w14:paraId="1D3BE310">
      <w:pPr>
        <w:keepNext w:val="0"/>
        <w:keepLines w:val="0"/>
        <w:pageBreakBefore w:val="0"/>
        <w:widowControl w:val="0"/>
        <w:kinsoku/>
        <w:wordWrap/>
        <w:overflowPunct/>
        <w:topLinePunct w:val="0"/>
        <w:bidi w:val="0"/>
        <w:ind w:firstLine="640" w:firstLineChars="200"/>
        <w:textAlignment w:val="auto"/>
        <w:rPr>
          <w:rFonts w:eastAsia="仿宋_GB2312"/>
          <w:b w:val="0"/>
          <w:bCs/>
          <w:sz w:val="32"/>
          <w:szCs w:val="32"/>
          <w:lang w:val="zh-CN"/>
        </w:rPr>
      </w:pPr>
    </w:p>
    <w:p w14:paraId="6CAFC316">
      <w:pPr>
        <w:pStyle w:val="2"/>
        <w:rPr>
          <w:b w:val="0"/>
          <w:bCs/>
        </w:rPr>
      </w:pPr>
    </w:p>
    <w:p w14:paraId="1A7D2D98">
      <w:pPr>
        <w:pStyle w:val="2"/>
      </w:pPr>
    </w:p>
    <w:p w14:paraId="781607B1">
      <w:pPr>
        <w:pStyle w:val="2"/>
      </w:pPr>
    </w:p>
    <w:p w14:paraId="2E347F62">
      <w:pPr>
        <w:pStyle w:val="2"/>
      </w:pPr>
    </w:p>
    <w:p w14:paraId="130A367F">
      <w:pPr>
        <w:pStyle w:val="2"/>
      </w:pPr>
    </w:p>
    <w:p w14:paraId="7E0907D7">
      <w:pPr>
        <w:pStyle w:val="2"/>
      </w:pPr>
    </w:p>
    <w:p w14:paraId="5242E058">
      <w:pPr>
        <w:pStyle w:val="2"/>
      </w:pPr>
    </w:p>
    <w:p w14:paraId="7876C80B">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eastAsia="zh-CN"/>
        </w:rPr>
        <w:t>附件</w:t>
      </w:r>
      <w:r>
        <w:rPr>
          <w:rFonts w:hint="eastAsia" w:ascii="黑体" w:hAnsi="黑体" w:eastAsia="黑体" w:cs="Times New Roman"/>
          <w:sz w:val="32"/>
          <w:szCs w:val="32"/>
          <w:lang w:val="en-US" w:eastAsia="zh-CN"/>
        </w:rPr>
        <w:t>2</w:t>
      </w:r>
    </w:p>
    <w:p w14:paraId="25890D3A">
      <w:pPr>
        <w:tabs>
          <w:tab w:val="left" w:pos="1440"/>
        </w:tabs>
        <w:spacing w:line="600" w:lineRule="exact"/>
        <w:rPr>
          <w:rFonts w:ascii="宋体" w:hAnsi="宋体" w:eastAsia="宋体" w:cs="Times New Roman"/>
          <w:sz w:val="30"/>
          <w:szCs w:val="30"/>
        </w:rPr>
      </w:pPr>
    </w:p>
    <w:p w14:paraId="166706F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s="Times New Roman"/>
          <w:color w:val="auto"/>
          <w:kern w:val="0"/>
          <w:sz w:val="44"/>
          <w:szCs w:val="44"/>
          <w:lang w:val="zh-CN" w:eastAsia="zh-CN" w:bidi="ar-SA"/>
        </w:rPr>
      </w:pPr>
      <w:r>
        <w:rPr>
          <w:rFonts w:hint="eastAsia" w:ascii="方正小标宋简体" w:hAnsi="宋体" w:eastAsia="方正小标宋简体" w:cs="Times New Roman"/>
          <w:color w:val="auto"/>
          <w:kern w:val="0"/>
          <w:sz w:val="44"/>
          <w:szCs w:val="44"/>
          <w:lang w:val="zh-CN" w:eastAsia="zh-CN" w:bidi="ar-SA"/>
        </w:rPr>
        <w:t>项目支出绩效自评报告</w:t>
      </w:r>
    </w:p>
    <w:p w14:paraId="02A23E19">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（实名制管理维护）</w:t>
      </w:r>
    </w:p>
    <w:p w14:paraId="78CE5098">
      <w:pPr>
        <w:keepNext w:val="0"/>
        <w:keepLines w:val="0"/>
        <w:pageBreakBefore w:val="0"/>
        <w:widowControl w:val="0"/>
        <w:kinsoku/>
        <w:wordWrap/>
        <w:overflowPunct/>
        <w:topLinePunct w:val="0"/>
        <w:autoSpaceDE/>
        <w:autoSpaceDN/>
        <w:bidi w:val="0"/>
        <w:spacing w:line="600" w:lineRule="exact"/>
        <w:ind w:left="0" w:firstLine="640" w:firstLineChars="200"/>
        <w:jc w:val="center"/>
        <w:textAlignment w:val="auto"/>
        <w:rPr>
          <w:rFonts w:ascii="宋体" w:hAnsi="宋体" w:eastAsia="宋体" w:cs="Times New Roman"/>
          <w:b w:val="0"/>
          <w:bCs w:val="0"/>
          <w:color w:val="auto"/>
          <w:kern w:val="2"/>
          <w:sz w:val="32"/>
          <w:szCs w:val="32"/>
          <w:lang w:val="zh-CN" w:eastAsia="zh-CN" w:bidi="ar-SA"/>
        </w:rPr>
      </w:pPr>
    </w:p>
    <w:p w14:paraId="1E0A8B1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cs="Times New Roman"/>
          <w:b w:val="0"/>
          <w:bCs w:val="0"/>
          <w:color w:val="auto"/>
          <w:sz w:val="32"/>
          <w:szCs w:val="32"/>
          <w:lang w:val="zh-CN"/>
        </w:rPr>
      </w:pPr>
      <w:r>
        <w:rPr>
          <w:rFonts w:hint="eastAsia" w:ascii="黑体" w:hAnsi="宋体" w:eastAsia="黑体" w:cs="Times New Roman"/>
          <w:b w:val="0"/>
          <w:bCs w:val="0"/>
          <w:color w:val="auto"/>
          <w:sz w:val="32"/>
          <w:szCs w:val="32"/>
        </w:rPr>
        <w:t>一、</w:t>
      </w:r>
      <w:r>
        <w:rPr>
          <w:rFonts w:hint="eastAsia" w:ascii="黑体" w:hAnsi="宋体" w:eastAsia="黑体" w:cs="Times New Roman"/>
          <w:b w:val="0"/>
          <w:bCs w:val="0"/>
          <w:color w:val="auto"/>
          <w:sz w:val="32"/>
          <w:szCs w:val="32"/>
          <w:lang w:val="zh-CN"/>
        </w:rPr>
        <w:t>项目概况</w:t>
      </w:r>
    </w:p>
    <w:p w14:paraId="019DC1F1">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（一）项目资金申报及批复情况。</w:t>
      </w:r>
    </w:p>
    <w:p w14:paraId="69463C0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该项目属部门预算项目，</w:t>
      </w:r>
      <w:r>
        <w:rPr>
          <w:rFonts w:hint="eastAsia" w:ascii="仿宋_GB2312" w:hAnsi="宋体" w:eastAsia="仿宋_GB2312" w:cs="Times New Roman"/>
          <w:b w:val="0"/>
          <w:bCs w:val="0"/>
          <w:color w:val="auto"/>
          <w:sz w:val="32"/>
          <w:szCs w:val="32"/>
          <w:lang w:val="zh-CN"/>
        </w:rPr>
        <w:t>项目资金</w:t>
      </w:r>
      <w:r>
        <w:rPr>
          <w:rFonts w:hint="eastAsia" w:ascii="仿宋_GB2312" w:hAnsi="宋体" w:eastAsia="仿宋_GB2312" w:cs="Times New Roman"/>
          <w:b w:val="0"/>
          <w:bCs w:val="0"/>
          <w:color w:val="auto"/>
          <w:sz w:val="32"/>
          <w:szCs w:val="32"/>
          <w:lang w:val="en-US" w:eastAsia="zh-CN"/>
        </w:rPr>
        <w:t>发放下达按照财政流程经业务科室审核、预算科室审核、国库审核审定；资金使用按实向财政申请。</w:t>
      </w:r>
    </w:p>
    <w:p w14:paraId="07537412">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项目绩效目标。</w:t>
      </w:r>
    </w:p>
    <w:p w14:paraId="6BB3E26C">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rPr>
        <w:t>1．项目主要内容：</w:t>
      </w:r>
      <w:r>
        <w:rPr>
          <w:rFonts w:hint="eastAsia" w:ascii="仿宋_GB2312" w:hAnsi="仿宋" w:eastAsia="仿宋_GB2312" w:cs="仿宋"/>
          <w:b w:val="0"/>
          <w:bCs w:val="0"/>
          <w:color w:val="auto"/>
          <w:sz w:val="32"/>
          <w:szCs w:val="32"/>
          <w:lang w:eastAsia="zh-CN"/>
        </w:rPr>
        <w:t>事业单位改革</w:t>
      </w:r>
      <w:r>
        <w:rPr>
          <w:rFonts w:hint="eastAsia" w:ascii="仿宋_GB2312" w:hAnsi="仿宋" w:eastAsia="仿宋_GB2312" w:cs="仿宋"/>
          <w:b w:val="0"/>
          <w:bCs w:val="0"/>
          <w:color w:val="auto"/>
          <w:sz w:val="32"/>
          <w:szCs w:val="32"/>
        </w:rPr>
        <w:t>。</w:t>
      </w:r>
    </w:p>
    <w:p w14:paraId="4B899AF1">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2．项目应实现的具体绩效目标，包括目标的量化、细化情况以及项目实施进度计划等。</w:t>
      </w:r>
    </w:p>
    <w:p w14:paraId="4A89F2F6">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项目资金申报相符性。</w:t>
      </w:r>
    </w:p>
    <w:p w14:paraId="25978F6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项目资金</w:t>
      </w:r>
      <w:r>
        <w:rPr>
          <w:rFonts w:hint="eastAsia" w:ascii="仿宋_GB2312" w:hAnsi="宋体" w:eastAsia="仿宋_GB2312" w:cs="Times New Roman"/>
          <w:b w:val="0"/>
          <w:bCs w:val="0"/>
          <w:color w:val="auto"/>
          <w:sz w:val="32"/>
          <w:szCs w:val="32"/>
          <w:lang w:val="zh-CN"/>
        </w:rPr>
        <w:t>申报内容与实际相符，申报目标</w:t>
      </w:r>
      <w:r>
        <w:rPr>
          <w:rFonts w:hint="eastAsia" w:ascii="仿宋_GB2312" w:hAnsi="宋体" w:eastAsia="仿宋_GB2312" w:cs="Times New Roman"/>
          <w:b w:val="0"/>
          <w:bCs w:val="0"/>
          <w:color w:val="auto"/>
          <w:sz w:val="32"/>
          <w:szCs w:val="32"/>
          <w:lang w:val="en-US" w:eastAsia="zh-CN"/>
        </w:rPr>
        <w:t>是</w:t>
      </w:r>
      <w:r>
        <w:rPr>
          <w:rFonts w:hint="eastAsia" w:ascii="仿宋_GB2312" w:hAnsi="宋体" w:eastAsia="仿宋_GB2312" w:cs="Times New Roman"/>
          <w:b w:val="0"/>
          <w:bCs w:val="0"/>
          <w:color w:val="auto"/>
          <w:sz w:val="32"/>
          <w:szCs w:val="32"/>
          <w:lang w:val="zh-CN"/>
        </w:rPr>
        <w:t>合理可行。</w:t>
      </w:r>
    </w:p>
    <w:p w14:paraId="1391D68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黑体" w:hAnsi="宋体" w:eastAsia="黑体" w:cs="Times New Roman"/>
          <w:b w:val="0"/>
          <w:bCs w:val="0"/>
          <w:color w:val="auto"/>
          <w:sz w:val="32"/>
          <w:szCs w:val="32"/>
        </w:rPr>
      </w:pPr>
      <w:r>
        <w:rPr>
          <w:rFonts w:hint="eastAsia" w:ascii="黑体" w:hAnsi="宋体" w:eastAsia="黑体" w:cs="Times New Roman"/>
          <w:b w:val="0"/>
          <w:bCs w:val="0"/>
          <w:color w:val="auto"/>
          <w:sz w:val="32"/>
          <w:szCs w:val="32"/>
        </w:rPr>
        <w:t>二、项目实施及管理情况</w:t>
      </w:r>
    </w:p>
    <w:p w14:paraId="5A43E9D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（一）资金计划、到位及使用情况。</w:t>
      </w:r>
    </w:p>
    <w:p w14:paraId="0959412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1．资金计划及到位。</w:t>
      </w:r>
    </w:p>
    <w:p w14:paraId="7C8A0D4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该项目资金计划</w:t>
      </w:r>
      <w:r>
        <w:rPr>
          <w:rFonts w:hint="eastAsia" w:ascii="仿宋_GB2312" w:hAnsi="宋体" w:eastAsia="仿宋_GB2312" w:cs="Times New Roman"/>
          <w:b w:val="0"/>
          <w:bCs w:val="0"/>
          <w:color w:val="auto"/>
          <w:sz w:val="32"/>
          <w:szCs w:val="32"/>
          <w:lang w:val="en-US" w:eastAsia="zh-CN"/>
        </w:rPr>
        <w:t>全部由县本级财政预算。无</w:t>
      </w:r>
      <w:r>
        <w:rPr>
          <w:rFonts w:hint="eastAsia" w:ascii="仿宋_GB2312" w:hAnsi="宋体" w:eastAsia="仿宋_GB2312" w:cs="Times New Roman"/>
          <w:b w:val="0"/>
          <w:bCs w:val="0"/>
          <w:color w:val="auto"/>
          <w:sz w:val="32"/>
          <w:szCs w:val="32"/>
          <w:lang w:val="zh-CN"/>
        </w:rPr>
        <w:t>单位自筹、其他渠道资金。</w:t>
      </w:r>
    </w:p>
    <w:p w14:paraId="45E66D88">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仿宋_GB2312" w:hAnsi="宋体" w:eastAsia="仿宋_GB2312" w:cs="Times New Roman"/>
          <w:b w:val="0"/>
          <w:bCs w:val="0"/>
          <w:color w:val="auto"/>
          <w:kern w:val="2"/>
          <w:sz w:val="32"/>
          <w:szCs w:val="32"/>
          <w:lang w:val="zh-CN" w:eastAsia="zh-CN" w:bidi="ar-SA"/>
        </w:rPr>
        <w:t>该项目资金截至评价时点，</w:t>
      </w:r>
      <w:r>
        <w:rPr>
          <w:rFonts w:hint="eastAsia" w:ascii="仿宋_GB2312" w:hAnsi="宋体" w:eastAsia="仿宋_GB2312" w:cs="Times New Roman"/>
          <w:b w:val="0"/>
          <w:bCs w:val="0"/>
          <w:color w:val="auto"/>
          <w:kern w:val="2"/>
          <w:sz w:val="32"/>
          <w:szCs w:val="32"/>
          <w:lang w:val="en-US" w:eastAsia="zh-CN" w:bidi="ar-SA"/>
        </w:rPr>
        <w:t>部门预算该项目经费为5万元，我单位按时按实向财政申请1.25万元已全部及时</w:t>
      </w:r>
      <w:r>
        <w:rPr>
          <w:rFonts w:hint="eastAsia" w:ascii="仿宋_GB2312" w:hAnsi="宋体" w:eastAsia="仿宋_GB2312" w:cs="Times New Roman"/>
          <w:b w:val="0"/>
          <w:bCs w:val="0"/>
          <w:color w:val="auto"/>
          <w:kern w:val="2"/>
          <w:sz w:val="32"/>
          <w:szCs w:val="32"/>
          <w:lang w:val="zh-CN" w:eastAsia="zh-CN" w:bidi="ar-SA"/>
        </w:rPr>
        <w:t>到位，</w:t>
      </w:r>
      <w:r>
        <w:rPr>
          <w:rFonts w:hint="eastAsia" w:ascii="仿宋_GB2312" w:hAnsi="宋体" w:eastAsia="仿宋_GB2312" w:cs="Times New Roman"/>
          <w:b w:val="0"/>
          <w:bCs w:val="0"/>
          <w:color w:val="auto"/>
          <w:kern w:val="2"/>
          <w:sz w:val="32"/>
          <w:szCs w:val="32"/>
          <w:lang w:val="en-US" w:eastAsia="zh-CN" w:bidi="ar-SA"/>
        </w:rPr>
        <w:t>均为本级财政安排。</w:t>
      </w:r>
    </w:p>
    <w:p w14:paraId="6066E402">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资金使用。</w:t>
      </w:r>
    </w:p>
    <w:p w14:paraId="5278903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该项目资金截至评价时点，</w:t>
      </w:r>
      <w:r>
        <w:rPr>
          <w:rFonts w:hint="eastAsia" w:ascii="仿宋_GB2312" w:hAnsi="宋体" w:eastAsia="仿宋_GB2312" w:cs="Times New Roman"/>
          <w:b w:val="0"/>
          <w:bCs w:val="0"/>
          <w:color w:val="auto"/>
          <w:sz w:val="32"/>
          <w:szCs w:val="32"/>
          <w:lang w:val="en-US" w:eastAsia="zh-CN"/>
        </w:rPr>
        <w:t>按实已全部</w:t>
      </w:r>
      <w:r>
        <w:rPr>
          <w:rFonts w:hint="eastAsia" w:ascii="仿宋_GB2312" w:hAnsi="宋体" w:eastAsia="仿宋_GB2312" w:cs="Times New Roman"/>
          <w:b w:val="0"/>
          <w:bCs w:val="0"/>
          <w:color w:val="auto"/>
          <w:sz w:val="32"/>
          <w:szCs w:val="32"/>
          <w:lang w:val="zh-CN"/>
        </w:rPr>
        <w:t>支出，</w:t>
      </w:r>
      <w:r>
        <w:rPr>
          <w:rFonts w:hint="eastAsia" w:ascii="仿宋_GB2312" w:hAnsi="宋体" w:eastAsia="仿宋_GB2312" w:cs="Times New Roman"/>
          <w:b w:val="0"/>
          <w:bCs w:val="0"/>
          <w:color w:val="auto"/>
          <w:sz w:val="32"/>
          <w:szCs w:val="32"/>
          <w:lang w:val="en-US" w:eastAsia="zh-CN"/>
        </w:rPr>
        <w:t>支付</w:t>
      </w:r>
      <w:r>
        <w:rPr>
          <w:rFonts w:hint="eastAsia" w:ascii="仿宋_GB2312" w:hAnsi="宋体" w:eastAsia="仿宋_GB2312" w:cs="Times New Roman"/>
          <w:b w:val="0"/>
          <w:bCs w:val="0"/>
          <w:color w:val="auto"/>
          <w:sz w:val="32"/>
          <w:szCs w:val="32"/>
          <w:lang w:val="zh-CN"/>
        </w:rPr>
        <w:t>范围、支付标准、支付进度、支付依据等</w:t>
      </w:r>
      <w:r>
        <w:rPr>
          <w:rFonts w:hint="eastAsia" w:ascii="仿宋_GB2312" w:hAnsi="宋体" w:eastAsia="仿宋_GB2312" w:cs="Times New Roman"/>
          <w:b w:val="0"/>
          <w:bCs w:val="0"/>
          <w:color w:val="auto"/>
          <w:sz w:val="32"/>
          <w:szCs w:val="32"/>
          <w:lang w:val="en-US" w:eastAsia="zh-CN"/>
        </w:rPr>
        <w:t>均</w:t>
      </w:r>
      <w:r>
        <w:rPr>
          <w:rFonts w:hint="eastAsia" w:ascii="仿宋_GB2312" w:hAnsi="宋体" w:eastAsia="仿宋_GB2312" w:cs="Times New Roman"/>
          <w:b w:val="0"/>
          <w:bCs w:val="0"/>
          <w:color w:val="auto"/>
          <w:sz w:val="32"/>
          <w:szCs w:val="32"/>
          <w:lang w:val="zh-CN"/>
        </w:rPr>
        <w:t>合规合法、与预算相符。资金</w:t>
      </w:r>
      <w:r>
        <w:rPr>
          <w:rFonts w:hint="eastAsia" w:ascii="仿宋_GB2312" w:hAnsi="宋体" w:eastAsia="仿宋_GB2312" w:cs="Times New Roman"/>
          <w:b w:val="0"/>
          <w:bCs w:val="0"/>
          <w:color w:val="auto"/>
          <w:sz w:val="32"/>
          <w:szCs w:val="32"/>
          <w:lang w:val="en-US" w:eastAsia="zh-CN"/>
        </w:rPr>
        <w:t>拨付全部通过银行转账，安全性高</w:t>
      </w:r>
      <w:r>
        <w:rPr>
          <w:rFonts w:hint="eastAsia" w:ascii="仿宋_GB2312" w:hAnsi="宋体" w:eastAsia="仿宋_GB2312" w:cs="Times New Roman"/>
          <w:b w:val="0"/>
          <w:bCs w:val="0"/>
          <w:color w:val="auto"/>
          <w:sz w:val="32"/>
          <w:szCs w:val="32"/>
          <w:lang w:val="zh-CN"/>
        </w:rPr>
        <w:t>；</w:t>
      </w:r>
      <w:r>
        <w:rPr>
          <w:rFonts w:hint="eastAsia" w:ascii="仿宋_GB2312" w:hAnsi="宋体" w:eastAsia="仿宋_GB2312" w:cs="Times New Roman"/>
          <w:b w:val="0"/>
          <w:bCs w:val="0"/>
          <w:color w:val="auto"/>
          <w:sz w:val="32"/>
          <w:szCs w:val="32"/>
          <w:lang w:val="en-US" w:eastAsia="zh-CN"/>
        </w:rPr>
        <w:t>资金拨付按照财政资金列支程序实施，</w:t>
      </w:r>
      <w:r>
        <w:rPr>
          <w:rFonts w:hint="eastAsia" w:ascii="仿宋_GB2312" w:hAnsi="宋体" w:eastAsia="仿宋_GB2312" w:cs="Times New Roman"/>
          <w:b w:val="0"/>
          <w:bCs w:val="0"/>
          <w:color w:val="auto"/>
          <w:sz w:val="32"/>
          <w:szCs w:val="32"/>
          <w:lang w:val="zh-CN"/>
        </w:rPr>
        <w:t>规范性</w:t>
      </w:r>
      <w:r>
        <w:rPr>
          <w:rFonts w:hint="eastAsia" w:ascii="仿宋_GB2312" w:hAnsi="宋体" w:eastAsia="仿宋_GB2312" w:cs="Times New Roman"/>
          <w:b w:val="0"/>
          <w:bCs w:val="0"/>
          <w:color w:val="auto"/>
          <w:sz w:val="32"/>
          <w:szCs w:val="32"/>
          <w:lang w:val="en-US" w:eastAsia="zh-CN"/>
        </w:rPr>
        <w:t>强；该资金使用有效</w:t>
      </w:r>
      <w:r>
        <w:rPr>
          <w:rFonts w:hint="eastAsia" w:ascii="仿宋" w:hAnsi="仿宋" w:eastAsia="仿宋" w:cs="仿宋"/>
          <w:b w:val="0"/>
          <w:bCs w:val="0"/>
          <w:color w:val="auto"/>
          <w:sz w:val="32"/>
          <w:szCs w:val="32"/>
          <w:shd w:val="clear" w:color="auto" w:fill="FFFFFF"/>
        </w:rPr>
        <w:t>提升</w:t>
      </w:r>
      <w:r>
        <w:rPr>
          <w:rFonts w:hint="eastAsia" w:ascii="仿宋" w:hAnsi="仿宋" w:eastAsia="仿宋" w:cs="仿宋"/>
          <w:b w:val="0"/>
          <w:bCs w:val="0"/>
          <w:color w:val="auto"/>
          <w:sz w:val="32"/>
          <w:szCs w:val="32"/>
          <w:shd w:val="clear" w:color="auto" w:fill="FFFFFF"/>
          <w:lang w:val="en-US" w:eastAsia="zh-CN"/>
        </w:rPr>
        <w:t>了</w:t>
      </w:r>
      <w:r>
        <w:rPr>
          <w:rFonts w:hint="eastAsia" w:ascii="仿宋" w:hAnsi="仿宋" w:eastAsia="仿宋" w:cs="仿宋"/>
          <w:b w:val="0"/>
          <w:bCs w:val="0"/>
          <w:color w:val="auto"/>
          <w:sz w:val="32"/>
          <w:szCs w:val="32"/>
          <w:shd w:val="clear" w:color="auto" w:fill="FFFFFF"/>
        </w:rPr>
        <w:t>全社会应对风险能力，为峨边经济建设和基础建设提供风险保障，</w:t>
      </w:r>
      <w:r>
        <w:rPr>
          <w:rFonts w:hint="eastAsia" w:ascii="仿宋_GB2312" w:hAnsi="宋体" w:eastAsia="仿宋_GB2312" w:cs="Times New Roman"/>
          <w:b w:val="0"/>
          <w:bCs w:val="0"/>
          <w:color w:val="auto"/>
          <w:sz w:val="32"/>
          <w:szCs w:val="32"/>
          <w:lang w:val="en-US" w:eastAsia="zh-CN"/>
        </w:rPr>
        <w:t>资金使用</w:t>
      </w:r>
      <w:r>
        <w:rPr>
          <w:rFonts w:hint="eastAsia" w:ascii="仿宋_GB2312" w:hAnsi="宋体" w:eastAsia="仿宋_GB2312" w:cs="Times New Roman"/>
          <w:b w:val="0"/>
          <w:bCs w:val="0"/>
          <w:color w:val="auto"/>
          <w:sz w:val="32"/>
          <w:szCs w:val="32"/>
          <w:lang w:val="zh-CN"/>
        </w:rPr>
        <w:t>有效性</w:t>
      </w:r>
      <w:r>
        <w:rPr>
          <w:rFonts w:hint="eastAsia" w:ascii="仿宋_GB2312" w:hAnsi="宋体" w:eastAsia="仿宋_GB2312" w:cs="Times New Roman"/>
          <w:b w:val="0"/>
          <w:bCs w:val="0"/>
          <w:color w:val="auto"/>
          <w:sz w:val="32"/>
          <w:szCs w:val="32"/>
          <w:lang w:val="en-US" w:eastAsia="zh-CN"/>
        </w:rPr>
        <w:t>基本达到预定效果</w:t>
      </w:r>
      <w:r>
        <w:rPr>
          <w:rFonts w:hint="eastAsia" w:ascii="仿宋_GB2312" w:hAnsi="宋体" w:eastAsia="仿宋_GB2312" w:cs="Times New Roman"/>
          <w:b w:val="0"/>
          <w:bCs w:val="0"/>
          <w:color w:val="auto"/>
          <w:sz w:val="32"/>
          <w:szCs w:val="32"/>
          <w:lang w:val="zh-CN"/>
        </w:rPr>
        <w:t>。</w:t>
      </w:r>
    </w:p>
    <w:p w14:paraId="53CE37E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（二）项目财务管理情况。</w:t>
      </w:r>
    </w:p>
    <w:p w14:paraId="70A1A88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我</w:t>
      </w:r>
      <w:r>
        <w:rPr>
          <w:rFonts w:hint="eastAsia" w:ascii="仿宋_GB2312" w:hAnsi="宋体" w:eastAsia="仿宋_GB2312" w:cs="Times New Roman"/>
          <w:b w:val="0"/>
          <w:bCs w:val="0"/>
          <w:color w:val="auto"/>
          <w:sz w:val="32"/>
          <w:szCs w:val="32"/>
          <w:lang w:val="zh-CN"/>
        </w:rPr>
        <w:t>单位财务管理制度健全，严格执行财务管理制度，账务处理及时，会计核算规范。</w:t>
      </w:r>
    </w:p>
    <w:p w14:paraId="5BCFFAD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（三）项目组织实施情况。</w:t>
      </w:r>
    </w:p>
    <w:p w14:paraId="0DFC2D5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1</w:t>
      </w:r>
      <w:r>
        <w:rPr>
          <w:rFonts w:hint="eastAsia" w:ascii="仿宋_GB2312" w:hAnsi="宋体" w:eastAsia="仿宋_GB2312" w:cs="Times New Roman"/>
          <w:b w:val="0"/>
          <w:bCs w:val="0"/>
          <w:color w:val="auto"/>
          <w:sz w:val="32"/>
          <w:szCs w:val="32"/>
          <w:lang w:val="zh-CN" w:eastAsia="zh-CN"/>
        </w:rPr>
        <w:t>）项目组织架构及实施流程。</w:t>
      </w:r>
      <w:r>
        <w:rPr>
          <w:rFonts w:hint="eastAsia" w:ascii="仿宋_GB2312" w:hAnsi="宋体" w:eastAsia="仿宋_GB2312" w:cs="Times New Roman"/>
          <w:b w:val="0"/>
          <w:bCs w:val="0"/>
          <w:color w:val="auto"/>
          <w:sz w:val="32"/>
          <w:szCs w:val="32"/>
          <w:lang w:val="en-US" w:eastAsia="zh-CN"/>
        </w:rPr>
        <w:t>该项目为内部工作系统维护</w:t>
      </w:r>
      <w:r>
        <w:rPr>
          <w:rFonts w:hint="eastAsia" w:ascii="仿宋_GB2312" w:hAnsi="宋体" w:eastAsia="仿宋_GB2312" w:cs="Times New Roman"/>
          <w:b w:val="0"/>
          <w:bCs w:val="0"/>
          <w:color w:val="auto"/>
          <w:kern w:val="2"/>
          <w:sz w:val="32"/>
          <w:szCs w:val="32"/>
        </w:rPr>
        <w:t>经费</w:t>
      </w:r>
      <w:r>
        <w:rPr>
          <w:rFonts w:hint="eastAsia" w:ascii="仿宋_GB2312" w:hAnsi="宋体" w:eastAsia="仿宋_GB2312" w:cs="Times New Roman"/>
          <w:b w:val="0"/>
          <w:bCs w:val="0"/>
          <w:color w:val="auto"/>
          <w:kern w:val="2"/>
          <w:sz w:val="32"/>
          <w:szCs w:val="32"/>
          <w:lang w:val="en-US" w:eastAsia="zh-CN"/>
        </w:rPr>
        <w:t>并</w:t>
      </w:r>
      <w:r>
        <w:rPr>
          <w:rFonts w:hint="eastAsia" w:ascii="仿宋_GB2312" w:hAnsi="宋体" w:eastAsia="仿宋_GB2312" w:cs="Times New Roman"/>
          <w:b w:val="0"/>
          <w:bCs w:val="0"/>
          <w:color w:val="auto"/>
          <w:sz w:val="32"/>
          <w:szCs w:val="32"/>
          <w:lang w:val="en-US" w:eastAsia="zh-CN"/>
        </w:rPr>
        <w:t>按照支出科目分类管理及有关规定执行；由相关业务股室组织实施、分管领导审核确认工作事实、主要领导审定的方式实施并报县委县政府批示。</w:t>
      </w:r>
    </w:p>
    <w:p w14:paraId="05F31C4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2</w:t>
      </w:r>
      <w:r>
        <w:rPr>
          <w:rFonts w:hint="eastAsia" w:ascii="仿宋_GB2312" w:hAnsi="宋体" w:eastAsia="仿宋_GB2312" w:cs="Times New Roman"/>
          <w:b w:val="0"/>
          <w:bCs w:val="0"/>
          <w:color w:val="auto"/>
          <w:sz w:val="32"/>
          <w:szCs w:val="32"/>
          <w:lang w:val="zh-CN" w:eastAsia="zh-CN"/>
        </w:rPr>
        <w:t>）项目管理情况。结合</w:t>
      </w:r>
      <w:r>
        <w:rPr>
          <w:rFonts w:hint="eastAsia" w:ascii="仿宋_GB2312" w:hAnsi="宋体" w:eastAsia="仿宋_GB2312" w:cs="Times New Roman"/>
          <w:b w:val="0"/>
          <w:bCs w:val="0"/>
          <w:color w:val="auto"/>
          <w:sz w:val="32"/>
          <w:szCs w:val="32"/>
          <w:lang w:val="en-US" w:eastAsia="zh-CN"/>
        </w:rPr>
        <w:t>该</w:t>
      </w:r>
      <w:r>
        <w:rPr>
          <w:rFonts w:hint="eastAsia" w:ascii="仿宋_GB2312" w:hAnsi="宋体" w:eastAsia="仿宋_GB2312" w:cs="Times New Roman"/>
          <w:b w:val="0"/>
          <w:bCs w:val="0"/>
          <w:color w:val="auto"/>
          <w:sz w:val="32"/>
          <w:szCs w:val="32"/>
          <w:lang w:val="zh-CN" w:eastAsia="zh-CN"/>
        </w:rPr>
        <w:t>项目特点</w:t>
      </w:r>
      <w:r>
        <w:rPr>
          <w:rFonts w:hint="eastAsia" w:ascii="仿宋_GB2312" w:hAnsi="宋体" w:eastAsia="仿宋_GB2312" w:cs="Times New Roman"/>
          <w:b w:val="0"/>
          <w:bCs w:val="0"/>
          <w:color w:val="auto"/>
          <w:sz w:val="32"/>
          <w:szCs w:val="32"/>
          <w:lang w:val="zh-CN"/>
        </w:rPr>
        <w:t>，</w:t>
      </w:r>
      <w:r>
        <w:rPr>
          <w:rFonts w:hint="eastAsia" w:ascii="仿宋_GB2312" w:hAnsi="宋体" w:eastAsia="仿宋_GB2312" w:cs="Times New Roman"/>
          <w:b w:val="0"/>
          <w:bCs w:val="0"/>
          <w:color w:val="auto"/>
          <w:sz w:val="32"/>
          <w:szCs w:val="32"/>
          <w:lang w:val="en-US" w:eastAsia="zh-CN"/>
        </w:rPr>
        <w:t>我单位均按照据实据效的方式开展，严格执行预算法、财政资金支付有关规定。</w:t>
      </w:r>
    </w:p>
    <w:p w14:paraId="6252C60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3</w:t>
      </w:r>
      <w:r>
        <w:rPr>
          <w:rFonts w:hint="eastAsia" w:ascii="仿宋_GB2312" w:hAnsi="宋体" w:eastAsia="仿宋_GB2312" w:cs="Times New Roman"/>
          <w:b w:val="0"/>
          <w:bCs w:val="0"/>
          <w:color w:val="auto"/>
          <w:sz w:val="32"/>
          <w:szCs w:val="32"/>
          <w:lang w:val="zh-CN" w:eastAsia="zh-CN"/>
        </w:rPr>
        <w:t>）项目监管情况。</w:t>
      </w:r>
      <w:r>
        <w:rPr>
          <w:rFonts w:hint="eastAsia" w:ascii="仿宋_GB2312" w:hAnsi="宋体" w:eastAsia="仿宋_GB2312" w:cs="Times New Roman"/>
          <w:b w:val="0"/>
          <w:bCs w:val="0"/>
          <w:color w:val="auto"/>
          <w:sz w:val="32"/>
          <w:szCs w:val="32"/>
          <w:lang w:val="en-US" w:eastAsia="zh-CN"/>
        </w:rPr>
        <w:t>我单位严格</w:t>
      </w:r>
      <w:r>
        <w:rPr>
          <w:rFonts w:hint="eastAsia" w:ascii="仿宋_GB2312" w:hAnsi="宋体" w:eastAsia="仿宋_GB2312" w:cs="Times New Roman"/>
          <w:b w:val="0"/>
          <w:bCs w:val="0"/>
          <w:color w:val="auto"/>
          <w:sz w:val="32"/>
          <w:szCs w:val="32"/>
          <w:lang w:val="zh-CN"/>
        </w:rPr>
        <w:t>项目管理</w:t>
      </w: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485DB30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黑体" w:hAnsi="宋体" w:eastAsia="黑体" w:cs="Times New Roman"/>
          <w:b w:val="0"/>
          <w:bCs w:val="0"/>
          <w:color w:val="auto"/>
          <w:sz w:val="32"/>
          <w:szCs w:val="32"/>
        </w:rPr>
        <w:t>三、项目绩效情况</w:t>
      </w:r>
      <w:r>
        <w:rPr>
          <w:rFonts w:hint="eastAsia" w:ascii="仿宋_GB2312" w:hAnsi="宋体" w:eastAsia="仿宋_GB2312" w:cs="Times New Roman"/>
          <w:b w:val="0"/>
          <w:bCs w:val="0"/>
          <w:color w:val="auto"/>
          <w:sz w:val="32"/>
          <w:szCs w:val="32"/>
          <w:lang w:val="zh-CN"/>
        </w:rPr>
        <w:tab/>
      </w:r>
    </w:p>
    <w:p w14:paraId="043F765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（一）项目完成情况。</w:t>
      </w:r>
    </w:p>
    <w:p w14:paraId="30AB501B">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kern w:val="2"/>
          <w:sz w:val="32"/>
          <w:szCs w:val="32"/>
          <w:lang w:val="en-US" w:eastAsia="zh-CN"/>
        </w:rPr>
      </w:pPr>
      <w:r>
        <w:rPr>
          <w:rFonts w:hint="eastAsia" w:ascii="仿宋_GB2312" w:hAnsi="宋体" w:eastAsia="仿宋_GB2312" w:cs="宋体"/>
          <w:b w:val="0"/>
          <w:bCs w:val="0"/>
          <w:color w:val="auto"/>
          <w:kern w:val="0"/>
          <w:sz w:val="32"/>
          <w:szCs w:val="32"/>
          <w:shd w:val="clear" w:color="auto" w:fill="FFFFFF"/>
          <w:lang w:val="en-US" w:eastAsia="zh-CN"/>
        </w:rPr>
        <w:t>年末目标完成情况为：实名制系统使用到位，机构编制人员管理更加便捷高效。</w:t>
      </w:r>
    </w:p>
    <w:p w14:paraId="5788B62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rPr>
        <w:t>项目实施进度计划</w:t>
      </w:r>
      <w:r>
        <w:rPr>
          <w:rFonts w:hint="eastAsia" w:ascii="仿宋_GB2312" w:hAnsi="宋体" w:eastAsia="仿宋_GB2312" w:cs="Times New Roman"/>
          <w:b w:val="0"/>
          <w:bCs w:val="0"/>
          <w:color w:val="auto"/>
          <w:sz w:val="32"/>
          <w:szCs w:val="32"/>
          <w:lang w:val="en-US" w:eastAsia="zh-CN"/>
        </w:rPr>
        <w:t>及资金拨付均据实据效实施。制定的绩效目标按年度监管监察计划实施，并全部完成；项目实施资金在预算控制范围内资金。</w:t>
      </w:r>
    </w:p>
    <w:p w14:paraId="24F2929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（二）项目效益情况。</w:t>
      </w:r>
      <w:r>
        <w:rPr>
          <w:rFonts w:hint="eastAsia" w:ascii="仿宋_GB2312" w:hAnsi="宋体" w:eastAsia="仿宋_GB2312" w:cs="Times New Roman"/>
          <w:b w:val="0"/>
          <w:bCs w:val="0"/>
          <w:color w:val="auto"/>
          <w:sz w:val="32"/>
          <w:szCs w:val="32"/>
          <w:lang w:val="zh-CN"/>
        </w:rPr>
        <w:t>机构编制管理水平持续提升，服务对象满意。</w:t>
      </w:r>
    </w:p>
    <w:p w14:paraId="42D65C7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cs="Times New Roman"/>
          <w:b w:val="0"/>
          <w:bCs w:val="0"/>
          <w:color w:val="auto"/>
          <w:sz w:val="32"/>
          <w:szCs w:val="32"/>
        </w:rPr>
      </w:pPr>
      <w:r>
        <w:rPr>
          <w:rFonts w:hint="eastAsia" w:ascii="黑体" w:hAnsi="宋体" w:eastAsia="黑体" w:cs="Times New Roman"/>
          <w:b w:val="0"/>
          <w:bCs w:val="0"/>
          <w:color w:val="auto"/>
          <w:sz w:val="32"/>
          <w:szCs w:val="32"/>
        </w:rPr>
        <w:t>四、问题及建议</w:t>
      </w:r>
    </w:p>
    <w:p w14:paraId="5F635F0A">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楷体_GB2312" w:hAnsi="宋体" w:eastAsia="楷体_GB2312" w:cs="Times New Roman"/>
          <w:b w:val="0"/>
          <w:bCs w:val="0"/>
          <w:color w:val="auto"/>
          <w:kern w:val="2"/>
          <w:sz w:val="32"/>
          <w:szCs w:val="32"/>
          <w:lang w:val="zh-CN" w:eastAsia="zh-CN" w:bidi="ar-SA"/>
        </w:rPr>
      </w:pPr>
      <w:r>
        <w:rPr>
          <w:rFonts w:hint="eastAsia" w:ascii="楷体_GB2312" w:hAnsi="宋体" w:eastAsia="楷体_GB2312" w:cs="Times New Roman"/>
          <w:b w:val="0"/>
          <w:bCs w:val="0"/>
          <w:color w:val="auto"/>
          <w:kern w:val="2"/>
          <w:sz w:val="32"/>
          <w:szCs w:val="32"/>
          <w:lang w:val="zh-CN" w:eastAsia="zh-CN" w:bidi="ar-SA"/>
        </w:rPr>
        <w:t>（一）存在的问题。</w:t>
      </w:r>
      <w:r>
        <w:rPr>
          <w:rFonts w:hint="eastAsia" w:ascii="仿宋_GB2312" w:hAnsi="宋体" w:eastAsia="仿宋_GB2312" w:cs="Times New Roman"/>
          <w:b w:val="0"/>
          <w:bCs w:val="0"/>
          <w:color w:val="auto"/>
          <w:kern w:val="2"/>
          <w:sz w:val="32"/>
          <w:szCs w:val="32"/>
          <w:lang w:val="en-US" w:eastAsia="zh-CN" w:bidi="ar-SA"/>
        </w:rPr>
        <w:t>无。</w:t>
      </w:r>
    </w:p>
    <w:p w14:paraId="3B83D8D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en-US" w:eastAsia="zh-CN"/>
        </w:rPr>
      </w:pPr>
      <w:r>
        <w:rPr>
          <w:rFonts w:hint="eastAsia" w:ascii="楷体_GB2312" w:hAnsi="宋体" w:eastAsia="楷体_GB2312" w:cs="Times New Roman"/>
          <w:b w:val="0"/>
          <w:bCs w:val="0"/>
          <w:color w:val="auto"/>
          <w:sz w:val="32"/>
          <w:szCs w:val="32"/>
          <w:lang w:val="zh-CN"/>
        </w:rPr>
        <w:t>（二）相关建议。</w:t>
      </w:r>
      <w:r>
        <w:rPr>
          <w:rFonts w:hint="eastAsia" w:ascii="仿宋_GB2312" w:hAnsi="宋体" w:eastAsia="仿宋_GB2312" w:cs="Times New Roman"/>
          <w:b w:val="0"/>
          <w:bCs w:val="0"/>
          <w:color w:val="auto"/>
          <w:sz w:val="32"/>
          <w:szCs w:val="32"/>
          <w:lang w:val="en-US" w:eastAsia="zh-CN"/>
        </w:rPr>
        <w:t>无。</w:t>
      </w:r>
    </w:p>
    <w:p w14:paraId="02C50088">
      <w:pPr>
        <w:pStyle w:val="2"/>
        <w:keepNext w:val="0"/>
        <w:keepLines w:val="0"/>
        <w:pageBreakBefore w:val="0"/>
        <w:widowControl w:val="0"/>
        <w:kinsoku/>
        <w:wordWrap/>
        <w:overflowPunct/>
        <w:topLinePunct w:val="0"/>
        <w:autoSpaceDE/>
        <w:autoSpaceDN/>
        <w:bidi w:val="0"/>
        <w:spacing w:beforeLines="0" w:line="600" w:lineRule="exact"/>
        <w:ind w:left="0" w:firstLine="640" w:firstLineChars="200"/>
        <w:textAlignment w:val="auto"/>
        <w:rPr>
          <w:rFonts w:hint="eastAsia" w:ascii="仿宋_GB2312" w:hAnsi="宋体" w:cs="Times New Roman"/>
          <w:b w:val="0"/>
          <w:bCs w:val="0"/>
          <w:color w:val="auto"/>
          <w:sz w:val="32"/>
          <w:szCs w:val="32"/>
          <w:lang w:val="en-US" w:eastAsia="zh-CN"/>
        </w:rPr>
      </w:pPr>
    </w:p>
    <w:p w14:paraId="0875197A">
      <w:pPr>
        <w:pStyle w:val="2"/>
        <w:rPr>
          <w:rFonts w:hint="eastAsia" w:ascii="仿宋_GB2312" w:hAnsi="宋体" w:cs="Times New Roman"/>
          <w:color w:val="auto"/>
          <w:lang w:val="en-US" w:eastAsia="zh-CN"/>
        </w:rPr>
      </w:pPr>
    </w:p>
    <w:p w14:paraId="390777EB">
      <w:pPr>
        <w:pStyle w:val="2"/>
        <w:rPr>
          <w:rFonts w:hint="eastAsia" w:ascii="仿宋_GB2312" w:hAnsi="宋体" w:cs="Times New Roman"/>
          <w:color w:val="auto"/>
          <w:lang w:val="en-US" w:eastAsia="zh-CN"/>
        </w:rPr>
      </w:pPr>
    </w:p>
    <w:p w14:paraId="1300D54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 xml:space="preserve">附件3 </w:t>
      </w:r>
    </w:p>
    <w:p w14:paraId="544E3ED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s="Times New Roman"/>
          <w:color w:val="auto"/>
          <w:kern w:val="0"/>
          <w:sz w:val="44"/>
          <w:szCs w:val="44"/>
          <w:lang w:val="zh-CN" w:eastAsia="zh-CN" w:bidi="ar-SA"/>
        </w:rPr>
      </w:pPr>
      <w:r>
        <w:rPr>
          <w:rFonts w:hint="eastAsia" w:ascii="方正小标宋简体" w:hAnsi="宋体" w:eastAsia="方正小标宋简体" w:cs="Times New Roman"/>
          <w:color w:val="auto"/>
          <w:kern w:val="0"/>
          <w:sz w:val="44"/>
          <w:szCs w:val="44"/>
          <w:lang w:val="zh-CN" w:eastAsia="zh-CN" w:bidi="ar-SA"/>
        </w:rPr>
        <w:t>项目支出绩效自评报告</w:t>
      </w:r>
    </w:p>
    <w:p w14:paraId="10928CF0">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（事业单位改革）</w:t>
      </w:r>
    </w:p>
    <w:p w14:paraId="4539C7CA">
      <w:pPr>
        <w:keepNext w:val="0"/>
        <w:keepLines w:val="0"/>
        <w:pageBreakBefore w:val="0"/>
        <w:widowControl w:val="0"/>
        <w:kinsoku/>
        <w:wordWrap/>
        <w:overflowPunct/>
        <w:topLinePunct w:val="0"/>
        <w:autoSpaceDE/>
        <w:autoSpaceDN/>
        <w:bidi w:val="0"/>
        <w:spacing w:line="600" w:lineRule="exact"/>
        <w:ind w:left="0" w:firstLine="640" w:firstLineChars="200"/>
        <w:jc w:val="center"/>
        <w:textAlignment w:val="auto"/>
        <w:rPr>
          <w:rFonts w:ascii="宋体" w:hAnsi="宋体" w:eastAsia="宋体" w:cs="Times New Roman"/>
          <w:b w:val="0"/>
          <w:bCs w:val="0"/>
          <w:color w:val="auto"/>
          <w:kern w:val="2"/>
          <w:sz w:val="32"/>
          <w:szCs w:val="32"/>
          <w:lang w:val="zh-CN" w:eastAsia="zh-CN" w:bidi="ar-SA"/>
        </w:rPr>
      </w:pPr>
    </w:p>
    <w:p w14:paraId="20895E0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cs="Times New Roman"/>
          <w:b w:val="0"/>
          <w:bCs w:val="0"/>
          <w:color w:val="auto"/>
          <w:sz w:val="32"/>
          <w:szCs w:val="32"/>
          <w:lang w:val="zh-CN"/>
        </w:rPr>
      </w:pPr>
      <w:r>
        <w:rPr>
          <w:rFonts w:hint="eastAsia" w:ascii="黑体" w:hAnsi="宋体" w:eastAsia="黑体" w:cs="Times New Roman"/>
          <w:b w:val="0"/>
          <w:bCs w:val="0"/>
          <w:color w:val="auto"/>
          <w:sz w:val="32"/>
          <w:szCs w:val="32"/>
        </w:rPr>
        <w:t>一、</w:t>
      </w:r>
      <w:r>
        <w:rPr>
          <w:rFonts w:hint="eastAsia" w:ascii="黑体" w:hAnsi="宋体" w:eastAsia="黑体" w:cs="Times New Roman"/>
          <w:b w:val="0"/>
          <w:bCs w:val="0"/>
          <w:color w:val="auto"/>
          <w:sz w:val="32"/>
          <w:szCs w:val="32"/>
          <w:lang w:val="zh-CN"/>
        </w:rPr>
        <w:t>项目概况</w:t>
      </w:r>
    </w:p>
    <w:p w14:paraId="7BAAA78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（一）项目资金申报及批复情况。</w:t>
      </w:r>
    </w:p>
    <w:p w14:paraId="1146E6D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该项目属部门预算项目，</w:t>
      </w:r>
      <w:r>
        <w:rPr>
          <w:rFonts w:hint="eastAsia" w:ascii="仿宋_GB2312" w:hAnsi="宋体" w:eastAsia="仿宋_GB2312" w:cs="Times New Roman"/>
          <w:b w:val="0"/>
          <w:bCs w:val="0"/>
          <w:color w:val="auto"/>
          <w:sz w:val="32"/>
          <w:szCs w:val="32"/>
          <w:lang w:val="zh-CN"/>
        </w:rPr>
        <w:t>项目资金</w:t>
      </w:r>
      <w:r>
        <w:rPr>
          <w:rFonts w:hint="eastAsia" w:ascii="仿宋_GB2312" w:hAnsi="宋体" w:eastAsia="仿宋_GB2312" w:cs="Times New Roman"/>
          <w:b w:val="0"/>
          <w:bCs w:val="0"/>
          <w:color w:val="auto"/>
          <w:sz w:val="32"/>
          <w:szCs w:val="32"/>
          <w:lang w:val="en-US" w:eastAsia="zh-CN"/>
        </w:rPr>
        <w:t>发放下达按照财政流程经业务科室审核、预算科室审核、国库审核审定；资金使用按实向财政申请。</w:t>
      </w:r>
    </w:p>
    <w:p w14:paraId="6B97E909">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项目绩效目标。</w:t>
      </w:r>
    </w:p>
    <w:p w14:paraId="0C0E5B5B">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rPr>
        <w:t>1．项目主要内容：</w:t>
      </w:r>
      <w:r>
        <w:rPr>
          <w:rFonts w:hint="eastAsia" w:ascii="仿宋_GB2312" w:hAnsi="仿宋" w:eastAsia="仿宋_GB2312" w:cs="仿宋"/>
          <w:b w:val="0"/>
          <w:bCs w:val="0"/>
          <w:color w:val="auto"/>
          <w:sz w:val="32"/>
          <w:szCs w:val="32"/>
          <w:lang w:eastAsia="zh-CN"/>
        </w:rPr>
        <w:t>事业单位改革</w:t>
      </w:r>
      <w:r>
        <w:rPr>
          <w:rFonts w:hint="eastAsia" w:ascii="仿宋_GB2312" w:hAnsi="仿宋" w:eastAsia="仿宋_GB2312" w:cs="仿宋"/>
          <w:b w:val="0"/>
          <w:bCs w:val="0"/>
          <w:color w:val="auto"/>
          <w:sz w:val="32"/>
          <w:szCs w:val="32"/>
        </w:rPr>
        <w:t>。</w:t>
      </w:r>
    </w:p>
    <w:p w14:paraId="3F2887A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2．项目应实现的具体绩效目标，包括目标的量化、细化情况以及项目实施进度计划等。</w:t>
      </w:r>
    </w:p>
    <w:p w14:paraId="7B4430A3">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项目资金申报相符性。</w:t>
      </w:r>
    </w:p>
    <w:p w14:paraId="4C6570F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项目资金</w:t>
      </w:r>
      <w:r>
        <w:rPr>
          <w:rFonts w:hint="eastAsia" w:ascii="仿宋_GB2312" w:hAnsi="宋体" w:eastAsia="仿宋_GB2312" w:cs="Times New Roman"/>
          <w:b w:val="0"/>
          <w:bCs w:val="0"/>
          <w:color w:val="auto"/>
          <w:sz w:val="32"/>
          <w:szCs w:val="32"/>
          <w:lang w:val="zh-CN"/>
        </w:rPr>
        <w:t>申报内容与实际相符，申报目标</w:t>
      </w:r>
      <w:r>
        <w:rPr>
          <w:rFonts w:hint="eastAsia" w:ascii="仿宋_GB2312" w:hAnsi="宋体" w:eastAsia="仿宋_GB2312" w:cs="Times New Roman"/>
          <w:b w:val="0"/>
          <w:bCs w:val="0"/>
          <w:color w:val="auto"/>
          <w:sz w:val="32"/>
          <w:szCs w:val="32"/>
          <w:lang w:val="en-US" w:eastAsia="zh-CN"/>
        </w:rPr>
        <w:t>是</w:t>
      </w:r>
      <w:r>
        <w:rPr>
          <w:rFonts w:hint="eastAsia" w:ascii="仿宋_GB2312" w:hAnsi="宋体" w:eastAsia="仿宋_GB2312" w:cs="Times New Roman"/>
          <w:b w:val="0"/>
          <w:bCs w:val="0"/>
          <w:color w:val="auto"/>
          <w:sz w:val="32"/>
          <w:szCs w:val="32"/>
          <w:lang w:val="zh-CN"/>
        </w:rPr>
        <w:t>合理可行。</w:t>
      </w:r>
    </w:p>
    <w:p w14:paraId="750B056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黑体" w:hAnsi="宋体" w:eastAsia="黑体" w:cs="Times New Roman"/>
          <w:b w:val="0"/>
          <w:bCs w:val="0"/>
          <w:color w:val="auto"/>
          <w:sz w:val="32"/>
          <w:szCs w:val="32"/>
        </w:rPr>
      </w:pPr>
      <w:r>
        <w:rPr>
          <w:rFonts w:hint="eastAsia" w:ascii="黑体" w:hAnsi="宋体" w:eastAsia="黑体" w:cs="Times New Roman"/>
          <w:b w:val="0"/>
          <w:bCs w:val="0"/>
          <w:color w:val="auto"/>
          <w:sz w:val="32"/>
          <w:szCs w:val="32"/>
        </w:rPr>
        <w:t>二、项目实施及管理情况</w:t>
      </w:r>
    </w:p>
    <w:p w14:paraId="3A9BF6E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（一）资金计划、到位及使用情况。</w:t>
      </w:r>
    </w:p>
    <w:p w14:paraId="1E7CBB2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1．资金计划及到位。</w:t>
      </w:r>
    </w:p>
    <w:p w14:paraId="44A9445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该项目资金计划</w:t>
      </w:r>
      <w:r>
        <w:rPr>
          <w:rFonts w:hint="eastAsia" w:ascii="仿宋_GB2312" w:hAnsi="宋体" w:eastAsia="仿宋_GB2312" w:cs="Times New Roman"/>
          <w:b w:val="0"/>
          <w:bCs w:val="0"/>
          <w:color w:val="auto"/>
          <w:sz w:val="32"/>
          <w:szCs w:val="32"/>
          <w:lang w:val="en-US" w:eastAsia="zh-CN"/>
        </w:rPr>
        <w:t>全部由县本级财政预算。无</w:t>
      </w:r>
      <w:r>
        <w:rPr>
          <w:rFonts w:hint="eastAsia" w:ascii="仿宋_GB2312" w:hAnsi="宋体" w:eastAsia="仿宋_GB2312" w:cs="Times New Roman"/>
          <w:b w:val="0"/>
          <w:bCs w:val="0"/>
          <w:color w:val="auto"/>
          <w:sz w:val="32"/>
          <w:szCs w:val="32"/>
          <w:lang w:val="zh-CN"/>
        </w:rPr>
        <w:t>单位自筹、其他渠道资金。</w:t>
      </w:r>
    </w:p>
    <w:p w14:paraId="0A68EDEF">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仿宋_GB2312" w:hAnsi="宋体" w:eastAsia="仿宋_GB2312" w:cs="Times New Roman"/>
          <w:b w:val="0"/>
          <w:bCs w:val="0"/>
          <w:color w:val="auto"/>
          <w:kern w:val="2"/>
          <w:sz w:val="32"/>
          <w:szCs w:val="32"/>
          <w:lang w:val="zh-CN" w:eastAsia="zh-CN" w:bidi="ar-SA"/>
        </w:rPr>
        <w:t>该项目资金截至评价时点，</w:t>
      </w:r>
      <w:r>
        <w:rPr>
          <w:rFonts w:hint="eastAsia" w:ascii="仿宋_GB2312" w:hAnsi="宋体" w:eastAsia="仿宋_GB2312" w:cs="Times New Roman"/>
          <w:b w:val="0"/>
          <w:bCs w:val="0"/>
          <w:color w:val="auto"/>
          <w:kern w:val="2"/>
          <w:sz w:val="32"/>
          <w:szCs w:val="32"/>
          <w:lang w:val="en-US" w:eastAsia="zh-CN" w:bidi="ar-SA"/>
        </w:rPr>
        <w:t>部门预算该项目经费为5万元，我单位按时按实向财政申请2.49万元已全部及时</w:t>
      </w:r>
      <w:r>
        <w:rPr>
          <w:rFonts w:hint="eastAsia" w:ascii="仿宋_GB2312" w:hAnsi="宋体" w:eastAsia="仿宋_GB2312" w:cs="Times New Roman"/>
          <w:b w:val="0"/>
          <w:bCs w:val="0"/>
          <w:color w:val="auto"/>
          <w:kern w:val="2"/>
          <w:sz w:val="32"/>
          <w:szCs w:val="32"/>
          <w:lang w:val="zh-CN" w:eastAsia="zh-CN" w:bidi="ar-SA"/>
        </w:rPr>
        <w:t>到位，</w:t>
      </w:r>
      <w:r>
        <w:rPr>
          <w:rFonts w:hint="eastAsia" w:ascii="仿宋_GB2312" w:hAnsi="宋体" w:eastAsia="仿宋_GB2312" w:cs="Times New Roman"/>
          <w:b w:val="0"/>
          <w:bCs w:val="0"/>
          <w:color w:val="auto"/>
          <w:kern w:val="2"/>
          <w:sz w:val="32"/>
          <w:szCs w:val="32"/>
          <w:lang w:val="en-US" w:eastAsia="zh-CN" w:bidi="ar-SA"/>
        </w:rPr>
        <w:t>均为本级财政安排。</w:t>
      </w:r>
    </w:p>
    <w:p w14:paraId="6D4015A9">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资金使用。</w:t>
      </w:r>
    </w:p>
    <w:p w14:paraId="0F7190F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该项目资金截至评价时点，</w:t>
      </w:r>
      <w:r>
        <w:rPr>
          <w:rFonts w:hint="eastAsia" w:ascii="仿宋_GB2312" w:hAnsi="宋体" w:eastAsia="仿宋_GB2312" w:cs="Times New Roman"/>
          <w:b w:val="0"/>
          <w:bCs w:val="0"/>
          <w:color w:val="auto"/>
          <w:sz w:val="32"/>
          <w:szCs w:val="32"/>
          <w:lang w:val="en-US" w:eastAsia="zh-CN"/>
        </w:rPr>
        <w:t>按实已全部</w:t>
      </w:r>
      <w:r>
        <w:rPr>
          <w:rFonts w:hint="eastAsia" w:ascii="仿宋_GB2312" w:hAnsi="宋体" w:eastAsia="仿宋_GB2312" w:cs="Times New Roman"/>
          <w:b w:val="0"/>
          <w:bCs w:val="0"/>
          <w:color w:val="auto"/>
          <w:sz w:val="32"/>
          <w:szCs w:val="32"/>
          <w:lang w:val="zh-CN"/>
        </w:rPr>
        <w:t>支出，</w:t>
      </w:r>
      <w:r>
        <w:rPr>
          <w:rFonts w:hint="eastAsia" w:ascii="仿宋_GB2312" w:hAnsi="宋体" w:eastAsia="仿宋_GB2312" w:cs="Times New Roman"/>
          <w:b w:val="0"/>
          <w:bCs w:val="0"/>
          <w:color w:val="auto"/>
          <w:sz w:val="32"/>
          <w:szCs w:val="32"/>
          <w:lang w:val="en-US" w:eastAsia="zh-CN"/>
        </w:rPr>
        <w:t>支付</w:t>
      </w:r>
      <w:r>
        <w:rPr>
          <w:rFonts w:hint="eastAsia" w:ascii="仿宋_GB2312" w:hAnsi="宋体" w:eastAsia="仿宋_GB2312" w:cs="Times New Roman"/>
          <w:b w:val="0"/>
          <w:bCs w:val="0"/>
          <w:color w:val="auto"/>
          <w:sz w:val="32"/>
          <w:szCs w:val="32"/>
          <w:lang w:val="zh-CN"/>
        </w:rPr>
        <w:t>范围、支付标准、支付进度、支付依据等</w:t>
      </w:r>
      <w:r>
        <w:rPr>
          <w:rFonts w:hint="eastAsia" w:ascii="仿宋_GB2312" w:hAnsi="宋体" w:eastAsia="仿宋_GB2312" w:cs="Times New Roman"/>
          <w:b w:val="0"/>
          <w:bCs w:val="0"/>
          <w:color w:val="auto"/>
          <w:sz w:val="32"/>
          <w:szCs w:val="32"/>
          <w:lang w:val="en-US" w:eastAsia="zh-CN"/>
        </w:rPr>
        <w:t>均</w:t>
      </w:r>
      <w:r>
        <w:rPr>
          <w:rFonts w:hint="eastAsia" w:ascii="仿宋_GB2312" w:hAnsi="宋体" w:eastAsia="仿宋_GB2312" w:cs="Times New Roman"/>
          <w:b w:val="0"/>
          <w:bCs w:val="0"/>
          <w:color w:val="auto"/>
          <w:sz w:val="32"/>
          <w:szCs w:val="32"/>
          <w:lang w:val="zh-CN"/>
        </w:rPr>
        <w:t>合规合法、与预算相符。资金</w:t>
      </w:r>
      <w:r>
        <w:rPr>
          <w:rFonts w:hint="eastAsia" w:ascii="仿宋_GB2312" w:hAnsi="宋体" w:eastAsia="仿宋_GB2312" w:cs="Times New Roman"/>
          <w:b w:val="0"/>
          <w:bCs w:val="0"/>
          <w:color w:val="auto"/>
          <w:sz w:val="32"/>
          <w:szCs w:val="32"/>
          <w:lang w:val="en-US" w:eastAsia="zh-CN"/>
        </w:rPr>
        <w:t>拨付全部通过银行转账，安全性高</w:t>
      </w:r>
      <w:r>
        <w:rPr>
          <w:rFonts w:hint="eastAsia" w:ascii="仿宋_GB2312" w:hAnsi="宋体" w:eastAsia="仿宋_GB2312" w:cs="Times New Roman"/>
          <w:b w:val="0"/>
          <w:bCs w:val="0"/>
          <w:color w:val="auto"/>
          <w:sz w:val="32"/>
          <w:szCs w:val="32"/>
          <w:lang w:val="zh-CN"/>
        </w:rPr>
        <w:t>；</w:t>
      </w:r>
      <w:r>
        <w:rPr>
          <w:rFonts w:hint="eastAsia" w:ascii="仿宋_GB2312" w:hAnsi="宋体" w:eastAsia="仿宋_GB2312" w:cs="Times New Roman"/>
          <w:b w:val="0"/>
          <w:bCs w:val="0"/>
          <w:color w:val="auto"/>
          <w:sz w:val="32"/>
          <w:szCs w:val="32"/>
          <w:lang w:val="en-US" w:eastAsia="zh-CN"/>
        </w:rPr>
        <w:t>资金拨付按照财政资金列支程序实施，</w:t>
      </w:r>
      <w:r>
        <w:rPr>
          <w:rFonts w:hint="eastAsia" w:ascii="仿宋_GB2312" w:hAnsi="宋体" w:eastAsia="仿宋_GB2312" w:cs="Times New Roman"/>
          <w:b w:val="0"/>
          <w:bCs w:val="0"/>
          <w:color w:val="auto"/>
          <w:sz w:val="32"/>
          <w:szCs w:val="32"/>
          <w:lang w:val="zh-CN"/>
        </w:rPr>
        <w:t>规范性</w:t>
      </w:r>
      <w:r>
        <w:rPr>
          <w:rFonts w:hint="eastAsia" w:ascii="仿宋_GB2312" w:hAnsi="宋体" w:eastAsia="仿宋_GB2312" w:cs="Times New Roman"/>
          <w:b w:val="0"/>
          <w:bCs w:val="0"/>
          <w:color w:val="auto"/>
          <w:sz w:val="32"/>
          <w:szCs w:val="32"/>
          <w:lang w:val="en-US" w:eastAsia="zh-CN"/>
        </w:rPr>
        <w:t>强；该资金使用有效</w:t>
      </w:r>
      <w:r>
        <w:rPr>
          <w:rFonts w:hint="eastAsia" w:ascii="仿宋" w:hAnsi="仿宋" w:eastAsia="仿宋" w:cs="仿宋"/>
          <w:b w:val="0"/>
          <w:bCs w:val="0"/>
          <w:color w:val="auto"/>
          <w:sz w:val="32"/>
          <w:szCs w:val="32"/>
          <w:shd w:val="clear" w:color="auto" w:fill="FFFFFF"/>
        </w:rPr>
        <w:t>提升</w:t>
      </w:r>
      <w:r>
        <w:rPr>
          <w:rFonts w:hint="eastAsia" w:ascii="仿宋" w:hAnsi="仿宋" w:eastAsia="仿宋" w:cs="仿宋"/>
          <w:b w:val="0"/>
          <w:bCs w:val="0"/>
          <w:color w:val="auto"/>
          <w:sz w:val="32"/>
          <w:szCs w:val="32"/>
          <w:shd w:val="clear" w:color="auto" w:fill="FFFFFF"/>
          <w:lang w:val="en-US" w:eastAsia="zh-CN"/>
        </w:rPr>
        <w:t>了</w:t>
      </w:r>
      <w:r>
        <w:rPr>
          <w:rFonts w:hint="eastAsia" w:ascii="仿宋" w:hAnsi="仿宋" w:eastAsia="仿宋" w:cs="仿宋"/>
          <w:b w:val="0"/>
          <w:bCs w:val="0"/>
          <w:color w:val="auto"/>
          <w:sz w:val="32"/>
          <w:szCs w:val="32"/>
          <w:shd w:val="clear" w:color="auto" w:fill="FFFFFF"/>
        </w:rPr>
        <w:t>全社会应对风险能力，为峨边经济建设和基础建设提供风险保障，</w:t>
      </w:r>
      <w:r>
        <w:rPr>
          <w:rFonts w:hint="eastAsia" w:ascii="仿宋_GB2312" w:hAnsi="宋体" w:eastAsia="仿宋_GB2312" w:cs="Times New Roman"/>
          <w:b w:val="0"/>
          <w:bCs w:val="0"/>
          <w:color w:val="auto"/>
          <w:sz w:val="32"/>
          <w:szCs w:val="32"/>
          <w:lang w:val="en-US" w:eastAsia="zh-CN"/>
        </w:rPr>
        <w:t>资金使用</w:t>
      </w:r>
      <w:r>
        <w:rPr>
          <w:rFonts w:hint="eastAsia" w:ascii="仿宋_GB2312" w:hAnsi="宋体" w:eastAsia="仿宋_GB2312" w:cs="Times New Roman"/>
          <w:b w:val="0"/>
          <w:bCs w:val="0"/>
          <w:color w:val="auto"/>
          <w:sz w:val="32"/>
          <w:szCs w:val="32"/>
          <w:lang w:val="zh-CN"/>
        </w:rPr>
        <w:t>有效性</w:t>
      </w:r>
      <w:r>
        <w:rPr>
          <w:rFonts w:hint="eastAsia" w:ascii="仿宋_GB2312" w:hAnsi="宋体" w:eastAsia="仿宋_GB2312" w:cs="Times New Roman"/>
          <w:b w:val="0"/>
          <w:bCs w:val="0"/>
          <w:color w:val="auto"/>
          <w:sz w:val="32"/>
          <w:szCs w:val="32"/>
          <w:lang w:val="en-US" w:eastAsia="zh-CN"/>
        </w:rPr>
        <w:t>基本达到预定效果</w:t>
      </w:r>
      <w:r>
        <w:rPr>
          <w:rFonts w:hint="eastAsia" w:ascii="仿宋_GB2312" w:hAnsi="宋体" w:eastAsia="仿宋_GB2312" w:cs="Times New Roman"/>
          <w:b w:val="0"/>
          <w:bCs w:val="0"/>
          <w:color w:val="auto"/>
          <w:sz w:val="32"/>
          <w:szCs w:val="32"/>
          <w:lang w:val="zh-CN"/>
        </w:rPr>
        <w:t>。</w:t>
      </w:r>
    </w:p>
    <w:p w14:paraId="11C9351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（二）项目财务管理情况。</w:t>
      </w:r>
    </w:p>
    <w:p w14:paraId="6CEAEF0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我</w:t>
      </w:r>
      <w:r>
        <w:rPr>
          <w:rFonts w:hint="eastAsia" w:ascii="仿宋_GB2312" w:hAnsi="宋体" w:eastAsia="仿宋_GB2312" w:cs="Times New Roman"/>
          <w:b w:val="0"/>
          <w:bCs w:val="0"/>
          <w:color w:val="auto"/>
          <w:sz w:val="32"/>
          <w:szCs w:val="32"/>
          <w:lang w:val="zh-CN"/>
        </w:rPr>
        <w:t>单位财务管理制度健全，严格执行财务管理制度，账务处理及时，会计核算规范。</w:t>
      </w:r>
    </w:p>
    <w:p w14:paraId="25F51FA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（三）项目组织实施情况。</w:t>
      </w:r>
    </w:p>
    <w:p w14:paraId="0592FED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1</w:t>
      </w:r>
      <w:r>
        <w:rPr>
          <w:rFonts w:hint="eastAsia" w:ascii="仿宋_GB2312" w:hAnsi="宋体" w:eastAsia="仿宋_GB2312" w:cs="Times New Roman"/>
          <w:b w:val="0"/>
          <w:bCs w:val="0"/>
          <w:color w:val="auto"/>
          <w:sz w:val="32"/>
          <w:szCs w:val="32"/>
          <w:lang w:val="zh-CN" w:eastAsia="zh-CN"/>
        </w:rPr>
        <w:t>）项目组织架构及实施流程。</w:t>
      </w:r>
      <w:r>
        <w:rPr>
          <w:rFonts w:hint="eastAsia" w:ascii="仿宋_GB2312" w:hAnsi="宋体" w:eastAsia="仿宋_GB2312" w:cs="Times New Roman"/>
          <w:b w:val="0"/>
          <w:bCs w:val="0"/>
          <w:color w:val="auto"/>
          <w:sz w:val="32"/>
          <w:szCs w:val="32"/>
          <w:lang w:val="en-US" w:eastAsia="zh-CN"/>
        </w:rPr>
        <w:t>该项目为</w:t>
      </w:r>
      <w:r>
        <w:rPr>
          <w:rFonts w:hint="eastAsia" w:ascii="仿宋_GB2312" w:hAnsi="宋体" w:eastAsia="仿宋_GB2312" w:cs="Times New Roman"/>
          <w:b w:val="0"/>
          <w:bCs w:val="0"/>
          <w:color w:val="auto"/>
          <w:kern w:val="2"/>
          <w:sz w:val="32"/>
          <w:szCs w:val="32"/>
          <w:lang w:eastAsia="zh-CN"/>
        </w:rPr>
        <w:t>改革</w:t>
      </w:r>
      <w:r>
        <w:rPr>
          <w:rFonts w:hint="eastAsia" w:ascii="仿宋_GB2312" w:hAnsi="宋体" w:eastAsia="仿宋_GB2312" w:cs="Times New Roman"/>
          <w:b w:val="0"/>
          <w:bCs w:val="0"/>
          <w:color w:val="auto"/>
          <w:kern w:val="2"/>
          <w:sz w:val="32"/>
          <w:szCs w:val="32"/>
        </w:rPr>
        <w:t>经费</w:t>
      </w:r>
      <w:r>
        <w:rPr>
          <w:rFonts w:hint="eastAsia" w:ascii="仿宋_GB2312" w:hAnsi="宋体" w:eastAsia="仿宋_GB2312" w:cs="Times New Roman"/>
          <w:b w:val="0"/>
          <w:bCs w:val="0"/>
          <w:color w:val="auto"/>
          <w:kern w:val="2"/>
          <w:sz w:val="32"/>
          <w:szCs w:val="32"/>
          <w:lang w:val="en-US" w:eastAsia="zh-CN"/>
        </w:rPr>
        <w:t>并</w:t>
      </w:r>
      <w:r>
        <w:rPr>
          <w:rFonts w:hint="eastAsia" w:ascii="仿宋_GB2312" w:hAnsi="宋体" w:eastAsia="仿宋_GB2312" w:cs="Times New Roman"/>
          <w:b w:val="0"/>
          <w:bCs w:val="0"/>
          <w:color w:val="auto"/>
          <w:sz w:val="32"/>
          <w:szCs w:val="32"/>
          <w:lang w:val="en-US" w:eastAsia="zh-CN"/>
        </w:rPr>
        <w:t>按照支出科目分类管理及有关规定执行；由相关业务股室组织实施、分管领导审核确认工作事实、主要领导审定的方式实施并报县委县政府批示。</w:t>
      </w:r>
    </w:p>
    <w:p w14:paraId="173A41A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2</w:t>
      </w:r>
      <w:r>
        <w:rPr>
          <w:rFonts w:hint="eastAsia" w:ascii="仿宋_GB2312" w:hAnsi="宋体" w:eastAsia="仿宋_GB2312" w:cs="Times New Roman"/>
          <w:b w:val="0"/>
          <w:bCs w:val="0"/>
          <w:color w:val="auto"/>
          <w:sz w:val="32"/>
          <w:szCs w:val="32"/>
          <w:lang w:val="zh-CN" w:eastAsia="zh-CN"/>
        </w:rPr>
        <w:t>）项目管理情况。结合</w:t>
      </w:r>
      <w:r>
        <w:rPr>
          <w:rFonts w:hint="eastAsia" w:ascii="仿宋_GB2312" w:hAnsi="宋体" w:eastAsia="仿宋_GB2312" w:cs="Times New Roman"/>
          <w:b w:val="0"/>
          <w:bCs w:val="0"/>
          <w:color w:val="auto"/>
          <w:sz w:val="32"/>
          <w:szCs w:val="32"/>
          <w:lang w:val="en-US" w:eastAsia="zh-CN"/>
        </w:rPr>
        <w:t>该</w:t>
      </w:r>
      <w:r>
        <w:rPr>
          <w:rFonts w:hint="eastAsia" w:ascii="仿宋_GB2312" w:hAnsi="宋体" w:eastAsia="仿宋_GB2312" w:cs="Times New Roman"/>
          <w:b w:val="0"/>
          <w:bCs w:val="0"/>
          <w:color w:val="auto"/>
          <w:sz w:val="32"/>
          <w:szCs w:val="32"/>
          <w:lang w:val="zh-CN" w:eastAsia="zh-CN"/>
        </w:rPr>
        <w:t>项目特点</w:t>
      </w:r>
      <w:r>
        <w:rPr>
          <w:rFonts w:hint="eastAsia" w:ascii="仿宋_GB2312" w:hAnsi="宋体" w:eastAsia="仿宋_GB2312" w:cs="Times New Roman"/>
          <w:b w:val="0"/>
          <w:bCs w:val="0"/>
          <w:color w:val="auto"/>
          <w:sz w:val="32"/>
          <w:szCs w:val="32"/>
          <w:lang w:val="zh-CN"/>
        </w:rPr>
        <w:t>，</w:t>
      </w:r>
      <w:r>
        <w:rPr>
          <w:rFonts w:hint="eastAsia" w:ascii="仿宋_GB2312" w:hAnsi="宋体" w:eastAsia="仿宋_GB2312" w:cs="Times New Roman"/>
          <w:b w:val="0"/>
          <w:bCs w:val="0"/>
          <w:color w:val="auto"/>
          <w:sz w:val="32"/>
          <w:szCs w:val="32"/>
          <w:lang w:val="en-US" w:eastAsia="zh-CN"/>
        </w:rPr>
        <w:t>我单位均按照据实据效的方式开展，严格执行预算法、财政资金支付有关规定。</w:t>
      </w:r>
    </w:p>
    <w:p w14:paraId="0D6D3AF6">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3</w:t>
      </w:r>
      <w:r>
        <w:rPr>
          <w:rFonts w:hint="eastAsia" w:ascii="仿宋_GB2312" w:hAnsi="宋体" w:eastAsia="仿宋_GB2312" w:cs="Times New Roman"/>
          <w:b w:val="0"/>
          <w:bCs w:val="0"/>
          <w:color w:val="auto"/>
          <w:sz w:val="32"/>
          <w:szCs w:val="32"/>
          <w:lang w:val="zh-CN" w:eastAsia="zh-CN"/>
        </w:rPr>
        <w:t>）项目监管情况。</w:t>
      </w:r>
      <w:r>
        <w:rPr>
          <w:rFonts w:hint="eastAsia" w:ascii="仿宋_GB2312" w:hAnsi="宋体" w:eastAsia="仿宋_GB2312" w:cs="Times New Roman"/>
          <w:b w:val="0"/>
          <w:bCs w:val="0"/>
          <w:color w:val="auto"/>
          <w:sz w:val="32"/>
          <w:szCs w:val="32"/>
          <w:lang w:val="en-US" w:eastAsia="zh-CN"/>
        </w:rPr>
        <w:t>我单位严格</w:t>
      </w:r>
      <w:r>
        <w:rPr>
          <w:rFonts w:hint="eastAsia" w:ascii="仿宋_GB2312" w:hAnsi="宋体" w:eastAsia="仿宋_GB2312" w:cs="Times New Roman"/>
          <w:b w:val="0"/>
          <w:bCs w:val="0"/>
          <w:color w:val="auto"/>
          <w:sz w:val="32"/>
          <w:szCs w:val="32"/>
          <w:lang w:val="zh-CN"/>
        </w:rPr>
        <w:t>项目管理</w:t>
      </w: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6295FAF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黑体" w:hAnsi="宋体" w:eastAsia="黑体" w:cs="Times New Roman"/>
          <w:b w:val="0"/>
          <w:bCs w:val="0"/>
          <w:color w:val="auto"/>
          <w:sz w:val="32"/>
          <w:szCs w:val="32"/>
        </w:rPr>
        <w:t>三、项目绩效情况</w:t>
      </w:r>
      <w:r>
        <w:rPr>
          <w:rFonts w:hint="eastAsia" w:ascii="仿宋_GB2312" w:hAnsi="宋体" w:eastAsia="仿宋_GB2312" w:cs="Times New Roman"/>
          <w:b w:val="0"/>
          <w:bCs w:val="0"/>
          <w:color w:val="auto"/>
          <w:sz w:val="32"/>
          <w:szCs w:val="32"/>
          <w:lang w:val="zh-CN"/>
        </w:rPr>
        <w:tab/>
      </w:r>
    </w:p>
    <w:p w14:paraId="3FBC512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（一）项目完成情况。</w:t>
      </w:r>
    </w:p>
    <w:p w14:paraId="00770F3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kern w:val="2"/>
          <w:sz w:val="32"/>
          <w:szCs w:val="32"/>
          <w:lang w:val="en-US" w:eastAsia="zh-CN"/>
        </w:rPr>
      </w:pPr>
      <w:r>
        <w:rPr>
          <w:rFonts w:hint="eastAsia" w:ascii="仿宋_GB2312" w:hAnsi="宋体" w:eastAsia="仿宋_GB2312" w:cs="宋体"/>
          <w:b w:val="0"/>
          <w:bCs w:val="0"/>
          <w:color w:val="auto"/>
          <w:kern w:val="0"/>
          <w:sz w:val="32"/>
          <w:szCs w:val="32"/>
          <w:shd w:val="clear" w:color="auto" w:fill="FFFFFF"/>
          <w:lang w:val="en-US" w:eastAsia="zh-CN"/>
        </w:rPr>
        <w:t>年末目标完成情况为：按照中省市要求，完成了相应的事业单位改革。</w:t>
      </w:r>
    </w:p>
    <w:p w14:paraId="61689A4B">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rPr>
        <w:t>项目实施进度计划</w:t>
      </w:r>
      <w:r>
        <w:rPr>
          <w:rFonts w:hint="eastAsia" w:ascii="仿宋_GB2312" w:hAnsi="宋体" w:eastAsia="仿宋_GB2312" w:cs="Times New Roman"/>
          <w:b w:val="0"/>
          <w:bCs w:val="0"/>
          <w:color w:val="auto"/>
          <w:sz w:val="32"/>
          <w:szCs w:val="32"/>
          <w:lang w:val="en-US" w:eastAsia="zh-CN"/>
        </w:rPr>
        <w:t>及资金拨付均据实据效实施。制定的绩效目标按年度监管监察计划实施，并全部完成；项目实施资金在预算控制范围内资金。</w:t>
      </w:r>
    </w:p>
    <w:p w14:paraId="3113592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（二）项目效益情况。</w:t>
      </w:r>
      <w:r>
        <w:rPr>
          <w:rFonts w:hint="eastAsia" w:ascii="仿宋_GB2312" w:hAnsi="宋体" w:eastAsia="仿宋_GB2312" w:cs="Times New Roman"/>
          <w:b w:val="0"/>
          <w:bCs w:val="0"/>
          <w:color w:val="auto"/>
          <w:sz w:val="32"/>
          <w:szCs w:val="32"/>
          <w:lang w:val="zh-CN"/>
        </w:rPr>
        <w:t>涉改单位满意、机构编制使用效益更高</w:t>
      </w:r>
    </w:p>
    <w:p w14:paraId="5DF8797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cs="Times New Roman"/>
          <w:b w:val="0"/>
          <w:bCs w:val="0"/>
          <w:color w:val="auto"/>
          <w:sz w:val="32"/>
          <w:szCs w:val="32"/>
        </w:rPr>
      </w:pPr>
      <w:r>
        <w:rPr>
          <w:rFonts w:hint="eastAsia" w:ascii="黑体" w:hAnsi="宋体" w:eastAsia="黑体" w:cs="Times New Roman"/>
          <w:b w:val="0"/>
          <w:bCs w:val="0"/>
          <w:color w:val="auto"/>
          <w:sz w:val="32"/>
          <w:szCs w:val="32"/>
        </w:rPr>
        <w:t>四、问题及建议</w:t>
      </w:r>
    </w:p>
    <w:p w14:paraId="417CCE2F">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楷体_GB2312" w:hAnsi="宋体" w:eastAsia="楷体_GB2312" w:cs="Times New Roman"/>
          <w:b w:val="0"/>
          <w:bCs w:val="0"/>
          <w:color w:val="auto"/>
          <w:kern w:val="2"/>
          <w:sz w:val="32"/>
          <w:szCs w:val="32"/>
          <w:lang w:val="zh-CN" w:eastAsia="zh-CN" w:bidi="ar-SA"/>
        </w:rPr>
      </w:pPr>
      <w:r>
        <w:rPr>
          <w:rFonts w:hint="eastAsia" w:ascii="楷体_GB2312" w:hAnsi="宋体" w:eastAsia="楷体_GB2312" w:cs="Times New Roman"/>
          <w:b w:val="0"/>
          <w:bCs w:val="0"/>
          <w:color w:val="auto"/>
          <w:kern w:val="2"/>
          <w:sz w:val="32"/>
          <w:szCs w:val="32"/>
          <w:lang w:val="zh-CN" w:eastAsia="zh-CN" w:bidi="ar-SA"/>
        </w:rPr>
        <w:t>（一）存在的问题。</w:t>
      </w:r>
      <w:r>
        <w:rPr>
          <w:rFonts w:hint="eastAsia" w:ascii="仿宋_GB2312" w:hAnsi="宋体" w:eastAsia="仿宋_GB2312" w:cs="Times New Roman"/>
          <w:b w:val="0"/>
          <w:bCs w:val="0"/>
          <w:color w:val="auto"/>
          <w:kern w:val="2"/>
          <w:sz w:val="32"/>
          <w:szCs w:val="32"/>
          <w:lang w:val="en-US" w:eastAsia="zh-CN" w:bidi="ar-SA"/>
        </w:rPr>
        <w:t>无。</w:t>
      </w:r>
    </w:p>
    <w:p w14:paraId="1F1E770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en-US" w:eastAsia="zh-CN"/>
        </w:rPr>
      </w:pPr>
      <w:r>
        <w:rPr>
          <w:rFonts w:hint="eastAsia" w:ascii="楷体_GB2312" w:hAnsi="宋体" w:eastAsia="楷体_GB2312" w:cs="Times New Roman"/>
          <w:b w:val="0"/>
          <w:bCs w:val="0"/>
          <w:color w:val="auto"/>
          <w:sz w:val="32"/>
          <w:szCs w:val="32"/>
          <w:lang w:val="zh-CN"/>
        </w:rPr>
        <w:t>（二）相关建议。</w:t>
      </w:r>
      <w:r>
        <w:rPr>
          <w:rFonts w:hint="eastAsia" w:ascii="仿宋_GB2312" w:hAnsi="宋体" w:eastAsia="仿宋_GB2312" w:cs="Times New Roman"/>
          <w:b w:val="0"/>
          <w:bCs w:val="0"/>
          <w:color w:val="auto"/>
          <w:sz w:val="32"/>
          <w:szCs w:val="32"/>
          <w:lang w:val="en-US" w:eastAsia="zh-CN"/>
        </w:rPr>
        <w:t>无。</w:t>
      </w:r>
    </w:p>
    <w:p w14:paraId="14220C61">
      <w:pPr>
        <w:pStyle w:val="2"/>
        <w:rPr>
          <w:rFonts w:hint="eastAsia" w:ascii="仿宋_GB2312" w:hAnsi="宋体" w:eastAsia="仿宋_GB2312" w:cs="Times New Roman"/>
          <w:color w:val="auto"/>
          <w:sz w:val="32"/>
          <w:szCs w:val="32"/>
          <w:lang w:val="en-US" w:eastAsia="zh-CN"/>
        </w:rPr>
      </w:pPr>
    </w:p>
    <w:p w14:paraId="5CB17515">
      <w:pPr>
        <w:pStyle w:val="2"/>
        <w:rPr>
          <w:rFonts w:hint="eastAsia" w:ascii="仿宋_GB2312" w:hAnsi="宋体" w:eastAsia="仿宋_GB2312" w:cs="Times New Roman"/>
          <w:color w:val="auto"/>
          <w:sz w:val="32"/>
          <w:szCs w:val="32"/>
          <w:lang w:val="en-US" w:eastAsia="zh-CN"/>
        </w:rPr>
      </w:pPr>
    </w:p>
    <w:p w14:paraId="35A5F208">
      <w:pPr>
        <w:pStyle w:val="2"/>
        <w:rPr>
          <w:rFonts w:hint="eastAsia" w:ascii="仿宋_GB2312" w:hAnsi="宋体" w:eastAsia="仿宋_GB2312" w:cs="Times New Roman"/>
          <w:color w:val="auto"/>
          <w:sz w:val="32"/>
          <w:szCs w:val="32"/>
          <w:lang w:val="en-US" w:eastAsia="zh-CN"/>
        </w:rPr>
      </w:pPr>
    </w:p>
    <w:p w14:paraId="1AC5BDFC">
      <w:pPr>
        <w:pStyle w:val="2"/>
        <w:rPr>
          <w:rFonts w:hint="eastAsia" w:ascii="仿宋_GB2312" w:hAnsi="宋体" w:eastAsia="仿宋_GB2312" w:cs="Times New Roman"/>
          <w:color w:val="auto"/>
          <w:sz w:val="32"/>
          <w:szCs w:val="32"/>
          <w:lang w:val="en-US" w:eastAsia="zh-CN"/>
        </w:rPr>
      </w:pPr>
    </w:p>
    <w:p w14:paraId="1041494A">
      <w:pPr>
        <w:pStyle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附件4 </w:t>
      </w:r>
    </w:p>
    <w:p w14:paraId="39639F81">
      <w:pPr>
        <w:pStyle w:val="2"/>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drawing>
          <wp:anchor distT="0" distB="0" distL="114300" distR="114300" simplePos="0" relativeHeight="251666432" behindDoc="1" locked="0" layoutInCell="1" allowOverlap="1">
            <wp:simplePos x="0" y="0"/>
            <wp:positionH relativeFrom="column">
              <wp:posOffset>38100</wp:posOffset>
            </wp:positionH>
            <wp:positionV relativeFrom="paragraph">
              <wp:posOffset>342900</wp:posOffset>
            </wp:positionV>
            <wp:extent cx="5690235" cy="2850515"/>
            <wp:effectExtent l="0" t="0" r="5715" b="6985"/>
            <wp:wrapNone/>
            <wp:docPr id="1" name="图片 1" descr="{bf4c2cc1-dcfb-41b1-a9ba-cebc9efa6d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f4c2cc1-dcfb-41b1-a9ba-cebc9efa6d49}"/>
                    <pic:cNvPicPr>
                      <a:picLocks noChangeAspect="1"/>
                    </pic:cNvPicPr>
                  </pic:nvPicPr>
                  <pic:blipFill>
                    <a:blip r:embed="rId16"/>
                    <a:stretch>
                      <a:fillRect/>
                    </a:stretch>
                  </pic:blipFill>
                  <pic:spPr>
                    <a:xfrm>
                      <a:off x="0" y="0"/>
                      <a:ext cx="5690235" cy="2850515"/>
                    </a:xfrm>
                    <a:prstGeom prst="rect">
                      <a:avLst/>
                    </a:prstGeom>
                  </pic:spPr>
                </pic:pic>
              </a:graphicData>
            </a:graphic>
          </wp:anchor>
        </w:drawing>
      </w:r>
    </w:p>
    <w:p w14:paraId="1D2BEBF1">
      <w:pPr>
        <w:pStyle w:val="2"/>
        <w:rPr>
          <w:rFonts w:hint="eastAsia" w:ascii="仿宋_GB2312" w:hAnsi="宋体" w:eastAsia="仿宋_GB2312" w:cs="Times New Roman"/>
          <w:color w:val="auto"/>
          <w:sz w:val="32"/>
          <w:szCs w:val="32"/>
          <w:lang w:val="en-US" w:eastAsia="zh-CN"/>
        </w:rPr>
      </w:pPr>
    </w:p>
    <w:p w14:paraId="0EA28DD3">
      <w:pPr>
        <w:pStyle w:val="2"/>
        <w:rPr>
          <w:rFonts w:hint="eastAsia" w:ascii="仿宋_GB2312" w:hAnsi="宋体" w:eastAsia="仿宋_GB2312" w:cs="Times New Roman"/>
          <w:color w:val="auto"/>
          <w:sz w:val="32"/>
          <w:szCs w:val="32"/>
          <w:lang w:val="en-US" w:eastAsia="zh-CN"/>
        </w:rPr>
      </w:pPr>
    </w:p>
    <w:p w14:paraId="6D7125B1">
      <w:pPr>
        <w:pStyle w:val="2"/>
        <w:rPr>
          <w:rFonts w:hint="default" w:hAnsi="宋体" w:cs="Times New Roman"/>
          <w:color w:val="auto"/>
          <w:lang w:val="en-US" w:eastAsia="zh-CN"/>
        </w:rPr>
      </w:pPr>
    </w:p>
    <w:p w14:paraId="40508776">
      <w:pPr>
        <w:pStyle w:val="2"/>
        <w:rPr>
          <w:rFonts w:hint="default"/>
          <w:lang w:val="en-US" w:eastAsia="zh-CN"/>
        </w:rPr>
      </w:pPr>
    </w:p>
    <w:p w14:paraId="230C620E">
      <w:pPr>
        <w:pStyle w:val="2"/>
      </w:pPr>
    </w:p>
    <w:p w14:paraId="1432C4C7">
      <w:pPr>
        <w:pStyle w:val="2"/>
      </w:pPr>
    </w:p>
    <w:p w14:paraId="75EF5CF9">
      <w:pPr>
        <w:pStyle w:val="2"/>
      </w:pPr>
      <w:r>
        <w:rPr>
          <w:rFonts w:hint="eastAsia" w:ascii="仿宋_GB2312" w:hAnsi="宋体" w:eastAsia="仿宋_GB2312" w:cs="Times New Roman"/>
          <w:color w:val="auto"/>
          <w:sz w:val="32"/>
          <w:szCs w:val="32"/>
          <w:lang w:val="en-US" w:eastAsia="zh-CN"/>
        </w:rPr>
        <w:drawing>
          <wp:inline distT="0" distB="0" distL="114300" distR="114300">
            <wp:extent cx="5695950" cy="1298575"/>
            <wp:effectExtent l="0" t="0" r="0" b="15875"/>
            <wp:docPr id="2" name="图片 2" descr="{f48cc757-02ed-48d1-949e-abe11cbc17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48cc757-02ed-48d1-949e-abe11cbc177e}"/>
                    <pic:cNvPicPr>
                      <a:picLocks noChangeAspect="1"/>
                    </pic:cNvPicPr>
                  </pic:nvPicPr>
                  <pic:blipFill>
                    <a:blip r:embed="rId17"/>
                    <a:stretch>
                      <a:fillRect/>
                    </a:stretch>
                  </pic:blipFill>
                  <pic:spPr>
                    <a:xfrm>
                      <a:off x="0" y="0"/>
                      <a:ext cx="5695950" cy="1298575"/>
                    </a:xfrm>
                    <a:prstGeom prst="rect">
                      <a:avLst/>
                    </a:prstGeom>
                  </pic:spPr>
                </pic:pic>
              </a:graphicData>
            </a:graphic>
          </wp:inline>
        </w:drawing>
      </w:r>
    </w:p>
    <w:p w14:paraId="0B2B2BD1">
      <w:pPr>
        <w:pStyle w:val="2"/>
      </w:pPr>
    </w:p>
    <w:p w14:paraId="59500ACE">
      <w:pPr>
        <w:pStyle w:val="2"/>
      </w:pPr>
    </w:p>
    <w:p w14:paraId="489AA62B">
      <w:pPr>
        <w:pStyle w:val="2"/>
      </w:pPr>
    </w:p>
    <w:p w14:paraId="1E81D0D7">
      <w:pPr>
        <w:pStyle w:val="2"/>
      </w:pPr>
    </w:p>
    <w:p w14:paraId="040B27CF">
      <w:pPr>
        <w:pStyle w:val="2"/>
      </w:pPr>
    </w:p>
    <w:p w14:paraId="54D458AD">
      <w:pPr>
        <w:pStyle w:val="2"/>
      </w:pPr>
    </w:p>
    <w:p w14:paraId="6B89495B">
      <w:pPr>
        <w:pStyle w:val="2"/>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 xml:space="preserve">5 </w:t>
      </w:r>
    </w:p>
    <w:p w14:paraId="6922BAEE">
      <w:pPr>
        <w:pStyle w:val="2"/>
      </w:pPr>
      <w:r>
        <w:rPr>
          <w:rFonts w:hint="eastAsia" w:ascii="仿宋_GB2312" w:hAnsi="宋体" w:eastAsia="仿宋_GB2312" w:cs="Times New Roman"/>
          <w:color w:val="auto"/>
          <w:sz w:val="32"/>
          <w:szCs w:val="32"/>
          <w:lang w:val="en-US" w:eastAsia="zh-CN"/>
        </w:rPr>
        <w:drawing>
          <wp:anchor distT="0" distB="0" distL="114300" distR="114300" simplePos="0" relativeHeight="251666432" behindDoc="1" locked="0" layoutInCell="1" allowOverlap="1">
            <wp:simplePos x="0" y="0"/>
            <wp:positionH relativeFrom="column">
              <wp:posOffset>657225</wp:posOffset>
            </wp:positionH>
            <wp:positionV relativeFrom="paragraph">
              <wp:posOffset>272415</wp:posOffset>
            </wp:positionV>
            <wp:extent cx="4390390" cy="6209665"/>
            <wp:effectExtent l="0" t="0" r="0" b="0"/>
            <wp:wrapTight wrapText="bothSides">
              <wp:wrapPolygon>
                <wp:start x="0" y="0"/>
                <wp:lineTo x="0" y="21536"/>
                <wp:lineTo x="21463" y="21536"/>
                <wp:lineTo x="21463" y="0"/>
                <wp:lineTo x="0" y="0"/>
              </wp:wrapPolygon>
            </wp:wrapTight>
            <wp:docPr id="3" name="图片 3" descr="{4327b80a-dbb5-403b-8d9d-184e717052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327b80a-dbb5-403b-8d9d-184e717052a1}"/>
                    <pic:cNvPicPr>
                      <a:picLocks noChangeAspect="1"/>
                    </pic:cNvPicPr>
                  </pic:nvPicPr>
                  <pic:blipFill>
                    <a:blip r:embed="rId18"/>
                    <a:stretch>
                      <a:fillRect/>
                    </a:stretch>
                  </pic:blipFill>
                  <pic:spPr>
                    <a:xfrm>
                      <a:off x="0" y="0"/>
                      <a:ext cx="4390390" cy="6209665"/>
                    </a:xfrm>
                    <a:prstGeom prst="rect">
                      <a:avLst/>
                    </a:prstGeom>
                  </pic:spPr>
                </pic:pic>
              </a:graphicData>
            </a:graphic>
          </wp:anchor>
        </w:drawing>
      </w:r>
    </w:p>
    <w:p w14:paraId="60892399">
      <w:pPr>
        <w:pStyle w:val="2"/>
      </w:pPr>
    </w:p>
    <w:p w14:paraId="30E4BE02">
      <w:pPr>
        <w:pStyle w:val="2"/>
      </w:pPr>
    </w:p>
    <w:p w14:paraId="7C8676CC">
      <w:pPr>
        <w:pStyle w:val="2"/>
      </w:pPr>
    </w:p>
    <w:p w14:paraId="58945A7A">
      <w:pPr>
        <w:pStyle w:val="2"/>
        <w:rPr>
          <w:rFonts w:hint="default"/>
          <w:lang w:val="en-US" w:eastAsia="zh-CN"/>
        </w:rPr>
      </w:pPr>
    </w:p>
    <w:p w14:paraId="381ACB66">
      <w:pPr>
        <w:pStyle w:val="2"/>
        <w:rPr>
          <w:rFonts w:hint="default"/>
          <w:lang w:val="en-US" w:eastAsia="zh-CN"/>
        </w:rPr>
      </w:pPr>
    </w:p>
    <w:p w14:paraId="3C30A3BF">
      <w:pPr>
        <w:pStyle w:val="2"/>
        <w:rPr>
          <w:rFonts w:hint="default"/>
          <w:lang w:val="en-US" w:eastAsia="zh-CN"/>
        </w:rPr>
      </w:pPr>
    </w:p>
    <w:p w14:paraId="6B357D7A">
      <w:pPr>
        <w:pStyle w:val="2"/>
        <w:rPr>
          <w:rFonts w:hint="default"/>
          <w:lang w:val="en-US" w:eastAsia="zh-CN"/>
        </w:rPr>
      </w:pPr>
    </w:p>
    <w:p w14:paraId="00F16213">
      <w:pPr>
        <w:pStyle w:val="2"/>
        <w:rPr>
          <w:rFonts w:hint="default"/>
          <w:lang w:val="en-US" w:eastAsia="zh-CN"/>
        </w:rPr>
      </w:pPr>
    </w:p>
    <w:p w14:paraId="572861D0">
      <w:pPr>
        <w:pStyle w:val="2"/>
        <w:jc w:val="center"/>
        <w:rPr>
          <w:rFonts w:hint="default"/>
          <w:lang w:val="en-US" w:eastAsia="zh-CN"/>
        </w:rPr>
      </w:pPr>
      <w:r>
        <w:rPr>
          <w:rFonts w:hint="eastAsia" w:ascii="仿宋_GB2312" w:hAnsi="宋体" w:eastAsia="仿宋_GB2312" w:cs="Times New Roman"/>
          <w:color w:val="auto"/>
          <w:sz w:val="32"/>
          <w:szCs w:val="32"/>
          <w:lang w:val="en-US" w:eastAsia="zh-CN"/>
        </w:rPr>
        <w:drawing>
          <wp:inline distT="0" distB="0" distL="114300" distR="114300">
            <wp:extent cx="4276725" cy="4838700"/>
            <wp:effectExtent l="0" t="0" r="9525" b="0"/>
            <wp:docPr id="11" name="图片 11" descr="{7e12e5b6-5209-4a3f-9e75-1c4f123d6d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e12e5b6-5209-4a3f-9e75-1c4f123d6d3f}"/>
                    <pic:cNvPicPr>
                      <a:picLocks noChangeAspect="1"/>
                    </pic:cNvPicPr>
                  </pic:nvPicPr>
                  <pic:blipFill>
                    <a:blip r:embed="rId19"/>
                    <a:stretch>
                      <a:fillRect/>
                    </a:stretch>
                  </pic:blipFill>
                  <pic:spPr>
                    <a:xfrm>
                      <a:off x="0" y="0"/>
                      <a:ext cx="4276725" cy="4838700"/>
                    </a:xfrm>
                    <a:prstGeom prst="rect">
                      <a:avLst/>
                    </a:prstGeom>
                  </pic:spPr>
                </pic:pic>
              </a:graphicData>
            </a:graphic>
          </wp:inline>
        </w:drawing>
      </w:r>
    </w:p>
    <w:p w14:paraId="44506284">
      <w:pPr>
        <w:pStyle w:val="2"/>
        <w:rPr>
          <w:rFonts w:hint="default"/>
          <w:lang w:val="en-US" w:eastAsia="zh-CN"/>
        </w:rPr>
      </w:pPr>
    </w:p>
    <w:p w14:paraId="2F171348">
      <w:pPr>
        <w:pStyle w:val="2"/>
        <w:rPr>
          <w:rFonts w:hint="default"/>
          <w:lang w:val="en-US" w:eastAsia="zh-CN"/>
        </w:rPr>
      </w:pPr>
    </w:p>
    <w:p w14:paraId="028979F7">
      <w:pPr>
        <w:pStyle w:val="2"/>
        <w:rPr>
          <w:rFonts w:hint="default"/>
          <w:lang w:val="en-US" w:eastAsia="zh-CN"/>
        </w:rPr>
      </w:pPr>
    </w:p>
    <w:p w14:paraId="2246C9C9">
      <w:pPr>
        <w:pStyle w:val="2"/>
        <w:rPr>
          <w:rFonts w:hint="default"/>
          <w:lang w:val="en-US" w:eastAsia="zh-CN"/>
        </w:rPr>
      </w:pPr>
    </w:p>
    <w:p w14:paraId="4D22CE44">
      <w:pPr>
        <w:pStyle w:val="2"/>
        <w:rPr>
          <w:rFonts w:hint="default"/>
          <w:lang w:val="en-US" w:eastAsia="zh-CN"/>
        </w:rPr>
      </w:pPr>
    </w:p>
    <w:p w14:paraId="44E1B4B1">
      <w:pPr>
        <w:pStyle w:val="2"/>
        <w:rPr>
          <w:rFonts w:hint="default"/>
          <w:lang w:val="en-US" w:eastAsia="zh-CN"/>
        </w:rPr>
      </w:pPr>
    </w:p>
    <w:p w14:paraId="55C71653">
      <w:pPr>
        <w:keepNext w:val="0"/>
        <w:keepLines w:val="0"/>
        <w:pageBreakBefore w:val="0"/>
        <w:widowControl w:val="0"/>
        <w:kinsoku/>
        <w:wordWrap/>
        <w:overflowPunct/>
        <w:topLinePunct w:val="0"/>
        <w:bidi w:val="0"/>
        <w:textAlignment w:val="auto"/>
      </w:pPr>
    </w:p>
    <w:p w14:paraId="6DADF3C9">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第五部分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 xml:space="preserve"> 附表</w:t>
      </w:r>
    </w:p>
    <w:p w14:paraId="4E68051D">
      <w:pPr>
        <w:keepNext w:val="0"/>
        <w:keepLines w:val="0"/>
        <w:pageBreakBefore w:val="0"/>
        <w:widowControl w:val="0"/>
        <w:kinsoku/>
        <w:wordWrap/>
        <w:overflowPunct/>
        <w:topLinePunct w:val="0"/>
        <w:bidi w:val="0"/>
        <w:textAlignment w:val="auto"/>
        <w:rPr>
          <w:rFonts w:hint="eastAsia" w:ascii="仿宋_GB2312" w:hAnsi="仿宋_GB2312" w:eastAsia="仿宋_GB2312" w:cs="仿宋_GB2312"/>
          <w:sz w:val="32"/>
          <w:szCs w:val="32"/>
        </w:rPr>
      </w:pPr>
    </w:p>
    <w:p w14:paraId="49DA24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399B30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1CFE2F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26A07D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061CDC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13F2C3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3ECD29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0169D3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4535B9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330B7B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30DD32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33AAB5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51C6C9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sectPr>
      <w:footerReference r:id="rId7" w:type="first"/>
      <w:footerReference r:id="rId6" w:type="default"/>
      <w:pgSz w:w="11906" w:h="16838"/>
      <w:pgMar w:top="2041" w:right="1468" w:bottom="2154" w:left="1468"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5E2E35E-B75D-43F3-BEEA-A84A70290B3E}"/>
  </w:font>
  <w:font w:name="黑体">
    <w:panose1 w:val="02010609060101010101"/>
    <w:charset w:val="86"/>
    <w:family w:val="auto"/>
    <w:pitch w:val="default"/>
    <w:sig w:usb0="800002BF" w:usb1="38CF7CFA" w:usb2="00000016" w:usb3="00000000" w:csb0="00040001" w:csb1="00000000"/>
    <w:embedRegular r:id="rId2" w:fontKey="{D9187110-6091-42FD-AC0A-6DDFC27725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638C5431-709F-4B58-8190-F2A9B25BECF1}"/>
  </w:font>
  <w:font w:name="Cambria">
    <w:panose1 w:val="02040503050406030204"/>
    <w:charset w:val="00"/>
    <w:family w:val="roman"/>
    <w:pitch w:val="default"/>
    <w:sig w:usb0="E00002FF" w:usb1="400004FF" w:usb2="00000000" w:usb3="00000000" w:csb0="2000019F" w:csb1="00000000"/>
    <w:embedRegular r:id="rId4" w:fontKey="{653E41F5-7CD0-48A2-888A-4DA75A58DAD5}"/>
  </w:font>
  <w:font w:name="仿宋_GB2312">
    <w:panose1 w:val="02010609030101010101"/>
    <w:charset w:val="86"/>
    <w:family w:val="modern"/>
    <w:pitch w:val="default"/>
    <w:sig w:usb0="00000001" w:usb1="080E0000" w:usb2="00000000" w:usb3="00000000" w:csb0="00040000" w:csb1="00000000"/>
    <w:embedRegular r:id="rId5" w:fontKey="{902CB745-C337-46FE-B0FA-B764FA0DFF38}"/>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6" w:fontKey="{85C351A9-32ED-4CCB-BC56-F823866EF318}"/>
  </w:font>
  <w:font w:name="方正小标宋简体">
    <w:panose1 w:val="02000000000000000000"/>
    <w:charset w:val="86"/>
    <w:family w:val="script"/>
    <w:pitch w:val="default"/>
    <w:sig w:usb0="00000001" w:usb1="080E0000" w:usb2="00000000" w:usb3="00000000" w:csb0="00040000" w:csb1="00000000"/>
    <w:embedRegular r:id="rId7" w:fontKey="{D78702AB-E142-46B5-83D0-EF48C0E3A504}"/>
  </w:font>
  <w:font w:name="楷体_GB2312">
    <w:panose1 w:val="02010609030101010101"/>
    <w:charset w:val="86"/>
    <w:family w:val="auto"/>
    <w:pitch w:val="default"/>
    <w:sig w:usb0="00000001" w:usb1="080E0000" w:usb2="00000000" w:usb3="00000000" w:csb0="00040000" w:csb1="00000000"/>
    <w:embedRegular r:id="rId8" w:fontKey="{792C9B44-DD33-445B-9007-714AFB1F72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BBE7">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60"/>
                          </w:sdtPr>
                          <w:sdtContent>
                            <w:p w14:paraId="51BE650C">
                              <w:pPr>
                                <w:pStyle w:val="10"/>
                                <w:jc w:val="center"/>
                              </w:pPr>
                              <w:r>
                                <w:fldChar w:fldCharType="begin"/>
                              </w:r>
                              <w:r>
                                <w:instrText xml:space="preserve">PAGE   \* MERGEFORMAT</w:instrText>
                              </w:r>
                              <w:r>
                                <w:fldChar w:fldCharType="separate"/>
                              </w:r>
                              <w:r>
                                <w:rPr>
                                  <w:lang w:val="zh-CN"/>
                                </w:rPr>
                                <w:t>23</w:t>
                              </w:r>
                              <w:r>
                                <w:fldChar w:fldCharType="end"/>
                              </w:r>
                            </w:p>
                          </w:sdtContent>
                        </w:sdt>
                        <w:p w14:paraId="22D92FA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81960"/>
                    </w:sdtPr>
                    <w:sdtContent>
                      <w:p w14:paraId="51BE650C">
                        <w:pPr>
                          <w:pStyle w:val="10"/>
                          <w:jc w:val="center"/>
                        </w:pPr>
                        <w:r>
                          <w:fldChar w:fldCharType="begin"/>
                        </w:r>
                        <w:r>
                          <w:instrText xml:space="preserve">PAGE   \* MERGEFORMAT</w:instrText>
                        </w:r>
                        <w:r>
                          <w:fldChar w:fldCharType="separate"/>
                        </w:r>
                        <w:r>
                          <w:rPr>
                            <w:lang w:val="zh-CN"/>
                          </w:rPr>
                          <w:t>23</w:t>
                        </w:r>
                        <w:r>
                          <w:fldChar w:fldCharType="end"/>
                        </w:r>
                      </w:p>
                    </w:sdtContent>
                  </w:sdt>
                  <w:p w14:paraId="22D92FAF">
                    <w:pPr>
                      <w:pStyle w:val="2"/>
                    </w:pPr>
                  </w:p>
                </w:txbxContent>
              </v:textbox>
            </v:shape>
          </w:pict>
        </mc:Fallback>
      </mc:AlternateContent>
    </w:r>
  </w:p>
  <w:p w14:paraId="012372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926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9904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19904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D936">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7CF51">
                          <w:pPr>
                            <w:pStyle w:val="2"/>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sz w:val="28"/>
                              <w:szCs w:val="22"/>
                            </w:rPr>
                            <w:t xml:space="preserve">— </w:t>
                          </w:r>
                          <w:r>
                            <w:rPr>
                              <w:rFonts w:hint="eastAsia" w:asciiTheme="minorEastAsia" w:hAnsiTheme="minorEastAsia" w:eastAsiaTheme="minorEastAsia" w:cstheme="minorEastAsia"/>
                              <w:sz w:val="28"/>
                              <w:szCs w:val="22"/>
                            </w:rPr>
                            <w:fldChar w:fldCharType="begin"/>
                          </w:r>
                          <w:r>
                            <w:rPr>
                              <w:rFonts w:hint="eastAsia" w:asciiTheme="minorEastAsia" w:hAnsiTheme="minorEastAsia" w:eastAsiaTheme="minorEastAsia" w:cstheme="minorEastAsia"/>
                              <w:sz w:val="28"/>
                              <w:szCs w:val="22"/>
                            </w:rPr>
                            <w:instrText xml:space="preserve"> PAGE  \* MERGEFORMAT </w:instrText>
                          </w:r>
                          <w:r>
                            <w:rPr>
                              <w:rFonts w:hint="eastAsia" w:asciiTheme="minorEastAsia" w:hAnsiTheme="minorEastAsia" w:eastAsiaTheme="minorEastAsia" w:cstheme="minorEastAsia"/>
                              <w:sz w:val="28"/>
                              <w:szCs w:val="22"/>
                            </w:rPr>
                            <w:fldChar w:fldCharType="separate"/>
                          </w:r>
                          <w:r>
                            <w:rPr>
                              <w:rFonts w:hint="eastAsia" w:asciiTheme="minorEastAsia" w:hAnsiTheme="minorEastAsia" w:eastAsiaTheme="minorEastAsia" w:cstheme="minorEastAsia"/>
                              <w:sz w:val="28"/>
                              <w:szCs w:val="22"/>
                            </w:rPr>
                            <w:t>2</w:t>
                          </w:r>
                          <w:r>
                            <w:rPr>
                              <w:rFonts w:hint="eastAsia" w:asciiTheme="minorEastAsia" w:hAnsiTheme="minorEastAsia" w:eastAsiaTheme="minorEastAsia" w:cstheme="minorEastAsia"/>
                              <w:sz w:val="28"/>
                              <w:szCs w:val="22"/>
                            </w:rPr>
                            <w:fldChar w:fldCharType="end"/>
                          </w:r>
                          <w:r>
                            <w:rPr>
                              <w:rFonts w:hint="eastAsia" w:asciiTheme="minorEastAsia" w:hAnsiTheme="minorEastAsia" w:eastAsiaTheme="minorEastAsia" w:cstheme="minorEastAsia"/>
                              <w:sz w:val="28"/>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C7CF51">
                    <w:pPr>
                      <w:pStyle w:val="2"/>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sz w:val="28"/>
                        <w:szCs w:val="22"/>
                      </w:rPr>
                      <w:t xml:space="preserve">— </w:t>
                    </w:r>
                    <w:r>
                      <w:rPr>
                        <w:rFonts w:hint="eastAsia" w:asciiTheme="minorEastAsia" w:hAnsiTheme="minorEastAsia" w:eastAsiaTheme="minorEastAsia" w:cstheme="minorEastAsia"/>
                        <w:sz w:val="28"/>
                        <w:szCs w:val="22"/>
                      </w:rPr>
                      <w:fldChar w:fldCharType="begin"/>
                    </w:r>
                    <w:r>
                      <w:rPr>
                        <w:rFonts w:hint="eastAsia" w:asciiTheme="minorEastAsia" w:hAnsiTheme="minorEastAsia" w:eastAsiaTheme="minorEastAsia" w:cstheme="minorEastAsia"/>
                        <w:sz w:val="28"/>
                        <w:szCs w:val="22"/>
                      </w:rPr>
                      <w:instrText xml:space="preserve"> PAGE  \* MERGEFORMAT </w:instrText>
                    </w:r>
                    <w:r>
                      <w:rPr>
                        <w:rFonts w:hint="eastAsia" w:asciiTheme="minorEastAsia" w:hAnsiTheme="minorEastAsia" w:eastAsiaTheme="minorEastAsia" w:cstheme="minorEastAsia"/>
                        <w:sz w:val="28"/>
                        <w:szCs w:val="22"/>
                      </w:rPr>
                      <w:fldChar w:fldCharType="separate"/>
                    </w:r>
                    <w:r>
                      <w:rPr>
                        <w:rFonts w:hint="eastAsia" w:asciiTheme="minorEastAsia" w:hAnsiTheme="minorEastAsia" w:eastAsiaTheme="minorEastAsia" w:cstheme="minorEastAsia"/>
                        <w:sz w:val="28"/>
                        <w:szCs w:val="22"/>
                      </w:rPr>
                      <w:t>2</w:t>
                    </w:r>
                    <w:r>
                      <w:rPr>
                        <w:rFonts w:hint="eastAsia" w:asciiTheme="minorEastAsia" w:hAnsiTheme="minorEastAsia" w:eastAsiaTheme="minorEastAsia" w:cstheme="minorEastAsia"/>
                        <w:sz w:val="28"/>
                        <w:szCs w:val="22"/>
                      </w:rPr>
                      <w:fldChar w:fldCharType="end"/>
                    </w:r>
                    <w:r>
                      <w:rPr>
                        <w:rFonts w:hint="eastAsia" w:asciiTheme="minorEastAsia" w:hAnsiTheme="minorEastAsia" w:eastAsiaTheme="minorEastAsia" w:cstheme="minorEastAsia"/>
                        <w:sz w:val="28"/>
                        <w:szCs w:val="22"/>
                      </w:rPr>
                      <w:t xml:space="preserve"> —</w:t>
                    </w:r>
                  </w:p>
                </w:txbxContent>
              </v:textbox>
            </v:shape>
          </w:pict>
        </mc:Fallback>
      </mc:AlternateContent>
    </w:r>
  </w:p>
  <w:p w14:paraId="02CB5CD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317E">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6DE18">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96DE18">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BF1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7A126"/>
    <w:multiLevelType w:val="singleLevel"/>
    <w:tmpl w:val="08F7A126"/>
    <w:lvl w:ilvl="0" w:tentative="0">
      <w:start w:val="2"/>
      <w:numFmt w:val="decimal"/>
      <w:suff w:val="nothing"/>
      <w:lvlText w:val="%1．"/>
      <w:lvlJc w:val="left"/>
    </w:lvl>
  </w:abstractNum>
  <w:abstractNum w:abstractNumId="1">
    <w:nsid w:val="7800D43E"/>
    <w:multiLevelType w:val="singleLevel"/>
    <w:tmpl w:val="7800D43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 w:name="KSO_WPS_MARK_KEY" w:val="d5e1454a-8a60-425d-8a16-c73f8283aa06"/>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3D177E1"/>
    <w:rsid w:val="04A62A1C"/>
    <w:rsid w:val="04F20710"/>
    <w:rsid w:val="066E0107"/>
    <w:rsid w:val="075E6203"/>
    <w:rsid w:val="07996F6E"/>
    <w:rsid w:val="07DFD8BA"/>
    <w:rsid w:val="09C0632E"/>
    <w:rsid w:val="0A2032A3"/>
    <w:rsid w:val="0BC65752"/>
    <w:rsid w:val="0D29243C"/>
    <w:rsid w:val="0D35B1ED"/>
    <w:rsid w:val="0E7ED1F5"/>
    <w:rsid w:val="0F98263C"/>
    <w:rsid w:val="101860EC"/>
    <w:rsid w:val="10C055FF"/>
    <w:rsid w:val="10CF6E57"/>
    <w:rsid w:val="118107EC"/>
    <w:rsid w:val="129C720C"/>
    <w:rsid w:val="1301211A"/>
    <w:rsid w:val="13A10F7E"/>
    <w:rsid w:val="13D50BC4"/>
    <w:rsid w:val="13F5616D"/>
    <w:rsid w:val="16BB723D"/>
    <w:rsid w:val="17F9714D"/>
    <w:rsid w:val="1918F934"/>
    <w:rsid w:val="197C2DAD"/>
    <w:rsid w:val="1BCE3EBF"/>
    <w:rsid w:val="1BE8440E"/>
    <w:rsid w:val="1D155CEE"/>
    <w:rsid w:val="1D353406"/>
    <w:rsid w:val="1DFBC4B3"/>
    <w:rsid w:val="1E740ACF"/>
    <w:rsid w:val="1F19C781"/>
    <w:rsid w:val="1F33FCE5"/>
    <w:rsid w:val="1F7F7398"/>
    <w:rsid w:val="1F8B2AE2"/>
    <w:rsid w:val="1FD2DB6F"/>
    <w:rsid w:val="1FF35744"/>
    <w:rsid w:val="1FF6BC77"/>
    <w:rsid w:val="1FF9236D"/>
    <w:rsid w:val="20796DDF"/>
    <w:rsid w:val="21A734D8"/>
    <w:rsid w:val="222F275C"/>
    <w:rsid w:val="23191EA0"/>
    <w:rsid w:val="2333840E"/>
    <w:rsid w:val="2366189C"/>
    <w:rsid w:val="23860B96"/>
    <w:rsid w:val="23C30A9D"/>
    <w:rsid w:val="240371BF"/>
    <w:rsid w:val="2446347C"/>
    <w:rsid w:val="24525685"/>
    <w:rsid w:val="24E1074E"/>
    <w:rsid w:val="257C638F"/>
    <w:rsid w:val="25E60A73"/>
    <w:rsid w:val="26812549"/>
    <w:rsid w:val="27D019DA"/>
    <w:rsid w:val="29FD04D3"/>
    <w:rsid w:val="2A8D5961"/>
    <w:rsid w:val="2B936FA7"/>
    <w:rsid w:val="2BFF7BC6"/>
    <w:rsid w:val="2C3F712F"/>
    <w:rsid w:val="2C8A61B5"/>
    <w:rsid w:val="2CD59C95"/>
    <w:rsid w:val="2DE15555"/>
    <w:rsid w:val="2DF04E50"/>
    <w:rsid w:val="2EFA733D"/>
    <w:rsid w:val="2EFD05E5"/>
    <w:rsid w:val="2F040D46"/>
    <w:rsid w:val="2F3445FD"/>
    <w:rsid w:val="2F4F95CE"/>
    <w:rsid w:val="2F827A5E"/>
    <w:rsid w:val="2FACAFDD"/>
    <w:rsid w:val="2FAE5751"/>
    <w:rsid w:val="2FB1A395"/>
    <w:rsid w:val="2FCF0B76"/>
    <w:rsid w:val="2FD9A7D8"/>
    <w:rsid w:val="30827CCD"/>
    <w:rsid w:val="30E402A4"/>
    <w:rsid w:val="319F7F4E"/>
    <w:rsid w:val="31B934DF"/>
    <w:rsid w:val="32CC2D9E"/>
    <w:rsid w:val="3304709D"/>
    <w:rsid w:val="35327830"/>
    <w:rsid w:val="35B90ACD"/>
    <w:rsid w:val="365E3F96"/>
    <w:rsid w:val="36AA5135"/>
    <w:rsid w:val="36BE0DA7"/>
    <w:rsid w:val="36DF2B48"/>
    <w:rsid w:val="376B6AA6"/>
    <w:rsid w:val="376D39B2"/>
    <w:rsid w:val="37763A70"/>
    <w:rsid w:val="37E16F03"/>
    <w:rsid w:val="37F53A3B"/>
    <w:rsid w:val="387B7A80"/>
    <w:rsid w:val="38D469F0"/>
    <w:rsid w:val="38F78389"/>
    <w:rsid w:val="397BAF1F"/>
    <w:rsid w:val="39D709A6"/>
    <w:rsid w:val="39E7B272"/>
    <w:rsid w:val="39F7642F"/>
    <w:rsid w:val="39FF7B37"/>
    <w:rsid w:val="3A2D4485"/>
    <w:rsid w:val="3AB79AF3"/>
    <w:rsid w:val="3AFDCB77"/>
    <w:rsid w:val="3B7EF35A"/>
    <w:rsid w:val="3B9FDB6C"/>
    <w:rsid w:val="3BF5BC2F"/>
    <w:rsid w:val="3BF7C23A"/>
    <w:rsid w:val="3BFF223E"/>
    <w:rsid w:val="3C1D2680"/>
    <w:rsid w:val="3C6EC0A1"/>
    <w:rsid w:val="3CDB0824"/>
    <w:rsid w:val="3CEBA265"/>
    <w:rsid w:val="3D6A7F9F"/>
    <w:rsid w:val="3D7E7F4D"/>
    <w:rsid w:val="3D98207C"/>
    <w:rsid w:val="3D9CF30A"/>
    <w:rsid w:val="3DFF5A3E"/>
    <w:rsid w:val="3E78745D"/>
    <w:rsid w:val="3EB27384"/>
    <w:rsid w:val="3EEE77E9"/>
    <w:rsid w:val="3F394AF5"/>
    <w:rsid w:val="3FBE5714"/>
    <w:rsid w:val="3FDD8615"/>
    <w:rsid w:val="3FDFB2FF"/>
    <w:rsid w:val="3FF4CAE0"/>
    <w:rsid w:val="3FF75FAF"/>
    <w:rsid w:val="3FF7B227"/>
    <w:rsid w:val="40406C1A"/>
    <w:rsid w:val="41DE04F9"/>
    <w:rsid w:val="423D3D14"/>
    <w:rsid w:val="44A86F25"/>
    <w:rsid w:val="44E268DA"/>
    <w:rsid w:val="45356EC9"/>
    <w:rsid w:val="45401AF6"/>
    <w:rsid w:val="457F4F6B"/>
    <w:rsid w:val="45C01670"/>
    <w:rsid w:val="4737FB58"/>
    <w:rsid w:val="47ECCB02"/>
    <w:rsid w:val="47FA6A3F"/>
    <w:rsid w:val="49D7AE48"/>
    <w:rsid w:val="4A3F6C7E"/>
    <w:rsid w:val="4A627F82"/>
    <w:rsid w:val="4B0E749A"/>
    <w:rsid w:val="4B4F25DA"/>
    <w:rsid w:val="4BBB4781"/>
    <w:rsid w:val="4BD709A5"/>
    <w:rsid w:val="4BDD9BFF"/>
    <w:rsid w:val="4BE068DB"/>
    <w:rsid w:val="4CF65190"/>
    <w:rsid w:val="4D487122"/>
    <w:rsid w:val="4D577224"/>
    <w:rsid w:val="4DAA343E"/>
    <w:rsid w:val="4DBF1CEB"/>
    <w:rsid w:val="4DBF6A6B"/>
    <w:rsid w:val="4DF6A672"/>
    <w:rsid w:val="4E9C33DC"/>
    <w:rsid w:val="4EAB630A"/>
    <w:rsid w:val="4ECE2238"/>
    <w:rsid w:val="4F4E4E0F"/>
    <w:rsid w:val="4F7EA413"/>
    <w:rsid w:val="4FAB812F"/>
    <w:rsid w:val="4FE9BD67"/>
    <w:rsid w:val="4FEE4C07"/>
    <w:rsid w:val="4FFB052F"/>
    <w:rsid w:val="5047222E"/>
    <w:rsid w:val="508552D6"/>
    <w:rsid w:val="5196484B"/>
    <w:rsid w:val="51E17E0C"/>
    <w:rsid w:val="531B76FE"/>
    <w:rsid w:val="537E6D0A"/>
    <w:rsid w:val="53AB6B88"/>
    <w:rsid w:val="53F74C96"/>
    <w:rsid w:val="543B5CE8"/>
    <w:rsid w:val="5583522D"/>
    <w:rsid w:val="55AF2380"/>
    <w:rsid w:val="55CC2173"/>
    <w:rsid w:val="57AC414E"/>
    <w:rsid w:val="57BD3DD4"/>
    <w:rsid w:val="57BE5410"/>
    <w:rsid w:val="57F362CB"/>
    <w:rsid w:val="57F9CD1E"/>
    <w:rsid w:val="58555460"/>
    <w:rsid w:val="58611E49"/>
    <w:rsid w:val="59BD061E"/>
    <w:rsid w:val="5A70032F"/>
    <w:rsid w:val="5A902780"/>
    <w:rsid w:val="5AF92295"/>
    <w:rsid w:val="5AF9D8E9"/>
    <w:rsid w:val="5BDD38BD"/>
    <w:rsid w:val="5BDD79E6"/>
    <w:rsid w:val="5BEFC772"/>
    <w:rsid w:val="5BFF5DFC"/>
    <w:rsid w:val="5C3B496D"/>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1EF2482"/>
    <w:rsid w:val="627EE9EA"/>
    <w:rsid w:val="639A466F"/>
    <w:rsid w:val="63B23AA5"/>
    <w:rsid w:val="647F5392"/>
    <w:rsid w:val="64E322C4"/>
    <w:rsid w:val="65FB93B9"/>
    <w:rsid w:val="6633C463"/>
    <w:rsid w:val="67423054"/>
    <w:rsid w:val="67D04C51"/>
    <w:rsid w:val="67D55B77"/>
    <w:rsid w:val="67EE7F84"/>
    <w:rsid w:val="686F5F53"/>
    <w:rsid w:val="68B70904"/>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EFA4214"/>
    <w:rsid w:val="6F6F90A8"/>
    <w:rsid w:val="6F6FB3EB"/>
    <w:rsid w:val="6F8731EA"/>
    <w:rsid w:val="6FBC2ADD"/>
    <w:rsid w:val="6FD57C00"/>
    <w:rsid w:val="6FEFFFD8"/>
    <w:rsid w:val="6FF5CC65"/>
    <w:rsid w:val="6FFB47EC"/>
    <w:rsid w:val="6FFF034A"/>
    <w:rsid w:val="707029DF"/>
    <w:rsid w:val="712A28F1"/>
    <w:rsid w:val="715C0E4B"/>
    <w:rsid w:val="71FFD401"/>
    <w:rsid w:val="72233669"/>
    <w:rsid w:val="72734D90"/>
    <w:rsid w:val="72A762AE"/>
    <w:rsid w:val="7332FE48"/>
    <w:rsid w:val="736B748E"/>
    <w:rsid w:val="73AD73D5"/>
    <w:rsid w:val="73B6EB34"/>
    <w:rsid w:val="73FA497D"/>
    <w:rsid w:val="744731E5"/>
    <w:rsid w:val="748C451F"/>
    <w:rsid w:val="74BBD01D"/>
    <w:rsid w:val="74ED5379"/>
    <w:rsid w:val="75DEEEC2"/>
    <w:rsid w:val="767F479D"/>
    <w:rsid w:val="76CB1CBD"/>
    <w:rsid w:val="76E3355F"/>
    <w:rsid w:val="76F742AF"/>
    <w:rsid w:val="76F7BE7D"/>
    <w:rsid w:val="76F93003"/>
    <w:rsid w:val="76FF5125"/>
    <w:rsid w:val="773570D3"/>
    <w:rsid w:val="77597F31"/>
    <w:rsid w:val="776F6FFA"/>
    <w:rsid w:val="7777A522"/>
    <w:rsid w:val="77858688"/>
    <w:rsid w:val="778769C8"/>
    <w:rsid w:val="77CB741A"/>
    <w:rsid w:val="77D7BE3A"/>
    <w:rsid w:val="77DC22F5"/>
    <w:rsid w:val="77F224C1"/>
    <w:rsid w:val="78235906"/>
    <w:rsid w:val="78F6106E"/>
    <w:rsid w:val="797E3A6C"/>
    <w:rsid w:val="79CF70E2"/>
    <w:rsid w:val="79D7FD79"/>
    <w:rsid w:val="79E75806"/>
    <w:rsid w:val="79EE5BA4"/>
    <w:rsid w:val="7A641148"/>
    <w:rsid w:val="7A6F8BF5"/>
    <w:rsid w:val="7A8911BD"/>
    <w:rsid w:val="7A894339"/>
    <w:rsid w:val="7ACF82B5"/>
    <w:rsid w:val="7AFF28C9"/>
    <w:rsid w:val="7AFF72A0"/>
    <w:rsid w:val="7AFF7572"/>
    <w:rsid w:val="7B6C7DFB"/>
    <w:rsid w:val="7B7D76A7"/>
    <w:rsid w:val="7BAE2FE2"/>
    <w:rsid w:val="7BAF6951"/>
    <w:rsid w:val="7BBFBED0"/>
    <w:rsid w:val="7BC3E394"/>
    <w:rsid w:val="7BF3FE4C"/>
    <w:rsid w:val="7BFB5035"/>
    <w:rsid w:val="7BFDE17E"/>
    <w:rsid w:val="7C9D6C0C"/>
    <w:rsid w:val="7CBFC87B"/>
    <w:rsid w:val="7CFE0F48"/>
    <w:rsid w:val="7D3DE31C"/>
    <w:rsid w:val="7D7EC23E"/>
    <w:rsid w:val="7D7F8A13"/>
    <w:rsid w:val="7DBBCB01"/>
    <w:rsid w:val="7DC765D0"/>
    <w:rsid w:val="7DDB0EE0"/>
    <w:rsid w:val="7DFF51D8"/>
    <w:rsid w:val="7E634199"/>
    <w:rsid w:val="7E8ADEBF"/>
    <w:rsid w:val="7E8D7659"/>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'[图表 在 2023年峨边彝族自治县林业局单位决算公开编制说明 - 县林业局本级.doc]Sheet1'!$B$3</c:f>
              <c:strCache>
                <c:ptCount val="1"/>
                <c:pt idx="0">
                  <c:v>收、支决算总计变动情况图</c:v>
                </c:pt>
              </c:strCache>
            </c:strRef>
          </c:tx>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2023年峨边彝族自治县林业局单位决算公开编制说明 - 县林业局本级.doc]Sheet1'!$C$2:$D$2</c:f>
              <c:strCache>
                <c:ptCount val="2"/>
                <c:pt idx="0">
                  <c:v>2022年</c:v>
                </c:pt>
                <c:pt idx="1">
                  <c:v>2023年</c:v>
                </c:pt>
              </c:strCache>
            </c:strRef>
          </c:cat>
          <c:val>
            <c:numRef>
              <c:f>'[图表 在 2023年峨边彝族自治县林业局单位决算公开编制说明 - 县林业局本级.doc]Sheet1'!$C$3:$D$3</c:f>
              <c:numCache>
                <c:formatCode>General</c:formatCode>
                <c:ptCount val="2"/>
                <c:pt idx="0">
                  <c:v>147.81</c:v>
                </c:pt>
                <c:pt idx="1">
                  <c:v>187.35</c:v>
                </c:pt>
              </c:numCache>
            </c:numRef>
          </c:val>
        </c:ser>
        <c:dLbls>
          <c:showLegendKey val="0"/>
          <c:showVal val="0"/>
          <c:showCatName val="0"/>
          <c:showSerName val="0"/>
          <c:showPercent val="0"/>
          <c:showBubbleSize val="0"/>
        </c:dLbls>
        <c:gapWidth val="219"/>
        <c:overlap val="-27"/>
        <c:axId val="563697188"/>
        <c:axId val="974594192"/>
      </c:barChart>
      <c:catAx>
        <c:axId val="5636971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594192"/>
        <c:crosses val="autoZero"/>
        <c:auto val="1"/>
        <c:lblAlgn val="ctr"/>
        <c:lblOffset val="100"/>
        <c:noMultiLvlLbl val="0"/>
      </c:catAx>
      <c:valAx>
        <c:axId val="9745941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697188"/>
        <c:crosses val="autoZero"/>
        <c:crossBetween val="between"/>
      </c:valAx>
      <c:spPr>
        <a:noFill/>
        <a:ln w="3175">
          <a:noFill/>
        </a:ln>
      </c:spPr>
    </c:plotArea>
    <c:plotVisOnly val="1"/>
    <c:dispBlanksAs val="gap"/>
    <c:showDLblsOverMax val="0"/>
    <c:extLst>
      <c:ext uri="{0b15fc19-7d7d-44ad-8c2d-2c3a37ce22c3}">
        <chartProps xmlns="https://web.wps.cn/et/2018/main" chartId="{3d9ef64d-f45b-4af6-ab8f-b035a1347b3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'[图表 在 2023年峨边彝族自治县林业局单位决算公开编制说明 - 县林业局本级.doc1]Sheet1'!$B$3</c:f>
              <c:strCache>
                <c:ptCount val="1"/>
                <c:pt idx="0">
                  <c:v>2023年度本年收入</c:v>
                </c:pt>
              </c:strCache>
            </c:strRef>
          </c:tx>
          <c:spPr>
            <a:solidFill>
              <a:srgbClr val="5B9BD5">
                <a:alpha val="100000"/>
              </a:srgbClr>
            </a:solidFill>
            <a:ln w="3175">
              <a:noFill/>
            </a:ln>
          </c:spPr>
          <c:explosion val="0"/>
          <c:dPt>
            <c:idx val="0"/>
            <c:bubble3D val="0"/>
            <c:explosion val="0"/>
            <c:spPr>
              <a:solidFill>
                <a:schemeClr val="accent2">
                  <a:lumMod val="75000"/>
                  <a:alpha val="100000"/>
                </a:schemeClr>
              </a:solidFill>
              <a:ln w="3175">
                <a:noFill/>
              </a:ln>
            </c:spPr>
          </c:dPt>
          <c:dPt>
            <c:idx val="1"/>
            <c:bubble3D val="0"/>
            <c:explosion val="0"/>
            <c:spPr>
              <a:solidFill>
                <a:srgbClr val="5B9BD5">
                  <a:alpha val="100000"/>
                </a:srgbClr>
              </a:solidFill>
              <a:ln w="3175">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2023年峨边彝族自治县林业局单位决算公开编制说明 - 县林业局本级.doc1]Sheet1'!$C$2:$D$2</c:f>
              <c:strCache>
                <c:ptCount val="2"/>
                <c:pt idx="0">
                  <c:v>一般公共预算财政拨款收入</c:v>
                </c:pt>
                <c:pt idx="1">
                  <c:v>政府性基金预算财政拨款收入</c:v>
                </c:pt>
              </c:strCache>
            </c:strRef>
          </c:cat>
          <c:val>
            <c:numRef>
              <c:f>'[图表 在 2023年峨边彝族自治县林业局单位决算公开编制说明 - 县林业局本级.doc1]Sheet1'!$C$3:$D$3</c:f>
              <c:numCache>
                <c:formatCode>General</c:formatCode>
                <c:ptCount val="2"/>
                <c:pt idx="0">
                  <c:v>187.35</c:v>
                </c:pt>
                <c:pt idx="1">
                  <c:v>1.25</c:v>
                </c:pt>
              </c:numCache>
            </c:numRef>
          </c:val>
        </c:ser>
        <c:ser>
          <c:idx val="1"/>
          <c:order val="1"/>
          <c:tx>
            <c:strRef>
              <c:f>'[图表 在 2023年峨边彝族自治县林业局单位决算公开编制说明 - 县林业局本级.doc1]Sheet1'!$B$4</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Pt>
            <c:idx val="1"/>
            <c:bubble3D val="0"/>
            <c:explosion val="0"/>
            <c:spPr>
              <a:solidFill>
                <a:srgbClr val="ED7D31">
                  <a:alpha val="100000"/>
                </a:srgbClr>
              </a:solidFill>
              <a:ln w="3175">
                <a:noFill/>
              </a:ln>
            </c:spPr>
          </c:dPt>
          <c:dLbls>
            <c:delete val="1"/>
          </c:dLbls>
          <c:cat>
            <c:strRef>
              <c:f>'[图表 在 2023年峨边彝族自治县林业局单位决算公开编制说明 - 县林业局本级.doc1]Sheet1'!$C$2:$D$2</c:f>
              <c:strCache>
                <c:ptCount val="2"/>
                <c:pt idx="0">
                  <c:v>一般公共预算财政拨款收入</c:v>
                </c:pt>
                <c:pt idx="1">
                  <c:v>政府性基金预算财政拨款收入</c:v>
                </c:pt>
              </c:strCache>
            </c:strRef>
          </c:cat>
          <c:val>
            <c:numRef>
              <c:f>[060a57281]Sheet1!$C$4:$D$4</c:f>
              <c:numCache>
                <c:formatCode>General</c:formatCode>
                <c:ptCount val="2"/>
              </c:numCache>
            </c:numRef>
          </c:val>
        </c:ser>
        <c:ser>
          <c:idx val="2"/>
          <c:order val="2"/>
          <c:tx>
            <c:strRef>
              <c:f>'[图表 在 2023年峨边彝族自治县林业局单位决算公开编制说明 - 县林业局本级.doc1]Sheet1'!$B$5</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Pt>
            <c:idx val="1"/>
            <c:bubble3D val="0"/>
            <c:explosion val="0"/>
            <c:spPr>
              <a:solidFill>
                <a:srgbClr val="A5A5A5">
                  <a:alpha val="100000"/>
                </a:srgbClr>
              </a:solidFill>
              <a:ln w="3175">
                <a:noFill/>
              </a:ln>
            </c:spPr>
          </c:dPt>
          <c:dLbls>
            <c:delete val="1"/>
          </c:dLbls>
          <c:cat>
            <c:strRef>
              <c:f>'[图表 在 2023年峨边彝族自治县林业局单位决算公开编制说明 - 县林业局本级.doc1]Sheet1'!$C$2:$D$2</c:f>
              <c:strCache>
                <c:ptCount val="2"/>
                <c:pt idx="0">
                  <c:v>一般公共预算财政拨款收入</c:v>
                </c:pt>
                <c:pt idx="1">
                  <c:v>政府性基金预算财政拨款收入</c:v>
                </c:pt>
              </c:strCache>
            </c:strRef>
          </c:cat>
          <c:val>
            <c:numRef>
              <c:f>[060a57281]Sheet1!$C$5:$D$5</c:f>
              <c:numCache>
                <c:formatCode>General</c:formatCode>
                <c:ptCount val="2"/>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48a29b0-62ae-4825-a231-cba3102919d6}"/>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'[图表 在 2023年峨边彝族自治县林业局单位决算公开编制说明 - 县林业局本级.doc]Sheet1'!$B$3</c:f>
              <c:strCache>
                <c:ptCount val="1"/>
                <c:pt idx="0">
                  <c:v>2023年度本年支出</c:v>
                </c:pt>
              </c:strCache>
            </c:strRef>
          </c:tx>
          <c:spPr>
            <a:solidFill>
              <a:srgbClr val="5B9BD5">
                <a:alpha val="100000"/>
              </a:srgbClr>
            </a:solidFill>
            <a:ln w="3175">
              <a:noFill/>
            </a:ln>
          </c:spPr>
          <c:explosion val="0"/>
          <c:dPt>
            <c:idx val="0"/>
            <c:bubble3D val="0"/>
            <c:explosion val="0"/>
            <c:spPr>
              <a:solidFill>
                <a:schemeClr val="accent2">
                  <a:lumMod val="75000"/>
                  <a:alpha val="100000"/>
                </a:schemeClr>
              </a:solidFill>
              <a:ln w="3175">
                <a:noFill/>
              </a:ln>
            </c:spPr>
          </c:dPt>
          <c:dPt>
            <c:idx val="1"/>
            <c:bubble3D val="0"/>
            <c:explosion val="0"/>
            <c:spPr>
              <a:solidFill>
                <a:srgbClr val="5B9BD5">
                  <a:alpha val="100000"/>
                </a:srgbClr>
              </a:solidFill>
              <a:ln w="3175">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2023年峨边彝族自治县林业局单位决算公开编制说明 - 县林业局本级.doc]Sheet1'!$C$2:$D$2</c:f>
              <c:strCache>
                <c:ptCount val="2"/>
                <c:pt idx="0">
                  <c:v>基本支出</c:v>
                </c:pt>
                <c:pt idx="1">
                  <c:v>项目支出</c:v>
                </c:pt>
              </c:strCache>
            </c:strRef>
          </c:cat>
          <c:val>
            <c:numRef>
              <c:f>'[图表 在 2023年峨边彝族自治县林业局单位决算公开编制说明 - 县林业局本级.doc]Sheet1'!$C$3:$D$3</c:f>
              <c:numCache>
                <c:formatCode>General</c:formatCode>
                <c:ptCount val="2"/>
                <c:pt idx="0">
                  <c:v>187.35</c:v>
                </c:pt>
                <c:pt idx="1" c:formatCode="#,##0.00">
                  <c:v>3.74</c:v>
                </c:pt>
              </c:numCache>
            </c:numRef>
          </c:val>
        </c:ser>
        <c:ser>
          <c:idx val="1"/>
          <c:order val="1"/>
          <c:tx>
            <c:strRef>
              <c:f>'[图表 在 2023年峨边彝族自治县林业局单位决算公开编制说明 - 县林业局本级.doc]Sheet1'!#REF!</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Lbls>
            <c:delete val="1"/>
          </c:dLbls>
          <c:cat>
            <c:strRef>
              <c:f>'[图表 在 2023年峨边彝族自治县林业局单位决算公开编制说明 - 县林业局本级.doc]Sheet1'!$C$2:$D$2</c:f>
              <c:strCache>
                <c:ptCount val="2"/>
                <c:pt idx="0">
                  <c:v>基本支出</c:v>
                </c:pt>
                <c:pt idx="1">
                  <c:v>项目支出</c:v>
                </c:pt>
              </c:strCache>
            </c:strRef>
          </c:cat>
          <c:val>
            <c:numRef>
              <c:f>'[图表 在 2023年峨边彝族自治县林业局单位决算公开编制说明 - 县林业局本级.doc]Sheet1'!#REF!</c:f>
              <c:numCache>
                <c:formatCode>General</c:formatCode>
                <c:ptCount val="1"/>
                <c:pt idx="0">
                  <c:v>1</c:v>
                </c:pt>
              </c:numCache>
            </c:numRef>
          </c:val>
        </c:ser>
        <c:ser>
          <c:idx val="2"/>
          <c:order val="2"/>
          <c:tx>
            <c:strRef>
              <c:f>'[图表 在 2023年峨边彝族自治县林业局单位决算公开编制说明 - 县林业局本级.doc]Sheet1'!#REF!</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Lbls>
            <c:delete val="1"/>
          </c:dLbls>
          <c:cat>
            <c:strRef>
              <c:f>'[图表 在 2023年峨边彝族自治县林业局单位决算公开编制说明 - 县林业局本级.doc]Sheet1'!$C$2:$D$2</c:f>
              <c:strCache>
                <c:ptCount val="2"/>
                <c:pt idx="0">
                  <c:v>基本支出</c:v>
                </c:pt>
                <c:pt idx="1">
                  <c:v>项目支出</c:v>
                </c:pt>
              </c:strCache>
            </c:strRef>
          </c:cat>
          <c:val>
            <c:numRef>
              <c:f>'[图表 在 2023年峨边彝族自治县林业局单位决算公开编制说明 - 县林业局本级.doc]Sheet1'!#REF!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0653a63-2533-4fff-9c55-0632ec7d3a1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39980787704131"/>
          <c:y val="0.243518518518519"/>
          <c:w val="0.854255523535062"/>
          <c:h val="0.688518518518519"/>
        </c:manualLayout>
      </c:layout>
      <c:barChart>
        <c:barDir val="col"/>
        <c:grouping val="clustered"/>
        <c:varyColors val="0"/>
        <c:ser>
          <c:idx val="2"/>
          <c:order val="0"/>
          <c:tx>
            <c:strRef>
              <c:f>'[图表 在 2023年峨边彝族自治县林业局单位决算公开编制说明 - 县林业局本级.doc]Sheet1'!$B$3</c:f>
              <c:strCache>
                <c:ptCount val="1"/>
                <c:pt idx="0">
                  <c:v>2023年度财政拨款收、支</c:v>
                </c:pt>
              </c:strCache>
            </c:strRef>
          </c:tx>
          <c:spPr>
            <a:solidFill>
              <a:schemeClr val="accent1">
                <a:lumMod val="75000"/>
                <a:alpha val="100000"/>
              </a:scheme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2023年峨边彝族自治县林业局单位决算公开编制说明 - 县林业局本级.doc]Sheet1'!$C$2:$D$2</c:f>
              <c:strCache>
                <c:ptCount val="2"/>
                <c:pt idx="0">
                  <c:v>2022年</c:v>
                </c:pt>
                <c:pt idx="1">
                  <c:v>2023年</c:v>
                </c:pt>
              </c:strCache>
            </c:strRef>
          </c:cat>
          <c:val>
            <c:numRef>
              <c:f>'[图表 在 2023年峨边彝族自治县林业局单位决算公开编制说明 - 县林业局本级.doc]Sheet1'!$C$3:$D$3</c:f>
              <c:numCache>
                <c:formatCode>General</c:formatCode>
                <c:ptCount val="2"/>
                <c:pt idx="0">
                  <c:v>147.81</c:v>
                </c:pt>
                <c:pt idx="1" c:formatCode="#,##0.00">
                  <c:v>187.35</c:v>
                </c:pt>
              </c:numCache>
            </c:numRef>
          </c:val>
        </c:ser>
        <c:dLbls>
          <c:showLegendKey val="0"/>
          <c:showVal val="0"/>
          <c:showCatName val="0"/>
          <c:showSerName val="0"/>
          <c:showPercent val="0"/>
          <c:showBubbleSize val="0"/>
        </c:dLbls>
        <c:gapWidth val="219"/>
        <c:overlap val="-27"/>
        <c:axId val="875824804"/>
        <c:axId val="116158144"/>
      </c:barChart>
      <c:catAx>
        <c:axId val="8758248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158144"/>
        <c:crosses val="autoZero"/>
        <c:auto val="1"/>
        <c:lblAlgn val="ctr"/>
        <c:lblOffset val="100"/>
        <c:noMultiLvlLbl val="0"/>
      </c:catAx>
      <c:valAx>
        <c:axId val="116158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824804"/>
        <c:crosses val="autoZero"/>
        <c:crossBetween val="between"/>
      </c:valAx>
      <c:spPr>
        <a:noFill/>
        <a:ln w="3175">
          <a:noFill/>
        </a:ln>
      </c:spPr>
    </c:plotArea>
    <c:plotVisOnly val="1"/>
    <c:dispBlanksAs val="gap"/>
    <c:showDLblsOverMax val="0"/>
    <c:extLst>
      <c:ext uri="{0b15fc19-7d7d-44ad-8c2d-2c3a37ce22c3}">
        <chartProps xmlns="https://web.wps.cn/et/2018/main" chartId="{a839b2da-4178-47e0-8a38-0ffa96a8959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'[图表 在 2023年峨边彝族自治县林业局单位决算公开编制说明 - 县林业局本级.doc]Sheet1'!$B$3</c:f>
              <c:strCache>
                <c:ptCount val="1"/>
                <c:pt idx="0">
                  <c:v>一般公共预算财政拨款支出</c:v>
                </c:pt>
              </c:strCache>
            </c:strRef>
          </c:tx>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2023年峨边彝族自治县林业局单位决算公开编制说明 - 县林业局本级.doc]Sheet1'!$C$2:$D$2</c:f>
              <c:strCache>
                <c:ptCount val="2"/>
                <c:pt idx="0">
                  <c:v>2022年</c:v>
                </c:pt>
                <c:pt idx="1">
                  <c:v>2023年</c:v>
                </c:pt>
              </c:strCache>
            </c:strRef>
          </c:cat>
          <c:val>
            <c:numRef>
              <c:f>'[图表 在 2023年峨边彝族自治县林业局单位决算公开编制说明 - 县林业局本级.doc]Sheet1'!$C$3:$D$3</c:f>
              <c:numCache>
                <c:formatCode>General</c:formatCode>
                <c:ptCount val="2"/>
                <c:pt idx="0">
                  <c:v>147.81</c:v>
                </c:pt>
                <c:pt idx="1">
                  <c:v>186.09</c:v>
                </c:pt>
              </c:numCache>
            </c:numRef>
          </c:val>
        </c:ser>
        <c:dLbls>
          <c:showLegendKey val="0"/>
          <c:showVal val="0"/>
          <c:showCatName val="0"/>
          <c:showSerName val="0"/>
          <c:showPercent val="0"/>
          <c:showBubbleSize val="0"/>
        </c:dLbls>
        <c:gapWidth val="219"/>
        <c:overlap val="-27"/>
        <c:axId val="838083539"/>
        <c:axId val="509613255"/>
      </c:barChart>
      <c:catAx>
        <c:axId val="83808353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613255"/>
        <c:crosses val="autoZero"/>
        <c:auto val="1"/>
        <c:lblAlgn val="ctr"/>
        <c:lblOffset val="100"/>
        <c:noMultiLvlLbl val="0"/>
      </c:catAx>
      <c:valAx>
        <c:axId val="50961325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8083539"/>
        <c:crosses val="autoZero"/>
        <c:crossBetween val="between"/>
      </c:valAx>
      <c:spPr>
        <a:noFill/>
        <a:ln w="3175">
          <a:noFill/>
        </a:ln>
      </c:spPr>
    </c:plotArea>
    <c:plotVisOnly val="1"/>
    <c:dispBlanksAs val="gap"/>
    <c:showDLblsOverMax val="0"/>
    <c:extLst>
      <c:ext uri="{0b15fc19-7d7d-44ad-8c2d-2c3a37ce22c3}">
        <chartProps xmlns="https://web.wps.cn/et/2018/main" chartId="{d5dfff3c-b639-490f-beaa-6c9289d5694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'[图表 在 2023年峨边彝族自治县林业局单位决算公开编制说明 - 县林业局本级.doc]Sheet1'!$B$3</c:f>
              <c:strCache>
                <c:ptCount val="1"/>
                <c:pt idx="0">
                  <c:v>2023年度一般公共预算财政拨款支出</c:v>
                </c:pt>
              </c:strCache>
            </c:strRef>
          </c:tx>
          <c:spPr>
            <a:solidFill>
              <a:srgbClr val="5B9BD5">
                <a:alpha val="100000"/>
              </a:srgbClr>
            </a:solidFill>
            <a:ln w="3175">
              <a:noFill/>
            </a:ln>
          </c:spPr>
          <c:explosion val="0"/>
          <c:dPt>
            <c:idx val="0"/>
            <c:bubble3D val="0"/>
            <c:explosion val="0"/>
            <c:spPr>
              <a:solidFill>
                <a:schemeClr val="accent2">
                  <a:lumMod val="75000"/>
                  <a:alpha val="100000"/>
                </a:schemeClr>
              </a:solidFill>
              <a:ln w="3175">
                <a:noFill/>
              </a:ln>
            </c:spPr>
          </c:dPt>
          <c:dPt>
            <c:idx val="1"/>
            <c:bubble3D val="0"/>
            <c:explosion val="0"/>
            <c:spPr>
              <a:gradFill>
                <a:gsLst>
                  <a:gs pos="0">
                    <a:srgbClr val="FBFB11"/>
                  </a:gs>
                  <a:gs pos="100000">
                    <a:srgbClr val="838309"/>
                  </a:gs>
                </a:gsLst>
                <a:lin ang="5400000" scaled="0"/>
              </a:gradFill>
              <a:ln w="3175">
                <a:noFill/>
              </a:ln>
            </c:spPr>
          </c:dPt>
          <c:dPt>
            <c:idx val="2"/>
            <c:bubble3D val="0"/>
            <c:explosion val="0"/>
            <c:spPr>
              <a:solidFill>
                <a:schemeClr val="accent1">
                  <a:lumMod val="60000"/>
                  <a:lumOff val="40000"/>
                  <a:alpha val="100000"/>
                </a:schemeClr>
              </a:solidFill>
              <a:ln w="3175">
                <a:noFill/>
              </a:ln>
            </c:spPr>
          </c:dPt>
          <c:dPt>
            <c:idx val="3"/>
            <c:bubble3D val="0"/>
            <c:explosion val="0"/>
            <c:spPr>
              <a:gradFill>
                <a:gsLst>
                  <a:gs pos="0">
                    <a:srgbClr val="14CD68"/>
                  </a:gs>
                  <a:gs pos="100000">
                    <a:srgbClr val="0B6E38"/>
                  </a:gs>
                </a:gsLst>
                <a:lin ang="5400000" scaled="0"/>
              </a:gradFill>
              <a:ln w="3175">
                <a:noFill/>
              </a:ln>
            </c:spPr>
          </c:dPt>
          <c:dLbls>
            <c:dLbl>
              <c:idx val="0"/>
              <c:layout>
                <c:manualLayout>
                  <c:x val="-0.000826673393579204"/>
                  <c:y val="-0.0039618671225967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50603659248362"/>
                  <c:y val="0.038033993787370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2023年峨边彝族自治县林业局单位决算公开编制说明 - 县林业局本级.doc]Sheet1'!$C$2:$F$2</c:f>
              <c:strCache>
                <c:ptCount val="4"/>
                <c:pt idx="0">
                  <c:v>一般公共服务支出</c:v>
                </c:pt>
                <c:pt idx="1">
                  <c:v>社会保障和就业支出</c:v>
                </c:pt>
                <c:pt idx="2">
                  <c:v>卫生健康支出</c:v>
                </c:pt>
                <c:pt idx="3">
                  <c:v>住房保障支出</c:v>
                </c:pt>
              </c:strCache>
            </c:strRef>
          </c:cat>
          <c:val>
            <c:numRef>
              <c:f>'[图表 在 2023年峨边彝族自治县林业局单位决算公开编制说明 - 县林业局本级.doc]Sheet1'!$C$3:$F$3</c:f>
              <c:numCache>
                <c:formatCode>General</c:formatCode>
                <c:ptCount val="4"/>
                <c:pt idx="0">
                  <c:v>136.74</c:v>
                </c:pt>
                <c:pt idx="1">
                  <c:v>30.26</c:v>
                </c:pt>
                <c:pt idx="2">
                  <c:v>5.98</c:v>
                </c:pt>
                <c:pt idx="3">
                  <c:v>13.11</c:v>
                </c:pt>
              </c:numCache>
            </c:numRef>
          </c:val>
        </c:ser>
        <c:ser>
          <c:idx val="1"/>
          <c:order val="1"/>
          <c:tx>
            <c:strRef>
              <c:f>'[图表 在 2023年峨边彝族自治县林业局单位决算公开编制说明 - 县林业局本级.doc]Sheet1'!$B$4</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Pt>
            <c:idx val="1"/>
            <c:bubble3D val="0"/>
            <c:explosion val="0"/>
            <c:spPr>
              <a:solidFill>
                <a:srgbClr val="ED7D31">
                  <a:alpha val="100000"/>
                </a:srgbClr>
              </a:solidFill>
              <a:ln w="3175">
                <a:noFill/>
              </a:ln>
            </c:spPr>
          </c:dPt>
          <c:dPt>
            <c:idx val="2"/>
            <c:bubble3D val="0"/>
            <c:explosion val="0"/>
            <c:spPr>
              <a:solidFill>
                <a:srgbClr val="ED7D31">
                  <a:alpha val="100000"/>
                </a:srgbClr>
              </a:solidFill>
              <a:ln w="3175">
                <a:noFill/>
              </a:ln>
            </c:spPr>
          </c:dPt>
          <c:dPt>
            <c:idx val="3"/>
            <c:bubble3D val="0"/>
            <c:explosion val="0"/>
            <c:spPr>
              <a:solidFill>
                <a:srgbClr val="ED7D31">
                  <a:alpha val="100000"/>
                </a:srgbClr>
              </a:solidFill>
              <a:ln w="3175">
                <a:noFill/>
              </a:ln>
            </c:spPr>
          </c:dPt>
          <c:dLbls>
            <c:delete val="1"/>
          </c:dLbls>
          <c:cat>
            <c:strRef>
              <c:f>'[图表 在 2023年峨边彝族自治县林业局单位决算公开编制说明 - 县林业局本级.doc]Sheet1'!$C$2:$F$2</c:f>
              <c:strCache>
                <c:ptCount val="4"/>
                <c:pt idx="0">
                  <c:v>一般公共服务支出</c:v>
                </c:pt>
                <c:pt idx="1">
                  <c:v>社会保障和就业支出</c:v>
                </c:pt>
                <c:pt idx="2">
                  <c:v>卫生健康支出</c:v>
                </c:pt>
                <c:pt idx="3">
                  <c:v>住房保障支出</c:v>
                </c:pt>
              </c:strCache>
            </c:strRef>
          </c:cat>
          <c:val>
            <c:numRef>
              <c:f>'[图表 在 2023年峨边彝族自治县林业局单位决算公开编制说明 - 县林业局本级.doc]Sheet1'!$C$4:$F$4</c:f>
              <c:numCache>
                <c:formatCode>General</c:formatCode>
                <c:ptCount val="4"/>
              </c:numCache>
            </c:numRef>
          </c:val>
        </c:ser>
        <c:ser>
          <c:idx val="2"/>
          <c:order val="2"/>
          <c:tx>
            <c:strRef>
              <c:f>'[图表 在 2023年峨边彝族自治县林业局单位决算公开编制说明 - 县林业局本级.doc]Sheet1'!$B$5</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Pt>
            <c:idx val="1"/>
            <c:bubble3D val="0"/>
            <c:explosion val="0"/>
            <c:spPr>
              <a:solidFill>
                <a:srgbClr val="A5A5A5">
                  <a:alpha val="100000"/>
                </a:srgbClr>
              </a:solidFill>
              <a:ln w="3175">
                <a:noFill/>
              </a:ln>
            </c:spPr>
          </c:dPt>
          <c:dPt>
            <c:idx val="2"/>
            <c:bubble3D val="0"/>
            <c:explosion val="0"/>
            <c:spPr>
              <a:solidFill>
                <a:srgbClr val="A5A5A5">
                  <a:alpha val="100000"/>
                </a:srgbClr>
              </a:solidFill>
              <a:ln w="3175">
                <a:noFill/>
              </a:ln>
            </c:spPr>
          </c:dPt>
          <c:dPt>
            <c:idx val="3"/>
            <c:bubble3D val="0"/>
            <c:explosion val="0"/>
            <c:spPr>
              <a:solidFill>
                <a:srgbClr val="A5A5A5">
                  <a:alpha val="100000"/>
                </a:srgbClr>
              </a:solidFill>
              <a:ln w="3175">
                <a:noFill/>
              </a:ln>
            </c:spPr>
          </c:dPt>
          <c:dLbls>
            <c:delete val="1"/>
          </c:dLbls>
          <c:cat>
            <c:strRef>
              <c:f>'[图表 在 2023年峨边彝族自治县林业局单位决算公开编制说明 - 县林业局本级.doc]Sheet1'!$C$2:$F$2</c:f>
              <c:strCache>
                <c:ptCount val="4"/>
                <c:pt idx="0">
                  <c:v>一般公共服务支出</c:v>
                </c:pt>
                <c:pt idx="1">
                  <c:v>社会保障和就业支出</c:v>
                </c:pt>
                <c:pt idx="2">
                  <c:v>卫生健康支出</c:v>
                </c:pt>
                <c:pt idx="3">
                  <c:v>住房保障支出</c:v>
                </c:pt>
              </c:strCache>
            </c:strRef>
          </c:cat>
          <c:val>
            <c:numRef>
              <c:f>'[图表 在 2023年峨边彝族自治县林业局单位决算公开编制说明 - 县林业局本级.doc]Sheet1'!$C$5:$F$5</c:f>
              <c:numCache>
                <c:formatCode>General</c:formatCode>
                <c:ptCount val="4"/>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5f0cfe-f109-45b7-baf7-6065205ab90e}"/>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'[图表 在 2023年峨边彝族自治县林业局单位决算公开编制说明 - 县林业局本级.doc1]Sheet1'!$B$3</c:f>
              <c:strCache>
                <c:ptCount val="1"/>
                <c:pt idx="0">
                  <c:v>2023年度“三公”经费财政拨款支出</c:v>
                </c:pt>
              </c:strCache>
            </c:strRef>
          </c:tx>
          <c:spPr>
            <a:solidFill>
              <a:srgbClr val="5B9BD5">
                <a:alpha val="100000"/>
              </a:srgbClr>
            </a:solidFill>
            <a:ln w="3175">
              <a:noFill/>
            </a:ln>
          </c:spPr>
          <c:explosion val="0"/>
          <c:dPt>
            <c:idx val="0"/>
            <c:bubble3D val="0"/>
            <c:explosion val="0"/>
            <c:spPr>
              <a:solidFill>
                <a:schemeClr val="accent2">
                  <a:lumMod val="75000"/>
                  <a:alpha val="100000"/>
                </a:schemeClr>
              </a:solidFill>
              <a:ln w="3175">
                <a:noFill/>
              </a:ln>
            </c:spPr>
          </c:dPt>
          <c:dPt>
            <c:idx val="1"/>
            <c:bubble3D val="0"/>
            <c:explosion val="0"/>
            <c:spPr>
              <a:solidFill>
                <a:srgbClr val="5B9BD5">
                  <a:alpha val="100000"/>
                </a:srgbClr>
              </a:solidFill>
              <a:ln w="3175">
                <a:noFill/>
              </a:ln>
            </c:spPr>
          </c:dPt>
          <c:dPt>
            <c:idx val="2"/>
            <c:bubble3D val="0"/>
            <c:explosion val="0"/>
            <c:spPr>
              <a:gradFill>
                <a:gsLst>
                  <a:gs pos="0">
                    <a:srgbClr val="FBFB11"/>
                  </a:gs>
                  <a:gs pos="100000">
                    <a:srgbClr val="838309"/>
                  </a:gs>
                </a:gsLst>
                <a:lin ang="5400000" scaled="0"/>
              </a:gradFill>
              <a:ln w="3175">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[06159c5a1]Sheet1!$C$2:$E$2</c:f>
              <c:strCache>
                <c:ptCount val="3"/>
                <c:pt idx="0">
                  <c:v>因公出国（境）费支出</c:v>
                </c:pt>
                <c:pt idx="1">
                  <c:v>公务用车购置及运行维护费支出</c:v>
                </c:pt>
                <c:pt idx="2">
                  <c:v>公务接待费支出</c:v>
                </c:pt>
              </c:strCache>
            </c:strRef>
          </c:cat>
          <c:val>
            <c:numRef>
              <c:f>'[图表 在 2023年峨边彝族自治县林业局单位决算公开编制说明 - 县林业局本级.doc1]Sheet1'!$C$3:$E$3</c:f>
              <c:numCache>
                <c:formatCode>General</c:formatCode>
                <c:ptCount val="3"/>
                <c:pt idx="0">
                  <c:v>0</c:v>
                </c:pt>
                <c:pt idx="1">
                  <c:v>10</c:v>
                </c:pt>
                <c:pt idx="2">
                  <c:v>0.19</c:v>
                </c:pt>
              </c:numCache>
            </c:numRef>
          </c:val>
        </c:ser>
        <c:ser>
          <c:idx val="1"/>
          <c:order val="1"/>
          <c:tx>
            <c:strRef>
              <c:f>'[图表 在 2023年峨边彝族自治县林业局单位决算公开编制说明 - 县林业局本级.doc1]Sheet1'!$B$4</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Pt>
            <c:idx val="1"/>
            <c:bubble3D val="0"/>
            <c:explosion val="0"/>
            <c:spPr>
              <a:solidFill>
                <a:srgbClr val="ED7D31">
                  <a:alpha val="100000"/>
                </a:srgbClr>
              </a:solidFill>
              <a:ln w="3175">
                <a:noFill/>
              </a:ln>
            </c:spPr>
          </c:dPt>
          <c:dPt>
            <c:idx val="2"/>
            <c:bubble3D val="0"/>
            <c:explosion val="0"/>
            <c:spPr>
              <a:solidFill>
                <a:srgbClr val="ED7D31">
                  <a:alpha val="100000"/>
                </a:srgbClr>
              </a:solidFill>
              <a:ln w="3175">
                <a:noFill/>
              </a:ln>
            </c:spPr>
          </c:dPt>
          <c:dLbls>
            <c:delete val="1"/>
          </c:dLbls>
          <c:cat>
            <c:strRef>
              <c:f>[06159c5a1]Sheet1!$C$2:$E$2</c:f>
              <c:strCache>
                <c:ptCount val="3"/>
                <c:pt idx="0">
                  <c:v>因公出国（境）费支出</c:v>
                </c:pt>
                <c:pt idx="1">
                  <c:v>公务用车购置及运行维护费支出</c:v>
                </c:pt>
                <c:pt idx="2">
                  <c:v>公务接待费支出</c:v>
                </c:pt>
              </c:strCache>
            </c:strRef>
          </c:cat>
          <c:val>
            <c:numRef>
              <c:f>[06159c5a1]Sheet1!$C$4:$E$4</c:f>
              <c:numCache>
                <c:formatCode>General</c:formatCode>
                <c:ptCount val="3"/>
              </c:numCache>
            </c:numRef>
          </c:val>
        </c:ser>
        <c:ser>
          <c:idx val="2"/>
          <c:order val="2"/>
          <c:tx>
            <c:strRef>
              <c:f>'[图表 在 2023年峨边彝族自治县林业局单位决算公开编制说明 - 县林业局本级.doc1]Sheet1'!$B$5</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Pt>
            <c:idx val="1"/>
            <c:bubble3D val="0"/>
            <c:explosion val="0"/>
            <c:spPr>
              <a:solidFill>
                <a:srgbClr val="A5A5A5">
                  <a:alpha val="100000"/>
                </a:srgbClr>
              </a:solidFill>
              <a:ln w="3175">
                <a:noFill/>
              </a:ln>
            </c:spPr>
          </c:dPt>
          <c:dPt>
            <c:idx val="2"/>
            <c:bubble3D val="0"/>
            <c:explosion val="0"/>
            <c:spPr>
              <a:solidFill>
                <a:srgbClr val="A5A5A5">
                  <a:alpha val="100000"/>
                </a:srgbClr>
              </a:solidFill>
              <a:ln w="3175">
                <a:noFill/>
              </a:ln>
            </c:spPr>
          </c:dPt>
          <c:dLbls>
            <c:delete val="1"/>
          </c:dLbls>
          <c:cat>
            <c:strRef>
              <c:f>[06159c5a1]Sheet1!$C$2:$E$2</c:f>
              <c:strCache>
                <c:ptCount val="3"/>
                <c:pt idx="0">
                  <c:v>因公出国（境）费支出</c:v>
                </c:pt>
                <c:pt idx="1">
                  <c:v>公务用车购置及运行维护费支出</c:v>
                </c:pt>
                <c:pt idx="2">
                  <c:v>公务接待费支出</c:v>
                </c:pt>
              </c:strCache>
            </c:strRef>
          </c:cat>
          <c:val>
            <c:numRef>
              <c:f>[06159c5a1]Sheet1!$C$5:$E$5</c:f>
              <c:numCache>
                <c:formatCode>General</c:formatCode>
                <c:ptCount val="3"/>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53521126760563"/>
          <c:y val="0.526397919375813"/>
        </c:manualLayout>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af24cc-5f4b-4994-9c30-6f56f9db7d6f}"/>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8851</Words>
  <Characters>9695</Characters>
  <Lines>72</Lines>
  <Paragraphs>20</Paragraphs>
  <TotalTime>4</TotalTime>
  <ScaleCrop>false</ScaleCrop>
  <LinksUpToDate>false</LinksUpToDate>
  <CharactersWithSpaces>9737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2024-11-01T01:29:00Z</cp:lastPrinted>
  <dcterms:modified xsi:type="dcterms:W3CDTF">2024-11-06T01:13:54Z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5F7C4121C7944617B1CBB038A87B8EB7_13</vt:lpwstr>
  </property>
</Properties>
</file>