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600" w:lineRule="exact"/>
        <w:jc w:val="center"/>
        <w:outlineLvl w:val="9"/>
        <w:rPr>
          <w:rFonts w:ascii="方正小标宋简体" w:hAnsi="宋体" w:eastAsia="方正小标宋简体"/>
          <w:color w:val="auto"/>
          <w:sz w:val="72"/>
          <w:szCs w:val="72"/>
          <w:highlight w:val="none"/>
        </w:rPr>
      </w:pPr>
      <w:bookmarkStart w:id="0" w:name="_Toc15378441"/>
      <w:bookmarkStart w:id="1" w:name="_Toc15396475"/>
      <w:bookmarkStart w:id="2" w:name="_Toc15396597"/>
      <w:bookmarkStart w:id="3" w:name="_Toc15377193"/>
      <w:bookmarkStart w:id="4" w:name="_Toc15377425"/>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30536"/>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96476"/>
      <w:bookmarkStart w:id="8" w:name="_Toc15378442"/>
      <w:bookmarkStart w:id="9" w:name="_Toc15377194"/>
      <w:bookmarkStart w:id="10" w:name="_Toc15396598"/>
      <w:bookmarkStart w:id="11" w:name="_Toc15306268"/>
      <w:bookmarkStart w:id="12" w:name="_Toc15377426"/>
      <w:bookmarkStart w:id="13" w:name="_Toc5031"/>
      <w:r>
        <w:rPr>
          <w:rFonts w:hint="eastAsia" w:ascii="方正小标宋简体" w:hAnsi="方正小标宋简体" w:eastAsia="方正小标宋简体" w:cs="方正小标宋简体"/>
          <w:color w:val="auto"/>
          <w:sz w:val="72"/>
          <w:szCs w:val="72"/>
          <w:highlight w:val="none"/>
          <w:lang w:eastAsia="zh-CN"/>
        </w:rPr>
        <w:t>中共峨边彝族自治县委机构编制委员会办公室</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r>
        <w:rPr>
          <w:rFonts w:hint="eastAsia" w:ascii="方正小标宋简体" w:hAnsi="方正小标宋简体" w:eastAsia="方正小标宋简体" w:cs="方正小标宋简体"/>
          <w:color w:val="auto"/>
          <w:sz w:val="72"/>
          <w:szCs w:val="72"/>
          <w:highlight w:val="none"/>
          <w:lang w:eastAsia="zh-CN"/>
        </w:rPr>
        <w:t>公开</w:t>
      </w:r>
      <w:bookmarkEnd w:id="13"/>
      <w:r>
        <w:rPr>
          <w:rFonts w:hint="eastAsia" w:ascii="方正小标宋简体" w:hAnsi="方正小标宋简体" w:eastAsia="方正小标宋简体" w:cs="方正小标宋简体"/>
          <w:color w:val="auto"/>
          <w:sz w:val="72"/>
          <w:szCs w:val="72"/>
          <w:highlight w:val="none"/>
          <w:lang w:eastAsia="zh-CN"/>
        </w:rPr>
        <w:t>编制公开</w:t>
      </w:r>
    </w:p>
    <w:p/>
    <w:p>
      <w:pPr>
        <w:widowControl/>
        <w:jc w:val="center"/>
      </w:pPr>
      <w:r>
        <w:rPr>
          <w:rFonts w:ascii="方正小标宋简体" w:hAnsi="宋体" w:eastAsia="方正小标宋简体"/>
          <w:color w:val="auto"/>
          <w:sz w:val="36"/>
          <w:szCs w:val="36"/>
          <w:highlight w:val="none"/>
        </w:rPr>
        <w:br w:type="page"/>
      </w:r>
    </w:p>
    <w:p>
      <w:pPr>
        <w:widowControl/>
        <w:jc w:val="center"/>
        <w:rPr>
          <w:rFonts w:ascii="黑体" w:hAnsi="黑体" w:eastAsia="黑体" w:cstheme="minorBidi"/>
          <w:color w:val="auto"/>
          <w:sz w:val="28"/>
          <w:szCs w:val="28"/>
          <w:highlight w:val="none"/>
        </w:rPr>
      </w:pPr>
      <w:r>
        <w:rPr>
          <w:rFonts w:hint="eastAsia" w:ascii="黑体" w:hAnsi="黑体" w:eastAsia="黑体"/>
          <w:color w:val="auto"/>
          <w:sz w:val="48"/>
          <w:szCs w:val="48"/>
          <w:highlight w:val="none"/>
        </w:rPr>
        <w:t>目录</w:t>
      </w:r>
    </w:p>
    <w:p>
      <w:pPr>
        <w:pStyle w:val="14"/>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TOC \o "1-2" \h \u </w:instrText>
      </w:r>
      <w:r>
        <w:rPr>
          <w:sz w:val="24"/>
          <w:szCs w:val="24"/>
          <w:highlight w:val="none"/>
          <w:shd w:val="clear" w:color="auto" w:fill="auto"/>
        </w:rPr>
        <w:fldChar w:fldCharType="separate"/>
      </w:r>
    </w:p>
    <w:p>
      <w:pPr>
        <w:pStyle w:val="39"/>
        <w:tabs>
          <w:tab w:val="right" w:leader="dot" w:pos="8970"/>
        </w:tabs>
        <w:rPr>
          <w:b/>
          <w:sz w:val="24"/>
          <w:szCs w:val="24"/>
          <w:highlight w:val="none"/>
          <w:shd w:val="clear" w:color="auto" w:fill="auto"/>
        </w:rPr>
      </w:pPr>
      <w:r>
        <w:rPr>
          <w:b/>
          <w:sz w:val="24"/>
          <w:szCs w:val="24"/>
          <w:highlight w:val="none"/>
          <w:shd w:val="clear" w:color="auto" w:fill="auto"/>
        </w:rPr>
        <w:fldChar w:fldCharType="begin"/>
      </w:r>
      <w:r>
        <w:rPr>
          <w:b/>
          <w:sz w:val="24"/>
          <w:szCs w:val="24"/>
          <w:highlight w:val="none"/>
          <w:shd w:val="clear" w:color="auto" w:fill="auto"/>
        </w:rPr>
        <w:instrText xml:space="preserve"> HYPERLINK \l _Toc22778 </w:instrText>
      </w:r>
      <w:r>
        <w:rPr>
          <w:b/>
          <w:sz w:val="24"/>
          <w:szCs w:val="24"/>
          <w:highlight w:val="none"/>
          <w:shd w:val="clear" w:color="auto" w:fill="auto"/>
        </w:rPr>
        <w:fldChar w:fldCharType="separate"/>
      </w:r>
      <w:r>
        <w:rPr>
          <w:rFonts w:hint="eastAsia" w:ascii="黑体" w:hAnsi="黑体" w:eastAsia="黑体"/>
          <w:b/>
          <w:sz w:val="24"/>
          <w:szCs w:val="24"/>
          <w:highlight w:val="none"/>
          <w:shd w:val="clear" w:color="auto" w:fill="auto"/>
        </w:rPr>
        <w:t xml:space="preserve">第一部分 </w:t>
      </w:r>
      <w:r>
        <w:rPr>
          <w:rFonts w:hint="eastAsia" w:ascii="黑体" w:hAnsi="黑体" w:eastAsia="黑体"/>
          <w:b/>
          <w:bCs w:val="0"/>
          <w:sz w:val="24"/>
          <w:szCs w:val="24"/>
          <w:highlight w:val="none"/>
          <w:shd w:val="clear" w:color="auto" w:fill="auto"/>
        </w:rPr>
        <w:t>部门概况</w:t>
      </w:r>
      <w:r>
        <w:rPr>
          <w:b/>
          <w:sz w:val="24"/>
          <w:szCs w:val="24"/>
          <w:highlight w:val="none"/>
          <w:shd w:val="clear" w:color="auto" w:fill="auto"/>
        </w:rPr>
        <w:tab/>
      </w:r>
      <w:r>
        <w:rPr>
          <w:b/>
          <w:sz w:val="24"/>
          <w:szCs w:val="24"/>
          <w:highlight w:val="none"/>
          <w:shd w:val="clear" w:color="auto" w:fill="auto"/>
        </w:rPr>
        <w:fldChar w:fldCharType="begin"/>
      </w:r>
      <w:r>
        <w:rPr>
          <w:b/>
          <w:sz w:val="24"/>
          <w:szCs w:val="24"/>
          <w:highlight w:val="none"/>
          <w:shd w:val="clear" w:color="auto" w:fill="auto"/>
        </w:rPr>
        <w:instrText xml:space="preserve"> PAGEREF _Toc22778 \h </w:instrText>
      </w:r>
      <w:r>
        <w:rPr>
          <w:b/>
          <w:sz w:val="24"/>
          <w:szCs w:val="24"/>
          <w:highlight w:val="none"/>
          <w:shd w:val="clear" w:color="auto" w:fill="auto"/>
        </w:rPr>
        <w:fldChar w:fldCharType="separate"/>
      </w:r>
      <w:r>
        <w:rPr>
          <w:b/>
          <w:sz w:val="24"/>
          <w:szCs w:val="24"/>
          <w:highlight w:val="none"/>
          <w:shd w:val="clear" w:color="auto" w:fill="auto"/>
        </w:rPr>
        <w:t>3</w:t>
      </w:r>
      <w:r>
        <w:rPr>
          <w:b/>
          <w:sz w:val="24"/>
          <w:szCs w:val="24"/>
          <w:highlight w:val="none"/>
          <w:shd w:val="clear" w:color="auto" w:fill="auto"/>
        </w:rPr>
        <w:fldChar w:fldCharType="end"/>
      </w:r>
      <w:r>
        <w:rPr>
          <w:b/>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_Toc27824 </w:instrText>
      </w:r>
      <w:r>
        <w:rPr>
          <w:sz w:val="24"/>
          <w:szCs w:val="24"/>
          <w:highlight w:val="none"/>
          <w:shd w:val="clear" w:color="auto" w:fill="auto"/>
        </w:rPr>
        <w:fldChar w:fldCharType="separate"/>
      </w:r>
      <w:r>
        <w:rPr>
          <w:rFonts w:hint="eastAsia" w:ascii="黑体" w:hAnsi="黑体" w:eastAsia="黑体"/>
          <w:sz w:val="24"/>
          <w:szCs w:val="24"/>
          <w:highlight w:val="none"/>
          <w:shd w:val="clear" w:color="auto" w:fill="auto"/>
        </w:rPr>
        <w:t>一、基</w:t>
      </w:r>
      <w:r>
        <w:rPr>
          <w:rFonts w:hint="eastAsia" w:ascii="黑体" w:hAnsi="黑体" w:eastAsia="黑体"/>
          <w:bCs w:val="0"/>
          <w:sz w:val="24"/>
          <w:szCs w:val="24"/>
          <w:highlight w:val="none"/>
          <w:shd w:val="clear" w:color="auto" w:fill="auto"/>
        </w:rPr>
        <w:t>本职能及主要工作</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_Toc27824 \h </w:instrText>
      </w:r>
      <w:r>
        <w:rPr>
          <w:sz w:val="24"/>
          <w:szCs w:val="24"/>
          <w:highlight w:val="none"/>
          <w:shd w:val="clear" w:color="auto" w:fill="auto"/>
        </w:rPr>
        <w:fldChar w:fldCharType="separate"/>
      </w:r>
      <w:r>
        <w:rPr>
          <w:sz w:val="24"/>
          <w:szCs w:val="24"/>
          <w:highlight w:val="none"/>
          <w:shd w:val="clear" w:color="auto" w:fill="auto"/>
        </w:rPr>
        <w:t>3</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_Toc1512 </w:instrText>
      </w:r>
      <w:r>
        <w:rPr>
          <w:sz w:val="24"/>
          <w:szCs w:val="24"/>
          <w:highlight w:val="none"/>
          <w:shd w:val="clear" w:color="auto" w:fill="auto"/>
        </w:rPr>
        <w:fldChar w:fldCharType="separate"/>
      </w:r>
      <w:r>
        <w:rPr>
          <w:rFonts w:hint="eastAsia" w:ascii="黑体" w:eastAsia="黑体"/>
          <w:sz w:val="24"/>
          <w:szCs w:val="24"/>
          <w:highlight w:val="none"/>
          <w:shd w:val="clear" w:color="auto" w:fill="auto"/>
        </w:rPr>
        <w:t>二、</w:t>
      </w:r>
      <w:r>
        <w:rPr>
          <w:rFonts w:hint="eastAsia" w:ascii="黑体" w:hAnsi="黑体" w:eastAsia="黑体"/>
          <w:sz w:val="24"/>
          <w:szCs w:val="24"/>
          <w:highlight w:val="none"/>
          <w:shd w:val="clear" w:color="auto" w:fill="auto"/>
        </w:rPr>
        <w:t>机</w:t>
      </w:r>
      <w:r>
        <w:rPr>
          <w:rFonts w:hint="eastAsia" w:ascii="黑体" w:hAnsi="黑体" w:eastAsia="黑体"/>
          <w:bCs w:val="0"/>
          <w:sz w:val="24"/>
          <w:szCs w:val="24"/>
          <w:highlight w:val="none"/>
          <w:shd w:val="clear" w:color="auto" w:fill="auto"/>
        </w:rPr>
        <w:t>构设置</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_Toc1512 \h </w:instrText>
      </w:r>
      <w:r>
        <w:rPr>
          <w:sz w:val="24"/>
          <w:szCs w:val="24"/>
          <w:highlight w:val="none"/>
          <w:shd w:val="clear" w:color="auto" w:fill="auto"/>
        </w:rPr>
        <w:fldChar w:fldCharType="separate"/>
      </w:r>
      <w:r>
        <w:rPr>
          <w:sz w:val="24"/>
          <w:szCs w:val="24"/>
          <w:highlight w:val="none"/>
          <w:shd w:val="clear" w:color="auto" w:fill="auto"/>
        </w:rPr>
        <w:t>5</w:t>
      </w:r>
      <w:r>
        <w:rPr>
          <w:sz w:val="24"/>
          <w:szCs w:val="24"/>
          <w:highlight w:val="none"/>
          <w:shd w:val="clear" w:color="auto" w:fill="auto"/>
        </w:rPr>
        <w:fldChar w:fldCharType="end"/>
      </w:r>
      <w:r>
        <w:rPr>
          <w:sz w:val="24"/>
          <w:szCs w:val="24"/>
          <w:highlight w:val="none"/>
          <w:shd w:val="clear" w:color="auto" w:fill="auto"/>
        </w:rPr>
        <w:fldChar w:fldCharType="end"/>
      </w:r>
    </w:p>
    <w:p>
      <w:pPr>
        <w:pStyle w:val="39"/>
        <w:tabs>
          <w:tab w:val="right" w:leader="dot" w:pos="8970"/>
        </w:tabs>
        <w:rPr>
          <w:b/>
          <w:sz w:val="24"/>
          <w:szCs w:val="24"/>
          <w:highlight w:val="none"/>
          <w:shd w:val="clear" w:color="auto" w:fill="auto"/>
        </w:rPr>
      </w:pPr>
      <w:r>
        <w:rPr>
          <w:b/>
          <w:sz w:val="24"/>
          <w:szCs w:val="24"/>
          <w:highlight w:val="none"/>
          <w:shd w:val="clear" w:color="auto" w:fill="auto"/>
        </w:rPr>
        <w:fldChar w:fldCharType="begin"/>
      </w:r>
      <w:r>
        <w:rPr>
          <w:b/>
          <w:sz w:val="24"/>
          <w:szCs w:val="24"/>
          <w:highlight w:val="none"/>
          <w:shd w:val="clear" w:color="auto" w:fill="auto"/>
        </w:rPr>
        <w:instrText xml:space="preserve"> HYPERLINK \l _Toc25010 </w:instrText>
      </w:r>
      <w:r>
        <w:rPr>
          <w:b/>
          <w:sz w:val="24"/>
          <w:szCs w:val="24"/>
          <w:highlight w:val="none"/>
          <w:shd w:val="clear" w:color="auto" w:fill="auto"/>
        </w:rPr>
        <w:fldChar w:fldCharType="separate"/>
      </w:r>
      <w:r>
        <w:rPr>
          <w:rFonts w:hint="eastAsia" w:ascii="黑体" w:hAnsi="黑体" w:eastAsia="黑体"/>
          <w:b/>
          <w:bCs/>
          <w:sz w:val="24"/>
          <w:szCs w:val="24"/>
          <w:highlight w:val="none"/>
          <w:shd w:val="clear" w:color="auto" w:fill="auto"/>
        </w:rPr>
        <w:t xml:space="preserve">第二部分 </w:t>
      </w:r>
      <w:r>
        <w:rPr>
          <w:rFonts w:hint="eastAsia" w:ascii="黑体" w:hAnsi="黑体" w:eastAsia="黑体"/>
          <w:b/>
          <w:bCs/>
          <w:sz w:val="24"/>
          <w:szCs w:val="24"/>
          <w:highlight w:val="none"/>
          <w:shd w:val="clear" w:color="auto" w:fill="auto"/>
          <w:lang w:val="en-US" w:eastAsia="zh-CN"/>
        </w:rPr>
        <w:t>2021年度</w:t>
      </w:r>
      <w:r>
        <w:rPr>
          <w:rFonts w:hint="eastAsia" w:ascii="黑体" w:hAnsi="黑体" w:eastAsia="黑体"/>
          <w:b/>
          <w:bCs/>
          <w:sz w:val="24"/>
          <w:szCs w:val="24"/>
          <w:highlight w:val="none"/>
          <w:shd w:val="clear" w:color="auto" w:fill="auto"/>
        </w:rPr>
        <w:t>部门决算情况说明</w:t>
      </w:r>
      <w:r>
        <w:rPr>
          <w:b/>
          <w:sz w:val="24"/>
          <w:szCs w:val="24"/>
          <w:highlight w:val="none"/>
          <w:shd w:val="clear" w:color="auto" w:fill="auto"/>
        </w:rPr>
        <w:tab/>
      </w:r>
      <w:r>
        <w:rPr>
          <w:b/>
          <w:sz w:val="24"/>
          <w:szCs w:val="24"/>
          <w:highlight w:val="none"/>
          <w:shd w:val="clear" w:color="auto" w:fill="auto"/>
        </w:rPr>
        <w:fldChar w:fldCharType="begin"/>
      </w:r>
      <w:r>
        <w:rPr>
          <w:b/>
          <w:sz w:val="24"/>
          <w:szCs w:val="24"/>
          <w:highlight w:val="none"/>
          <w:shd w:val="clear" w:color="auto" w:fill="auto"/>
        </w:rPr>
        <w:instrText xml:space="preserve"> PAGEREF _Toc25010 \h </w:instrText>
      </w:r>
      <w:r>
        <w:rPr>
          <w:b/>
          <w:sz w:val="24"/>
          <w:szCs w:val="24"/>
          <w:highlight w:val="none"/>
          <w:shd w:val="clear" w:color="auto" w:fill="auto"/>
        </w:rPr>
        <w:fldChar w:fldCharType="separate"/>
      </w:r>
      <w:r>
        <w:rPr>
          <w:b/>
          <w:sz w:val="24"/>
          <w:szCs w:val="24"/>
          <w:highlight w:val="none"/>
          <w:shd w:val="clear" w:color="auto" w:fill="auto"/>
        </w:rPr>
        <w:t>6</w:t>
      </w:r>
      <w:r>
        <w:rPr>
          <w:b/>
          <w:sz w:val="24"/>
          <w:szCs w:val="24"/>
          <w:highlight w:val="none"/>
          <w:shd w:val="clear" w:color="auto" w:fill="auto"/>
        </w:rPr>
        <w:fldChar w:fldCharType="end"/>
      </w:r>
      <w:r>
        <w:rPr>
          <w:b/>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_Toc32319 </w:instrText>
      </w:r>
      <w:r>
        <w:rPr>
          <w:sz w:val="24"/>
          <w:szCs w:val="24"/>
          <w:highlight w:val="none"/>
          <w:shd w:val="clear" w:color="auto" w:fill="auto"/>
        </w:rPr>
        <w:fldChar w:fldCharType="separate"/>
      </w:r>
      <w:r>
        <w:rPr>
          <w:rFonts w:hint="default" w:ascii="黑体" w:hAnsi="黑体" w:eastAsia="黑体"/>
          <w:sz w:val="24"/>
          <w:szCs w:val="24"/>
          <w:highlight w:val="none"/>
          <w:shd w:val="clear" w:color="auto" w:fill="auto"/>
        </w:rPr>
        <w:t xml:space="preserve">一、 </w:t>
      </w:r>
      <w:r>
        <w:rPr>
          <w:rFonts w:hint="eastAsia" w:ascii="黑体" w:hAnsi="黑体" w:eastAsia="黑体"/>
          <w:sz w:val="24"/>
          <w:szCs w:val="24"/>
          <w:highlight w:val="none"/>
          <w:shd w:val="clear" w:color="auto" w:fill="auto"/>
        </w:rPr>
        <w:t>收入支出决算总体情况说明</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_Toc32319 \h </w:instrText>
      </w:r>
      <w:r>
        <w:rPr>
          <w:sz w:val="24"/>
          <w:szCs w:val="24"/>
          <w:highlight w:val="none"/>
          <w:shd w:val="clear" w:color="auto" w:fill="auto"/>
        </w:rPr>
        <w:fldChar w:fldCharType="separate"/>
      </w:r>
      <w:r>
        <w:rPr>
          <w:sz w:val="24"/>
          <w:szCs w:val="24"/>
          <w:highlight w:val="none"/>
          <w:shd w:val="clear" w:color="auto" w:fill="auto"/>
        </w:rPr>
        <w:t>6</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_Toc14548 </w:instrText>
      </w:r>
      <w:r>
        <w:rPr>
          <w:sz w:val="24"/>
          <w:szCs w:val="24"/>
          <w:highlight w:val="none"/>
          <w:shd w:val="clear" w:color="auto" w:fill="auto"/>
        </w:rPr>
        <w:fldChar w:fldCharType="separate"/>
      </w:r>
      <w:r>
        <w:rPr>
          <w:rFonts w:hint="default" w:ascii="黑体" w:hAnsi="黑体" w:eastAsia="黑体"/>
          <w:sz w:val="24"/>
          <w:szCs w:val="24"/>
          <w:highlight w:val="none"/>
          <w:shd w:val="clear" w:color="auto" w:fill="auto"/>
        </w:rPr>
        <w:t xml:space="preserve">二、 </w:t>
      </w:r>
      <w:r>
        <w:rPr>
          <w:rFonts w:hint="eastAsia" w:ascii="黑体" w:hAnsi="黑体" w:eastAsia="黑体"/>
          <w:sz w:val="24"/>
          <w:szCs w:val="24"/>
          <w:highlight w:val="none"/>
          <w:shd w:val="clear" w:color="auto" w:fill="auto"/>
        </w:rPr>
        <w:t>收入决算情况说明</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_Toc14548 \h </w:instrText>
      </w:r>
      <w:r>
        <w:rPr>
          <w:sz w:val="24"/>
          <w:szCs w:val="24"/>
          <w:highlight w:val="none"/>
          <w:shd w:val="clear" w:color="auto" w:fill="auto"/>
        </w:rPr>
        <w:fldChar w:fldCharType="separate"/>
      </w:r>
      <w:r>
        <w:rPr>
          <w:sz w:val="24"/>
          <w:szCs w:val="24"/>
          <w:highlight w:val="none"/>
          <w:shd w:val="clear" w:color="auto" w:fill="auto"/>
        </w:rPr>
        <w:t>7</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_Toc18510 </w:instrText>
      </w:r>
      <w:r>
        <w:rPr>
          <w:sz w:val="24"/>
          <w:szCs w:val="24"/>
          <w:highlight w:val="none"/>
          <w:shd w:val="clear" w:color="auto" w:fill="auto"/>
        </w:rPr>
        <w:fldChar w:fldCharType="separate"/>
      </w:r>
      <w:r>
        <w:rPr>
          <w:rFonts w:hint="default" w:ascii="黑体" w:hAnsi="黑体" w:eastAsia="黑体"/>
          <w:sz w:val="24"/>
          <w:szCs w:val="24"/>
          <w:highlight w:val="none"/>
          <w:shd w:val="clear" w:color="auto" w:fill="auto"/>
        </w:rPr>
        <w:t xml:space="preserve">三、 </w:t>
      </w:r>
      <w:r>
        <w:rPr>
          <w:rFonts w:hint="eastAsia" w:ascii="黑体" w:hAnsi="黑体" w:eastAsia="黑体"/>
          <w:sz w:val="24"/>
          <w:szCs w:val="24"/>
          <w:highlight w:val="none"/>
          <w:shd w:val="clear" w:color="auto" w:fill="auto"/>
        </w:rPr>
        <w:t>支出决算情况说明</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_Toc18510 \h </w:instrText>
      </w:r>
      <w:r>
        <w:rPr>
          <w:sz w:val="24"/>
          <w:szCs w:val="24"/>
          <w:highlight w:val="none"/>
          <w:shd w:val="clear" w:color="auto" w:fill="auto"/>
        </w:rPr>
        <w:fldChar w:fldCharType="separate"/>
      </w:r>
      <w:r>
        <w:rPr>
          <w:sz w:val="24"/>
          <w:szCs w:val="24"/>
          <w:highlight w:val="none"/>
          <w:shd w:val="clear" w:color="auto" w:fill="auto"/>
        </w:rPr>
        <w:t>7</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_Toc32323 </w:instrText>
      </w:r>
      <w:r>
        <w:rPr>
          <w:sz w:val="24"/>
          <w:szCs w:val="24"/>
          <w:highlight w:val="none"/>
          <w:shd w:val="clear" w:color="auto" w:fill="auto"/>
        </w:rPr>
        <w:fldChar w:fldCharType="separate"/>
      </w:r>
      <w:r>
        <w:rPr>
          <w:rFonts w:hint="eastAsia" w:ascii="黑体" w:hAnsi="黑体" w:eastAsia="黑体"/>
          <w:sz w:val="24"/>
          <w:szCs w:val="24"/>
          <w:highlight w:val="none"/>
          <w:shd w:val="clear" w:color="auto" w:fill="auto"/>
        </w:rPr>
        <w:t>四、财政拨款收入支出决算总体情况说明</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_Toc32323 \h </w:instrText>
      </w:r>
      <w:r>
        <w:rPr>
          <w:sz w:val="24"/>
          <w:szCs w:val="24"/>
          <w:highlight w:val="none"/>
          <w:shd w:val="clear" w:color="auto" w:fill="auto"/>
        </w:rPr>
        <w:fldChar w:fldCharType="separate"/>
      </w:r>
      <w:r>
        <w:rPr>
          <w:sz w:val="24"/>
          <w:szCs w:val="24"/>
          <w:highlight w:val="none"/>
          <w:shd w:val="clear" w:color="auto" w:fill="auto"/>
        </w:rPr>
        <w:t>8</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b/>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_Toc17899 </w:instrText>
      </w:r>
      <w:r>
        <w:rPr>
          <w:sz w:val="24"/>
          <w:szCs w:val="24"/>
          <w:highlight w:val="none"/>
          <w:shd w:val="clear" w:color="auto" w:fill="auto"/>
        </w:rPr>
        <w:fldChar w:fldCharType="separate"/>
      </w:r>
      <w:r>
        <w:rPr>
          <w:rFonts w:hint="eastAsia" w:ascii="黑体" w:hAnsi="黑体" w:eastAsia="黑体"/>
          <w:sz w:val="24"/>
          <w:szCs w:val="24"/>
          <w:highlight w:val="none"/>
          <w:shd w:val="clear" w:color="auto" w:fill="auto"/>
        </w:rPr>
        <w:t>五、一般公共预算财政拨款支出决算情况说明</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_Toc17899 \h </w:instrText>
      </w:r>
      <w:r>
        <w:rPr>
          <w:sz w:val="24"/>
          <w:szCs w:val="24"/>
          <w:highlight w:val="none"/>
          <w:shd w:val="clear" w:color="auto" w:fill="auto"/>
        </w:rPr>
        <w:fldChar w:fldCharType="separate"/>
      </w:r>
      <w:r>
        <w:rPr>
          <w:sz w:val="24"/>
          <w:szCs w:val="24"/>
          <w:highlight w:val="none"/>
          <w:shd w:val="clear" w:color="auto" w:fill="auto"/>
        </w:rPr>
        <w:t>9</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_Toc4776 </w:instrText>
      </w:r>
      <w:r>
        <w:rPr>
          <w:sz w:val="24"/>
          <w:szCs w:val="24"/>
          <w:highlight w:val="none"/>
          <w:shd w:val="clear" w:color="auto" w:fill="auto"/>
        </w:rPr>
        <w:fldChar w:fldCharType="separate"/>
      </w:r>
      <w:r>
        <w:rPr>
          <w:rFonts w:hint="eastAsia" w:ascii="黑体" w:eastAsia="黑体"/>
          <w:sz w:val="24"/>
          <w:szCs w:val="24"/>
          <w:highlight w:val="none"/>
          <w:shd w:val="clear" w:color="auto" w:fill="auto"/>
        </w:rPr>
        <w:t>六、</w:t>
      </w:r>
      <w:r>
        <w:rPr>
          <w:rFonts w:hint="eastAsia" w:ascii="黑体" w:hAnsi="黑体" w:eastAsia="黑体"/>
          <w:sz w:val="24"/>
          <w:szCs w:val="24"/>
          <w:highlight w:val="none"/>
          <w:shd w:val="clear" w:color="auto" w:fill="auto"/>
        </w:rPr>
        <w:t>一般公共预算财政拨款基本支出决算情况说明</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_Toc4776 \h </w:instrText>
      </w:r>
      <w:r>
        <w:rPr>
          <w:sz w:val="24"/>
          <w:szCs w:val="24"/>
          <w:highlight w:val="none"/>
          <w:shd w:val="clear" w:color="auto" w:fill="auto"/>
        </w:rPr>
        <w:fldChar w:fldCharType="separate"/>
      </w:r>
      <w:r>
        <w:rPr>
          <w:sz w:val="24"/>
          <w:szCs w:val="24"/>
          <w:highlight w:val="none"/>
          <w:shd w:val="clear" w:color="auto" w:fill="auto"/>
        </w:rPr>
        <w:t>11</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_Toc22883 </w:instrText>
      </w:r>
      <w:r>
        <w:rPr>
          <w:sz w:val="24"/>
          <w:szCs w:val="24"/>
          <w:highlight w:val="none"/>
          <w:shd w:val="clear" w:color="auto" w:fill="auto"/>
        </w:rPr>
        <w:fldChar w:fldCharType="separate"/>
      </w:r>
      <w:r>
        <w:rPr>
          <w:rFonts w:hint="eastAsia" w:ascii="黑体" w:eastAsia="黑体"/>
          <w:sz w:val="24"/>
          <w:szCs w:val="24"/>
          <w:highlight w:val="none"/>
          <w:shd w:val="clear" w:color="auto" w:fill="auto"/>
        </w:rPr>
        <w:t>七、</w:t>
      </w:r>
      <w:r>
        <w:rPr>
          <w:rFonts w:hint="eastAsia" w:ascii="黑体" w:hAnsi="黑体" w:eastAsia="黑体"/>
          <w:sz w:val="24"/>
          <w:szCs w:val="24"/>
          <w:highlight w:val="none"/>
          <w:shd w:val="clear" w:color="auto" w:fill="auto"/>
        </w:rPr>
        <w:t>“三公”经费财政拨款支出决算情况说明</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_Toc22883 \h </w:instrText>
      </w:r>
      <w:r>
        <w:rPr>
          <w:sz w:val="24"/>
          <w:szCs w:val="24"/>
          <w:highlight w:val="none"/>
          <w:shd w:val="clear" w:color="auto" w:fill="auto"/>
        </w:rPr>
        <w:fldChar w:fldCharType="separate"/>
      </w:r>
      <w:r>
        <w:rPr>
          <w:sz w:val="24"/>
          <w:szCs w:val="24"/>
          <w:highlight w:val="none"/>
          <w:shd w:val="clear" w:color="auto" w:fill="auto"/>
        </w:rPr>
        <w:t>11</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_Toc24077 </w:instrText>
      </w:r>
      <w:r>
        <w:rPr>
          <w:sz w:val="24"/>
          <w:szCs w:val="24"/>
          <w:highlight w:val="none"/>
          <w:shd w:val="clear" w:color="auto" w:fill="auto"/>
        </w:rPr>
        <w:fldChar w:fldCharType="separate"/>
      </w:r>
      <w:r>
        <w:rPr>
          <w:rFonts w:hint="eastAsia" w:ascii="黑体" w:eastAsia="黑体"/>
          <w:sz w:val="24"/>
          <w:szCs w:val="24"/>
          <w:highlight w:val="none"/>
          <w:shd w:val="clear" w:color="auto" w:fill="auto"/>
        </w:rPr>
        <w:t>八、</w:t>
      </w:r>
      <w:r>
        <w:rPr>
          <w:rFonts w:hint="eastAsia" w:ascii="黑体" w:hAnsi="黑体" w:eastAsia="黑体"/>
          <w:sz w:val="24"/>
          <w:szCs w:val="24"/>
          <w:highlight w:val="none"/>
          <w:shd w:val="clear" w:color="auto" w:fill="auto"/>
        </w:rPr>
        <w:t>政府性基金预算支出决算情况说明</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_Toc24077 \h </w:instrText>
      </w:r>
      <w:r>
        <w:rPr>
          <w:sz w:val="24"/>
          <w:szCs w:val="24"/>
          <w:highlight w:val="none"/>
          <w:shd w:val="clear" w:color="auto" w:fill="auto"/>
        </w:rPr>
        <w:fldChar w:fldCharType="separate"/>
      </w:r>
      <w:r>
        <w:rPr>
          <w:sz w:val="24"/>
          <w:szCs w:val="24"/>
          <w:highlight w:val="none"/>
          <w:shd w:val="clear" w:color="auto" w:fill="auto"/>
        </w:rPr>
        <w:t>12</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_Toc12978 </w:instrText>
      </w:r>
      <w:r>
        <w:rPr>
          <w:sz w:val="24"/>
          <w:szCs w:val="24"/>
          <w:highlight w:val="none"/>
          <w:shd w:val="clear" w:color="auto" w:fill="auto"/>
        </w:rPr>
        <w:fldChar w:fldCharType="separate"/>
      </w:r>
      <w:r>
        <w:rPr>
          <w:rFonts w:hint="eastAsia" w:ascii="黑体" w:hAnsi="黑体" w:eastAsia="黑体"/>
          <w:sz w:val="24"/>
          <w:szCs w:val="24"/>
          <w:highlight w:val="none"/>
          <w:shd w:val="clear" w:color="auto" w:fill="auto"/>
        </w:rPr>
        <w:t>九、 国有资本经营预算支出决算情况说明</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_Toc12978 \h </w:instrText>
      </w:r>
      <w:r>
        <w:rPr>
          <w:sz w:val="24"/>
          <w:szCs w:val="24"/>
          <w:highlight w:val="none"/>
          <w:shd w:val="clear" w:color="auto" w:fill="auto"/>
        </w:rPr>
        <w:fldChar w:fldCharType="separate"/>
      </w:r>
      <w:r>
        <w:rPr>
          <w:sz w:val="24"/>
          <w:szCs w:val="24"/>
          <w:highlight w:val="none"/>
          <w:shd w:val="clear" w:color="auto" w:fill="auto"/>
        </w:rPr>
        <w:t>12</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_Toc1353 </w:instrText>
      </w:r>
      <w:r>
        <w:rPr>
          <w:sz w:val="24"/>
          <w:szCs w:val="24"/>
          <w:highlight w:val="none"/>
          <w:shd w:val="clear" w:color="auto" w:fill="auto"/>
        </w:rPr>
        <w:fldChar w:fldCharType="separate"/>
      </w:r>
      <w:r>
        <w:rPr>
          <w:rFonts w:hint="eastAsia" w:ascii="黑体" w:hAnsi="黑体" w:eastAsia="黑体"/>
          <w:sz w:val="24"/>
          <w:szCs w:val="24"/>
          <w:highlight w:val="none"/>
          <w:shd w:val="clear" w:color="auto" w:fill="auto"/>
        </w:rPr>
        <w:t>十、 其他重要事项的情况说明</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_Toc1353 \h </w:instrText>
      </w:r>
      <w:r>
        <w:rPr>
          <w:sz w:val="24"/>
          <w:szCs w:val="24"/>
          <w:highlight w:val="none"/>
          <w:shd w:val="clear" w:color="auto" w:fill="auto"/>
        </w:rPr>
        <w:fldChar w:fldCharType="separate"/>
      </w:r>
      <w:r>
        <w:rPr>
          <w:sz w:val="24"/>
          <w:szCs w:val="24"/>
          <w:highlight w:val="none"/>
          <w:shd w:val="clear" w:color="auto" w:fill="auto"/>
        </w:rPr>
        <w:t>12</w:t>
      </w:r>
      <w:r>
        <w:rPr>
          <w:sz w:val="24"/>
          <w:szCs w:val="24"/>
          <w:highlight w:val="none"/>
          <w:shd w:val="clear" w:color="auto" w:fill="auto"/>
        </w:rPr>
        <w:fldChar w:fldCharType="end"/>
      </w:r>
      <w:r>
        <w:rPr>
          <w:sz w:val="24"/>
          <w:szCs w:val="24"/>
          <w:highlight w:val="none"/>
          <w:shd w:val="clear" w:color="auto" w:fill="auto"/>
        </w:rPr>
        <w:fldChar w:fldCharType="end"/>
      </w:r>
    </w:p>
    <w:p>
      <w:pPr>
        <w:pStyle w:val="39"/>
        <w:tabs>
          <w:tab w:val="right" w:leader="dot" w:pos="8970"/>
        </w:tabs>
        <w:rPr>
          <w:b/>
          <w:sz w:val="24"/>
          <w:szCs w:val="24"/>
          <w:highlight w:val="none"/>
          <w:shd w:val="clear" w:color="auto" w:fill="auto"/>
        </w:rPr>
      </w:pPr>
      <w:r>
        <w:rPr>
          <w:b/>
          <w:sz w:val="24"/>
          <w:szCs w:val="24"/>
          <w:highlight w:val="none"/>
          <w:shd w:val="clear" w:color="auto" w:fill="auto"/>
        </w:rPr>
        <w:fldChar w:fldCharType="begin"/>
      </w:r>
      <w:r>
        <w:rPr>
          <w:b/>
          <w:sz w:val="24"/>
          <w:szCs w:val="24"/>
          <w:highlight w:val="none"/>
          <w:shd w:val="clear" w:color="auto" w:fill="auto"/>
        </w:rPr>
        <w:instrText xml:space="preserve"> HYPERLINK \l _Toc29344 </w:instrText>
      </w:r>
      <w:r>
        <w:rPr>
          <w:b/>
          <w:sz w:val="24"/>
          <w:szCs w:val="24"/>
          <w:highlight w:val="none"/>
          <w:shd w:val="clear" w:color="auto" w:fill="auto"/>
        </w:rPr>
        <w:fldChar w:fldCharType="separate"/>
      </w:r>
      <w:r>
        <w:rPr>
          <w:rFonts w:hint="eastAsia" w:ascii="黑体" w:hAnsi="黑体" w:eastAsia="黑体"/>
          <w:b/>
          <w:sz w:val="24"/>
          <w:szCs w:val="24"/>
          <w:highlight w:val="none"/>
          <w:shd w:val="clear" w:color="auto" w:fill="auto"/>
        </w:rPr>
        <w:t>第三部分 名词解释</w:t>
      </w:r>
      <w:r>
        <w:rPr>
          <w:b/>
          <w:sz w:val="24"/>
          <w:szCs w:val="24"/>
          <w:highlight w:val="none"/>
          <w:shd w:val="clear" w:color="auto" w:fill="auto"/>
        </w:rPr>
        <w:tab/>
      </w:r>
      <w:r>
        <w:rPr>
          <w:b/>
          <w:sz w:val="24"/>
          <w:szCs w:val="24"/>
          <w:highlight w:val="none"/>
          <w:shd w:val="clear" w:color="auto" w:fill="auto"/>
        </w:rPr>
        <w:fldChar w:fldCharType="begin"/>
      </w:r>
      <w:r>
        <w:rPr>
          <w:b/>
          <w:sz w:val="24"/>
          <w:szCs w:val="24"/>
          <w:highlight w:val="none"/>
          <w:shd w:val="clear" w:color="auto" w:fill="auto"/>
        </w:rPr>
        <w:instrText xml:space="preserve"> PAGEREF _Toc29344 \h </w:instrText>
      </w:r>
      <w:r>
        <w:rPr>
          <w:b/>
          <w:sz w:val="24"/>
          <w:szCs w:val="24"/>
          <w:highlight w:val="none"/>
          <w:shd w:val="clear" w:color="auto" w:fill="auto"/>
        </w:rPr>
        <w:fldChar w:fldCharType="separate"/>
      </w:r>
      <w:r>
        <w:rPr>
          <w:b/>
          <w:sz w:val="24"/>
          <w:szCs w:val="24"/>
          <w:highlight w:val="none"/>
          <w:shd w:val="clear" w:color="auto" w:fill="auto"/>
        </w:rPr>
        <w:t>2</w:t>
      </w:r>
      <w:r>
        <w:rPr>
          <w:b/>
          <w:sz w:val="24"/>
          <w:szCs w:val="24"/>
          <w:highlight w:val="none"/>
          <w:shd w:val="clear" w:color="auto" w:fill="auto"/>
        </w:rPr>
        <w:fldChar w:fldCharType="end"/>
      </w:r>
      <w:r>
        <w:rPr>
          <w:b/>
          <w:sz w:val="24"/>
          <w:szCs w:val="24"/>
          <w:highlight w:val="none"/>
          <w:shd w:val="clear" w:color="auto" w:fill="auto"/>
        </w:rPr>
        <w:fldChar w:fldCharType="end"/>
      </w:r>
    </w:p>
    <w:p>
      <w:pPr>
        <w:pStyle w:val="39"/>
        <w:tabs>
          <w:tab w:val="right" w:leader="dot" w:pos="8970"/>
        </w:tabs>
        <w:rPr>
          <w:sz w:val="24"/>
          <w:szCs w:val="24"/>
          <w:highlight w:val="none"/>
          <w:shd w:val="clear" w:color="auto" w:fill="auto"/>
        </w:rPr>
      </w:pPr>
      <w:r>
        <w:rPr>
          <w:b/>
          <w:sz w:val="24"/>
          <w:szCs w:val="24"/>
          <w:highlight w:val="none"/>
          <w:shd w:val="clear" w:color="auto" w:fill="auto"/>
        </w:rPr>
        <w:fldChar w:fldCharType="begin"/>
      </w:r>
      <w:r>
        <w:rPr>
          <w:b/>
          <w:sz w:val="24"/>
          <w:szCs w:val="24"/>
          <w:highlight w:val="none"/>
          <w:shd w:val="clear" w:color="auto" w:fill="auto"/>
        </w:rPr>
        <w:instrText xml:space="preserve"> HYPERLINK \l _Toc14129 </w:instrText>
      </w:r>
      <w:r>
        <w:rPr>
          <w:b/>
          <w:sz w:val="24"/>
          <w:szCs w:val="24"/>
          <w:highlight w:val="none"/>
          <w:shd w:val="clear" w:color="auto" w:fill="auto"/>
        </w:rPr>
        <w:fldChar w:fldCharType="separate"/>
      </w:r>
      <w:r>
        <w:rPr>
          <w:rFonts w:hint="eastAsia" w:ascii="黑体" w:hAnsi="黑体" w:eastAsia="黑体"/>
          <w:b/>
          <w:sz w:val="24"/>
          <w:szCs w:val="24"/>
          <w:highlight w:val="none"/>
          <w:shd w:val="clear" w:color="auto" w:fill="auto"/>
        </w:rPr>
        <w:t>第四部分 附件</w:t>
      </w:r>
      <w:r>
        <w:rPr>
          <w:b/>
          <w:sz w:val="24"/>
          <w:szCs w:val="24"/>
          <w:highlight w:val="none"/>
          <w:shd w:val="clear" w:color="auto" w:fill="auto"/>
        </w:rPr>
        <w:tab/>
      </w:r>
      <w:r>
        <w:rPr>
          <w:b/>
          <w:sz w:val="24"/>
          <w:szCs w:val="24"/>
          <w:highlight w:val="none"/>
          <w:shd w:val="clear" w:color="auto" w:fill="auto"/>
        </w:rPr>
        <w:fldChar w:fldCharType="begin"/>
      </w:r>
      <w:r>
        <w:rPr>
          <w:b/>
          <w:sz w:val="24"/>
          <w:szCs w:val="24"/>
          <w:highlight w:val="none"/>
          <w:shd w:val="clear" w:color="auto" w:fill="auto"/>
        </w:rPr>
        <w:instrText xml:space="preserve"> PAGEREF _Toc14129 \h </w:instrText>
      </w:r>
      <w:r>
        <w:rPr>
          <w:b/>
          <w:sz w:val="24"/>
          <w:szCs w:val="24"/>
          <w:highlight w:val="none"/>
          <w:shd w:val="clear" w:color="auto" w:fill="auto"/>
        </w:rPr>
        <w:fldChar w:fldCharType="separate"/>
      </w:r>
      <w:r>
        <w:rPr>
          <w:b/>
          <w:sz w:val="24"/>
          <w:szCs w:val="24"/>
          <w:highlight w:val="none"/>
          <w:shd w:val="clear" w:color="auto" w:fill="auto"/>
        </w:rPr>
        <w:t>5</w:t>
      </w:r>
      <w:r>
        <w:rPr>
          <w:b/>
          <w:sz w:val="24"/>
          <w:szCs w:val="24"/>
          <w:highlight w:val="none"/>
          <w:shd w:val="clear" w:color="auto" w:fill="auto"/>
        </w:rPr>
        <w:fldChar w:fldCharType="end"/>
      </w:r>
      <w:r>
        <w:rPr>
          <w:b/>
          <w:sz w:val="24"/>
          <w:szCs w:val="24"/>
          <w:highlight w:val="none"/>
          <w:shd w:val="clear" w:color="auto" w:fill="auto"/>
        </w:rPr>
        <w:fldChar w:fldCharType="end"/>
      </w:r>
    </w:p>
    <w:p>
      <w:pPr>
        <w:pStyle w:val="39"/>
        <w:tabs>
          <w:tab w:val="right" w:leader="dot" w:pos="8970"/>
        </w:tabs>
        <w:rPr>
          <w:b/>
          <w:sz w:val="24"/>
          <w:szCs w:val="24"/>
          <w:highlight w:val="none"/>
          <w:shd w:val="clear" w:color="auto" w:fill="auto"/>
        </w:rPr>
      </w:pPr>
      <w:r>
        <w:rPr>
          <w:b/>
          <w:sz w:val="24"/>
          <w:szCs w:val="24"/>
          <w:highlight w:val="none"/>
          <w:shd w:val="clear" w:color="auto" w:fill="auto"/>
        </w:rPr>
        <w:fldChar w:fldCharType="begin"/>
      </w:r>
      <w:r>
        <w:rPr>
          <w:b/>
          <w:sz w:val="24"/>
          <w:szCs w:val="24"/>
          <w:highlight w:val="none"/>
          <w:shd w:val="clear" w:color="auto" w:fill="auto"/>
        </w:rPr>
        <w:instrText xml:space="preserve"> HYPERLINK \l _Toc31119 </w:instrText>
      </w:r>
      <w:r>
        <w:rPr>
          <w:b/>
          <w:sz w:val="24"/>
          <w:szCs w:val="24"/>
          <w:highlight w:val="none"/>
          <w:shd w:val="clear" w:color="auto" w:fill="auto"/>
        </w:rPr>
        <w:fldChar w:fldCharType="separate"/>
      </w:r>
      <w:r>
        <w:rPr>
          <w:rFonts w:hint="eastAsia" w:ascii="黑体" w:hAnsi="黑体" w:eastAsia="黑体"/>
          <w:b/>
          <w:sz w:val="24"/>
          <w:szCs w:val="24"/>
          <w:highlight w:val="none"/>
          <w:shd w:val="clear" w:color="auto" w:fill="auto"/>
        </w:rPr>
        <w:t>第五部分 附表</w:t>
      </w:r>
      <w:r>
        <w:rPr>
          <w:b/>
          <w:sz w:val="24"/>
          <w:szCs w:val="24"/>
          <w:highlight w:val="none"/>
          <w:shd w:val="clear" w:color="auto" w:fill="auto"/>
        </w:rPr>
        <w:tab/>
      </w:r>
      <w:r>
        <w:rPr>
          <w:b/>
          <w:sz w:val="24"/>
          <w:szCs w:val="24"/>
          <w:highlight w:val="none"/>
          <w:shd w:val="clear" w:color="auto" w:fill="auto"/>
        </w:rPr>
        <w:fldChar w:fldCharType="begin"/>
      </w:r>
      <w:r>
        <w:rPr>
          <w:b/>
          <w:sz w:val="24"/>
          <w:szCs w:val="24"/>
          <w:highlight w:val="none"/>
          <w:shd w:val="clear" w:color="auto" w:fill="auto"/>
        </w:rPr>
        <w:instrText xml:space="preserve"> PAGEREF _Toc31119 \h </w:instrText>
      </w:r>
      <w:r>
        <w:rPr>
          <w:b/>
          <w:sz w:val="24"/>
          <w:szCs w:val="24"/>
          <w:highlight w:val="none"/>
          <w:shd w:val="clear" w:color="auto" w:fill="auto"/>
        </w:rPr>
        <w:fldChar w:fldCharType="separate"/>
      </w:r>
      <w:r>
        <w:rPr>
          <w:b/>
          <w:sz w:val="24"/>
          <w:szCs w:val="24"/>
          <w:highlight w:val="none"/>
          <w:shd w:val="clear" w:color="auto" w:fill="auto"/>
        </w:rPr>
        <w:t>14</w:t>
      </w:r>
      <w:r>
        <w:rPr>
          <w:b/>
          <w:sz w:val="24"/>
          <w:szCs w:val="24"/>
          <w:highlight w:val="none"/>
          <w:shd w:val="clear" w:color="auto" w:fill="auto"/>
        </w:rPr>
        <w:fldChar w:fldCharType="end"/>
      </w:r>
      <w:r>
        <w:rPr>
          <w:b/>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_Toc12096 </w:instrText>
      </w:r>
      <w:r>
        <w:rPr>
          <w:sz w:val="24"/>
          <w:szCs w:val="24"/>
          <w:highlight w:val="none"/>
          <w:shd w:val="clear" w:color="auto" w:fill="auto"/>
        </w:rPr>
        <w:fldChar w:fldCharType="separate"/>
      </w:r>
      <w:r>
        <w:rPr>
          <w:rFonts w:hint="eastAsia" w:ascii="仿宋" w:hAnsi="仿宋" w:eastAsia="仿宋"/>
          <w:sz w:val="24"/>
          <w:szCs w:val="24"/>
          <w:highlight w:val="none"/>
          <w:shd w:val="clear" w:color="auto" w:fill="auto"/>
        </w:rPr>
        <w:t>一、收</w:t>
      </w:r>
      <w:r>
        <w:rPr>
          <w:rFonts w:hint="eastAsia" w:ascii="仿宋" w:hAnsi="仿宋" w:eastAsia="仿宋"/>
          <w:bCs w:val="0"/>
          <w:sz w:val="24"/>
          <w:szCs w:val="24"/>
          <w:highlight w:val="none"/>
          <w:shd w:val="clear" w:color="auto" w:fill="auto"/>
        </w:rPr>
        <w:t>入支出决算总表</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_Toc12096 \h </w:instrText>
      </w:r>
      <w:r>
        <w:rPr>
          <w:sz w:val="24"/>
          <w:szCs w:val="24"/>
          <w:highlight w:val="none"/>
          <w:shd w:val="clear" w:color="auto" w:fill="auto"/>
        </w:rPr>
        <w:fldChar w:fldCharType="separate"/>
      </w:r>
      <w:r>
        <w:rPr>
          <w:sz w:val="24"/>
          <w:szCs w:val="24"/>
          <w:highlight w:val="none"/>
          <w:shd w:val="clear" w:color="auto" w:fill="auto"/>
        </w:rPr>
        <w:t>14</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_Toc7916 </w:instrText>
      </w:r>
      <w:r>
        <w:rPr>
          <w:sz w:val="24"/>
          <w:szCs w:val="24"/>
          <w:highlight w:val="none"/>
          <w:shd w:val="clear" w:color="auto" w:fill="auto"/>
        </w:rPr>
        <w:fldChar w:fldCharType="separate"/>
      </w:r>
      <w:r>
        <w:rPr>
          <w:rFonts w:hint="eastAsia" w:ascii="仿宋" w:hAnsi="仿宋" w:eastAsia="仿宋"/>
          <w:sz w:val="24"/>
          <w:szCs w:val="24"/>
          <w:highlight w:val="none"/>
          <w:shd w:val="clear" w:color="auto" w:fill="auto"/>
        </w:rPr>
        <w:t>二、收</w:t>
      </w:r>
      <w:r>
        <w:rPr>
          <w:rFonts w:hint="eastAsia" w:ascii="仿宋" w:hAnsi="仿宋" w:eastAsia="仿宋"/>
          <w:bCs w:val="0"/>
          <w:sz w:val="24"/>
          <w:szCs w:val="24"/>
          <w:highlight w:val="none"/>
          <w:shd w:val="clear" w:color="auto" w:fill="auto"/>
        </w:rPr>
        <w:t>入决算表</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_Toc7916 \h </w:instrText>
      </w:r>
      <w:r>
        <w:rPr>
          <w:sz w:val="24"/>
          <w:szCs w:val="24"/>
          <w:highlight w:val="none"/>
          <w:shd w:val="clear" w:color="auto" w:fill="auto"/>
        </w:rPr>
        <w:fldChar w:fldCharType="separate"/>
      </w:r>
      <w:r>
        <w:rPr>
          <w:sz w:val="24"/>
          <w:szCs w:val="24"/>
          <w:highlight w:val="none"/>
          <w:shd w:val="clear" w:color="auto" w:fill="auto"/>
        </w:rPr>
        <w:t>14</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_Toc16927 </w:instrText>
      </w:r>
      <w:r>
        <w:rPr>
          <w:sz w:val="24"/>
          <w:szCs w:val="24"/>
          <w:highlight w:val="none"/>
          <w:shd w:val="clear" w:color="auto" w:fill="auto"/>
        </w:rPr>
        <w:fldChar w:fldCharType="separate"/>
      </w:r>
      <w:r>
        <w:rPr>
          <w:rFonts w:hint="eastAsia" w:ascii="仿宋" w:hAnsi="仿宋" w:eastAsia="仿宋"/>
          <w:bCs w:val="0"/>
          <w:sz w:val="24"/>
          <w:szCs w:val="24"/>
          <w:highlight w:val="none"/>
          <w:shd w:val="clear" w:color="auto" w:fill="auto"/>
        </w:rPr>
        <w:t>三、</w:t>
      </w:r>
      <w:r>
        <w:rPr>
          <w:rFonts w:hint="eastAsia" w:ascii="仿宋" w:hAnsi="仿宋" w:eastAsia="仿宋"/>
          <w:sz w:val="24"/>
          <w:szCs w:val="24"/>
          <w:highlight w:val="none"/>
          <w:shd w:val="clear" w:color="auto" w:fill="auto"/>
        </w:rPr>
        <w:t>支</w:t>
      </w:r>
      <w:r>
        <w:rPr>
          <w:rFonts w:hint="eastAsia" w:ascii="仿宋" w:hAnsi="仿宋" w:eastAsia="仿宋"/>
          <w:bCs w:val="0"/>
          <w:sz w:val="24"/>
          <w:szCs w:val="24"/>
          <w:highlight w:val="none"/>
          <w:shd w:val="clear" w:color="auto" w:fill="auto"/>
        </w:rPr>
        <w:t>出决算表</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_Toc16927 \h </w:instrText>
      </w:r>
      <w:r>
        <w:rPr>
          <w:sz w:val="24"/>
          <w:szCs w:val="24"/>
          <w:highlight w:val="none"/>
          <w:shd w:val="clear" w:color="auto" w:fill="auto"/>
        </w:rPr>
        <w:fldChar w:fldCharType="separate"/>
      </w:r>
      <w:r>
        <w:rPr>
          <w:sz w:val="24"/>
          <w:szCs w:val="24"/>
          <w:highlight w:val="none"/>
          <w:shd w:val="clear" w:color="auto" w:fill="auto"/>
        </w:rPr>
        <w:t>14</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_Toc21655 </w:instrText>
      </w:r>
      <w:r>
        <w:rPr>
          <w:sz w:val="24"/>
          <w:szCs w:val="24"/>
          <w:highlight w:val="none"/>
          <w:shd w:val="clear" w:color="auto" w:fill="auto"/>
        </w:rPr>
        <w:fldChar w:fldCharType="separate"/>
      </w:r>
      <w:r>
        <w:rPr>
          <w:rFonts w:hint="eastAsia" w:ascii="仿宋" w:hAnsi="仿宋" w:eastAsia="仿宋"/>
          <w:bCs w:val="0"/>
          <w:sz w:val="24"/>
          <w:szCs w:val="24"/>
          <w:highlight w:val="none"/>
          <w:shd w:val="clear" w:color="auto" w:fill="auto"/>
        </w:rPr>
        <w:t>四、</w:t>
      </w:r>
      <w:r>
        <w:rPr>
          <w:rFonts w:hint="eastAsia" w:ascii="仿宋" w:hAnsi="仿宋" w:eastAsia="仿宋"/>
          <w:sz w:val="24"/>
          <w:szCs w:val="24"/>
          <w:highlight w:val="none"/>
          <w:shd w:val="clear" w:color="auto" w:fill="auto"/>
        </w:rPr>
        <w:t>财</w:t>
      </w:r>
      <w:r>
        <w:rPr>
          <w:rFonts w:hint="eastAsia" w:ascii="仿宋" w:hAnsi="仿宋" w:eastAsia="仿宋"/>
          <w:bCs w:val="0"/>
          <w:sz w:val="24"/>
          <w:szCs w:val="24"/>
          <w:highlight w:val="none"/>
          <w:shd w:val="clear" w:color="auto" w:fill="auto"/>
        </w:rPr>
        <w:t>政拨款收入支出决算总表</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_Toc21655 \h </w:instrText>
      </w:r>
      <w:r>
        <w:rPr>
          <w:sz w:val="24"/>
          <w:szCs w:val="24"/>
          <w:highlight w:val="none"/>
          <w:shd w:val="clear" w:color="auto" w:fill="auto"/>
        </w:rPr>
        <w:fldChar w:fldCharType="separate"/>
      </w:r>
      <w:r>
        <w:rPr>
          <w:sz w:val="24"/>
          <w:szCs w:val="24"/>
          <w:highlight w:val="none"/>
          <w:shd w:val="clear" w:color="auto" w:fill="auto"/>
        </w:rPr>
        <w:t>14</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_Toc28906 </w:instrText>
      </w:r>
      <w:r>
        <w:rPr>
          <w:sz w:val="24"/>
          <w:szCs w:val="24"/>
          <w:highlight w:val="none"/>
          <w:shd w:val="clear" w:color="auto" w:fill="auto"/>
        </w:rPr>
        <w:fldChar w:fldCharType="separate"/>
      </w:r>
      <w:r>
        <w:rPr>
          <w:rFonts w:hint="eastAsia" w:ascii="仿宋" w:hAnsi="仿宋" w:eastAsia="仿宋"/>
          <w:bCs w:val="0"/>
          <w:sz w:val="24"/>
          <w:szCs w:val="24"/>
          <w:highlight w:val="none"/>
          <w:shd w:val="clear" w:color="auto" w:fill="auto"/>
        </w:rPr>
        <w:t>五、</w:t>
      </w:r>
      <w:r>
        <w:rPr>
          <w:rFonts w:hint="eastAsia" w:ascii="仿宋" w:hAnsi="仿宋" w:eastAsia="仿宋"/>
          <w:sz w:val="24"/>
          <w:szCs w:val="24"/>
          <w:highlight w:val="none"/>
          <w:shd w:val="clear" w:color="auto" w:fill="auto"/>
        </w:rPr>
        <w:t>财</w:t>
      </w:r>
      <w:r>
        <w:rPr>
          <w:rFonts w:hint="eastAsia" w:ascii="仿宋" w:hAnsi="仿宋" w:eastAsia="仿宋"/>
          <w:bCs w:val="0"/>
          <w:sz w:val="24"/>
          <w:szCs w:val="24"/>
          <w:highlight w:val="none"/>
          <w:shd w:val="clear" w:color="auto" w:fill="auto"/>
        </w:rPr>
        <w:t>政拨款支出决算明细表</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_Toc28906 \h </w:instrText>
      </w:r>
      <w:r>
        <w:rPr>
          <w:sz w:val="24"/>
          <w:szCs w:val="24"/>
          <w:highlight w:val="none"/>
          <w:shd w:val="clear" w:color="auto" w:fill="auto"/>
        </w:rPr>
        <w:fldChar w:fldCharType="separate"/>
      </w:r>
      <w:r>
        <w:rPr>
          <w:sz w:val="24"/>
          <w:szCs w:val="24"/>
          <w:highlight w:val="none"/>
          <w:shd w:val="clear" w:color="auto" w:fill="auto"/>
        </w:rPr>
        <w:t>14</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_Toc2283 </w:instrText>
      </w:r>
      <w:r>
        <w:rPr>
          <w:sz w:val="24"/>
          <w:szCs w:val="24"/>
          <w:highlight w:val="none"/>
          <w:shd w:val="clear" w:color="auto" w:fill="auto"/>
        </w:rPr>
        <w:fldChar w:fldCharType="separate"/>
      </w:r>
      <w:r>
        <w:rPr>
          <w:rFonts w:hint="eastAsia" w:ascii="仿宋" w:hAnsi="仿宋" w:eastAsia="仿宋"/>
          <w:bCs w:val="0"/>
          <w:sz w:val="24"/>
          <w:szCs w:val="24"/>
          <w:highlight w:val="none"/>
          <w:shd w:val="clear" w:color="auto" w:fill="auto"/>
        </w:rPr>
        <w:t>六、</w:t>
      </w:r>
      <w:r>
        <w:rPr>
          <w:rFonts w:hint="eastAsia" w:ascii="仿宋" w:hAnsi="仿宋" w:eastAsia="仿宋"/>
          <w:sz w:val="24"/>
          <w:szCs w:val="24"/>
          <w:highlight w:val="none"/>
          <w:shd w:val="clear" w:color="auto" w:fill="auto"/>
        </w:rPr>
        <w:t>一</w:t>
      </w:r>
      <w:r>
        <w:rPr>
          <w:rFonts w:hint="eastAsia" w:ascii="仿宋" w:hAnsi="仿宋" w:eastAsia="仿宋"/>
          <w:bCs w:val="0"/>
          <w:sz w:val="24"/>
          <w:szCs w:val="24"/>
          <w:highlight w:val="none"/>
          <w:shd w:val="clear" w:color="auto" w:fill="auto"/>
        </w:rPr>
        <w:t>般公共预算财政拨款支出决算表</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_Toc2283 \h </w:instrText>
      </w:r>
      <w:r>
        <w:rPr>
          <w:sz w:val="24"/>
          <w:szCs w:val="24"/>
          <w:highlight w:val="none"/>
          <w:shd w:val="clear" w:color="auto" w:fill="auto"/>
        </w:rPr>
        <w:fldChar w:fldCharType="separate"/>
      </w:r>
      <w:r>
        <w:rPr>
          <w:sz w:val="24"/>
          <w:szCs w:val="24"/>
          <w:highlight w:val="none"/>
          <w:shd w:val="clear" w:color="auto" w:fill="auto"/>
        </w:rPr>
        <w:t>14</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_Toc359 </w:instrText>
      </w:r>
      <w:r>
        <w:rPr>
          <w:sz w:val="24"/>
          <w:szCs w:val="24"/>
          <w:highlight w:val="none"/>
          <w:shd w:val="clear" w:color="auto" w:fill="auto"/>
        </w:rPr>
        <w:fldChar w:fldCharType="separate"/>
      </w:r>
      <w:r>
        <w:rPr>
          <w:rFonts w:hint="eastAsia" w:ascii="仿宋" w:hAnsi="仿宋" w:eastAsia="仿宋"/>
          <w:bCs w:val="0"/>
          <w:sz w:val="24"/>
          <w:szCs w:val="24"/>
          <w:highlight w:val="none"/>
          <w:shd w:val="clear" w:color="auto" w:fill="auto"/>
        </w:rPr>
        <w:t>七、</w:t>
      </w:r>
      <w:r>
        <w:rPr>
          <w:rFonts w:hint="eastAsia" w:ascii="仿宋" w:hAnsi="仿宋" w:eastAsia="仿宋"/>
          <w:sz w:val="24"/>
          <w:szCs w:val="24"/>
          <w:highlight w:val="none"/>
          <w:shd w:val="clear" w:color="auto" w:fill="auto"/>
        </w:rPr>
        <w:t>一</w:t>
      </w:r>
      <w:r>
        <w:rPr>
          <w:rFonts w:hint="eastAsia" w:ascii="仿宋" w:hAnsi="仿宋" w:eastAsia="仿宋"/>
          <w:bCs w:val="0"/>
          <w:sz w:val="24"/>
          <w:szCs w:val="24"/>
          <w:highlight w:val="none"/>
          <w:shd w:val="clear" w:color="auto" w:fill="auto"/>
        </w:rPr>
        <w:t>般公共预算财政拨款支出决算明细表</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_Toc359 \h </w:instrText>
      </w:r>
      <w:r>
        <w:rPr>
          <w:sz w:val="24"/>
          <w:szCs w:val="24"/>
          <w:highlight w:val="none"/>
          <w:shd w:val="clear" w:color="auto" w:fill="auto"/>
        </w:rPr>
        <w:fldChar w:fldCharType="separate"/>
      </w:r>
      <w:r>
        <w:rPr>
          <w:sz w:val="24"/>
          <w:szCs w:val="24"/>
          <w:highlight w:val="none"/>
          <w:shd w:val="clear" w:color="auto" w:fill="auto"/>
        </w:rPr>
        <w:t>14</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_Toc39 </w:instrText>
      </w:r>
      <w:r>
        <w:rPr>
          <w:sz w:val="24"/>
          <w:szCs w:val="24"/>
          <w:highlight w:val="none"/>
          <w:shd w:val="clear" w:color="auto" w:fill="auto"/>
        </w:rPr>
        <w:fldChar w:fldCharType="separate"/>
      </w:r>
      <w:r>
        <w:rPr>
          <w:rFonts w:hint="eastAsia" w:ascii="仿宋" w:hAnsi="仿宋" w:eastAsia="仿宋"/>
          <w:bCs w:val="0"/>
          <w:sz w:val="24"/>
          <w:szCs w:val="24"/>
          <w:highlight w:val="none"/>
          <w:shd w:val="clear" w:color="auto" w:fill="auto"/>
        </w:rPr>
        <w:t>八、</w:t>
      </w:r>
      <w:r>
        <w:rPr>
          <w:rFonts w:hint="eastAsia" w:ascii="仿宋" w:hAnsi="仿宋" w:eastAsia="仿宋"/>
          <w:sz w:val="24"/>
          <w:szCs w:val="24"/>
          <w:highlight w:val="none"/>
          <w:shd w:val="clear" w:color="auto" w:fill="auto"/>
        </w:rPr>
        <w:t>一</w:t>
      </w:r>
      <w:r>
        <w:rPr>
          <w:rFonts w:hint="eastAsia" w:ascii="仿宋" w:hAnsi="仿宋" w:eastAsia="仿宋"/>
          <w:bCs w:val="0"/>
          <w:sz w:val="24"/>
          <w:szCs w:val="24"/>
          <w:highlight w:val="none"/>
          <w:shd w:val="clear" w:color="auto" w:fill="auto"/>
        </w:rPr>
        <w:t>般公共预算财政拨款基本支出决算表</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_Toc39 \h </w:instrText>
      </w:r>
      <w:r>
        <w:rPr>
          <w:sz w:val="24"/>
          <w:szCs w:val="24"/>
          <w:highlight w:val="none"/>
          <w:shd w:val="clear" w:color="auto" w:fill="auto"/>
        </w:rPr>
        <w:fldChar w:fldCharType="separate"/>
      </w:r>
      <w:r>
        <w:rPr>
          <w:sz w:val="24"/>
          <w:szCs w:val="24"/>
          <w:highlight w:val="none"/>
          <w:shd w:val="clear" w:color="auto" w:fill="auto"/>
        </w:rPr>
        <w:t>14</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_Toc3644 </w:instrText>
      </w:r>
      <w:r>
        <w:rPr>
          <w:sz w:val="24"/>
          <w:szCs w:val="24"/>
          <w:highlight w:val="none"/>
          <w:shd w:val="clear" w:color="auto" w:fill="auto"/>
        </w:rPr>
        <w:fldChar w:fldCharType="separate"/>
      </w:r>
      <w:r>
        <w:rPr>
          <w:rFonts w:hint="eastAsia" w:ascii="仿宋" w:hAnsi="仿宋" w:eastAsia="仿宋"/>
          <w:bCs w:val="0"/>
          <w:sz w:val="24"/>
          <w:szCs w:val="24"/>
          <w:highlight w:val="none"/>
          <w:shd w:val="clear" w:color="auto" w:fill="auto"/>
        </w:rPr>
        <w:t>九、</w:t>
      </w:r>
      <w:r>
        <w:rPr>
          <w:rFonts w:hint="eastAsia" w:ascii="仿宋" w:hAnsi="仿宋" w:eastAsia="仿宋"/>
          <w:sz w:val="24"/>
          <w:szCs w:val="24"/>
          <w:highlight w:val="none"/>
          <w:shd w:val="clear" w:color="auto" w:fill="auto"/>
        </w:rPr>
        <w:t>一</w:t>
      </w:r>
      <w:r>
        <w:rPr>
          <w:rFonts w:hint="eastAsia" w:ascii="仿宋" w:hAnsi="仿宋" w:eastAsia="仿宋"/>
          <w:bCs w:val="0"/>
          <w:sz w:val="24"/>
          <w:szCs w:val="24"/>
          <w:highlight w:val="none"/>
          <w:shd w:val="clear" w:color="auto" w:fill="auto"/>
        </w:rPr>
        <w:t>般公共预算财政拨款项目支出决算表</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_Toc3644 \h </w:instrText>
      </w:r>
      <w:r>
        <w:rPr>
          <w:sz w:val="24"/>
          <w:szCs w:val="24"/>
          <w:highlight w:val="none"/>
          <w:shd w:val="clear" w:color="auto" w:fill="auto"/>
        </w:rPr>
        <w:fldChar w:fldCharType="separate"/>
      </w:r>
      <w:r>
        <w:rPr>
          <w:sz w:val="24"/>
          <w:szCs w:val="24"/>
          <w:highlight w:val="none"/>
          <w:shd w:val="clear" w:color="auto" w:fill="auto"/>
        </w:rPr>
        <w:t>14</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_Toc15408 </w:instrText>
      </w:r>
      <w:r>
        <w:rPr>
          <w:sz w:val="24"/>
          <w:szCs w:val="24"/>
          <w:highlight w:val="none"/>
          <w:shd w:val="clear" w:color="auto" w:fill="auto"/>
        </w:rPr>
        <w:fldChar w:fldCharType="separate"/>
      </w:r>
      <w:r>
        <w:rPr>
          <w:rFonts w:hint="eastAsia" w:ascii="仿宋" w:hAnsi="仿宋" w:eastAsia="仿宋"/>
          <w:bCs w:val="0"/>
          <w:sz w:val="24"/>
          <w:szCs w:val="24"/>
          <w:highlight w:val="none"/>
          <w:shd w:val="clear" w:color="auto" w:fill="auto"/>
        </w:rPr>
        <w:t>十、</w:t>
      </w:r>
      <w:r>
        <w:rPr>
          <w:rFonts w:hint="eastAsia" w:ascii="仿宋" w:hAnsi="仿宋" w:eastAsia="仿宋"/>
          <w:sz w:val="24"/>
          <w:szCs w:val="24"/>
          <w:highlight w:val="none"/>
          <w:shd w:val="clear" w:color="auto" w:fill="auto"/>
        </w:rPr>
        <w:t>一</w:t>
      </w:r>
      <w:r>
        <w:rPr>
          <w:rFonts w:hint="eastAsia" w:ascii="仿宋" w:hAnsi="仿宋" w:eastAsia="仿宋"/>
          <w:bCs w:val="0"/>
          <w:sz w:val="24"/>
          <w:szCs w:val="24"/>
          <w:highlight w:val="none"/>
          <w:shd w:val="clear" w:color="auto" w:fill="auto"/>
        </w:rPr>
        <w:t>般公共预算财政拨款“三公”经费支出决算表</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_Toc15408 \h </w:instrText>
      </w:r>
      <w:r>
        <w:rPr>
          <w:sz w:val="24"/>
          <w:szCs w:val="24"/>
          <w:highlight w:val="none"/>
          <w:shd w:val="clear" w:color="auto" w:fill="auto"/>
        </w:rPr>
        <w:fldChar w:fldCharType="separate"/>
      </w:r>
      <w:r>
        <w:rPr>
          <w:sz w:val="24"/>
          <w:szCs w:val="24"/>
          <w:highlight w:val="none"/>
          <w:shd w:val="clear" w:color="auto" w:fill="auto"/>
        </w:rPr>
        <w:t>14</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_Toc1065 </w:instrText>
      </w:r>
      <w:r>
        <w:rPr>
          <w:sz w:val="24"/>
          <w:szCs w:val="24"/>
          <w:highlight w:val="none"/>
          <w:shd w:val="clear" w:color="auto" w:fill="auto"/>
        </w:rPr>
        <w:fldChar w:fldCharType="separate"/>
      </w:r>
      <w:r>
        <w:rPr>
          <w:rFonts w:hint="eastAsia" w:ascii="仿宋" w:hAnsi="仿宋" w:eastAsia="仿宋"/>
          <w:bCs w:val="0"/>
          <w:sz w:val="24"/>
          <w:szCs w:val="24"/>
          <w:highlight w:val="none"/>
          <w:shd w:val="clear" w:color="auto" w:fill="auto"/>
        </w:rPr>
        <w:t>十一、</w:t>
      </w:r>
      <w:r>
        <w:rPr>
          <w:rFonts w:hint="eastAsia" w:ascii="仿宋" w:hAnsi="仿宋" w:eastAsia="仿宋"/>
          <w:sz w:val="24"/>
          <w:szCs w:val="24"/>
          <w:highlight w:val="none"/>
          <w:shd w:val="clear" w:color="auto" w:fill="auto"/>
        </w:rPr>
        <w:t>政</w:t>
      </w:r>
      <w:r>
        <w:rPr>
          <w:rFonts w:hint="eastAsia" w:ascii="仿宋" w:hAnsi="仿宋" w:eastAsia="仿宋"/>
          <w:bCs w:val="0"/>
          <w:sz w:val="24"/>
          <w:szCs w:val="24"/>
          <w:highlight w:val="none"/>
          <w:shd w:val="clear" w:color="auto" w:fill="auto"/>
        </w:rPr>
        <w:t>府性基金预算财政拨款收入支出决算表</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_Toc1065 \h </w:instrText>
      </w:r>
      <w:r>
        <w:rPr>
          <w:sz w:val="24"/>
          <w:szCs w:val="24"/>
          <w:highlight w:val="none"/>
          <w:shd w:val="clear" w:color="auto" w:fill="auto"/>
        </w:rPr>
        <w:fldChar w:fldCharType="separate"/>
      </w:r>
      <w:r>
        <w:rPr>
          <w:sz w:val="24"/>
          <w:szCs w:val="24"/>
          <w:highlight w:val="none"/>
          <w:shd w:val="clear" w:color="auto" w:fill="auto"/>
        </w:rPr>
        <w:t>14</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_Toc26480 </w:instrText>
      </w:r>
      <w:r>
        <w:rPr>
          <w:sz w:val="24"/>
          <w:szCs w:val="24"/>
          <w:highlight w:val="none"/>
          <w:shd w:val="clear" w:color="auto" w:fill="auto"/>
        </w:rPr>
        <w:fldChar w:fldCharType="separate"/>
      </w:r>
      <w:r>
        <w:rPr>
          <w:rFonts w:hint="eastAsia" w:ascii="仿宋" w:hAnsi="仿宋" w:eastAsia="仿宋"/>
          <w:bCs w:val="0"/>
          <w:sz w:val="24"/>
          <w:szCs w:val="24"/>
          <w:highlight w:val="none"/>
          <w:shd w:val="clear" w:color="auto" w:fill="auto"/>
        </w:rPr>
        <w:t>十二、</w:t>
      </w:r>
      <w:r>
        <w:rPr>
          <w:rFonts w:hint="eastAsia" w:ascii="仿宋" w:hAnsi="仿宋" w:eastAsia="仿宋"/>
          <w:sz w:val="24"/>
          <w:szCs w:val="24"/>
          <w:highlight w:val="none"/>
          <w:shd w:val="clear" w:color="auto" w:fill="auto"/>
        </w:rPr>
        <w:t>政</w:t>
      </w:r>
      <w:r>
        <w:rPr>
          <w:rFonts w:hint="eastAsia" w:ascii="仿宋" w:hAnsi="仿宋" w:eastAsia="仿宋"/>
          <w:bCs w:val="0"/>
          <w:sz w:val="24"/>
          <w:szCs w:val="24"/>
          <w:highlight w:val="none"/>
          <w:shd w:val="clear" w:color="auto" w:fill="auto"/>
        </w:rPr>
        <w:t>府性基金预算财政拨款“三公”经费支出决算表</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_Toc26480 \h </w:instrText>
      </w:r>
      <w:r>
        <w:rPr>
          <w:sz w:val="24"/>
          <w:szCs w:val="24"/>
          <w:highlight w:val="none"/>
          <w:shd w:val="clear" w:color="auto" w:fill="auto"/>
        </w:rPr>
        <w:fldChar w:fldCharType="separate"/>
      </w:r>
      <w:r>
        <w:rPr>
          <w:sz w:val="24"/>
          <w:szCs w:val="24"/>
          <w:highlight w:val="none"/>
          <w:shd w:val="clear" w:color="auto" w:fill="auto"/>
        </w:rPr>
        <w:t>14</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_Toc14836 </w:instrText>
      </w:r>
      <w:r>
        <w:rPr>
          <w:sz w:val="24"/>
          <w:szCs w:val="24"/>
          <w:highlight w:val="none"/>
          <w:shd w:val="clear" w:color="auto" w:fill="auto"/>
        </w:rPr>
        <w:fldChar w:fldCharType="separate"/>
      </w:r>
      <w:r>
        <w:rPr>
          <w:rFonts w:hint="eastAsia" w:ascii="仿宋" w:hAnsi="仿宋" w:eastAsia="仿宋"/>
          <w:bCs w:val="0"/>
          <w:sz w:val="24"/>
          <w:szCs w:val="24"/>
          <w:highlight w:val="none"/>
          <w:shd w:val="clear" w:color="auto" w:fill="auto"/>
        </w:rPr>
        <w:t>十三、</w:t>
      </w:r>
      <w:r>
        <w:rPr>
          <w:rFonts w:hint="eastAsia" w:ascii="仿宋" w:hAnsi="仿宋" w:eastAsia="仿宋"/>
          <w:sz w:val="24"/>
          <w:szCs w:val="24"/>
          <w:highlight w:val="none"/>
          <w:shd w:val="clear" w:color="auto" w:fill="auto"/>
        </w:rPr>
        <w:t>国</w:t>
      </w:r>
      <w:r>
        <w:rPr>
          <w:rFonts w:hint="eastAsia" w:ascii="仿宋" w:hAnsi="仿宋" w:eastAsia="仿宋"/>
          <w:bCs w:val="0"/>
          <w:sz w:val="24"/>
          <w:szCs w:val="24"/>
          <w:highlight w:val="none"/>
          <w:shd w:val="clear" w:color="auto" w:fill="auto"/>
        </w:rPr>
        <w:t>有资本经营预算</w:t>
      </w:r>
      <w:r>
        <w:rPr>
          <w:rFonts w:hint="eastAsia" w:ascii="仿宋" w:hAnsi="仿宋" w:eastAsia="仿宋"/>
          <w:bCs w:val="0"/>
          <w:sz w:val="24"/>
          <w:szCs w:val="24"/>
          <w:highlight w:val="none"/>
          <w:shd w:val="clear" w:color="auto" w:fill="auto"/>
          <w:lang w:eastAsia="zh-CN"/>
        </w:rPr>
        <w:t>财政拨款收入</w:t>
      </w:r>
      <w:r>
        <w:rPr>
          <w:rFonts w:hint="eastAsia" w:ascii="仿宋" w:hAnsi="仿宋" w:eastAsia="仿宋"/>
          <w:bCs w:val="0"/>
          <w:sz w:val="24"/>
          <w:szCs w:val="24"/>
          <w:highlight w:val="none"/>
          <w:shd w:val="clear" w:color="auto" w:fill="auto"/>
        </w:rPr>
        <w:t>支出决算表</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_Toc14836 \h </w:instrText>
      </w:r>
      <w:r>
        <w:rPr>
          <w:sz w:val="24"/>
          <w:szCs w:val="24"/>
          <w:highlight w:val="none"/>
          <w:shd w:val="clear" w:color="auto" w:fill="auto"/>
        </w:rPr>
        <w:fldChar w:fldCharType="separate"/>
      </w:r>
      <w:r>
        <w:rPr>
          <w:sz w:val="24"/>
          <w:szCs w:val="24"/>
          <w:highlight w:val="none"/>
          <w:shd w:val="clear" w:color="auto" w:fill="auto"/>
        </w:rPr>
        <w:t>14</w:t>
      </w:r>
      <w:r>
        <w:rPr>
          <w:sz w:val="24"/>
          <w:szCs w:val="24"/>
          <w:highlight w:val="none"/>
          <w:shd w:val="clear" w:color="auto" w:fill="auto"/>
        </w:rPr>
        <w:fldChar w:fldCharType="end"/>
      </w:r>
      <w:r>
        <w:rPr>
          <w:sz w:val="24"/>
          <w:szCs w:val="24"/>
          <w:highlight w:val="none"/>
          <w:shd w:val="clear" w:color="auto" w:fill="auto"/>
        </w:rPr>
        <w:fldChar w:fldCharType="end"/>
      </w:r>
    </w:p>
    <w:p>
      <w:pPr>
        <w:pStyle w:val="40"/>
        <w:tabs>
          <w:tab w:val="right" w:leader="dot" w:pos="8970"/>
        </w:tabs>
        <w:rPr>
          <w:sz w:val="24"/>
          <w:szCs w:val="24"/>
          <w:highlight w:val="none"/>
          <w:shd w:val="clear" w:color="auto" w:fill="auto"/>
        </w:rPr>
      </w:pPr>
      <w:r>
        <w:rPr>
          <w:sz w:val="24"/>
          <w:szCs w:val="24"/>
          <w:highlight w:val="none"/>
          <w:shd w:val="clear" w:color="auto" w:fill="auto"/>
        </w:rPr>
        <w:fldChar w:fldCharType="begin"/>
      </w:r>
      <w:r>
        <w:rPr>
          <w:sz w:val="24"/>
          <w:szCs w:val="24"/>
          <w:highlight w:val="none"/>
          <w:shd w:val="clear" w:color="auto" w:fill="auto"/>
        </w:rPr>
        <w:instrText xml:space="preserve"> HYPERLINK \l _Toc913 </w:instrText>
      </w:r>
      <w:r>
        <w:rPr>
          <w:sz w:val="24"/>
          <w:szCs w:val="24"/>
          <w:highlight w:val="none"/>
          <w:shd w:val="clear" w:color="auto" w:fill="auto"/>
        </w:rPr>
        <w:fldChar w:fldCharType="separate"/>
      </w:r>
      <w:r>
        <w:rPr>
          <w:rFonts w:hint="eastAsia" w:ascii="仿宋" w:hAnsi="仿宋" w:eastAsia="仿宋"/>
          <w:bCs w:val="0"/>
          <w:sz w:val="24"/>
          <w:szCs w:val="24"/>
          <w:highlight w:val="none"/>
          <w:shd w:val="clear" w:color="auto" w:fill="auto"/>
          <w:lang w:eastAsia="zh-CN"/>
        </w:rPr>
        <w:t>十四、国有资本经营预算财政拨款支出决算表</w:t>
      </w:r>
      <w:r>
        <w:rPr>
          <w:sz w:val="24"/>
          <w:szCs w:val="24"/>
          <w:highlight w:val="none"/>
          <w:shd w:val="clear" w:color="auto" w:fill="auto"/>
        </w:rPr>
        <w:tab/>
      </w:r>
      <w:r>
        <w:rPr>
          <w:sz w:val="24"/>
          <w:szCs w:val="24"/>
          <w:highlight w:val="none"/>
          <w:shd w:val="clear" w:color="auto" w:fill="auto"/>
        </w:rPr>
        <w:fldChar w:fldCharType="begin"/>
      </w:r>
      <w:r>
        <w:rPr>
          <w:sz w:val="24"/>
          <w:szCs w:val="24"/>
          <w:highlight w:val="none"/>
          <w:shd w:val="clear" w:color="auto" w:fill="auto"/>
        </w:rPr>
        <w:instrText xml:space="preserve"> PAGEREF _Toc913 \h </w:instrText>
      </w:r>
      <w:r>
        <w:rPr>
          <w:sz w:val="24"/>
          <w:szCs w:val="24"/>
          <w:highlight w:val="none"/>
          <w:shd w:val="clear" w:color="auto" w:fill="auto"/>
        </w:rPr>
        <w:fldChar w:fldCharType="separate"/>
      </w:r>
      <w:r>
        <w:rPr>
          <w:sz w:val="24"/>
          <w:szCs w:val="24"/>
          <w:highlight w:val="none"/>
          <w:shd w:val="clear" w:color="auto" w:fill="auto"/>
        </w:rPr>
        <w:t>14</w:t>
      </w:r>
      <w:r>
        <w:rPr>
          <w:sz w:val="24"/>
          <w:szCs w:val="24"/>
          <w:highlight w:val="none"/>
          <w:shd w:val="clear" w:color="auto" w:fill="auto"/>
        </w:rPr>
        <w:fldChar w:fldCharType="end"/>
      </w:r>
      <w:r>
        <w:rPr>
          <w:sz w:val="24"/>
          <w:szCs w:val="24"/>
          <w:highlight w:val="none"/>
          <w:shd w:val="clear" w:color="auto" w:fill="auto"/>
        </w:rPr>
        <w:fldChar w:fldCharType="end"/>
      </w:r>
    </w:p>
    <w:p>
      <w:pPr>
        <w:pStyle w:val="14"/>
        <w:rPr>
          <w:color w:val="auto"/>
          <w:sz w:val="24"/>
          <w:szCs w:val="24"/>
          <w:highlight w:val="none"/>
          <w:shd w:val="clear" w:color="auto" w:fill="auto"/>
        </w:rPr>
      </w:pPr>
      <w:r>
        <w:rPr>
          <w:b/>
          <w:sz w:val="24"/>
          <w:szCs w:val="24"/>
          <w:highlight w:val="none"/>
          <w:shd w:val="clear" w:color="auto" w:fill="auto"/>
        </w:rPr>
        <w:fldChar w:fldCharType="end"/>
      </w:r>
    </w:p>
    <w:p>
      <w:pPr>
        <w:rPr>
          <w:color w:val="auto"/>
          <w:highlight w:val="none"/>
        </w:rPr>
      </w:pPr>
    </w:p>
    <w:p>
      <w:pPr>
        <w:pStyle w:val="3"/>
        <w:jc w:val="center"/>
        <w:rPr>
          <w:rFonts w:ascii="黑体" w:eastAsia="黑体"/>
          <w:color w:val="auto"/>
          <w:sz w:val="32"/>
          <w:szCs w:val="32"/>
          <w:highlight w:val="none"/>
        </w:rPr>
      </w:pPr>
      <w:bookmarkStart w:id="14" w:name="_Toc15396599"/>
      <w:bookmarkStart w:id="15" w:name="_Toc15377196"/>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rPr>
        <w:t>部门概况</w:t>
      </w:r>
      <w:bookmarkEnd w:id="14"/>
      <w:bookmarkEnd w:id="15"/>
    </w:p>
    <w:p>
      <w:pPr>
        <w:pStyle w:val="4"/>
        <w:ind w:firstLine="640" w:firstLineChars="200"/>
        <w:rPr>
          <w:rStyle w:val="32"/>
          <w:rFonts w:ascii="仿宋" w:hAnsi="仿宋" w:eastAsia="仿宋"/>
          <w:b w:val="0"/>
          <w:bCs w:val="0"/>
          <w:color w:val="auto"/>
          <w:highlight w:val="none"/>
        </w:rPr>
      </w:pPr>
      <w:bookmarkStart w:id="16" w:name="_Toc15377197"/>
      <w:bookmarkStart w:id="17" w:name="_Toc15396600"/>
      <w:r>
        <w:rPr>
          <w:rFonts w:hint="eastAsia" w:ascii="黑体" w:hAnsi="黑体" w:eastAsia="黑体"/>
          <w:b w:val="0"/>
          <w:color w:val="auto"/>
          <w:highlight w:val="none"/>
        </w:rPr>
        <w:t>一、基</w:t>
      </w:r>
      <w:r>
        <w:rPr>
          <w:rStyle w:val="32"/>
          <w:rFonts w:hint="eastAsia" w:ascii="黑体" w:hAnsi="黑体" w:eastAsia="黑体"/>
          <w:b w:val="0"/>
          <w:bCs w:val="0"/>
          <w:color w:val="auto"/>
          <w:highlight w:val="none"/>
        </w:rPr>
        <w:t>本职能及主要工作</w:t>
      </w:r>
      <w:bookmarkEnd w:id="16"/>
      <w:bookmarkEnd w:id="17"/>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18" w:name="_Toc15377198"/>
      <w:bookmarkStart w:id="19" w:name="_Toc15378445"/>
      <w:r>
        <w:rPr>
          <w:rFonts w:hint="eastAsia" w:ascii="仿宋" w:hAnsi="仿宋" w:eastAsia="仿宋"/>
          <w:bCs/>
          <w:color w:val="auto"/>
          <w:sz w:val="32"/>
          <w:szCs w:val="32"/>
          <w:highlight w:val="none"/>
        </w:rPr>
        <w:t>（一）主要职能。</w:t>
      </w:r>
      <w:bookmarkEnd w:id="18"/>
      <w:bookmarkEnd w:id="19"/>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县委编办是在县委机构编制委员会领导下负责全县行政管理体制和机构改革及机构编制管理的工作部门，主要职能职责包括以下几个方面：</w:t>
      </w:r>
    </w:p>
    <w:p>
      <w:pPr>
        <w:spacing w:line="560" w:lineRule="exact"/>
        <w:ind w:firstLine="640" w:firstLineChars="200"/>
        <w:outlineLvl w:val="1"/>
        <w:rPr>
          <w:rFonts w:hint="eastAsia" w:ascii="仿宋_GB2312" w:hAnsi="仿宋_GB2312" w:eastAsia="仿宋_GB2312" w:cs="仿宋_GB2312"/>
          <w:sz w:val="32"/>
          <w:szCs w:val="32"/>
        </w:rPr>
      </w:pPr>
      <w:bookmarkStart w:id="20" w:name="_Toc26384"/>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贯彻执行中央和省、市关于行政管理体制和机构改革、事业单位改革及机构编制管理的方针政策、法律法规规章，组织草拟机构编制管理规范性文件并实施监督。</w:t>
      </w:r>
      <w:bookmarkEnd w:id="20"/>
    </w:p>
    <w:p>
      <w:pPr>
        <w:spacing w:line="560" w:lineRule="exact"/>
        <w:ind w:firstLine="640" w:firstLineChars="200"/>
        <w:outlineLvl w:val="1"/>
        <w:rPr>
          <w:rFonts w:hint="eastAsia" w:ascii="仿宋_GB2312" w:hAnsi="仿宋_GB2312" w:eastAsia="仿宋_GB2312" w:cs="仿宋_GB2312"/>
          <w:sz w:val="32"/>
          <w:szCs w:val="32"/>
        </w:rPr>
      </w:pPr>
      <w:bookmarkStart w:id="21" w:name="_Toc11736"/>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拟定全县行政管理体制改革和机构改革方案并组织实施，审核县级各部门“三定”规定和乡镇机构改革方案，指导、协调全县行政管理体制改革和机构改革，参与行政审批制度改革工作。</w:t>
      </w:r>
      <w:bookmarkEnd w:id="21"/>
    </w:p>
    <w:p>
      <w:pPr>
        <w:spacing w:line="560" w:lineRule="exact"/>
        <w:ind w:firstLine="640" w:firstLineChars="200"/>
        <w:outlineLvl w:val="1"/>
        <w:rPr>
          <w:rFonts w:hint="eastAsia" w:ascii="仿宋_GB2312" w:hAnsi="仿宋_GB2312" w:eastAsia="仿宋_GB2312" w:cs="仿宋_GB2312"/>
          <w:sz w:val="32"/>
          <w:szCs w:val="32"/>
        </w:rPr>
      </w:pPr>
      <w:bookmarkStart w:id="22" w:name="_Toc29816"/>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按规定上报跨层级调整行政编制事项。负责全县行政事业编制总量控制和机关事业单位机构编制实名制管理工作。对县级机关和县属事业单位使用空缺编制补充人员进行核批。</w:t>
      </w:r>
      <w:bookmarkEnd w:id="22"/>
    </w:p>
    <w:p>
      <w:pPr>
        <w:spacing w:line="560" w:lineRule="exact"/>
        <w:ind w:firstLine="640" w:firstLineChars="200"/>
        <w:outlineLvl w:val="1"/>
        <w:rPr>
          <w:rFonts w:hint="eastAsia" w:ascii="仿宋_GB2312" w:hAnsi="仿宋_GB2312" w:eastAsia="仿宋_GB2312" w:cs="仿宋_GB2312"/>
          <w:sz w:val="32"/>
          <w:szCs w:val="32"/>
        </w:rPr>
      </w:pPr>
      <w:bookmarkStart w:id="23" w:name="_Toc22939"/>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负责县委、县政府各部门，县人大、县政协机关，县法院、县检察院机关，县人民团体机关的机构编制管理工作。协调县级各部门之间以及与乡镇的职责分工。</w:t>
      </w:r>
      <w:bookmarkEnd w:id="23"/>
    </w:p>
    <w:p>
      <w:pPr>
        <w:spacing w:line="560" w:lineRule="exact"/>
        <w:ind w:firstLine="640" w:firstLineChars="200"/>
        <w:outlineLvl w:val="1"/>
        <w:rPr>
          <w:rFonts w:hint="eastAsia" w:ascii="仿宋_GB2312" w:hAnsi="仿宋_GB2312" w:eastAsia="仿宋_GB2312" w:cs="仿宋_GB2312"/>
          <w:sz w:val="32"/>
          <w:szCs w:val="32"/>
        </w:rPr>
      </w:pPr>
      <w:bookmarkStart w:id="24" w:name="_Toc8538"/>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拟定全县事业单位改革总体方案并组织实施，负责县属事业单位机构编制管理，审核县属事业单位的机构编制方案，负责拟参照公务员管理事业单位职责的审核上报工作。</w:t>
      </w:r>
      <w:bookmarkEnd w:id="24"/>
    </w:p>
    <w:p>
      <w:pPr>
        <w:spacing w:line="560" w:lineRule="exact"/>
        <w:ind w:firstLine="640" w:firstLineChars="200"/>
        <w:outlineLvl w:val="1"/>
        <w:rPr>
          <w:rFonts w:hint="eastAsia" w:ascii="仿宋_GB2312" w:hAnsi="仿宋_GB2312" w:eastAsia="仿宋_GB2312" w:cs="仿宋_GB2312"/>
          <w:sz w:val="32"/>
          <w:szCs w:val="32"/>
        </w:rPr>
      </w:pPr>
      <w:bookmarkStart w:id="25" w:name="_Toc15896"/>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监督检查全县行政管理体制改革和机构改革方案及机构编制规定执行情况，开展县政府部门“三定”规定执行情况评估工作。</w:t>
      </w:r>
      <w:bookmarkEnd w:id="25"/>
    </w:p>
    <w:p>
      <w:pPr>
        <w:spacing w:line="560" w:lineRule="exact"/>
        <w:ind w:firstLine="640" w:firstLineChars="200"/>
        <w:outlineLvl w:val="1"/>
        <w:rPr>
          <w:rFonts w:hint="eastAsia" w:ascii="仿宋_GB2312" w:hAnsi="仿宋_GB2312" w:eastAsia="仿宋_GB2312" w:cs="仿宋_GB2312"/>
          <w:sz w:val="32"/>
          <w:szCs w:val="32"/>
        </w:rPr>
      </w:pPr>
      <w:bookmarkStart w:id="26" w:name="_Toc1629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负责全县事业单位登记管理、党政群机关事业单位（含民办非企业）政务和公益中文域名注册管理工作。</w:t>
      </w:r>
      <w:bookmarkEnd w:id="26"/>
    </w:p>
    <w:p>
      <w:pPr>
        <w:spacing w:line="560" w:lineRule="exact"/>
        <w:ind w:firstLine="640" w:firstLineChars="200"/>
        <w:outlineLvl w:val="1"/>
        <w:rPr>
          <w:rFonts w:hint="eastAsia" w:ascii="仿宋" w:hAnsi="仿宋" w:eastAsia="仿宋"/>
          <w:bCs/>
          <w:color w:val="auto"/>
          <w:sz w:val="32"/>
          <w:szCs w:val="32"/>
          <w:highlight w:val="none"/>
        </w:rPr>
      </w:pPr>
      <w:bookmarkStart w:id="27" w:name="_Toc22692"/>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承办县委、县政府和县机构编制委员会交办的其他工作。</w:t>
      </w:r>
      <w:bookmarkEnd w:id="27"/>
    </w:p>
    <w:p>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28" w:name="_Toc15377199"/>
      <w:bookmarkStart w:id="29" w:name="_Toc15378446"/>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年重点工作完成情况。</w:t>
      </w:r>
      <w:bookmarkEnd w:id="28"/>
      <w:bookmarkEnd w:id="29"/>
    </w:p>
    <w:p>
      <w:pPr>
        <w:spacing w:line="600" w:lineRule="exact"/>
        <w:ind w:firstLine="640" w:firstLineChars="200"/>
        <w:rPr>
          <w:rFonts w:ascii="仿宋_GB2312" w:eastAsia="仿宋_GB2312"/>
          <w:bCs/>
          <w:sz w:val="32"/>
          <w:szCs w:val="32"/>
        </w:rPr>
      </w:pPr>
      <w:bookmarkStart w:id="30" w:name="_Toc15377200"/>
      <w:bookmarkStart w:id="31" w:name="_Toc15396601"/>
      <w:r>
        <w:rPr>
          <w:rFonts w:ascii="仿宋_GB2312" w:eastAsia="仿宋_GB2312"/>
          <w:bCs/>
          <w:sz w:val="32"/>
          <w:szCs w:val="32"/>
        </w:rPr>
        <w:t>1.</w:t>
      </w:r>
      <w:r>
        <w:rPr>
          <w:rFonts w:hint="eastAsia" w:ascii="仿宋_GB2312" w:eastAsia="仿宋_GB2312"/>
          <w:bCs/>
          <w:sz w:val="32"/>
          <w:szCs w:val="32"/>
        </w:rPr>
        <w:t>抓好控编减编工作。按照上级有关要求，全面开展控编减编工作，按照“控制总量、盘活存量、优化结构、增减平衡”的总要求，着力加强和完善机构编制管理，守住了“财政供养人员只减不增”这条底线。</w:t>
      </w:r>
      <w:r>
        <w:rPr>
          <w:rFonts w:ascii="仿宋_GB2312" w:eastAsia="仿宋_GB2312"/>
          <w:bCs/>
          <w:sz w:val="32"/>
          <w:szCs w:val="32"/>
        </w:rPr>
        <w:t xml:space="preserve">  </w:t>
      </w:r>
    </w:p>
    <w:p>
      <w:pPr>
        <w:pStyle w:val="2"/>
        <w:adjustRightInd w:val="0"/>
        <w:snapToGrid w:val="0"/>
        <w:spacing w:before="93" w:line="600" w:lineRule="exact"/>
        <w:ind w:firstLine="672" w:firstLineChars="210"/>
        <w:outlineLvl w:val="2"/>
        <w:rPr>
          <w:bCs/>
          <w:sz w:val="32"/>
          <w:szCs w:val="32"/>
        </w:rPr>
      </w:pPr>
      <w:r>
        <w:rPr>
          <w:bCs/>
          <w:sz w:val="32"/>
          <w:szCs w:val="32"/>
        </w:rPr>
        <w:t>2.</w:t>
      </w:r>
      <w:r>
        <w:rPr>
          <w:rFonts w:hint="eastAsia"/>
          <w:bCs/>
          <w:sz w:val="32"/>
          <w:szCs w:val="32"/>
        </w:rPr>
        <w:t>盘活空编计划。盘活上一年度空编，科学测算自然减员数，按编制政策要求制定用编计划，各单位招录（聘）工作人员都在县编委会审核确定的空编使用计划范围内组织实施，强化日常进人核编制度的执行，把好进人“准入关”。</w:t>
      </w:r>
    </w:p>
    <w:p>
      <w:pPr>
        <w:pStyle w:val="2"/>
        <w:adjustRightInd w:val="0"/>
        <w:snapToGrid w:val="0"/>
        <w:spacing w:before="93" w:line="600" w:lineRule="exact"/>
        <w:ind w:firstLine="672" w:firstLineChars="210"/>
        <w:outlineLvl w:val="2"/>
        <w:rPr>
          <w:rFonts w:hAnsi="仿宋_GB2312" w:cs="仿宋_GB2312"/>
          <w:sz w:val="32"/>
          <w:szCs w:val="32"/>
        </w:rPr>
      </w:pPr>
      <w:r>
        <w:rPr>
          <w:rFonts w:hint="eastAsia" w:hAnsi="仿宋" w:cs="仿宋"/>
          <w:bCs/>
          <w:sz w:val="32"/>
          <w:szCs w:val="32"/>
        </w:rPr>
        <w:t>3</w:t>
      </w:r>
      <w:r>
        <w:rPr>
          <w:rFonts w:hAnsi="仿宋" w:cs="仿宋"/>
          <w:bCs/>
          <w:sz w:val="32"/>
          <w:szCs w:val="32"/>
        </w:rPr>
        <w:t>.</w:t>
      </w:r>
      <w:r>
        <w:rPr>
          <w:rFonts w:hint="eastAsia" w:hAnsi="仿宋" w:cs="仿宋"/>
          <w:bCs/>
          <w:sz w:val="32"/>
          <w:szCs w:val="32"/>
        </w:rPr>
        <w:t>重大改革落地落实情况。</w:t>
      </w:r>
      <w:r>
        <w:rPr>
          <w:rFonts w:hint="eastAsia" w:hAnsi="仿宋_GB2312" w:cs="仿宋_GB2312"/>
          <w:bCs/>
          <w:sz w:val="32"/>
          <w:szCs w:val="32"/>
        </w:rPr>
        <w:t>一是</w:t>
      </w:r>
      <w:r>
        <w:rPr>
          <w:rFonts w:hint="eastAsia" w:hAnsi="仿宋_GB2312" w:cs="仿宋_GB2312"/>
          <w:sz w:val="32"/>
          <w:szCs w:val="32"/>
        </w:rPr>
        <w:t>围绕党中央改革的精神和省市关于开展机构改革调研的要求，认真梳理，摸清了全县党政群机构编制家底，建立了机构编制、领导职数、内设机构设置、在编在岗人员、</w:t>
      </w:r>
      <w:r>
        <w:rPr>
          <w:rFonts w:hint="eastAsia" w:hAnsi="仿宋" w:cs="宋体"/>
          <w:sz w:val="32"/>
          <w:szCs w:val="32"/>
        </w:rPr>
        <w:t>年龄结构、未来</w:t>
      </w:r>
      <w:r>
        <w:rPr>
          <w:rFonts w:hAnsi="仿宋" w:cs="宋体"/>
          <w:sz w:val="32"/>
          <w:szCs w:val="32"/>
        </w:rPr>
        <w:t>5</w:t>
      </w:r>
      <w:r>
        <w:rPr>
          <w:rFonts w:hint="eastAsia" w:hAnsi="仿宋" w:cs="宋体"/>
          <w:sz w:val="32"/>
          <w:szCs w:val="32"/>
        </w:rPr>
        <w:t>年退休人员、借用人员情况等台帐，</w:t>
      </w:r>
      <w:r>
        <w:rPr>
          <w:rFonts w:hint="eastAsia" w:hAnsi="仿宋_GB2312" w:cs="仿宋_GB2312"/>
          <w:sz w:val="32"/>
          <w:szCs w:val="32"/>
        </w:rPr>
        <w:t>积极为改革做准备。</w:t>
      </w:r>
      <w:r>
        <w:rPr>
          <w:rFonts w:hint="eastAsia" w:hAnsi="仿宋_GB2312" w:cs="仿宋_GB2312"/>
          <w:bCs/>
          <w:sz w:val="32"/>
          <w:szCs w:val="32"/>
        </w:rPr>
        <w:t>二是</w:t>
      </w:r>
      <w:r>
        <w:rPr>
          <w:rFonts w:hint="eastAsia" w:hAnsi="仿宋_GB2312" w:cs="仿宋_GB2312"/>
          <w:sz w:val="32"/>
          <w:szCs w:val="32"/>
        </w:rPr>
        <w:t>深化行政审批制度改革，及时部署安排行政许可事项清理编制工作，推进乡镇权责清单清理优化工作。</w:t>
      </w:r>
    </w:p>
    <w:p>
      <w:pPr>
        <w:spacing w:line="600" w:lineRule="exact"/>
        <w:ind w:firstLine="640" w:firstLineChars="200"/>
        <w:rPr>
          <w:rFonts w:hint="eastAsia" w:ascii="仿宋" w:hAnsi="仿宋" w:eastAsia="仿宋"/>
          <w:bCs/>
          <w:color w:val="000000"/>
          <w:sz w:val="32"/>
          <w:szCs w:val="32"/>
        </w:rPr>
      </w:pPr>
      <w:r>
        <w:rPr>
          <w:rFonts w:hint="eastAsia" w:ascii="仿宋_GB2312" w:eastAsia="仿宋_GB2312"/>
          <w:bCs/>
          <w:sz w:val="32"/>
          <w:szCs w:val="32"/>
        </w:rPr>
        <w:t>4</w:t>
      </w:r>
      <w:r>
        <w:rPr>
          <w:rFonts w:ascii="仿宋_GB2312" w:eastAsia="仿宋_GB2312"/>
          <w:bCs/>
          <w:sz w:val="32"/>
          <w:szCs w:val="32"/>
        </w:rPr>
        <w:t>.</w:t>
      </w:r>
      <w:r>
        <w:rPr>
          <w:rFonts w:hint="eastAsia" w:ascii="仿宋_GB2312" w:eastAsia="仿宋_GB2312"/>
          <w:bCs/>
          <w:sz w:val="32"/>
          <w:szCs w:val="32"/>
        </w:rPr>
        <w:t>加强事业登记管理工作。</w:t>
      </w:r>
      <w:r>
        <w:rPr>
          <w:rFonts w:hint="eastAsia" w:ascii="仿宋_GB2312" w:eastAsia="仿宋_GB2312"/>
          <w:sz w:val="32"/>
          <w:szCs w:val="32"/>
        </w:rPr>
        <w:t>为进一步加强事业单位监督管理，推进社会信用代码体系建设规范化发展，按照省市有关部署和要求，采取得力措施全面完成了</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年度事业单位法人年度报告公示工作；引导</w:t>
      </w:r>
      <w:r>
        <w:rPr>
          <w:rFonts w:hint="eastAsia" w:ascii="仿宋_GB2312" w:eastAsia="仿宋_GB2312"/>
          <w:sz w:val="32"/>
          <w:szCs w:val="32"/>
          <w:lang w:val="en-US" w:eastAsia="zh-CN"/>
        </w:rPr>
        <w:t>186</w:t>
      </w:r>
      <w:r>
        <w:rPr>
          <w:rFonts w:hint="eastAsia" w:ascii="仿宋_GB2312" w:eastAsia="仿宋_GB2312"/>
          <w:sz w:val="32"/>
          <w:szCs w:val="32"/>
        </w:rPr>
        <w:t>个事业单位进行了年</w:t>
      </w:r>
      <w:r>
        <w:rPr>
          <w:rFonts w:hint="eastAsia" w:ascii="仿宋_GB2312" w:eastAsia="仿宋_GB2312"/>
          <w:color w:val="000000"/>
          <w:sz w:val="32"/>
          <w:szCs w:val="32"/>
        </w:rPr>
        <w:t>度报告</w:t>
      </w:r>
      <w:r>
        <w:rPr>
          <w:rFonts w:hint="eastAsia" w:ascii="仿宋_GB2312" w:eastAsia="仿宋_GB2312"/>
          <w:sz w:val="32"/>
          <w:szCs w:val="32"/>
        </w:rPr>
        <w:t>，年检合格率达</w:t>
      </w:r>
      <w:r>
        <w:rPr>
          <w:rFonts w:ascii="仿宋_GB2312" w:eastAsia="仿宋_GB2312"/>
          <w:sz w:val="32"/>
          <w:szCs w:val="32"/>
        </w:rPr>
        <w:t>100%</w:t>
      </w:r>
      <w:r>
        <w:rPr>
          <w:rFonts w:hint="eastAsia" w:ascii="仿宋_GB2312" w:eastAsia="仿宋_GB2312"/>
          <w:sz w:val="32"/>
          <w:szCs w:val="32"/>
        </w:rPr>
        <w:t>。</w:t>
      </w:r>
    </w:p>
    <w:p>
      <w:pPr>
        <w:pStyle w:val="4"/>
        <w:rPr>
          <w:rStyle w:val="32"/>
          <w:b w:val="0"/>
          <w:bCs w:val="0"/>
          <w:color w:val="auto"/>
          <w:highlight w:val="none"/>
        </w:rPr>
      </w:pPr>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30"/>
      <w:bookmarkEnd w:id="31"/>
    </w:p>
    <w:p>
      <w:pPr>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olor w:val="auto"/>
          <w:sz w:val="32"/>
          <w:szCs w:val="32"/>
          <w:highlight w:val="none"/>
          <w:lang w:eastAsia="zh-CN"/>
        </w:rPr>
        <w:t>县委编办</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1</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pPr>
        <w:pStyle w:val="2"/>
        <w:adjustRightInd w:val="0"/>
        <w:snapToGrid w:val="0"/>
        <w:spacing w:before="93" w:line="600" w:lineRule="exact"/>
        <w:ind w:firstLine="672" w:firstLineChars="210"/>
        <w:rPr>
          <w:rFonts w:hint="eastAsia" w:ascii="仿宋_GB2312" w:hAnsi="仿宋_GB2312" w:eastAsia="仿宋_GB2312" w:cs="仿宋_GB2312"/>
          <w:sz w:val="32"/>
          <w:szCs w:val="32"/>
          <w:lang w:eastAsia="zh-CN"/>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县委编办</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val="en-US" w:eastAsia="zh-CN"/>
        </w:rPr>
        <w:t>0个。</w:t>
      </w:r>
    </w:p>
    <w:p>
      <w:pPr>
        <w:pStyle w:val="2"/>
        <w:adjustRightInd w:val="0"/>
        <w:snapToGrid w:val="0"/>
        <w:spacing w:before="93" w:line="600" w:lineRule="exact"/>
        <w:ind w:firstLine="672" w:firstLineChars="210"/>
        <w:rPr>
          <w:rFonts w:hint="eastAsia" w:ascii="仿宋_GB2312" w:hAnsi="仿宋_GB2312" w:eastAsia="仿宋_GB2312" w:cs="仿宋_GB2312"/>
          <w:sz w:val="32"/>
          <w:szCs w:val="32"/>
          <w:lang w:eastAsia="zh-CN"/>
        </w:rPr>
      </w:pPr>
    </w:p>
    <w:p>
      <w:pPr>
        <w:pStyle w:val="2"/>
        <w:adjustRightInd w:val="0"/>
        <w:snapToGrid w:val="0"/>
        <w:spacing w:before="93" w:line="600" w:lineRule="exact"/>
        <w:ind w:firstLine="672" w:firstLineChars="210"/>
        <w:rPr>
          <w:rFonts w:hint="eastAsia" w:ascii="仿宋_GB2312" w:hAnsi="仿宋_GB2312" w:eastAsia="仿宋_GB2312" w:cs="仿宋_GB2312"/>
          <w:sz w:val="32"/>
          <w:szCs w:val="32"/>
          <w:lang w:eastAsia="zh-CN"/>
        </w:rPr>
      </w:pPr>
    </w:p>
    <w:p>
      <w:pPr>
        <w:pStyle w:val="2"/>
        <w:adjustRightInd w:val="0"/>
        <w:snapToGrid w:val="0"/>
        <w:spacing w:before="93" w:line="600" w:lineRule="exact"/>
        <w:ind w:firstLine="672" w:firstLineChars="210"/>
        <w:rPr>
          <w:rFonts w:hint="eastAsia" w:ascii="仿宋_GB2312" w:hAnsi="仿宋_GB2312" w:eastAsia="仿宋_GB2312" w:cs="仿宋_GB2312"/>
          <w:sz w:val="32"/>
          <w:szCs w:val="32"/>
          <w:lang w:eastAsia="zh-CN"/>
        </w:rPr>
      </w:pPr>
    </w:p>
    <w:p>
      <w:pPr>
        <w:pStyle w:val="2"/>
        <w:adjustRightInd w:val="0"/>
        <w:snapToGrid w:val="0"/>
        <w:spacing w:before="93" w:line="600" w:lineRule="exact"/>
        <w:ind w:firstLine="672" w:firstLineChars="210"/>
        <w:rPr>
          <w:rFonts w:hint="eastAsia" w:ascii="仿宋_GB2312" w:hAnsi="仿宋_GB2312" w:eastAsia="仿宋_GB2312" w:cs="仿宋_GB2312"/>
          <w:sz w:val="32"/>
          <w:szCs w:val="32"/>
          <w:lang w:eastAsia="zh-CN"/>
        </w:rPr>
      </w:pPr>
    </w:p>
    <w:p>
      <w:pPr>
        <w:pStyle w:val="2"/>
        <w:adjustRightInd w:val="0"/>
        <w:snapToGrid w:val="0"/>
        <w:spacing w:before="93" w:line="600" w:lineRule="exact"/>
        <w:ind w:firstLine="672" w:firstLineChars="210"/>
        <w:rPr>
          <w:rFonts w:hint="eastAsia" w:ascii="仿宋_GB2312" w:hAnsi="仿宋_GB2312" w:eastAsia="仿宋_GB2312" w:cs="仿宋_GB2312"/>
          <w:sz w:val="32"/>
          <w:szCs w:val="32"/>
          <w:lang w:eastAsia="zh-CN"/>
        </w:rPr>
      </w:pPr>
    </w:p>
    <w:p>
      <w:pPr>
        <w:pStyle w:val="2"/>
        <w:adjustRightInd w:val="0"/>
        <w:snapToGrid w:val="0"/>
        <w:spacing w:before="93" w:line="600" w:lineRule="exact"/>
        <w:ind w:firstLine="672" w:firstLineChars="210"/>
        <w:rPr>
          <w:rFonts w:hint="eastAsia" w:ascii="仿宋_GB2312" w:hAnsi="仿宋_GB2312" w:eastAsia="仿宋_GB2312" w:cs="仿宋_GB2312"/>
          <w:sz w:val="32"/>
          <w:szCs w:val="32"/>
          <w:lang w:eastAsia="zh-CN"/>
        </w:rPr>
      </w:pPr>
    </w:p>
    <w:p>
      <w:pPr>
        <w:pStyle w:val="2"/>
        <w:adjustRightInd w:val="0"/>
        <w:snapToGrid w:val="0"/>
        <w:spacing w:before="93" w:line="600" w:lineRule="exact"/>
        <w:ind w:firstLine="672" w:firstLineChars="210"/>
        <w:rPr>
          <w:rFonts w:hint="eastAsia" w:ascii="仿宋_GB2312" w:hAnsi="仿宋_GB2312" w:eastAsia="仿宋_GB2312" w:cs="仿宋_GB2312"/>
          <w:sz w:val="32"/>
          <w:szCs w:val="32"/>
          <w:lang w:eastAsia="zh-CN"/>
        </w:rPr>
      </w:pPr>
    </w:p>
    <w:p>
      <w:pPr>
        <w:pStyle w:val="2"/>
        <w:adjustRightInd w:val="0"/>
        <w:snapToGrid w:val="0"/>
        <w:spacing w:before="93" w:line="600" w:lineRule="exact"/>
        <w:ind w:firstLine="672" w:firstLineChars="210"/>
        <w:rPr>
          <w:rFonts w:hint="eastAsia" w:ascii="仿宋_GB2312" w:hAnsi="仿宋_GB2312" w:eastAsia="仿宋_GB2312" w:cs="仿宋_GB2312"/>
          <w:sz w:val="32"/>
          <w:szCs w:val="32"/>
          <w:lang w:eastAsia="zh-CN"/>
        </w:rPr>
      </w:pPr>
    </w:p>
    <w:p>
      <w:pPr>
        <w:pStyle w:val="2"/>
        <w:adjustRightInd w:val="0"/>
        <w:snapToGrid w:val="0"/>
        <w:spacing w:before="93" w:line="600" w:lineRule="exact"/>
        <w:ind w:firstLine="672" w:firstLineChars="210"/>
        <w:rPr>
          <w:rFonts w:hint="eastAsia" w:ascii="仿宋_GB2312" w:hAnsi="仿宋_GB2312" w:eastAsia="仿宋_GB2312" w:cs="仿宋_GB2312"/>
          <w:sz w:val="32"/>
          <w:szCs w:val="32"/>
          <w:lang w:eastAsia="zh-CN"/>
        </w:rPr>
      </w:pPr>
    </w:p>
    <w:p>
      <w:pPr>
        <w:pStyle w:val="3"/>
        <w:ind w:right="440"/>
        <w:jc w:val="center"/>
        <w:rPr>
          <w:rStyle w:val="31"/>
          <w:rFonts w:ascii="黑体" w:hAnsi="黑体" w:eastAsia="黑体"/>
          <w:b w:val="0"/>
          <w:bCs/>
          <w:color w:val="auto"/>
          <w:highlight w:val="none"/>
        </w:rPr>
      </w:pPr>
      <w:bookmarkStart w:id="32" w:name="_Toc15396602"/>
      <w:bookmarkStart w:id="33"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31"/>
          <w:rFonts w:hint="eastAsia" w:ascii="黑体" w:hAnsi="黑体" w:eastAsia="黑体"/>
          <w:b w:val="0"/>
          <w:bCs/>
          <w:color w:val="auto"/>
          <w:highlight w:val="none"/>
        </w:rPr>
        <w:t>部门决算情况说明</w:t>
      </w:r>
      <w:bookmarkEnd w:id="32"/>
      <w:bookmarkEnd w:id="33"/>
    </w:p>
    <w:p>
      <w:pPr>
        <w:rPr>
          <w:color w:val="auto"/>
          <w:highlight w:val="none"/>
        </w:rPr>
      </w:pPr>
    </w:p>
    <w:p>
      <w:pPr>
        <w:pStyle w:val="30"/>
        <w:numPr>
          <w:ilvl w:val="0"/>
          <w:numId w:val="1"/>
        </w:numPr>
        <w:spacing w:line="600" w:lineRule="exact"/>
        <w:ind w:firstLineChars="0"/>
        <w:outlineLvl w:val="1"/>
        <w:rPr>
          <w:rStyle w:val="32"/>
          <w:rFonts w:ascii="黑体" w:hAnsi="黑体" w:eastAsia="黑体"/>
          <w:b w:val="0"/>
          <w:color w:val="auto"/>
          <w:highlight w:val="none"/>
        </w:rPr>
      </w:pPr>
      <w:bookmarkStart w:id="34" w:name="_Toc15396603"/>
      <w:bookmarkStart w:id="35" w:name="_Toc15377205"/>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34"/>
      <w:bookmarkEnd w:id="35"/>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103.89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9.72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10.32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w:t>
      </w:r>
    </w:p>
    <w:p>
      <w:pPr>
        <w:spacing w:line="600" w:lineRule="exact"/>
        <w:ind w:firstLine="640" w:firstLineChars="200"/>
        <w:rPr>
          <w:rFonts w:hint="eastAsia" w:ascii="仿宋" w:hAnsi="仿宋" w:eastAsia="仿宋"/>
          <w:color w:val="auto"/>
          <w:sz w:val="32"/>
          <w:szCs w:val="32"/>
          <w:highlight w:val="none"/>
        </w:rPr>
      </w:pPr>
    </w:p>
    <w:p>
      <w:pPr>
        <w:pStyle w:val="17"/>
        <w:outlineLvl w:val="9"/>
      </w:pPr>
      <w:bookmarkStart w:id="36" w:name="_Toc18631"/>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36"/>
    </w:p>
    <w:p>
      <w:pPr>
        <w:pStyle w:val="30"/>
        <w:numPr>
          <w:ilvl w:val="0"/>
          <w:numId w:val="1"/>
        </w:numPr>
        <w:spacing w:line="600" w:lineRule="exact"/>
        <w:ind w:firstLineChars="0"/>
        <w:outlineLvl w:val="1"/>
        <w:rPr>
          <w:rStyle w:val="32"/>
          <w:rFonts w:ascii="黑体" w:hAnsi="黑体" w:eastAsia="黑体"/>
          <w:b w:val="0"/>
          <w:color w:val="auto"/>
          <w:highlight w:val="none"/>
        </w:rPr>
      </w:pPr>
      <w:bookmarkStart w:id="37" w:name="_Toc15396604"/>
      <w:bookmarkStart w:id="38" w:name="_Toc15377206"/>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37"/>
      <w:bookmarkEnd w:id="38"/>
    </w:p>
    <w:p>
      <w:pPr>
        <w:spacing w:line="600" w:lineRule="exact"/>
        <w:ind w:firstLine="640" w:firstLineChars="200"/>
        <w:outlineLvl w:val="1"/>
        <w:rPr>
          <w:rFonts w:ascii="仿宋" w:hAnsi="仿宋" w:eastAsia="仿宋"/>
          <w:color w:val="auto"/>
          <w:sz w:val="32"/>
          <w:szCs w:val="32"/>
          <w:highlight w:val="none"/>
        </w:rPr>
      </w:pPr>
      <w:bookmarkStart w:id="39" w:name="_Toc1054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103.89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101.32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97.53</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2.57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9"/>
    </w:p>
    <w:p>
      <w:pPr>
        <w:spacing w:line="600" w:lineRule="exact"/>
        <w:ind w:firstLine="420" w:firstLineChars="200"/>
        <w:rPr>
          <w:rFonts w:ascii="仿宋_GB2312" w:eastAsia="仿宋_GB2312"/>
          <w:color w:val="auto"/>
          <w:sz w:val="32"/>
          <w:szCs w:val="32"/>
          <w:highlight w:val="none"/>
        </w:rPr>
      </w:pPr>
      <w:r>
        <w:drawing>
          <wp:anchor distT="0" distB="0" distL="114300" distR="114300" simplePos="0" relativeHeight="251659264" behindDoc="0" locked="0" layoutInCell="1" allowOverlap="1">
            <wp:simplePos x="0" y="0"/>
            <wp:positionH relativeFrom="column">
              <wp:posOffset>414655</wp:posOffset>
            </wp:positionH>
            <wp:positionV relativeFrom="paragraph">
              <wp:posOffset>-31115</wp:posOffset>
            </wp:positionV>
            <wp:extent cx="4572000" cy="2743200"/>
            <wp:effectExtent l="4445" t="4445" r="14605" b="14605"/>
            <wp:wrapTopAndBottom/>
            <wp:docPr id="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30"/>
        <w:numPr>
          <w:ilvl w:val="0"/>
          <w:numId w:val="1"/>
        </w:numPr>
        <w:spacing w:line="600" w:lineRule="exact"/>
        <w:ind w:firstLineChars="0"/>
        <w:outlineLvl w:val="1"/>
        <w:rPr>
          <w:rStyle w:val="32"/>
          <w:rFonts w:ascii="黑体" w:hAnsi="黑体" w:eastAsia="黑体"/>
          <w:b w:val="0"/>
          <w:color w:val="auto"/>
          <w:highlight w:val="none"/>
        </w:rPr>
      </w:pPr>
      <w:bookmarkStart w:id="40" w:name="_Toc15377207"/>
      <w:bookmarkStart w:id="41" w:name="_Toc15396605"/>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40"/>
      <w:bookmarkEnd w:id="41"/>
    </w:p>
    <w:p>
      <w:pPr>
        <w:spacing w:line="600" w:lineRule="exact"/>
        <w:ind w:firstLine="640" w:firstLineChars="200"/>
        <w:outlineLvl w:val="1"/>
        <w:rPr>
          <w:rFonts w:ascii="仿宋" w:hAnsi="仿宋" w:eastAsia="仿宋"/>
          <w:color w:val="auto"/>
          <w:sz w:val="32"/>
          <w:szCs w:val="32"/>
          <w:highlight w:val="none"/>
        </w:rPr>
      </w:pPr>
      <w:bookmarkStart w:id="42" w:name="_Toc1774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103.89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101.32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97.53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2"/>
    </w:p>
    <w:p>
      <w:pPr>
        <w:spacing w:line="600" w:lineRule="exact"/>
        <w:ind w:firstLine="420" w:firstLineChars="200"/>
        <w:outlineLvl w:val="1"/>
        <w:rPr>
          <w:rStyle w:val="32"/>
          <w:rFonts w:ascii="黑体" w:hAnsi="黑体" w:eastAsia="黑体"/>
          <w:b w:val="0"/>
          <w:color w:val="auto"/>
          <w:highlight w:val="none"/>
        </w:rPr>
      </w:pPr>
      <w:bookmarkStart w:id="43" w:name="_Toc15377208"/>
      <w:bookmarkStart w:id="44" w:name="_Toc15396606"/>
      <w:r>
        <w:drawing>
          <wp:anchor distT="0" distB="0" distL="114300" distR="114300" simplePos="0" relativeHeight="251660288" behindDoc="0" locked="0" layoutInCell="1" allowOverlap="1">
            <wp:simplePos x="0" y="0"/>
            <wp:positionH relativeFrom="column">
              <wp:posOffset>351790</wp:posOffset>
            </wp:positionH>
            <wp:positionV relativeFrom="paragraph">
              <wp:posOffset>179705</wp:posOffset>
            </wp:positionV>
            <wp:extent cx="4572000" cy="2743200"/>
            <wp:effectExtent l="4445" t="4445" r="14605" b="14605"/>
            <wp:wrapTopAndBottom/>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43"/>
      <w:bookmarkEnd w:id="44"/>
    </w:p>
    <w:p>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103.89</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9.72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10.32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w:t>
      </w:r>
    </w:p>
    <w:p>
      <w:pPr>
        <w:spacing w:line="600" w:lineRule="exact"/>
        <w:ind w:firstLine="420" w:firstLineChars="200"/>
        <w:rPr>
          <w:rFonts w:ascii="仿宋" w:hAnsi="仿宋" w:eastAsia="仿宋"/>
          <w:b/>
          <w:color w:val="auto"/>
          <w:sz w:val="32"/>
          <w:szCs w:val="32"/>
          <w:highlight w:val="none"/>
        </w:rPr>
      </w:pPr>
      <w:r>
        <w:drawing>
          <wp:anchor distT="0" distB="0" distL="114300" distR="114300" simplePos="0" relativeHeight="251661312" behindDoc="0" locked="0" layoutInCell="1" allowOverlap="1">
            <wp:simplePos x="0" y="0"/>
            <wp:positionH relativeFrom="column">
              <wp:posOffset>367030</wp:posOffset>
            </wp:positionH>
            <wp:positionV relativeFrom="paragraph">
              <wp:posOffset>379095</wp:posOffset>
            </wp:positionV>
            <wp:extent cx="4572000" cy="2743200"/>
            <wp:effectExtent l="4445" t="4445" r="14605" b="14605"/>
            <wp:wrapTopAndBottom/>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Style w:val="32"/>
          <w:rFonts w:ascii="黑体" w:hAnsi="黑体" w:eastAsia="黑体"/>
          <w:b w:val="0"/>
          <w:color w:val="auto"/>
          <w:highlight w:val="none"/>
        </w:rPr>
      </w:pPr>
      <w:bookmarkStart w:id="45" w:name="_Toc15377209"/>
      <w:bookmarkStart w:id="46"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45"/>
      <w:bookmarkEnd w:id="46"/>
    </w:p>
    <w:p>
      <w:pPr>
        <w:spacing w:line="600" w:lineRule="exact"/>
        <w:ind w:firstLine="643" w:firstLineChars="200"/>
        <w:outlineLvl w:val="2"/>
        <w:rPr>
          <w:rFonts w:ascii="仿宋" w:hAnsi="仿宋" w:eastAsia="仿宋"/>
          <w:b/>
          <w:color w:val="auto"/>
          <w:sz w:val="32"/>
          <w:szCs w:val="32"/>
          <w:highlight w:val="none"/>
        </w:rPr>
      </w:pPr>
      <w:bookmarkStart w:id="47" w:name="_Toc15377210"/>
      <w:r>
        <w:rPr>
          <w:rFonts w:hint="eastAsia" w:ascii="仿宋" w:hAnsi="仿宋" w:eastAsia="仿宋"/>
          <w:b/>
          <w:color w:val="auto"/>
          <w:sz w:val="32"/>
          <w:szCs w:val="32"/>
          <w:highlight w:val="none"/>
        </w:rPr>
        <w:t>（一）一般公共预算财政拨款支出决算总体情况</w:t>
      </w:r>
      <w:bookmarkEnd w:id="47"/>
    </w:p>
    <w:p>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101.32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97.53</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7.15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7.59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w:t>
      </w:r>
    </w:p>
    <w:p>
      <w:pPr>
        <w:spacing w:line="600" w:lineRule="exact"/>
        <w:ind w:firstLine="420" w:firstLineChars="200"/>
        <w:rPr>
          <w:rFonts w:ascii="仿宋" w:hAnsi="仿宋" w:eastAsia="仿宋"/>
          <w:color w:val="auto"/>
          <w:sz w:val="32"/>
          <w:szCs w:val="32"/>
          <w:highlight w:val="none"/>
        </w:rPr>
      </w:pPr>
      <w:r>
        <w:drawing>
          <wp:anchor distT="0" distB="0" distL="114300" distR="114300" simplePos="0" relativeHeight="251662336" behindDoc="0" locked="0" layoutInCell="1" allowOverlap="1">
            <wp:simplePos x="0" y="0"/>
            <wp:positionH relativeFrom="column">
              <wp:posOffset>513080</wp:posOffset>
            </wp:positionH>
            <wp:positionV relativeFrom="paragraph">
              <wp:posOffset>5715</wp:posOffset>
            </wp:positionV>
            <wp:extent cx="4330700" cy="2428240"/>
            <wp:effectExtent l="4445" t="5080" r="8255" b="5080"/>
            <wp:wrapTopAndBottom/>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2"/>
        <w:rPr>
          <w:rFonts w:ascii="仿宋" w:hAnsi="仿宋" w:eastAsia="仿宋"/>
          <w:b/>
          <w:color w:val="auto"/>
          <w:sz w:val="32"/>
          <w:szCs w:val="32"/>
          <w:highlight w:val="none"/>
        </w:rPr>
      </w:pPr>
      <w:bookmarkStart w:id="48" w:name="_Toc15377211"/>
      <w:r>
        <w:rPr>
          <w:rFonts w:hint="eastAsia" w:ascii="仿宋" w:hAnsi="仿宋" w:eastAsia="仿宋"/>
          <w:b/>
          <w:color w:val="auto"/>
          <w:sz w:val="32"/>
          <w:szCs w:val="32"/>
          <w:highlight w:val="none"/>
        </w:rPr>
        <w:t>（二）一般公共预算财政拨款支出决算结构情况</w:t>
      </w:r>
      <w:bookmarkEnd w:id="48"/>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101.32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76.08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75.09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12.97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3.47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420" w:firstLineChars="200"/>
        <w:rPr>
          <w:rFonts w:ascii="仿宋" w:hAnsi="仿宋" w:eastAsia="仿宋"/>
          <w:color w:val="auto"/>
          <w:sz w:val="32"/>
          <w:szCs w:val="32"/>
          <w:highlight w:val="none"/>
        </w:rPr>
      </w:pPr>
      <w:r>
        <w:drawing>
          <wp:anchor distT="0" distB="0" distL="114300" distR="114300" simplePos="0" relativeHeight="251663360" behindDoc="0" locked="0" layoutInCell="1" allowOverlap="1">
            <wp:simplePos x="0" y="0"/>
            <wp:positionH relativeFrom="column">
              <wp:posOffset>476250</wp:posOffset>
            </wp:positionH>
            <wp:positionV relativeFrom="paragraph">
              <wp:posOffset>306705</wp:posOffset>
            </wp:positionV>
            <wp:extent cx="4572000" cy="2743200"/>
            <wp:effectExtent l="4445" t="4445" r="14605" b="14605"/>
            <wp:wrapTopAndBottom/>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outlineLvl w:val="2"/>
        <w:rPr>
          <w:rFonts w:ascii="仿宋" w:hAnsi="仿宋" w:eastAsia="仿宋"/>
          <w:b/>
          <w:color w:val="auto"/>
          <w:sz w:val="32"/>
          <w:szCs w:val="32"/>
          <w:highlight w:val="none"/>
        </w:rPr>
      </w:pPr>
      <w:bookmarkStart w:id="49" w:name="_Toc15377212"/>
      <w:r>
        <w:rPr>
          <w:rFonts w:hint="eastAsia" w:ascii="仿宋" w:hAnsi="仿宋" w:eastAsia="仿宋"/>
          <w:b/>
          <w:color w:val="auto"/>
          <w:sz w:val="32"/>
          <w:szCs w:val="32"/>
          <w:highlight w:val="none"/>
        </w:rPr>
        <w:t>（三）一般公共预算财政拨款支出决算具体情况</w:t>
      </w:r>
      <w:bookmarkEnd w:id="49"/>
    </w:p>
    <w:p>
      <w:pPr>
        <w:spacing w:line="600" w:lineRule="exact"/>
        <w:ind w:firstLine="643" w:firstLineChars="200"/>
        <w:outlineLvl w:val="1"/>
        <w:rPr>
          <w:rFonts w:ascii="仿宋" w:hAnsi="仿宋" w:eastAsia="仿宋"/>
          <w:color w:val="auto"/>
          <w:sz w:val="32"/>
          <w:szCs w:val="32"/>
          <w:highlight w:val="none"/>
        </w:rPr>
      </w:pPr>
      <w:bookmarkStart w:id="50" w:name="_Toc15377213"/>
      <w:bookmarkStart w:id="51" w:name="_Toc15378460"/>
      <w:bookmarkStart w:id="52" w:name="_Toc15377444"/>
      <w:bookmarkStart w:id="53" w:name="_Toc2054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101.32万元</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50"/>
      <w:bookmarkEnd w:id="51"/>
      <w:bookmarkEnd w:id="52"/>
      <w:bookmarkEnd w:id="53"/>
    </w:p>
    <w:p>
      <w:pPr>
        <w:spacing w:line="600" w:lineRule="exact"/>
        <w:ind w:firstLine="643" w:firstLineChars="200"/>
        <w:rPr>
          <w:rFonts w:ascii="仿宋" w:hAnsi="仿宋" w:eastAsia="仿宋"/>
          <w:b/>
          <w:color w:val="auto"/>
          <w:sz w:val="32"/>
          <w:szCs w:val="32"/>
          <w:highlight w:val="none"/>
        </w:rPr>
      </w:pPr>
      <w:r>
        <w:rPr>
          <w:rStyle w:val="19"/>
          <w:rFonts w:ascii="仿宋" w:hAnsi="仿宋" w:eastAsia="仿宋"/>
          <w:bCs/>
          <w:color w:val="auto"/>
          <w:sz w:val="32"/>
          <w:szCs w:val="32"/>
          <w:highlight w:val="none"/>
        </w:rPr>
        <w:t>1.</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auto"/>
          <w:sz w:val="32"/>
          <w:szCs w:val="32"/>
          <w:highlight w:val="none"/>
          <w:lang w:eastAsia="zh-CN"/>
        </w:rPr>
        <w:t>组织事务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其他组织事务支出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76.08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2</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社会保障和就业（类）行政事业单位养老支出</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Cs/>
          <w:color w:val="auto"/>
          <w:sz w:val="32"/>
          <w:szCs w:val="32"/>
          <w:highlight w:val="none"/>
        </w:rPr>
        <w:t>款）机关事业单位基本养老保险缴费支出（项）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17"/>
        <w:ind w:firstLine="643" w:firstLineChars="200"/>
        <w:jc w:val="left"/>
        <w:rPr>
          <w:rFonts w:hint="eastAsia"/>
        </w:rPr>
      </w:pPr>
      <w:bookmarkStart w:id="54" w:name="_Toc9036"/>
      <w:r>
        <w:rPr>
          <w:rStyle w:val="19"/>
          <w:rFonts w:hint="eastAsia" w:ascii="仿宋" w:hAnsi="仿宋" w:eastAsia="仿宋"/>
          <w:b/>
          <w:bCs/>
          <w:color w:val="auto"/>
          <w:sz w:val="32"/>
          <w:szCs w:val="32"/>
          <w:highlight w:val="none"/>
          <w:lang w:val="en-US" w:eastAsia="zh-CN"/>
        </w:rPr>
        <w:t>3.</w:t>
      </w:r>
      <w:r>
        <w:rPr>
          <w:rStyle w:val="19"/>
          <w:rFonts w:hint="eastAsia" w:ascii="仿宋" w:hAnsi="仿宋" w:eastAsia="仿宋"/>
          <w:b/>
          <w:bCs/>
          <w:color w:val="auto"/>
          <w:sz w:val="32"/>
          <w:szCs w:val="32"/>
          <w:highlight w:val="none"/>
        </w:rPr>
        <w:t>社会保障和就业（类）行政事业单位养老支出</w:t>
      </w:r>
      <w:r>
        <w:rPr>
          <w:rStyle w:val="19"/>
          <w:rFonts w:hint="eastAsia" w:ascii="仿宋" w:hAnsi="仿宋" w:eastAsia="仿宋"/>
          <w:b/>
          <w:bCs/>
          <w:color w:val="auto"/>
          <w:sz w:val="32"/>
          <w:szCs w:val="32"/>
          <w:highlight w:val="none"/>
          <w:lang w:eastAsia="zh-CN"/>
        </w:rPr>
        <w:t>（</w:t>
      </w:r>
      <w:r>
        <w:rPr>
          <w:rStyle w:val="19"/>
          <w:rFonts w:hint="eastAsia" w:ascii="仿宋" w:hAnsi="仿宋" w:eastAsia="仿宋"/>
          <w:b/>
          <w:bCs/>
          <w:color w:val="auto"/>
          <w:sz w:val="32"/>
          <w:szCs w:val="32"/>
          <w:highlight w:val="none"/>
        </w:rPr>
        <w:t>款）  机关事业单位职业年金缴费支出（项）</w:t>
      </w:r>
      <w:r>
        <w:rPr>
          <w:rStyle w:val="19"/>
          <w:rFonts w:ascii="仿宋" w:hAnsi="仿宋" w:eastAsia="仿宋"/>
          <w:b/>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bookmarkEnd w:id="54"/>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（类）行政事业单位医疗（款）行政单位医疗</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3.05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5</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（类）行政事业单位医疗（款）公务员医疗补助</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0.42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Style w:val="19"/>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6.</w:t>
      </w:r>
      <w:r>
        <w:rPr>
          <w:rFonts w:hint="eastAsia" w:ascii="仿宋" w:hAnsi="仿宋" w:eastAsia="仿宋"/>
          <w:b/>
          <w:bCs/>
          <w:color w:val="auto"/>
          <w:sz w:val="32"/>
          <w:szCs w:val="32"/>
          <w:highlight w:val="none"/>
        </w:rPr>
        <w:t>住房保障支出</w:t>
      </w:r>
      <w:r>
        <w:rPr>
          <w:rStyle w:val="19"/>
          <w:rFonts w:hint="eastAsia" w:ascii="仿宋" w:hAnsi="仿宋" w:eastAsia="仿宋"/>
          <w:bCs/>
          <w:color w:val="auto"/>
          <w:sz w:val="32"/>
          <w:szCs w:val="32"/>
          <w:highlight w:val="none"/>
        </w:rPr>
        <w:t>（类）住房改革支出（款）住房公积金</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17"/>
        <w:ind w:firstLine="643" w:firstLineChars="200"/>
        <w:jc w:val="left"/>
        <w:rPr>
          <w:rFonts w:hint="eastAsia"/>
        </w:rPr>
      </w:pPr>
      <w:bookmarkStart w:id="55" w:name="_Toc21049"/>
      <w:r>
        <w:rPr>
          <w:rStyle w:val="19"/>
          <w:rFonts w:hint="eastAsia" w:ascii="仿宋" w:hAnsi="仿宋" w:eastAsia="仿宋"/>
          <w:b/>
          <w:bCs w:val="0"/>
          <w:color w:val="auto"/>
          <w:sz w:val="32"/>
          <w:szCs w:val="32"/>
          <w:highlight w:val="none"/>
          <w:lang w:val="en-US" w:eastAsia="zh-CN"/>
        </w:rPr>
        <w:t>7.</w:t>
      </w:r>
      <w:r>
        <w:rPr>
          <w:rStyle w:val="19"/>
          <w:rFonts w:hint="eastAsia" w:ascii="仿宋" w:hAnsi="仿宋" w:eastAsia="仿宋"/>
          <w:b/>
          <w:bCs/>
          <w:color w:val="auto"/>
          <w:sz w:val="32"/>
          <w:szCs w:val="32"/>
          <w:highlight w:val="none"/>
        </w:rPr>
        <w:t>社会保障和就业（类）</w:t>
      </w:r>
      <w:r>
        <w:rPr>
          <w:rStyle w:val="19"/>
          <w:rFonts w:hint="eastAsia" w:ascii="仿宋" w:hAnsi="仿宋" w:eastAsia="仿宋"/>
          <w:b/>
          <w:bCs w:val="0"/>
          <w:color w:val="auto"/>
          <w:sz w:val="32"/>
          <w:szCs w:val="32"/>
          <w:highlight w:val="none"/>
          <w:lang w:val="en-US" w:eastAsia="zh-CN"/>
        </w:rPr>
        <w:t>其他社会保障和就业支出（类）其他社会保障和就业支出（款）</w:t>
      </w:r>
      <w:r>
        <w:rPr>
          <w:rStyle w:val="19"/>
          <w:rFonts w:ascii="仿宋" w:hAnsi="仿宋" w:eastAsia="仿宋"/>
          <w:b/>
          <w:bCs w:val="0"/>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0.97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bookmarkEnd w:id="55"/>
    </w:p>
    <w:p>
      <w:pPr>
        <w:tabs>
          <w:tab w:val="right" w:pos="8306"/>
        </w:tabs>
        <w:spacing w:line="600" w:lineRule="exact"/>
        <w:ind w:firstLine="640"/>
        <w:outlineLvl w:val="1"/>
        <w:rPr>
          <w:rStyle w:val="32"/>
          <w:color w:val="auto"/>
          <w:highlight w:val="none"/>
        </w:rPr>
      </w:pPr>
      <w:bookmarkStart w:id="56" w:name="_Toc15396608"/>
      <w:bookmarkStart w:id="57"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56"/>
      <w:bookmarkEnd w:id="57"/>
      <w:r>
        <w:rPr>
          <w:rStyle w:val="32"/>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101.32</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79.12</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22.2</w:t>
      </w:r>
      <w:r>
        <w:rPr>
          <w:rFonts w:hint="eastAsia" w:ascii="仿宋" w:hAnsi="仿宋" w:eastAsia="仿宋"/>
          <w:color w:val="auto"/>
          <w:sz w:val="32"/>
          <w:szCs w:val="32"/>
          <w:highlight w:val="none"/>
        </w:rPr>
        <w:t>万元，主要包括：办公费、邮电费、差旅费、公务接待费、劳务费、工会经费、福利费、其他交通费、其他商品和服务支出。</w:t>
      </w:r>
    </w:p>
    <w:p>
      <w:pPr>
        <w:spacing w:line="600" w:lineRule="exact"/>
        <w:ind w:firstLine="640"/>
        <w:outlineLvl w:val="1"/>
        <w:rPr>
          <w:rStyle w:val="32"/>
          <w:rFonts w:ascii="黑体" w:hAnsi="黑体" w:eastAsia="黑体"/>
          <w:b w:val="0"/>
          <w:color w:val="auto"/>
          <w:highlight w:val="none"/>
        </w:rPr>
      </w:pPr>
      <w:bookmarkStart w:id="58" w:name="_Toc15396609"/>
      <w:bookmarkStart w:id="59" w:name="_Toc15377215"/>
      <w:r>
        <w:rPr>
          <w:rFonts w:hint="eastAsia" w:ascii="黑体" w:eastAsia="黑体"/>
          <w:color w:val="auto"/>
          <w:sz w:val="32"/>
          <w:szCs w:val="32"/>
          <w:highlight w:val="none"/>
        </w:rPr>
        <w:t>七、</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三公”经费财政拨款支出决算情况说明</w:t>
      </w:r>
      <w:bookmarkEnd w:id="58"/>
      <w:bookmarkEnd w:id="59"/>
    </w:p>
    <w:p>
      <w:pPr>
        <w:spacing w:line="600" w:lineRule="exact"/>
        <w:ind w:firstLine="640"/>
        <w:outlineLvl w:val="2"/>
        <w:rPr>
          <w:rFonts w:ascii="仿宋" w:hAnsi="仿宋" w:eastAsia="仿宋"/>
          <w:b/>
          <w:color w:val="auto"/>
          <w:sz w:val="32"/>
          <w:szCs w:val="32"/>
          <w:highlight w:val="none"/>
        </w:rPr>
      </w:pPr>
      <w:bookmarkStart w:id="60" w:name="_Toc15377216"/>
      <w:r>
        <w:rPr>
          <w:rFonts w:hint="eastAsia" w:ascii="仿宋" w:hAnsi="仿宋" w:eastAsia="仿宋"/>
          <w:b/>
          <w:color w:val="auto"/>
          <w:sz w:val="32"/>
          <w:szCs w:val="32"/>
          <w:highlight w:val="none"/>
        </w:rPr>
        <w:t>（一）“三公”经费财政拨款支出决算总体情况说明</w:t>
      </w:r>
      <w:bookmarkEnd w:id="60"/>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0.32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预算数</w:t>
      </w:r>
      <w:r>
        <w:rPr>
          <w:rFonts w:hint="eastAsia" w:ascii="仿宋" w:hAnsi="仿宋" w:eastAsia="仿宋"/>
          <w:color w:val="auto"/>
          <w:sz w:val="32"/>
          <w:szCs w:val="32"/>
          <w:highlight w:val="none"/>
          <w:lang w:eastAsia="zh-CN"/>
        </w:rPr>
        <w:t>持平。</w:t>
      </w:r>
    </w:p>
    <w:p>
      <w:pPr>
        <w:spacing w:line="600" w:lineRule="exact"/>
        <w:ind w:firstLine="640"/>
        <w:outlineLvl w:val="2"/>
        <w:rPr>
          <w:rFonts w:ascii="仿宋" w:hAnsi="仿宋" w:eastAsia="仿宋"/>
          <w:b/>
          <w:color w:val="auto"/>
          <w:sz w:val="32"/>
          <w:szCs w:val="32"/>
          <w:highlight w:val="none"/>
        </w:rPr>
      </w:pPr>
      <w:bookmarkStart w:id="61" w:name="_Toc15377217"/>
      <w:r>
        <w:rPr>
          <w:rFonts w:hint="eastAsia" w:ascii="仿宋" w:hAnsi="仿宋" w:eastAsia="仿宋"/>
          <w:b/>
          <w:color w:val="auto"/>
          <w:sz w:val="32"/>
          <w:szCs w:val="32"/>
          <w:highlight w:val="none"/>
        </w:rPr>
        <w:t>（二）“三公”经费财政拨款支出决算具体情况说明</w:t>
      </w:r>
      <w:bookmarkEnd w:id="61"/>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bookmarkStart w:id="99" w:name="_GoBack"/>
      <w:bookmarkEnd w:id="99"/>
    </w:p>
    <w:p>
      <w:pPr>
        <w:pStyle w:val="2"/>
        <w:rPr>
          <w:rFonts w:hint="eastAsia" w:ascii="仿宋" w:hAnsi="仿宋" w:eastAsia="仿宋"/>
          <w:color w:val="auto"/>
          <w:sz w:val="32"/>
          <w:szCs w:val="32"/>
          <w:highlight w:val="none"/>
        </w:rPr>
      </w:pPr>
      <w:r>
        <w:drawing>
          <wp:anchor distT="0" distB="0" distL="114300" distR="114300" simplePos="0" relativeHeight="251664384" behindDoc="0" locked="0" layoutInCell="1" allowOverlap="1">
            <wp:simplePos x="0" y="0"/>
            <wp:positionH relativeFrom="column">
              <wp:posOffset>560070</wp:posOffset>
            </wp:positionH>
            <wp:positionV relativeFrom="paragraph">
              <wp:posOffset>222250</wp:posOffset>
            </wp:positionV>
            <wp:extent cx="4572000" cy="2743200"/>
            <wp:effectExtent l="4445" t="4445" r="14605" b="14605"/>
            <wp:wrapSquare wrapText="bothSides"/>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hint="eastAsia" w:ascii="仿宋_GB2312" w:eastAsia="仿宋_GB2312"/>
          <w:b/>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pPr>
        <w:spacing w:line="600" w:lineRule="exact"/>
        <w:ind w:firstLine="640"/>
        <w:rPr>
          <w:rFonts w:hint="eastAsia" w:ascii="仿宋_GB2312" w:eastAsia="仿宋_GB2312"/>
          <w:b/>
          <w:color w:val="auto"/>
          <w:sz w:val="32"/>
          <w:szCs w:val="32"/>
          <w:highlight w:val="none"/>
          <w:lang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0.32</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0.16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33.33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厉行节约，节省接待开支</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0.32</w:t>
      </w:r>
      <w:r>
        <w:rPr>
          <w:rFonts w:hint="eastAsia" w:ascii="仿宋_GB2312" w:eastAsia="仿宋_GB2312"/>
          <w:color w:val="auto"/>
          <w:sz w:val="32"/>
          <w:szCs w:val="32"/>
          <w:highlight w:val="none"/>
        </w:rPr>
        <w:t>万元，主要用于执行公务、开展业务活动开支的用餐费。国内公务接待</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0.32</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开展区县联合事业单位公示抽查餐费</w:t>
      </w:r>
      <w:r>
        <w:rPr>
          <w:rFonts w:hint="eastAsia" w:ascii="仿宋_GB2312" w:eastAsia="仿宋_GB2312"/>
          <w:color w:val="auto"/>
          <w:sz w:val="32"/>
          <w:szCs w:val="32"/>
          <w:highlight w:val="none"/>
          <w:lang w:val="en-US" w:eastAsia="zh-CN"/>
        </w:rPr>
        <w:t>0.27万元，上级部门监督检查接待餐费0.05万元</w:t>
      </w:r>
    </w:p>
    <w:p>
      <w:pPr>
        <w:pStyle w:val="2"/>
        <w:ind w:firstLine="643" w:firstLineChars="200"/>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color w:val="auto"/>
          <w:sz w:val="32"/>
          <w:szCs w:val="32"/>
          <w:highlight w:val="none"/>
          <w:lang w:val="en-US" w:eastAsia="zh-CN"/>
        </w:rPr>
        <w:t>0批</w:t>
      </w:r>
      <w:r>
        <w:rPr>
          <w:rFonts w:hint="eastAsia" w:ascii="仿宋_GB2312" w:eastAsia="仿宋_GB2312"/>
          <w:color w:val="auto"/>
          <w:sz w:val="32"/>
          <w:szCs w:val="32"/>
          <w:highlight w:val="none"/>
        </w:rPr>
        <w:t>次，</w:t>
      </w:r>
      <w:r>
        <w:rPr>
          <w:rFonts w:hint="eastAsia"/>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32"/>
          <w:rFonts w:ascii="黑体" w:hAnsi="黑体" w:eastAsia="黑体"/>
          <w:color w:val="auto"/>
          <w:highlight w:val="none"/>
        </w:rPr>
      </w:pPr>
      <w:bookmarkStart w:id="62" w:name="_Toc15377218"/>
      <w:bookmarkStart w:id="63" w:name="_Toc15396610"/>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62"/>
      <w:bookmarkEnd w:id="6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2.57</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32"/>
          <w:rFonts w:ascii="黑体" w:hAnsi="黑体" w:eastAsia="黑体"/>
          <w:b w:val="0"/>
          <w:color w:val="auto"/>
          <w:highlight w:val="none"/>
        </w:rPr>
      </w:pPr>
      <w:bookmarkStart w:id="64" w:name="_Toc15377219"/>
      <w:bookmarkStart w:id="65" w:name="_Toc15396611"/>
      <w:r>
        <w:rPr>
          <w:rStyle w:val="32"/>
          <w:rFonts w:hint="eastAsia" w:ascii="黑体" w:hAnsi="黑体" w:eastAsia="黑体"/>
          <w:b w:val="0"/>
          <w:color w:val="auto"/>
          <w:highlight w:val="none"/>
        </w:rPr>
        <w:t>国有资本经营预算支出决算情况说明</w:t>
      </w:r>
      <w:bookmarkEnd w:id="64"/>
      <w:bookmarkEnd w:id="65"/>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32"/>
          <w:rFonts w:hint="eastAsia" w:ascii="黑体" w:hAnsi="黑体" w:eastAsia="黑体"/>
          <w:b w:val="0"/>
          <w:color w:val="auto"/>
          <w:highlight w:val="none"/>
        </w:rPr>
      </w:pPr>
      <w:bookmarkStart w:id="66" w:name="_Toc15377221"/>
      <w:bookmarkStart w:id="67" w:name="_Toc15396612"/>
      <w:r>
        <w:rPr>
          <w:rStyle w:val="32"/>
          <w:rFonts w:hint="eastAsia" w:ascii="黑体" w:hAnsi="黑体" w:eastAsia="黑体"/>
          <w:b w:val="0"/>
          <w:color w:val="auto"/>
          <w:highlight w:val="none"/>
        </w:rPr>
        <w:t>其他重要事项的情况说明</w:t>
      </w:r>
      <w:bookmarkEnd w:id="66"/>
      <w:bookmarkEnd w:id="67"/>
    </w:p>
    <w:p>
      <w:pPr>
        <w:spacing w:line="600" w:lineRule="exact"/>
        <w:ind w:firstLine="643" w:firstLineChars="200"/>
        <w:outlineLvl w:val="2"/>
        <w:rPr>
          <w:rFonts w:ascii="仿宋" w:hAnsi="仿宋" w:eastAsia="仿宋"/>
          <w:color w:val="auto"/>
          <w:sz w:val="32"/>
          <w:szCs w:val="32"/>
          <w:highlight w:val="none"/>
        </w:rPr>
      </w:pPr>
      <w:bookmarkStart w:id="68" w:name="_Toc15377222"/>
      <w:r>
        <w:rPr>
          <w:rFonts w:hint="eastAsia" w:ascii="仿宋" w:hAnsi="仿宋" w:eastAsia="仿宋"/>
          <w:b/>
          <w:color w:val="auto"/>
          <w:sz w:val="32"/>
          <w:szCs w:val="32"/>
          <w:highlight w:val="none"/>
        </w:rPr>
        <w:t>（一）机关运行经费支出情况</w:t>
      </w:r>
      <w:bookmarkEnd w:id="68"/>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县委编办</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22.2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6.95</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45.57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人员增加，办公经费开支增加。</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9" w:name="_Toc15377223"/>
      <w:r>
        <w:rPr>
          <w:rFonts w:hint="eastAsia" w:ascii="仿宋" w:hAnsi="仿宋" w:eastAsia="仿宋"/>
          <w:b/>
          <w:color w:val="auto"/>
          <w:sz w:val="32"/>
          <w:szCs w:val="32"/>
          <w:highlight w:val="none"/>
        </w:rPr>
        <w:t>（二）政府采购支出情况</w:t>
      </w:r>
      <w:bookmarkEnd w:id="69"/>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县委编办</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0" w:name="_Toc15377224"/>
      <w:r>
        <w:rPr>
          <w:rFonts w:hint="eastAsia" w:ascii="仿宋" w:hAnsi="仿宋" w:eastAsia="仿宋"/>
          <w:b/>
          <w:color w:val="auto"/>
          <w:sz w:val="32"/>
          <w:szCs w:val="32"/>
          <w:highlight w:val="none"/>
        </w:rPr>
        <w:t>（三）国有资产占有使用情况</w:t>
      </w:r>
      <w:bookmarkEnd w:id="70"/>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县委编办</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预算编制阶段，组织对中文域名注册费</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县委编办</w:t>
      </w:r>
      <w:r>
        <w:rPr>
          <w:rFonts w:hint="eastAsia" w:ascii="仿宋_GB2312" w:hAnsi="仿宋_GB2312" w:eastAsia="仿宋_GB2312" w:cs="仿宋_GB2312"/>
          <w:color w:val="auto"/>
          <w:sz w:val="32"/>
          <w:szCs w:val="32"/>
          <w:highlight w:val="none"/>
        </w:rPr>
        <w:t>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pStyle w:val="2"/>
        <w:rPr>
          <w:rFonts w:hint="eastAsia"/>
          <w:highlight w:val="red"/>
          <w:lang w:eastAsia="zh-CN"/>
        </w:rPr>
        <w:sectPr>
          <w:headerReference r:id="rId3" w:type="default"/>
          <w:footerReference r:id="rId4" w:type="default"/>
          <w:pgSz w:w="11906" w:h="16838"/>
          <w:pgMar w:top="2041" w:right="1468" w:bottom="1587" w:left="1468" w:header="851" w:footer="992" w:gutter="0"/>
          <w:pgNumType w:start="1"/>
          <w:cols w:space="425" w:num="1"/>
          <w:titlePg/>
          <w:docGrid w:type="lines" w:linePitch="312" w:charSpace="0"/>
        </w:sectPr>
      </w:pPr>
    </w:p>
    <w:tbl>
      <w:tblPr>
        <w:tblStyle w:val="22"/>
        <w:tblpPr w:leftFromText="180" w:rightFromText="180" w:vertAnchor="text" w:horzAnchor="page" w:tblpX="1768" w:tblpY="346"/>
        <w:tblOverlap w:val="never"/>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6"/>
        <w:gridCol w:w="1616"/>
        <w:gridCol w:w="2016"/>
        <w:gridCol w:w="1216"/>
        <w:gridCol w:w="1016"/>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829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中文域名注册</w:t>
            </w:r>
            <w:r>
              <w:rPr>
                <w:rFonts w:hint="eastAsia" w:ascii="宋体" w:hAnsi="宋体" w:cs="宋体"/>
                <w:i w:val="0"/>
                <w:iCs w:val="0"/>
                <w:color w:val="000000"/>
                <w:kern w:val="0"/>
                <w:sz w:val="20"/>
                <w:szCs w:val="20"/>
                <w:u w:val="none"/>
                <w:lang w:val="en-US" w:eastAsia="zh-CN" w:bidi="ar"/>
              </w:rPr>
              <w:t>工作</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县委编办</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县委编办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2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848" w:type="dxa"/>
            <w:gridSpan w:val="3"/>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616" w:type="dxa"/>
            <w:vMerge w:val="restar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vMerge w:val="restar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vMerge w:val="restar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数量达够</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250个</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续费成功</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时效内续费</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成本控制率</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333333"/>
                <w:sz w:val="20"/>
                <w:szCs w:val="20"/>
                <w:u w:val="none"/>
              </w:rPr>
            </w:pPr>
            <w:r>
              <w:rPr>
                <w:rStyle w:val="37"/>
                <w:lang w:val="en-US" w:eastAsia="zh-CN" w:bidi="ar"/>
              </w:rPr>
              <w:t>≦</w:t>
            </w:r>
            <w:r>
              <w:rPr>
                <w:rStyle w:val="38"/>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296" w:type="dxa"/>
            <w:gridSpan w:val="6"/>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其他说明：</w:t>
            </w:r>
          </w:p>
        </w:tc>
      </w:tr>
    </w:tbl>
    <w:p>
      <w:pPr>
        <w:pStyle w:val="2"/>
        <w:rPr>
          <w:rFonts w:hint="eastAsia"/>
          <w:highlight w:val="red"/>
          <w:lang w:eastAsia="zh-CN"/>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31"/>
          <w:rFonts w:ascii="黑体" w:hAnsi="黑体" w:eastAsia="黑体"/>
          <w:b w:val="0"/>
          <w:color w:val="auto"/>
          <w:highlight w:val="none"/>
        </w:rPr>
      </w:pPr>
      <w:bookmarkStart w:id="71" w:name="_Toc15396613"/>
      <w:bookmarkStart w:id="72" w:name="_Toc15377225"/>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71"/>
      <w:bookmarkEnd w:id="72"/>
    </w:p>
    <w:p>
      <w:pPr>
        <w:spacing w:line="600" w:lineRule="exact"/>
        <w:jc w:val="left"/>
        <w:rPr>
          <w:rFonts w:ascii="宋体"/>
          <w:b/>
          <w:color w:val="auto"/>
          <w:sz w:val="44"/>
          <w:szCs w:val="44"/>
          <w:highlight w:val="none"/>
        </w:rPr>
      </w:pP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9"/>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Style w:val="20"/>
          <w:rFonts w:hint="eastAsia" w:ascii="仿宋_GB2312" w:hAnsi="宋体" w:eastAsia="仿宋_GB2312" w:cs="仿宋_GB2312"/>
          <w:b w:val="0"/>
          <w:bCs w:val="0"/>
          <w:i w:val="0"/>
          <w:iCs w:val="0"/>
          <w:caps w:val="0"/>
          <w:color w:val="333333"/>
          <w:spacing w:val="0"/>
          <w:sz w:val="32"/>
          <w:szCs w:val="32"/>
          <w:lang w:val="en-US" w:eastAsia="zh-CN"/>
        </w:rPr>
        <w:t>9</w:t>
      </w:r>
      <w:r>
        <w:rPr>
          <w:rStyle w:val="20"/>
          <w:rFonts w:ascii="仿宋_GB2312" w:hAnsi="宋体" w:eastAsia="仿宋_GB2312" w:cs="仿宋_GB2312"/>
          <w:b w:val="0"/>
          <w:bCs w:val="0"/>
          <w:i w:val="0"/>
          <w:iCs w:val="0"/>
          <w:caps w:val="0"/>
          <w:color w:val="333333"/>
          <w:spacing w:val="0"/>
          <w:sz w:val="32"/>
          <w:szCs w:val="32"/>
        </w:rPr>
        <w:t>.社会保障和就业（类）行政事业单位离退休（款）机关事业单位基本养老保险缴费支出（项）：</w:t>
      </w:r>
      <w:r>
        <w:rPr>
          <w:rStyle w:val="20"/>
          <w:rFonts w:hint="eastAsia" w:ascii="仿宋_GB2312" w:hAnsi="宋体" w:eastAsia="仿宋_GB2312" w:cs="仿宋_GB2312"/>
          <w:b w:val="0"/>
          <w:bCs w:val="0"/>
          <w:i w:val="0"/>
          <w:iCs w:val="0"/>
          <w:caps w:val="0"/>
          <w:color w:val="333333"/>
          <w:spacing w:val="0"/>
          <w:sz w:val="32"/>
          <w:szCs w:val="32"/>
        </w:rPr>
        <w:t>指部门实施养老保险制度由单位缴纳的养老保险费的支出。 </w:t>
      </w:r>
      <w:r>
        <w:rPr>
          <w:rFonts w:hint="eastAsia" w:ascii="仿宋_GB2312" w:hAnsi="宋体" w:eastAsia="仿宋_GB2312" w:cs="仿宋_GB2312"/>
          <w:i w:val="0"/>
          <w:iCs w:val="0"/>
          <w:caps w:val="0"/>
          <w:color w:val="333333"/>
          <w:spacing w:val="0"/>
          <w:sz w:val="32"/>
          <w:szCs w:val="32"/>
        </w:rPr>
        <w:br w:type="textWrapping"/>
      </w:r>
      <w:r>
        <w:rPr>
          <w:rFonts w:hint="eastAsia" w:ascii="仿宋_GB2312" w:hAnsi="宋体" w:eastAsia="仿宋_GB2312" w:cs="仿宋_GB2312"/>
          <w:i w:val="0"/>
          <w:iCs w:val="0"/>
          <w:caps w:val="0"/>
          <w:color w:val="333333"/>
          <w:spacing w:val="0"/>
          <w:sz w:val="32"/>
          <w:szCs w:val="32"/>
        </w:rPr>
        <w:t>　　</w:t>
      </w:r>
      <w:r>
        <w:rPr>
          <w:rStyle w:val="20"/>
          <w:rFonts w:hint="eastAsia" w:ascii="仿宋_GB2312" w:hAnsi="宋体" w:eastAsia="仿宋_GB2312" w:cs="仿宋_GB2312"/>
          <w:b w:val="0"/>
          <w:bCs w:val="0"/>
          <w:i w:val="0"/>
          <w:iCs w:val="0"/>
          <w:caps w:val="0"/>
          <w:color w:val="333333"/>
          <w:spacing w:val="0"/>
          <w:sz w:val="32"/>
          <w:szCs w:val="32"/>
        </w:rPr>
        <w:t>1</w:t>
      </w:r>
      <w:r>
        <w:rPr>
          <w:rStyle w:val="20"/>
          <w:rFonts w:hint="eastAsia" w:ascii="仿宋_GB2312" w:hAnsi="宋体" w:eastAsia="仿宋_GB2312" w:cs="仿宋_GB2312"/>
          <w:b w:val="0"/>
          <w:bCs w:val="0"/>
          <w:i w:val="0"/>
          <w:iCs w:val="0"/>
          <w:caps w:val="0"/>
          <w:color w:val="333333"/>
          <w:spacing w:val="0"/>
          <w:sz w:val="32"/>
          <w:szCs w:val="32"/>
          <w:lang w:val="en-US" w:eastAsia="zh-CN"/>
        </w:rPr>
        <w:t>0</w:t>
      </w:r>
      <w:r>
        <w:rPr>
          <w:rStyle w:val="20"/>
          <w:rFonts w:hint="eastAsia" w:ascii="仿宋_GB2312" w:hAnsi="宋体" w:eastAsia="仿宋_GB2312" w:cs="仿宋_GB2312"/>
          <w:b w:val="0"/>
          <w:bCs w:val="0"/>
          <w:i w:val="0"/>
          <w:iCs w:val="0"/>
          <w:caps w:val="0"/>
          <w:color w:val="333333"/>
          <w:spacing w:val="0"/>
          <w:sz w:val="32"/>
          <w:szCs w:val="32"/>
        </w:rPr>
        <w:t>.社会保障和就业（类）行政事业单位离退休（款）机关事业单位职业年金缴费支出（项）：指部门实施养老保险制度由单位缴纳的职业年金的支出。 </w:t>
      </w:r>
      <w:r>
        <w:rPr>
          <w:rFonts w:hint="eastAsia" w:ascii="仿宋_GB2312" w:hAnsi="宋体" w:eastAsia="仿宋_GB2312" w:cs="仿宋_GB2312"/>
          <w:i w:val="0"/>
          <w:iCs w:val="0"/>
          <w:caps w:val="0"/>
          <w:color w:val="333333"/>
          <w:spacing w:val="0"/>
          <w:sz w:val="32"/>
          <w:szCs w:val="32"/>
        </w:rPr>
        <w:br w:type="textWrapping"/>
      </w:r>
      <w:r>
        <w:rPr>
          <w:rFonts w:hint="eastAsia" w:ascii="仿宋_GB2312" w:hAnsi="宋体" w:eastAsia="仿宋_GB2312" w:cs="仿宋_GB2312"/>
          <w:i w:val="0"/>
          <w:iCs w:val="0"/>
          <w:caps w:val="0"/>
          <w:color w:val="333333"/>
          <w:spacing w:val="0"/>
          <w:sz w:val="32"/>
          <w:szCs w:val="32"/>
        </w:rPr>
        <w:t>　　</w:t>
      </w:r>
      <w:r>
        <w:rPr>
          <w:rStyle w:val="20"/>
          <w:rFonts w:hint="eastAsia" w:ascii="仿宋_GB2312" w:hAnsi="宋体" w:eastAsia="仿宋_GB2312" w:cs="仿宋_GB2312"/>
          <w:b w:val="0"/>
          <w:bCs w:val="0"/>
          <w:i w:val="0"/>
          <w:iCs w:val="0"/>
          <w:caps w:val="0"/>
          <w:color w:val="333333"/>
          <w:spacing w:val="0"/>
          <w:sz w:val="32"/>
          <w:szCs w:val="32"/>
        </w:rPr>
        <w:t>1</w:t>
      </w:r>
      <w:r>
        <w:rPr>
          <w:rStyle w:val="20"/>
          <w:rFonts w:hint="eastAsia" w:ascii="仿宋_GB2312" w:hAnsi="宋体" w:eastAsia="仿宋_GB2312" w:cs="仿宋_GB2312"/>
          <w:b w:val="0"/>
          <w:bCs w:val="0"/>
          <w:i w:val="0"/>
          <w:iCs w:val="0"/>
          <w:caps w:val="0"/>
          <w:color w:val="333333"/>
          <w:spacing w:val="0"/>
          <w:sz w:val="32"/>
          <w:szCs w:val="32"/>
          <w:lang w:val="en-US" w:eastAsia="zh-CN"/>
        </w:rPr>
        <w:t>1</w:t>
      </w:r>
      <w:r>
        <w:rPr>
          <w:rStyle w:val="20"/>
          <w:rFonts w:hint="eastAsia" w:ascii="仿宋_GB2312" w:hAnsi="宋体" w:eastAsia="仿宋_GB2312" w:cs="仿宋_GB2312"/>
          <w:b w:val="0"/>
          <w:bCs w:val="0"/>
          <w:i w:val="0"/>
          <w:iCs w:val="0"/>
          <w:caps w:val="0"/>
          <w:color w:val="333333"/>
          <w:spacing w:val="0"/>
          <w:sz w:val="32"/>
          <w:szCs w:val="32"/>
        </w:rPr>
        <w:t>.社会保障和就业（类）其他社会保障和就业（款）其他社会保障和就业支出（项）：指除上述项目外，其他用于行政事业单位离退休方面的支出。 </w:t>
      </w:r>
      <w:r>
        <w:rPr>
          <w:rFonts w:hint="eastAsia" w:ascii="仿宋_GB2312" w:hAnsi="宋体" w:eastAsia="仿宋_GB2312" w:cs="仿宋_GB2312"/>
          <w:i w:val="0"/>
          <w:iCs w:val="0"/>
          <w:caps w:val="0"/>
          <w:color w:val="333333"/>
          <w:spacing w:val="0"/>
          <w:sz w:val="32"/>
          <w:szCs w:val="32"/>
        </w:rPr>
        <w:br w:type="textWrapping"/>
      </w:r>
      <w:r>
        <w:rPr>
          <w:rFonts w:hint="eastAsia" w:ascii="仿宋_GB2312" w:hAnsi="宋体" w:eastAsia="仿宋_GB2312" w:cs="仿宋_GB2312"/>
          <w:i w:val="0"/>
          <w:iCs w:val="0"/>
          <w:caps w:val="0"/>
          <w:color w:val="333333"/>
          <w:spacing w:val="0"/>
          <w:sz w:val="32"/>
          <w:szCs w:val="32"/>
        </w:rPr>
        <w:t>　　</w:t>
      </w:r>
      <w:r>
        <w:rPr>
          <w:rStyle w:val="20"/>
          <w:rFonts w:hint="eastAsia" w:ascii="仿宋_GB2312" w:hAnsi="宋体" w:eastAsia="仿宋_GB2312" w:cs="仿宋_GB2312"/>
          <w:b w:val="0"/>
          <w:bCs w:val="0"/>
          <w:i w:val="0"/>
          <w:iCs w:val="0"/>
          <w:caps w:val="0"/>
          <w:color w:val="333333"/>
          <w:spacing w:val="0"/>
          <w:sz w:val="32"/>
          <w:szCs w:val="32"/>
        </w:rPr>
        <w:t>1</w:t>
      </w:r>
      <w:r>
        <w:rPr>
          <w:rStyle w:val="20"/>
          <w:rFonts w:hint="eastAsia" w:ascii="仿宋_GB2312" w:hAnsi="宋体" w:eastAsia="仿宋_GB2312" w:cs="仿宋_GB2312"/>
          <w:b w:val="0"/>
          <w:bCs w:val="0"/>
          <w:i w:val="0"/>
          <w:iCs w:val="0"/>
          <w:caps w:val="0"/>
          <w:color w:val="333333"/>
          <w:spacing w:val="0"/>
          <w:sz w:val="32"/>
          <w:szCs w:val="32"/>
          <w:lang w:val="en-US" w:eastAsia="zh-CN"/>
        </w:rPr>
        <w:t>2</w:t>
      </w:r>
      <w:r>
        <w:rPr>
          <w:rStyle w:val="20"/>
          <w:rFonts w:hint="eastAsia" w:ascii="仿宋_GB2312" w:hAnsi="宋体" w:eastAsia="仿宋_GB2312" w:cs="仿宋_GB2312"/>
          <w:b w:val="0"/>
          <w:bCs w:val="0"/>
          <w:i w:val="0"/>
          <w:iCs w:val="0"/>
          <w:caps w:val="0"/>
          <w:color w:val="333333"/>
          <w:spacing w:val="0"/>
          <w:sz w:val="32"/>
          <w:szCs w:val="32"/>
        </w:rPr>
        <w:t>.医疗卫生与计划生育（类）行政事业单位医疗（款）行政单位医疗（项）：指行政单位及参公管理事业单位用于缴纳单位基本医疗保险支出。 </w:t>
      </w:r>
      <w:r>
        <w:rPr>
          <w:rFonts w:hint="eastAsia" w:ascii="仿宋_GB2312" w:hAnsi="宋体" w:eastAsia="仿宋_GB2312" w:cs="仿宋_GB2312"/>
          <w:i w:val="0"/>
          <w:iCs w:val="0"/>
          <w:caps w:val="0"/>
          <w:color w:val="333333"/>
          <w:spacing w:val="0"/>
          <w:sz w:val="32"/>
          <w:szCs w:val="32"/>
        </w:rPr>
        <w:br w:type="textWrapping"/>
      </w:r>
      <w:r>
        <w:rPr>
          <w:rFonts w:hint="eastAsia" w:ascii="仿宋_GB2312" w:hAnsi="宋体" w:eastAsia="仿宋_GB2312" w:cs="仿宋_GB2312"/>
          <w:i w:val="0"/>
          <w:iCs w:val="0"/>
          <w:caps w:val="0"/>
          <w:color w:val="333333"/>
          <w:spacing w:val="0"/>
          <w:sz w:val="32"/>
          <w:szCs w:val="32"/>
        </w:rPr>
        <w:t>　　</w:t>
      </w:r>
      <w:r>
        <w:rPr>
          <w:rStyle w:val="20"/>
          <w:rFonts w:hint="eastAsia" w:ascii="仿宋_GB2312" w:hAnsi="宋体" w:eastAsia="仿宋_GB2312" w:cs="仿宋_GB2312"/>
          <w:b w:val="0"/>
          <w:bCs w:val="0"/>
          <w:i w:val="0"/>
          <w:iCs w:val="0"/>
          <w:caps w:val="0"/>
          <w:color w:val="333333"/>
          <w:spacing w:val="0"/>
          <w:sz w:val="32"/>
          <w:szCs w:val="32"/>
        </w:rPr>
        <w:t>1</w:t>
      </w:r>
      <w:r>
        <w:rPr>
          <w:rStyle w:val="20"/>
          <w:rFonts w:hint="eastAsia" w:ascii="仿宋_GB2312" w:hAnsi="宋体" w:eastAsia="仿宋_GB2312" w:cs="仿宋_GB2312"/>
          <w:b w:val="0"/>
          <w:bCs w:val="0"/>
          <w:i w:val="0"/>
          <w:iCs w:val="0"/>
          <w:caps w:val="0"/>
          <w:color w:val="333333"/>
          <w:spacing w:val="0"/>
          <w:sz w:val="32"/>
          <w:szCs w:val="32"/>
          <w:lang w:val="en-US" w:eastAsia="zh-CN"/>
        </w:rPr>
        <w:t>3</w:t>
      </w:r>
      <w:r>
        <w:rPr>
          <w:rStyle w:val="20"/>
          <w:rFonts w:hint="eastAsia" w:ascii="仿宋_GB2312" w:hAnsi="宋体" w:eastAsia="仿宋_GB2312" w:cs="仿宋_GB2312"/>
          <w:b w:val="0"/>
          <w:bCs w:val="0"/>
          <w:i w:val="0"/>
          <w:iCs w:val="0"/>
          <w:caps w:val="0"/>
          <w:color w:val="333333"/>
          <w:spacing w:val="0"/>
          <w:sz w:val="32"/>
          <w:szCs w:val="32"/>
        </w:rPr>
        <w:t>.医疗卫生与计划生育（类）行政事业单位医疗（款）事业单位医疗（项）：指事业单位用于缴纳单位基本医疗保险支出。 </w:t>
      </w:r>
      <w:r>
        <w:rPr>
          <w:rFonts w:hint="eastAsia" w:ascii="仿宋_GB2312" w:hAnsi="宋体" w:eastAsia="仿宋_GB2312" w:cs="仿宋_GB2312"/>
          <w:i w:val="0"/>
          <w:iCs w:val="0"/>
          <w:caps w:val="0"/>
          <w:color w:val="333333"/>
          <w:spacing w:val="0"/>
          <w:sz w:val="32"/>
          <w:szCs w:val="32"/>
        </w:rPr>
        <w:br w:type="textWrapping"/>
      </w:r>
      <w:r>
        <w:rPr>
          <w:rFonts w:hint="eastAsia" w:ascii="仿宋_GB2312" w:hAnsi="宋体" w:eastAsia="仿宋_GB2312" w:cs="仿宋_GB2312"/>
          <w:i w:val="0"/>
          <w:iCs w:val="0"/>
          <w:caps w:val="0"/>
          <w:color w:val="333333"/>
          <w:spacing w:val="0"/>
          <w:sz w:val="32"/>
          <w:szCs w:val="32"/>
        </w:rPr>
        <w:t>　　</w:t>
      </w:r>
      <w:r>
        <w:rPr>
          <w:rStyle w:val="20"/>
          <w:rFonts w:hint="eastAsia" w:ascii="仿宋_GB2312" w:hAnsi="宋体" w:eastAsia="仿宋_GB2312" w:cs="仿宋_GB2312"/>
          <w:b w:val="0"/>
          <w:bCs w:val="0"/>
          <w:i w:val="0"/>
          <w:iCs w:val="0"/>
          <w:caps w:val="0"/>
          <w:color w:val="333333"/>
          <w:spacing w:val="0"/>
          <w:sz w:val="32"/>
          <w:szCs w:val="32"/>
        </w:rPr>
        <w:t>1</w:t>
      </w:r>
      <w:r>
        <w:rPr>
          <w:rStyle w:val="20"/>
          <w:rFonts w:hint="eastAsia" w:ascii="仿宋_GB2312" w:hAnsi="宋体" w:eastAsia="仿宋_GB2312" w:cs="仿宋_GB2312"/>
          <w:b w:val="0"/>
          <w:bCs w:val="0"/>
          <w:i w:val="0"/>
          <w:iCs w:val="0"/>
          <w:caps w:val="0"/>
          <w:color w:val="333333"/>
          <w:spacing w:val="0"/>
          <w:sz w:val="32"/>
          <w:szCs w:val="32"/>
          <w:lang w:val="en-US" w:eastAsia="zh-CN"/>
        </w:rPr>
        <w:t>4</w:t>
      </w:r>
      <w:r>
        <w:rPr>
          <w:rStyle w:val="20"/>
          <w:rFonts w:hint="eastAsia" w:ascii="仿宋_GB2312" w:hAnsi="宋体" w:eastAsia="仿宋_GB2312" w:cs="仿宋_GB2312"/>
          <w:b w:val="0"/>
          <w:bCs w:val="0"/>
          <w:i w:val="0"/>
          <w:iCs w:val="0"/>
          <w:caps w:val="0"/>
          <w:color w:val="333333"/>
          <w:spacing w:val="0"/>
          <w:sz w:val="32"/>
          <w:szCs w:val="32"/>
        </w:rPr>
        <w:t>.医疗卫生与计划生育（类）行政事业单位医疗（款）公务员医疗补助（项）：指行政单位及参公管理事业单位用于集中缴纳公务员医疗补助支出。 </w:t>
      </w:r>
      <w:r>
        <w:rPr>
          <w:rFonts w:hint="eastAsia" w:ascii="仿宋_GB2312" w:hAnsi="宋体" w:eastAsia="仿宋_GB2312" w:cs="仿宋_GB2312"/>
          <w:i w:val="0"/>
          <w:iCs w:val="0"/>
          <w:caps w:val="0"/>
          <w:color w:val="333333"/>
          <w:spacing w:val="0"/>
          <w:sz w:val="32"/>
          <w:szCs w:val="32"/>
        </w:rPr>
        <w:br w:type="textWrapping"/>
      </w:r>
      <w:r>
        <w:rPr>
          <w:rFonts w:hint="eastAsia" w:ascii="仿宋_GB2312" w:hAnsi="宋体" w:eastAsia="仿宋_GB2312" w:cs="仿宋_GB2312"/>
          <w:i w:val="0"/>
          <w:iCs w:val="0"/>
          <w:caps w:val="0"/>
          <w:color w:val="333333"/>
          <w:spacing w:val="0"/>
          <w:sz w:val="32"/>
          <w:szCs w:val="32"/>
        </w:rPr>
        <w:t>　　</w:t>
      </w:r>
      <w:r>
        <w:rPr>
          <w:rStyle w:val="20"/>
          <w:rFonts w:hint="eastAsia" w:ascii="仿宋_GB2312" w:hAnsi="宋体" w:eastAsia="仿宋_GB2312" w:cs="仿宋_GB2312"/>
          <w:b w:val="0"/>
          <w:bCs w:val="0"/>
          <w:i w:val="0"/>
          <w:iCs w:val="0"/>
          <w:caps w:val="0"/>
          <w:color w:val="333333"/>
          <w:spacing w:val="0"/>
          <w:sz w:val="32"/>
          <w:szCs w:val="32"/>
        </w:rPr>
        <w:t>1</w:t>
      </w:r>
      <w:r>
        <w:rPr>
          <w:rStyle w:val="20"/>
          <w:rFonts w:hint="eastAsia" w:ascii="仿宋_GB2312" w:hAnsi="宋体" w:eastAsia="仿宋_GB2312" w:cs="仿宋_GB2312"/>
          <w:b w:val="0"/>
          <w:bCs w:val="0"/>
          <w:i w:val="0"/>
          <w:iCs w:val="0"/>
          <w:caps w:val="0"/>
          <w:color w:val="333333"/>
          <w:spacing w:val="0"/>
          <w:sz w:val="32"/>
          <w:szCs w:val="32"/>
          <w:lang w:val="en-US" w:eastAsia="zh-CN"/>
        </w:rPr>
        <w:t>5</w:t>
      </w:r>
      <w:r>
        <w:rPr>
          <w:rStyle w:val="20"/>
          <w:rFonts w:hint="eastAsia" w:ascii="仿宋_GB2312" w:hAnsi="宋体" w:eastAsia="仿宋_GB2312" w:cs="仿宋_GB2312"/>
          <w:b w:val="0"/>
          <w:bCs w:val="0"/>
          <w:i w:val="0"/>
          <w:iCs w:val="0"/>
          <w:caps w:val="0"/>
          <w:color w:val="333333"/>
          <w:spacing w:val="0"/>
          <w:sz w:val="32"/>
          <w:szCs w:val="32"/>
        </w:rPr>
        <w:t>.住房保障（类）住房改革支出（款）住房公积金（项）：指由单位及其在职职工按规定缴存的住房公积金支出。 </w:t>
      </w:r>
      <w:r>
        <w:rPr>
          <w:rFonts w:hint="eastAsia" w:ascii="仿宋_GB2312" w:hAnsi="宋体" w:eastAsia="仿宋_GB2312" w:cs="仿宋_GB2312"/>
          <w:i w:val="0"/>
          <w:iCs w:val="0"/>
          <w:caps w:val="0"/>
          <w:color w:val="333333"/>
          <w:spacing w:val="0"/>
          <w:sz w:val="32"/>
          <w:szCs w:val="32"/>
        </w:rPr>
        <w:br w:type="textWrapping"/>
      </w:r>
      <w:r>
        <w:rPr>
          <w:rFonts w:hint="eastAsia" w:ascii="仿宋_GB2312" w:hAnsi="宋体" w:eastAsia="仿宋_GB2312" w:cs="仿宋_GB2312"/>
          <w:i w:val="0"/>
          <w:iCs w:val="0"/>
          <w:caps w:val="0"/>
          <w:color w:val="333333"/>
          <w:spacing w:val="0"/>
          <w:sz w:val="32"/>
          <w:szCs w:val="32"/>
        </w:rPr>
        <w:t>　　</w:t>
      </w:r>
      <w:r>
        <w:rPr>
          <w:rStyle w:val="20"/>
          <w:rFonts w:hint="eastAsia" w:ascii="仿宋_GB2312" w:hAnsi="宋体" w:eastAsia="仿宋_GB2312" w:cs="仿宋_GB2312"/>
          <w:b w:val="0"/>
          <w:bCs w:val="0"/>
          <w:i w:val="0"/>
          <w:iCs w:val="0"/>
          <w:caps w:val="0"/>
          <w:color w:val="333333"/>
          <w:spacing w:val="0"/>
          <w:sz w:val="32"/>
          <w:szCs w:val="32"/>
        </w:rPr>
        <w:t>1</w:t>
      </w:r>
      <w:r>
        <w:rPr>
          <w:rStyle w:val="20"/>
          <w:rFonts w:hint="eastAsia" w:ascii="仿宋_GB2312" w:hAnsi="宋体" w:eastAsia="仿宋_GB2312" w:cs="仿宋_GB2312"/>
          <w:b w:val="0"/>
          <w:bCs w:val="0"/>
          <w:i w:val="0"/>
          <w:iCs w:val="0"/>
          <w:caps w:val="0"/>
          <w:color w:val="333333"/>
          <w:spacing w:val="0"/>
          <w:sz w:val="32"/>
          <w:szCs w:val="32"/>
          <w:lang w:val="en-US" w:eastAsia="zh-CN"/>
        </w:rPr>
        <w:t>6</w:t>
      </w:r>
      <w:r>
        <w:rPr>
          <w:rStyle w:val="20"/>
          <w:rFonts w:hint="eastAsia" w:ascii="仿宋_GB2312" w:hAnsi="宋体" w:eastAsia="仿宋_GB2312" w:cs="仿宋_GB2312"/>
          <w:b w:val="0"/>
          <w:bCs w:val="0"/>
          <w:i w:val="0"/>
          <w:iCs w:val="0"/>
          <w:caps w:val="0"/>
          <w:color w:val="333333"/>
          <w:spacing w:val="0"/>
          <w:sz w:val="32"/>
          <w:szCs w:val="32"/>
        </w:rPr>
        <w:t>.住房保障（类）城乡社区住宅（款）住房公积金管理（项）：指经财政部门批准用于住房公积金管理机关的管理费用支出。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eastAsia" w:ascii="仿宋_GB2312" w:eastAsia="仿宋_GB2312"/>
          <w:sz w:val="32"/>
          <w:szCs w:val="32"/>
          <w:highlight w:val="none"/>
          <w:lang w:val="en-US" w:eastAsia="zh-CN"/>
        </w:rPr>
      </w:pPr>
      <w:bookmarkStart w:id="73" w:name="_Toc15396614"/>
      <w:bookmarkStart w:id="74" w:name="_Toc15377226"/>
      <w:r>
        <w:rPr>
          <w:rFonts w:hint="eastAsia" w:ascii="仿宋_GB2312" w:eastAsia="仿宋_GB2312"/>
          <w:sz w:val="32"/>
          <w:szCs w:val="32"/>
          <w:highlight w:val="none"/>
          <w:lang w:val="en-US" w:eastAsia="zh-CN"/>
        </w:rPr>
        <w:t>21.卫生健康支出（类）行政事业单位医疗（款）公务员医疗补助（项）：反映财政部门安排的公务员医疗补助经费。</w:t>
      </w:r>
    </w:p>
    <w:p>
      <w:pPr>
        <w:spacing w:line="600" w:lineRule="exact"/>
        <w:jc w:val="center"/>
        <w:outlineLvl w:val="9"/>
        <w:rPr>
          <w:rFonts w:hint="eastAsia" w:ascii="黑体" w:hAnsi="黑体" w:eastAsia="黑体"/>
          <w:color w:val="auto"/>
          <w:sz w:val="44"/>
          <w:szCs w:val="44"/>
          <w:highlight w:val="none"/>
          <w:lang w:eastAsia="zh-CN"/>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pStyle w:val="2"/>
        <w:rPr>
          <w:rFonts w:hint="eastAsia"/>
        </w:rPr>
      </w:pPr>
    </w:p>
    <w:bookmarkEnd w:id="73"/>
    <w:p>
      <w:pPr>
        <w:spacing w:line="600" w:lineRule="exact"/>
        <w:jc w:val="center"/>
        <w:outlineLvl w:val="0"/>
      </w:pPr>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p>
    <w:p>
      <w:pPr>
        <w:spacing w:line="600" w:lineRule="exact"/>
        <w:jc w:val="center"/>
        <w:outlineLvl w:val="9"/>
        <w:rPr>
          <w:rFonts w:hint="eastAsia" w:ascii="黑体" w:hAnsi="黑体" w:eastAsia="黑体"/>
          <w:color w:val="auto"/>
          <w:sz w:val="44"/>
          <w:szCs w:val="44"/>
          <w:highlight w:val="none"/>
          <w:lang w:val="en-US" w:eastAsia="zh-CN"/>
        </w:rPr>
      </w:pPr>
    </w:p>
    <w:p>
      <w:pPr>
        <w:spacing w:line="600" w:lineRule="exact"/>
        <w:jc w:val="center"/>
        <w:outlineLvl w:val="1"/>
        <w:rPr>
          <w:rStyle w:val="31"/>
          <w:rFonts w:hint="default" w:ascii="黑体" w:hAnsi="黑体" w:eastAsia="黑体"/>
          <w:b w:val="0"/>
          <w:color w:val="auto"/>
          <w:highlight w:val="none"/>
          <w:lang w:val="en-US" w:eastAsia="zh-CN"/>
        </w:rPr>
      </w:pPr>
      <w:bookmarkStart w:id="75" w:name="_Toc20462"/>
      <w:r>
        <w:rPr>
          <w:rFonts w:hint="eastAsia" w:ascii="黑体" w:hAnsi="黑体" w:eastAsia="黑体"/>
          <w:color w:val="auto"/>
          <w:sz w:val="44"/>
          <w:szCs w:val="44"/>
          <w:highlight w:val="none"/>
          <w:lang w:val="en-US" w:eastAsia="zh-CN"/>
        </w:rPr>
        <w:t>2021年中共峨边彝族自治县委机构编制委员会办公室整体绩效评价报告</w:t>
      </w:r>
      <w:bookmarkEnd w:id="75"/>
    </w:p>
    <w:p>
      <w:pPr>
        <w:widowControl/>
        <w:adjustRightInd w:val="0"/>
        <w:snapToGrid w:val="0"/>
        <w:spacing w:line="580" w:lineRule="exact"/>
        <w:ind w:firstLine="640" w:firstLineChars="200"/>
        <w:contextualSpacing/>
        <w:jc w:val="left"/>
        <w:rPr>
          <w:rFonts w:hint="eastAsia" w:ascii="黑体" w:hAnsi="黑体" w:eastAsia="黑体"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outlineLvl w:val="1"/>
        <w:rPr>
          <w:rFonts w:ascii="黑体" w:hAnsi="黑体" w:eastAsia="黑体" w:cs="宋体"/>
          <w:color w:val="000000"/>
          <w:kern w:val="0"/>
          <w:sz w:val="32"/>
          <w:szCs w:val="32"/>
          <w:shd w:val="clear" w:color="auto" w:fill="FFFFFF"/>
          <w:lang w:val="zh-CN"/>
        </w:rPr>
      </w:pPr>
      <w:bookmarkStart w:id="76" w:name="_Toc28120"/>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部门（单位）概况</w:t>
      </w:r>
      <w:bookmarkEnd w:id="76"/>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（一）机构组成。</w:t>
      </w:r>
    </w:p>
    <w:p>
      <w:pPr>
        <w:keepNext w:val="0"/>
        <w:keepLines w:val="0"/>
        <w:pageBreakBefore w:val="0"/>
        <w:kinsoku/>
        <w:wordWrap/>
        <w:overflowPunct/>
        <w:topLinePunct w:val="0"/>
        <w:autoSpaceDE/>
        <w:autoSpaceDN/>
        <w:bidi w:val="0"/>
        <w:spacing w:line="600" w:lineRule="exact"/>
        <w:ind w:firstLine="960" w:firstLineChars="300"/>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县委编办内设综合股，下设参公事业单位县事业单位登记服务中心。</w:t>
      </w:r>
    </w:p>
    <w:p>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机构职能。</w:t>
      </w:r>
    </w:p>
    <w:p>
      <w:pPr>
        <w:keepNext w:val="0"/>
        <w:keepLines w:val="0"/>
        <w:pageBreakBefore w:val="0"/>
        <w:widowControl/>
        <w:numPr>
          <w:ilvl w:val="0"/>
          <w:numId w:val="5"/>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贯彻执行中央和省、市关于行政管理体制改革和机构改革，事业单位改革及机构编制管理的方针政策，法律法规规章，组织草拟机构编制管理规范性文件并监督实施。</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rPr>
        <w:t>  </w:t>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2.组织编制全县机关、事业单位年度用编计划。</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rPr>
        <w:t>  </w:t>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3.拟订全县行政管理体制改革和机构改革方案并组织实施，审核县级各部门“三定”规定和乡镇机构改革方案，指导、协调全县行政管理体制改革和机构改革。</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rPr>
        <w:t>  </w:t>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4.按规定上报跨层级调整行政编制事项。负责全县行政事业编制总量控制和机关事业单位机构编制实名制管理工作。对县级机关和县属事业单位使用空缺编制补充人员进行核批。</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rPr>
        <w:t>  </w:t>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5.负责县委、县政府各部门，县人大、县政协机关，县法院、县检察院机关，县人民团体机关的机构编制管理工作。协调县级各部门之间以及与乡镇之间的职责分工。</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6.拟订全县事业单位改革总体方案并组织实施，负责县属事业单位机构编制管理，审核县属事业单位的机构编制方案。</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shd w:val="clear" w:color="auto" w:fill="FFFFFF"/>
        </w:rPr>
        <w:t>7.监督检查全县行政管理体制改革和机构改革方案及机构编制规定执行情况，开展县政府部门“三定”规定执行情况评估工作。</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rPr>
        <w:t>  </w:t>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8.负责全县事业单位登记管理、党政群机关事业单位(含民办非企业）政务和公益中文域名注册管理工作。</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rPr>
        <w:t>  </w:t>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9.完成县委交办的其他工作。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（三）人员概况。</w:t>
      </w:r>
    </w:p>
    <w:p>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县委编办总编制7名，其中：行政编制3名，参公事业编制4名。在职人员总数</w:t>
      </w: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rPr>
        <w:t>名，其中：行政3名，参公事业2名。离休0名。年末实有人数</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rPr>
        <w:t>人。</w:t>
      </w:r>
    </w:p>
    <w:p>
      <w:pPr>
        <w:widowControl/>
        <w:adjustRightInd w:val="0"/>
        <w:snapToGrid w:val="0"/>
        <w:spacing w:line="580" w:lineRule="exact"/>
        <w:ind w:firstLine="640" w:firstLineChars="200"/>
        <w:contextualSpacing/>
        <w:jc w:val="left"/>
        <w:outlineLvl w:val="1"/>
        <w:rPr>
          <w:rFonts w:ascii="黑体" w:hAnsi="黑体" w:eastAsia="黑体" w:cs="宋体"/>
          <w:color w:val="000000"/>
          <w:kern w:val="0"/>
          <w:sz w:val="32"/>
          <w:szCs w:val="32"/>
          <w:shd w:val="clear" w:color="auto" w:fill="FFFFFF"/>
        </w:rPr>
      </w:pPr>
      <w:bookmarkStart w:id="77" w:name="_Toc18793"/>
      <w:r>
        <w:rPr>
          <w:rFonts w:hint="eastAsia" w:ascii="黑体" w:hAnsi="黑体" w:eastAsia="黑体" w:cs="宋体"/>
          <w:color w:val="000000"/>
          <w:kern w:val="0"/>
          <w:sz w:val="32"/>
          <w:szCs w:val="32"/>
          <w:shd w:val="clear" w:color="auto" w:fill="FFFFFF"/>
        </w:rPr>
        <w:t>二、部门财政资金收支情况</w:t>
      </w:r>
      <w:bookmarkEnd w:id="77"/>
    </w:p>
    <w:p>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zh-CN"/>
        </w:rPr>
      </w:pPr>
      <w:r>
        <w:rPr>
          <w:rFonts w:hint="eastAsia" w:ascii="楷体_GB2312" w:hAnsi="宋体" w:eastAsia="楷体_GB2312" w:cs="宋体"/>
          <w:color w:val="000000"/>
          <w:kern w:val="0"/>
          <w:sz w:val="32"/>
          <w:szCs w:val="32"/>
          <w:shd w:val="clear" w:color="auto" w:fill="FFFFFF"/>
          <w:lang w:val="zh-CN"/>
        </w:rPr>
        <w:t>（一）部门财政资金收入情况。</w:t>
      </w:r>
      <w:r>
        <w:rPr>
          <w:rFonts w:hint="eastAsia" w:ascii="仿宋_GB2312" w:hAnsi="仿宋_GB2312" w:eastAsia="仿宋_GB2312" w:cs="仿宋_GB2312"/>
          <w:kern w:val="0"/>
          <w:sz w:val="32"/>
          <w:szCs w:val="32"/>
          <w:lang w:val="zh-CN"/>
        </w:rPr>
        <w:t>我单位为县级一级预算单位，实行独立核算，为财政全额拨款行政单位，</w:t>
      </w:r>
      <w:r>
        <w:rPr>
          <w:rFonts w:hint="eastAsia" w:ascii="仿宋_GB2312" w:hAnsi="仿宋_GB2312" w:eastAsia="仿宋_GB2312" w:cs="仿宋_GB2312"/>
          <w:kern w:val="0"/>
          <w:sz w:val="32"/>
          <w:szCs w:val="32"/>
          <w:lang w:val="en-US" w:eastAsia="zh-CN"/>
        </w:rPr>
        <w:t>2021年财政资金收入为103.89万元，我单位</w:t>
      </w:r>
      <w:r>
        <w:rPr>
          <w:rFonts w:hint="eastAsia" w:ascii="仿宋_GB2312" w:hAnsi="仿宋_GB2312" w:eastAsia="仿宋_GB2312" w:cs="仿宋_GB2312"/>
          <w:kern w:val="0"/>
          <w:sz w:val="32"/>
          <w:szCs w:val="32"/>
          <w:lang w:val="zh-CN"/>
        </w:rPr>
        <w:t>每年结合单位在职人员数量、工作实际需要开展年初预算工作，由县财政统一审核、批复，并在日常工作中按照预算指标以及工作开展进度申请资金，形成部门财政资金收入。</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（二）部门财政资金支出情况。</w:t>
      </w:r>
      <w:r>
        <w:rPr>
          <w:rFonts w:hint="eastAsia" w:ascii="仿宋_GB2312" w:hAnsi="仿宋_GB2312" w:eastAsia="仿宋_GB2312" w:cs="仿宋_GB2312"/>
          <w:kern w:val="0"/>
          <w:sz w:val="32"/>
          <w:szCs w:val="32"/>
          <w:lang w:val="en-US" w:eastAsia="zh-CN"/>
        </w:rPr>
        <w:t>2021年我单位财政资金支出103.89万元，其中基本支出101.32万元，项目支出2.57万元，我单位</w:t>
      </w:r>
      <w:r>
        <w:rPr>
          <w:rFonts w:hint="eastAsia" w:ascii="仿宋_GB2312" w:hAnsi="仿宋_GB2312" w:eastAsia="仿宋_GB2312" w:cs="仿宋_GB2312"/>
          <w:kern w:val="0"/>
          <w:sz w:val="32"/>
          <w:szCs w:val="32"/>
          <w:lang w:val="zh-CN"/>
        </w:rPr>
        <w:t>遵循不超预算、不超范围支出原则，每年按照年初预算指标结合单位工作开展实际需要向县财政提交用款计划表，财政审核过后下达资金给各单位，各单位再按实际需要列支，在列支每一笔经费时都按照专款专用、按实列支、票据齐全等要求进行支付，不浪费、不违规使用资金。确保营造一个健康、有序的财政资金支出环境。</w:t>
      </w:r>
    </w:p>
    <w:p>
      <w:pPr>
        <w:widowControl/>
        <w:adjustRightInd w:val="0"/>
        <w:snapToGrid w:val="0"/>
        <w:spacing w:line="580" w:lineRule="exact"/>
        <w:ind w:firstLine="640" w:firstLineChars="200"/>
        <w:contextualSpacing/>
        <w:jc w:val="left"/>
        <w:outlineLvl w:val="1"/>
        <w:rPr>
          <w:rFonts w:ascii="黑体" w:hAnsi="黑体" w:eastAsia="黑体" w:cs="宋体"/>
          <w:color w:val="000000"/>
          <w:kern w:val="0"/>
          <w:sz w:val="32"/>
          <w:szCs w:val="32"/>
          <w:shd w:val="clear" w:color="auto" w:fill="FFFFFF"/>
        </w:rPr>
      </w:pPr>
      <w:bookmarkStart w:id="78" w:name="_Toc3508"/>
      <w:r>
        <w:rPr>
          <w:rFonts w:hint="eastAsia" w:ascii="黑体" w:hAnsi="黑体" w:eastAsia="黑体" w:cs="宋体"/>
          <w:color w:val="000000"/>
          <w:kern w:val="0"/>
          <w:sz w:val="32"/>
          <w:szCs w:val="32"/>
          <w:shd w:val="clear" w:color="auto" w:fill="FFFFFF"/>
        </w:rPr>
        <w:t>三、部门整体预算绩效管理情况</w:t>
      </w:r>
      <w:bookmarkEnd w:id="78"/>
      <w:r>
        <w:rPr>
          <w:rFonts w:hint="eastAsia" w:ascii="黑体" w:hAnsi="黑体" w:eastAsia="黑体" w:cs="宋体"/>
          <w:color w:val="000000"/>
          <w:kern w:val="0"/>
          <w:sz w:val="32"/>
          <w:szCs w:val="32"/>
          <w:shd w:val="clear" w:color="auto" w:fill="FFFFFF"/>
          <w:lang w:val="en-US" w:eastAsia="zh-CN"/>
        </w:rPr>
        <w:t xml:space="preserve"> </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w:t>
      </w:r>
      <w:r>
        <w:rPr>
          <w:rFonts w:hint="eastAsia" w:ascii="仿宋_GB2312" w:hAnsi="宋体" w:eastAsia="仿宋_GB2312" w:cs="宋体"/>
          <w:color w:val="auto"/>
          <w:kern w:val="0"/>
          <w:sz w:val="32"/>
          <w:szCs w:val="32"/>
          <w:highlight w:val="none"/>
          <w:shd w:val="clear" w:color="auto" w:fill="FFFFFF"/>
          <w:lang w:val="zh-CN"/>
        </w:rPr>
        <w:t>部门预算项目绩效管理。</w:t>
      </w:r>
    </w:p>
    <w:p>
      <w:pPr>
        <w:spacing w:line="580" w:lineRule="exact"/>
        <w:ind w:firstLine="640"/>
        <w:contextualSpacing/>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本单位按照财政要求结合单位实际制定了切实可行的部门绩效目标，</w:t>
      </w:r>
      <w:r>
        <w:rPr>
          <w:rFonts w:hint="eastAsia" w:ascii="仿宋_GB2312" w:hAnsi="仿宋_GB2312" w:eastAsia="仿宋_GB2312" w:cs="仿宋_GB2312"/>
          <w:color w:val="auto"/>
          <w:kern w:val="0"/>
          <w:sz w:val="32"/>
          <w:szCs w:val="32"/>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auto"/>
          <w:kern w:val="0"/>
          <w:sz w:val="32"/>
          <w:szCs w:val="32"/>
          <w:lang w:eastAsia="zh-CN"/>
        </w:rPr>
        <w:t>县级</w:t>
      </w:r>
      <w:r>
        <w:rPr>
          <w:rFonts w:hint="eastAsia" w:ascii="仿宋_GB2312" w:hAnsi="仿宋_GB2312" w:eastAsia="仿宋_GB2312" w:cs="仿宋_GB2312"/>
          <w:color w:val="auto"/>
          <w:kern w:val="0"/>
          <w:sz w:val="32"/>
          <w:szCs w:val="32"/>
        </w:rPr>
        <w:t>预算绩效目标管理的科学性、规范性和有效性</w:t>
      </w:r>
      <w:r>
        <w:rPr>
          <w:rFonts w:hint="eastAsia" w:ascii="仿宋_GB2312" w:hAnsi="仿宋_GB2312" w:eastAsia="仿宋_GB2312" w:cs="仿宋_GB2312"/>
          <w:color w:val="auto"/>
          <w:kern w:val="0"/>
          <w:sz w:val="32"/>
          <w:szCs w:val="32"/>
          <w:lang w:eastAsia="zh-CN"/>
        </w:rPr>
        <w:t>，为本单位准确编制年初预算提供了依据。在日常支出中</w:t>
      </w:r>
      <w:r>
        <w:rPr>
          <w:rFonts w:hint="eastAsia" w:ascii="仿宋_GB2312" w:hAnsi="仿宋_GB2312" w:eastAsia="仿宋_GB2312" w:cs="仿宋_GB2312"/>
          <w:color w:val="auto"/>
          <w:kern w:val="0"/>
          <w:sz w:val="32"/>
          <w:szCs w:val="32"/>
          <w:lang w:val="en-US" w:eastAsia="zh-CN"/>
        </w:rPr>
        <w:t>我单位</w:t>
      </w:r>
      <w:r>
        <w:rPr>
          <w:rFonts w:hint="eastAsia" w:ascii="仿宋_GB2312" w:hAnsi="仿宋_GB2312" w:eastAsia="仿宋_GB2312" w:cs="仿宋_GB2312"/>
          <w:color w:val="auto"/>
          <w:kern w:val="0"/>
          <w:sz w:val="32"/>
          <w:szCs w:val="32"/>
          <w:lang w:val="en-US"/>
        </w:rPr>
        <w:t>加强专项资金管理，专款专用，不虚列项目</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lang w:val="en-US"/>
        </w:rPr>
        <w:t>，不截留、挤占、挪用、浪费、套取、转移专项资金。</w:t>
      </w:r>
      <w:r>
        <w:rPr>
          <w:rFonts w:hint="eastAsia" w:ascii="仿宋_GB2312" w:hAnsi="仿宋_GB2312" w:eastAsia="仿宋_GB2312" w:cs="仿宋_GB2312"/>
          <w:color w:val="auto"/>
          <w:kern w:val="0"/>
          <w:sz w:val="32"/>
          <w:szCs w:val="32"/>
          <w:lang w:val="en-US" w:eastAsia="zh-CN"/>
        </w:rPr>
        <w:t>本单位还</w:t>
      </w:r>
      <w:r>
        <w:rPr>
          <w:rFonts w:hint="eastAsia" w:ascii="仿宋_GB2312" w:hAnsi="仿宋_GB2312" w:eastAsia="仿宋_GB2312" w:cs="仿宋_GB2312"/>
          <w:color w:val="auto"/>
          <w:kern w:val="0"/>
          <w:sz w:val="32"/>
          <w:szCs w:val="32"/>
          <w:lang w:val="en-US"/>
        </w:rPr>
        <w:t>建立健全内部控制制度和内部稽核、审批、审查制度，完善内部支出管理，强化内部约束，不断降低</w:t>
      </w:r>
      <w:r>
        <w:rPr>
          <w:rFonts w:hint="eastAsia" w:ascii="仿宋_GB2312" w:hAnsi="仿宋_GB2312" w:eastAsia="仿宋_GB2312" w:cs="仿宋_GB2312"/>
          <w:color w:val="auto"/>
          <w:kern w:val="0"/>
          <w:sz w:val="32"/>
          <w:szCs w:val="32"/>
          <w:lang w:val="en-US" w:eastAsia="zh-CN"/>
        </w:rPr>
        <w:t>本单位</w:t>
      </w:r>
      <w:r>
        <w:rPr>
          <w:rFonts w:hint="eastAsia" w:ascii="仿宋_GB2312" w:hAnsi="仿宋_GB2312" w:eastAsia="仿宋_GB2312" w:cs="仿宋_GB2312"/>
          <w:color w:val="auto"/>
          <w:kern w:val="0"/>
          <w:sz w:val="32"/>
          <w:szCs w:val="32"/>
          <w:lang w:val="en-US"/>
        </w:rPr>
        <w:t>运行成本。各项支出符合国家的现行规定，不擅自提高补贴标准，不巧立名目、</w:t>
      </w:r>
      <w:r>
        <w:rPr>
          <w:rFonts w:hint="eastAsia" w:ascii="仿宋_GB2312" w:hAnsi="仿宋_GB2312" w:eastAsia="仿宋_GB2312" w:cs="仿宋_GB2312"/>
          <w:color w:val="auto"/>
          <w:kern w:val="0"/>
          <w:sz w:val="32"/>
          <w:szCs w:val="32"/>
          <w:lang w:val="en-US" w:eastAsia="zh-CN"/>
        </w:rPr>
        <w:t>不</w:t>
      </w:r>
      <w:r>
        <w:rPr>
          <w:rFonts w:hint="eastAsia" w:ascii="仿宋_GB2312" w:hAnsi="仿宋_GB2312" w:eastAsia="仿宋_GB2312" w:cs="仿宋_GB2312"/>
          <w:color w:val="auto"/>
          <w:kern w:val="0"/>
          <w:sz w:val="32"/>
          <w:szCs w:val="32"/>
          <w:lang w:val="en-US"/>
        </w:rPr>
        <w:t>变相扩大个人补贴范围；不随意提高差旅费、会议费等报销标准</w:t>
      </w:r>
      <w:r>
        <w:rPr>
          <w:rFonts w:hint="eastAsia" w:ascii="仿宋_GB2312" w:hAnsi="仿宋_GB2312" w:eastAsia="仿宋_GB2312" w:cs="仿宋_GB2312"/>
          <w:color w:val="auto"/>
          <w:kern w:val="0"/>
          <w:sz w:val="32"/>
          <w:szCs w:val="32"/>
          <w:lang w:val="en-US" w:eastAsia="zh-CN"/>
        </w:rPr>
        <w:t>，严格控制支出。年初在制定预算时针对本年度工作开展实际需要以及结合上年度资金使用情况进行了动态调整，使资金充分发挥有效作用更好地</w:t>
      </w:r>
      <w:r>
        <w:rPr>
          <w:rFonts w:hint="eastAsia" w:ascii="仿宋_GB2312" w:hAnsi="仿宋_GB2312" w:cs="仿宋_GB2312"/>
          <w:color w:val="auto"/>
          <w:kern w:val="0"/>
          <w:sz w:val="32"/>
          <w:szCs w:val="32"/>
          <w:lang w:val="en-US" w:eastAsia="zh-CN"/>
        </w:rPr>
        <w:t>为</w:t>
      </w:r>
      <w:r>
        <w:rPr>
          <w:rFonts w:hint="eastAsia" w:ascii="仿宋_GB2312" w:hAnsi="仿宋_GB2312" w:eastAsia="仿宋_GB2312" w:cs="仿宋_GB2312"/>
          <w:color w:val="auto"/>
          <w:kern w:val="0"/>
          <w:sz w:val="32"/>
          <w:szCs w:val="32"/>
          <w:lang w:val="en-US" w:eastAsia="zh-CN"/>
        </w:rPr>
        <w:t>各项工作</w:t>
      </w:r>
      <w:r>
        <w:rPr>
          <w:rFonts w:hint="eastAsia" w:ascii="仿宋_GB2312" w:hAnsi="仿宋_GB2312" w:cs="仿宋_GB2312"/>
          <w:color w:val="auto"/>
          <w:kern w:val="0"/>
          <w:sz w:val="32"/>
          <w:szCs w:val="32"/>
          <w:lang w:val="en-US" w:eastAsia="zh-CN"/>
        </w:rPr>
        <w:t>服务，</w:t>
      </w:r>
      <w:r>
        <w:rPr>
          <w:rFonts w:hint="eastAsia" w:ascii="仿宋_GB2312" w:hAnsi="仿宋_GB2312" w:eastAsia="仿宋_GB2312" w:cs="仿宋_GB2312"/>
          <w:color w:val="auto"/>
          <w:kern w:val="0"/>
          <w:sz w:val="32"/>
          <w:szCs w:val="32"/>
          <w:lang w:val="en-US" w:eastAsia="zh-CN"/>
        </w:rPr>
        <w:t>使预算工作有序、圆满完成，无违规现象。</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zh-CN" w:eastAsia="zh-CN"/>
        </w:rPr>
        <w:t>本单位按照严格、真实的原则对本部门整体支出绩效情况进行自评，对取得的成效和存在的问题进行仔细分析并提出下一步整改方案，同时按照财政要求在规定的时间点在规定的网站对绩效目标和自评进行公开，并对相关部门反馈的评价结果和应用结果进行及时整改，逐步完善部门整体预算绩效管理工作。</w:t>
      </w:r>
    </w:p>
    <w:p>
      <w:pPr>
        <w:spacing w:line="580" w:lineRule="exact"/>
        <w:ind w:firstLine="640"/>
        <w:contextualSpacing/>
        <w:rPr>
          <w:rFonts w:hint="eastAsia" w:ascii="仿宋_GB2312" w:hAnsi="仿宋_GB2312" w:eastAsia="仿宋_GB2312" w:cs="仿宋_GB2312"/>
          <w:color w:val="auto"/>
          <w:kern w:val="0"/>
          <w:sz w:val="32"/>
          <w:szCs w:val="32"/>
          <w:lang w:val="zh-CN" w:eastAsia="zh-CN"/>
        </w:rPr>
      </w:pPr>
      <w:r>
        <w:rPr>
          <w:rFonts w:hint="eastAsia" w:ascii="楷体_GB2312" w:hAnsi="宋体" w:eastAsia="楷体_GB2312" w:cs="宋体"/>
          <w:color w:val="000000"/>
          <w:kern w:val="0"/>
          <w:sz w:val="32"/>
          <w:szCs w:val="32"/>
          <w:shd w:val="clear" w:color="auto" w:fill="FFFFFF"/>
          <w:lang w:val="zh-CN"/>
        </w:rPr>
        <w:t>（三）自评质量。</w:t>
      </w:r>
      <w:r>
        <w:rPr>
          <w:rFonts w:hint="eastAsia" w:ascii="仿宋_GB2312" w:hAnsi="仿宋_GB2312" w:eastAsia="仿宋_GB2312" w:cs="仿宋_GB2312"/>
          <w:color w:val="auto"/>
          <w:kern w:val="0"/>
          <w:sz w:val="32"/>
          <w:szCs w:val="32"/>
          <w:lang w:val="en-US" w:eastAsia="zh-CN"/>
        </w:rPr>
        <w:t>2021年我单位结合业务工作需要制定了项目年初预算，其中包括：中文域名注册1个项目，各项目按照计划有序实施，在实施过程中进行了事前、事中及事后自查和监督，确保了所有项目有序、规范开展并严格进行了项目验收工作，项目实际完成任务量和效果达到规划预期情况。</w:t>
      </w:r>
    </w:p>
    <w:p>
      <w:pPr>
        <w:widowControl/>
        <w:adjustRightInd w:val="0"/>
        <w:snapToGrid w:val="0"/>
        <w:spacing w:line="580" w:lineRule="exact"/>
        <w:ind w:firstLine="640" w:firstLineChars="200"/>
        <w:contextualSpacing/>
        <w:jc w:val="left"/>
        <w:outlineLvl w:val="1"/>
        <w:rPr>
          <w:rFonts w:ascii="黑体" w:hAnsi="黑体" w:eastAsia="黑体" w:cs="宋体"/>
          <w:color w:val="000000"/>
          <w:kern w:val="0"/>
          <w:sz w:val="32"/>
          <w:szCs w:val="32"/>
          <w:shd w:val="clear" w:color="auto" w:fill="FFFFFF"/>
        </w:rPr>
      </w:pPr>
      <w:bookmarkStart w:id="79" w:name="_Toc5900"/>
      <w:r>
        <w:rPr>
          <w:rFonts w:hint="eastAsia" w:ascii="黑体" w:hAnsi="黑体" w:eastAsia="黑体" w:cs="宋体"/>
          <w:color w:val="000000"/>
          <w:kern w:val="0"/>
          <w:sz w:val="32"/>
          <w:szCs w:val="32"/>
          <w:shd w:val="clear" w:color="auto" w:fill="FFFFFF"/>
        </w:rPr>
        <w:t>四、评价结论及建议</w:t>
      </w:r>
      <w:bookmarkEnd w:id="79"/>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lang w:val="zh-CN" w:eastAsia="zh-CN"/>
        </w:rPr>
      </w:pPr>
      <w:r>
        <w:rPr>
          <w:rFonts w:hint="eastAsia" w:ascii="楷体_GB2312" w:hAnsi="宋体" w:eastAsia="楷体_GB2312" w:cs="宋体"/>
          <w:color w:val="000000"/>
          <w:kern w:val="0"/>
          <w:sz w:val="32"/>
          <w:szCs w:val="32"/>
          <w:shd w:val="clear" w:color="auto" w:fill="FFFFFF"/>
          <w:lang w:val="zh-CN"/>
        </w:rPr>
        <w:t>（一）评价结论。</w:t>
      </w:r>
      <w:r>
        <w:rPr>
          <w:rFonts w:hint="eastAsia" w:ascii="仿宋_GB2312" w:hAnsi="仿宋_GB2312" w:eastAsia="仿宋_GB2312" w:cs="仿宋_GB2312"/>
          <w:color w:val="auto"/>
          <w:kern w:val="0"/>
          <w:sz w:val="32"/>
          <w:szCs w:val="32"/>
          <w:lang w:val="zh-CN" w:eastAsia="zh-CN"/>
        </w:rPr>
        <w:t>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w:t>
      </w:r>
      <w:r>
        <w:rPr>
          <w:rFonts w:hint="eastAsia" w:ascii="仿宋_GB2312" w:hAnsi="仿宋_GB2312" w:eastAsia="仿宋_GB2312" w:cs="仿宋_GB2312"/>
          <w:color w:val="auto"/>
          <w:kern w:val="0"/>
          <w:sz w:val="32"/>
          <w:szCs w:val="32"/>
          <w:lang w:val="en-US" w:eastAsia="zh-CN"/>
        </w:rPr>
        <w:t>金使用情况进行了动态调整，使预算管理工作取得最大化成效，切实提高部门预算收支管理水平。</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lang w:val="zh-CN" w:eastAsia="zh-CN"/>
        </w:rPr>
      </w:pPr>
      <w:r>
        <w:rPr>
          <w:rFonts w:hint="eastAsia" w:ascii="楷体_GB2312" w:hAnsi="宋体" w:eastAsia="楷体_GB2312" w:cs="宋体"/>
          <w:color w:val="000000"/>
          <w:kern w:val="0"/>
          <w:sz w:val="32"/>
          <w:szCs w:val="32"/>
          <w:shd w:val="clear" w:color="auto" w:fill="FFFFFF"/>
          <w:lang w:val="zh-CN"/>
        </w:rPr>
        <w:t>（二）存在问题。</w:t>
      </w: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color w:val="auto"/>
          <w:kern w:val="0"/>
          <w:sz w:val="32"/>
          <w:szCs w:val="32"/>
          <w:lang w:val="zh-CN" w:eastAsia="zh-CN"/>
        </w:rPr>
        <w:t>部门整体预算绩效管理工作我单位还存在预算管理制度不健全、预算编制粗放、预算执行分析不及时、不准确等问题。</w:t>
      </w:r>
    </w:p>
    <w:p>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楷体_GB2312" w:hAnsi="宋体" w:eastAsia="楷体_GB2312" w:cs="宋体"/>
          <w:color w:val="000000"/>
          <w:kern w:val="0"/>
          <w:sz w:val="32"/>
          <w:szCs w:val="32"/>
          <w:shd w:val="clear" w:color="auto" w:fill="FFFFFF"/>
          <w:lang w:val="zh-CN"/>
        </w:rPr>
        <w:t>（三）改进建议。</w:t>
      </w:r>
      <w:r>
        <w:rPr>
          <w:rFonts w:hint="eastAsia" w:ascii="仿宋_GB2312" w:hAnsi="仿宋_GB2312" w:eastAsia="仿宋_GB2312" w:cs="仿宋_GB2312"/>
          <w:color w:val="auto"/>
          <w:kern w:val="0"/>
          <w:sz w:val="32"/>
          <w:szCs w:val="32"/>
          <w:shd w:val="clear" w:color="auto" w:fill="FFFFFF"/>
          <w:lang w:val="en-US" w:eastAsia="zh-CN"/>
        </w:rPr>
        <w:t>1、科学合理编制预算，严格执行预算绩效管理；2、规范账务处理，提高财务信息质量；3、完善管理制度，进一步加强资产管理；4、加强财务专业知识学习培训。</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（三）改进建议。</w:t>
      </w:r>
    </w:p>
    <w:p>
      <w:pPr>
        <w:widowControl/>
        <w:adjustRightInd w:val="0"/>
        <w:snapToGrid w:val="0"/>
        <w:spacing w:line="580" w:lineRule="exact"/>
        <w:ind w:firstLine="960" w:firstLineChars="3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无。</w:t>
      </w: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专项预算项目支出绩效自评报告范本</w:t>
      </w:r>
    </w:p>
    <w:p>
      <w:pPr>
        <w:keepNext w:val="0"/>
        <w:keepLines w:val="0"/>
        <w:pageBreakBefore w:val="0"/>
        <w:widowControl w:val="0"/>
        <w:kinsoku/>
        <w:wordWrap/>
        <w:overflowPunct/>
        <w:topLinePunct w:val="0"/>
        <w:autoSpaceDE/>
        <w:autoSpaceDN/>
        <w:bidi w:val="0"/>
        <w:spacing w:line="600" w:lineRule="exact"/>
        <w:ind w:firstLine="2300" w:firstLineChars="719"/>
        <w:jc w:val="both"/>
        <w:textAlignment w:val="auto"/>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w:t>
      </w:r>
      <w:r>
        <w:rPr>
          <w:rFonts w:hint="eastAsia" w:ascii="仿宋_GB2312"/>
          <w:color w:val="333333"/>
          <w:sz w:val="32"/>
          <w:szCs w:val="32"/>
          <w:lang w:eastAsia="zh-CN"/>
        </w:rPr>
        <w:t>中文</w:t>
      </w:r>
      <w:r>
        <w:rPr>
          <w:rFonts w:hint="eastAsia" w:ascii="仿宋_GB2312"/>
          <w:color w:val="333333"/>
          <w:sz w:val="32"/>
          <w:szCs w:val="32"/>
        </w:rPr>
        <w:t>域名注册</w:t>
      </w:r>
      <w:r>
        <w:rPr>
          <w:rFonts w:hint="eastAsia" w:ascii="仿宋_GB2312"/>
          <w:color w:val="333333"/>
          <w:sz w:val="32"/>
          <w:szCs w:val="32"/>
          <w:lang w:eastAsia="zh-CN"/>
        </w:rPr>
        <w:t>工作</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numPr>
          <w:ilvl w:val="0"/>
          <w:numId w:val="6"/>
        </w:numPr>
        <w:adjustRightInd w:val="0"/>
        <w:snapToGrid w:val="0"/>
        <w:spacing w:line="560" w:lineRule="exact"/>
        <w:ind w:firstLine="720"/>
        <w:outlineLvl w:val="1"/>
        <w:rPr>
          <w:rFonts w:hint="eastAsia" w:ascii="黑体" w:hAnsi="宋体" w:eastAsia="黑体"/>
          <w:sz w:val="32"/>
          <w:szCs w:val="32"/>
          <w:lang w:val="zh-CN"/>
        </w:rPr>
      </w:pPr>
      <w:bookmarkStart w:id="80" w:name="_Toc9931"/>
      <w:r>
        <w:rPr>
          <w:rFonts w:hint="eastAsia" w:ascii="黑体" w:hAnsi="宋体" w:eastAsia="黑体"/>
          <w:sz w:val="32"/>
          <w:szCs w:val="32"/>
          <w:lang w:val="zh-CN"/>
        </w:rPr>
        <w:t>项目概况</w:t>
      </w:r>
      <w:bookmarkEnd w:id="80"/>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lang w:val="zh-CN"/>
        </w:rPr>
      </w:pPr>
      <w:r>
        <w:rPr>
          <w:rFonts w:hint="eastAsia" w:ascii="楷体_GB2312" w:hAnsi="宋体" w:eastAsia="楷体_GB2312" w:cs="Times New Roman"/>
          <w:b/>
          <w:color w:val="auto"/>
          <w:sz w:val="32"/>
          <w:szCs w:val="32"/>
          <w:highlight w:val="none"/>
          <w:lang w:val="zh-CN"/>
        </w:rPr>
        <w:t>（一）项目基本情况。</w:t>
      </w:r>
    </w:p>
    <w:p>
      <w:pPr>
        <w:adjustRightInd w:val="0"/>
        <w:snapToGrid w:val="0"/>
        <w:spacing w:line="600" w:lineRule="exact"/>
        <w:ind w:firstLine="720"/>
        <w:rPr>
          <w:rFonts w:hint="eastAsia" w:ascii="仿宋_GB2312"/>
          <w:color w:val="333333"/>
          <w:sz w:val="32"/>
          <w:szCs w:val="32"/>
        </w:rPr>
      </w:pPr>
      <w:r>
        <w:rPr>
          <w:rFonts w:hint="eastAsia" w:ascii="仿宋_GB2312"/>
          <w:color w:val="333333"/>
          <w:sz w:val="32"/>
          <w:szCs w:val="32"/>
          <w:lang w:eastAsia="zh-CN"/>
        </w:rPr>
        <w:t>中文</w:t>
      </w:r>
      <w:r>
        <w:rPr>
          <w:rFonts w:hint="eastAsia" w:ascii="仿宋_GB2312"/>
          <w:color w:val="333333"/>
          <w:sz w:val="32"/>
          <w:szCs w:val="32"/>
        </w:rPr>
        <w:t>域名注册工作是指党政机关、事业单位和社会组织须注册和使用规范的“.政务”或“.公益”专用中文域名，中文域名管理工作市机构编制管理机关的重要工作，是网上名称管理工作的基础和主线。</w:t>
      </w:r>
    </w:p>
    <w:p>
      <w:pPr>
        <w:adjustRightInd w:val="0"/>
        <w:snapToGrid w:val="0"/>
        <w:spacing w:line="600" w:lineRule="exact"/>
        <w:ind w:firstLine="720"/>
        <w:rPr>
          <w:rFonts w:ascii="仿宋_GB2312" w:hAnsi="宋体"/>
          <w:sz w:val="32"/>
          <w:szCs w:val="32"/>
        </w:rPr>
      </w:pPr>
      <w:r>
        <w:rPr>
          <w:rFonts w:hint="eastAsia" w:ascii="楷体_GB2312" w:hAnsi="宋体" w:eastAsia="楷体_GB2312"/>
          <w:b/>
          <w:sz w:val="32"/>
          <w:szCs w:val="32"/>
          <w:lang w:val="zh-CN"/>
        </w:rPr>
        <w:t>（二）项目绩效目标。</w:t>
      </w:r>
      <w:r>
        <w:rPr>
          <w:rFonts w:hint="eastAsia" w:ascii="仿宋_GB2312" w:hAnsi="宋体"/>
          <w:sz w:val="32"/>
          <w:szCs w:val="32"/>
        </w:rPr>
        <w:t>20</w:t>
      </w:r>
      <w:r>
        <w:rPr>
          <w:rFonts w:hint="eastAsia" w:ascii="仿宋_GB2312" w:hAnsi="宋体"/>
          <w:sz w:val="32"/>
          <w:szCs w:val="32"/>
          <w:lang w:val="en-US" w:eastAsia="zh-CN"/>
        </w:rPr>
        <w:t>21</w:t>
      </w:r>
      <w:r>
        <w:rPr>
          <w:rFonts w:hint="eastAsia" w:ascii="仿宋_GB2312" w:hAnsi="宋体"/>
          <w:sz w:val="32"/>
          <w:szCs w:val="32"/>
        </w:rPr>
        <w:t>年</w:t>
      </w:r>
      <w:r>
        <w:rPr>
          <w:rFonts w:hint="eastAsia" w:ascii="仿宋_GB2312" w:hAnsi="宋体"/>
          <w:sz w:val="32"/>
          <w:szCs w:val="32"/>
          <w:lang w:eastAsia="zh-CN"/>
        </w:rPr>
        <w:t>中文域名注册</w:t>
      </w:r>
      <w:r>
        <w:rPr>
          <w:rFonts w:hint="eastAsia" w:ascii="仿宋_GB2312" w:hAnsi="宋体"/>
          <w:sz w:val="32"/>
          <w:szCs w:val="32"/>
        </w:rPr>
        <w:t>费</w:t>
      </w:r>
      <w:r>
        <w:rPr>
          <w:rFonts w:hint="eastAsia" w:ascii="仿宋_GB2312" w:hAnsi="宋体"/>
          <w:sz w:val="32"/>
          <w:szCs w:val="32"/>
          <w:lang w:val="en-US" w:eastAsia="zh-CN"/>
        </w:rPr>
        <w:t>10.4</w:t>
      </w:r>
      <w:r>
        <w:rPr>
          <w:rFonts w:hint="eastAsia" w:ascii="仿宋_GB2312" w:hAnsi="宋体"/>
          <w:sz w:val="32"/>
          <w:szCs w:val="32"/>
        </w:rPr>
        <w:t>万元。具体绩效目标如下：</w:t>
      </w:r>
    </w:p>
    <w:p>
      <w:pPr>
        <w:widowControl/>
        <w:spacing w:line="600" w:lineRule="atLeast"/>
        <w:ind w:firstLine="640" w:firstLineChars="200"/>
        <w:jc w:val="left"/>
        <w:rPr>
          <w:rFonts w:ascii="宋体" w:hAnsi="宋体" w:eastAsia="宋体" w:cs="宋体"/>
          <w:color w:val="333333"/>
          <w:kern w:val="0"/>
          <w:sz w:val="32"/>
          <w:szCs w:val="32"/>
        </w:rPr>
      </w:pPr>
      <w:r>
        <w:rPr>
          <w:rFonts w:hint="eastAsia" w:ascii="仿宋_GB2312" w:hAnsi="宋体" w:cs="宋体"/>
          <w:color w:val="333333"/>
          <w:kern w:val="0"/>
          <w:sz w:val="32"/>
          <w:szCs w:val="32"/>
        </w:rPr>
        <w:t>1、通过开展中文域名工作，进一步加强党政机关网上名称管理，规范网站域名和网站名称，提高网站的权威性、严肃性、规范性，提高社会管理和公共服务水平，保障公众知情权、参与权和监督权，确保党政机关网站的安全运行和健康发展。</w:t>
      </w:r>
    </w:p>
    <w:p>
      <w:pPr>
        <w:widowControl/>
        <w:spacing w:line="600" w:lineRule="atLeast"/>
        <w:ind w:firstLine="640"/>
        <w:jc w:val="left"/>
        <w:rPr>
          <w:rFonts w:hint="eastAsia" w:ascii="宋体" w:hAnsi="宋体" w:eastAsia="宋体" w:cs="宋体"/>
          <w:color w:val="333333"/>
          <w:kern w:val="0"/>
          <w:sz w:val="32"/>
          <w:szCs w:val="32"/>
        </w:rPr>
      </w:pPr>
      <w:r>
        <w:rPr>
          <w:rFonts w:hint="eastAsia" w:ascii="仿宋_GB2312" w:hAnsi="宋体" w:cs="宋体"/>
          <w:color w:val="333333"/>
          <w:kern w:val="0"/>
          <w:sz w:val="32"/>
          <w:szCs w:val="32"/>
        </w:rPr>
        <w:t>2、完成年度全县中文域名续费工作。</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adjustRightInd w:val="0"/>
        <w:snapToGrid w:val="0"/>
        <w:spacing w:line="560" w:lineRule="exact"/>
        <w:ind w:firstLine="720"/>
        <w:rPr>
          <w:rFonts w:ascii="仿宋_GB2312" w:hAnsi="宋体"/>
          <w:sz w:val="32"/>
          <w:szCs w:val="32"/>
          <w:lang w:val="zh-CN"/>
        </w:rPr>
      </w:pPr>
      <w:r>
        <w:rPr>
          <w:rFonts w:hint="eastAsia" w:ascii="仿宋_GB2312" w:hAnsi="宋体"/>
          <w:sz w:val="32"/>
          <w:szCs w:val="32"/>
          <w:lang w:val="zh-CN"/>
        </w:rPr>
        <w:t>通过年初预算和中期调整确保了项目资金保障，项目具体实施中按照既定的内容和目标有序开展，使项目最终顺利完工并通过验收，体现了项目期初申报目标的合理性、可行性。</w:t>
      </w:r>
    </w:p>
    <w:p>
      <w:pPr>
        <w:pStyle w:val="2"/>
        <w:rPr>
          <w:rFonts w:hint="eastAsia"/>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lang w:val="zh-CN"/>
        </w:rPr>
      </w:pPr>
      <w:bookmarkStart w:id="81" w:name="_Toc10477"/>
      <w:r>
        <w:rPr>
          <w:rFonts w:hint="eastAsia" w:ascii="黑体" w:hAnsi="宋体" w:eastAsia="黑体" w:cs="Times New Roman"/>
          <w:color w:val="auto"/>
          <w:sz w:val="32"/>
          <w:szCs w:val="32"/>
          <w:highlight w:val="none"/>
        </w:rPr>
        <w:t>二、项目资金申报及使用情况</w:t>
      </w:r>
      <w:bookmarkEnd w:id="81"/>
    </w:p>
    <w:p>
      <w:pPr>
        <w:numPr>
          <w:ilvl w:val="0"/>
          <w:numId w:val="0"/>
        </w:numPr>
        <w:adjustRightInd w:val="0"/>
        <w:snapToGrid w:val="0"/>
        <w:spacing w:line="560" w:lineRule="exact"/>
        <w:ind w:firstLine="643" w:firstLineChars="200"/>
        <w:rPr>
          <w:rFonts w:ascii="仿宋_GB2312" w:hAnsi="宋体"/>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仿宋_GB2312" w:eastAsia="仿宋_GB2312" w:cs="仿宋_GB2312"/>
          <w:b w:val="0"/>
          <w:bCs/>
          <w:sz w:val="32"/>
          <w:szCs w:val="32"/>
          <w:lang w:val="zh-CN"/>
        </w:rPr>
        <w:t>中文域名注册</w:t>
      </w:r>
      <w:r>
        <w:rPr>
          <w:rFonts w:hint="eastAsia" w:ascii="仿宋_GB2312" w:hAnsi="宋体"/>
          <w:sz w:val="32"/>
          <w:szCs w:val="32"/>
          <w:lang w:val="zh-CN"/>
        </w:rPr>
        <w:t>项目资金为年初预算</w:t>
      </w:r>
      <w:r>
        <w:rPr>
          <w:rFonts w:hint="eastAsia" w:ascii="仿宋_GB2312" w:hAnsi="宋体"/>
          <w:sz w:val="32"/>
          <w:szCs w:val="32"/>
          <w:lang w:val="en-US" w:eastAsia="zh-CN"/>
        </w:rPr>
        <w:t>10.4万元，财政审核下达调整后指标，单位根据指标申请经费，进行拨付，通过中期调整实现了项目资源整合，使本单位各项项目经费按实按需调整，符合资金管理办法并实现资源利用最大化。</w:t>
      </w:r>
    </w:p>
    <w:p>
      <w:pPr>
        <w:adjustRightInd w:val="0"/>
        <w:snapToGrid w:val="0"/>
        <w:spacing w:line="560" w:lineRule="exact"/>
        <w:ind w:firstLine="720"/>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adjustRightInd w:val="0"/>
        <w:snapToGrid w:val="0"/>
        <w:spacing w:line="600" w:lineRule="exact"/>
        <w:ind w:firstLine="720"/>
        <w:rPr>
          <w:rFonts w:ascii="仿宋_GB2312" w:hAnsi="宋体"/>
          <w:sz w:val="32"/>
          <w:szCs w:val="32"/>
          <w:lang w:val="zh-CN"/>
        </w:rPr>
      </w:pPr>
      <w:r>
        <w:rPr>
          <w:rFonts w:hint="eastAsia" w:ascii="楷体_GB2312" w:hAnsi="宋体" w:eastAsia="楷体_GB2312"/>
          <w:sz w:val="32"/>
          <w:szCs w:val="32"/>
          <w:lang w:val="zh-CN"/>
        </w:rPr>
        <w:t>1．资金计划及到位。</w:t>
      </w:r>
      <w:r>
        <w:rPr>
          <w:rFonts w:hint="eastAsia" w:ascii="仿宋_GB2312" w:hAnsi="宋体"/>
          <w:sz w:val="32"/>
          <w:szCs w:val="32"/>
        </w:rPr>
        <w:t>结合单位工作实际，根据项目资金计划，年初预算</w:t>
      </w:r>
      <w:r>
        <w:rPr>
          <w:rFonts w:hint="eastAsia" w:ascii="仿宋_GB2312" w:hAnsi="宋体"/>
          <w:sz w:val="32"/>
          <w:szCs w:val="32"/>
          <w:lang w:eastAsia="zh-CN"/>
        </w:rPr>
        <w:t>中文域名注册</w:t>
      </w:r>
      <w:r>
        <w:rPr>
          <w:rFonts w:hint="eastAsia" w:ascii="仿宋_GB2312" w:hAnsi="宋体"/>
          <w:sz w:val="32"/>
          <w:szCs w:val="32"/>
        </w:rPr>
        <w:t>费共计</w:t>
      </w:r>
      <w:r>
        <w:rPr>
          <w:rFonts w:hint="eastAsia" w:ascii="仿宋_GB2312" w:hAnsi="宋体"/>
          <w:sz w:val="32"/>
          <w:szCs w:val="32"/>
          <w:lang w:val="en-US" w:eastAsia="zh-CN"/>
        </w:rPr>
        <w:t>10.4</w:t>
      </w:r>
      <w:r>
        <w:rPr>
          <w:rFonts w:hint="eastAsia" w:ascii="仿宋_GB2312" w:hAnsi="宋体"/>
          <w:sz w:val="32"/>
          <w:szCs w:val="32"/>
        </w:rPr>
        <w:t>万元，该资金全部由财政拨款。</w:t>
      </w:r>
      <w:r>
        <w:rPr>
          <w:rFonts w:hint="eastAsia" w:ascii="仿宋_GB2312" w:hAnsi="宋体"/>
          <w:sz w:val="32"/>
          <w:szCs w:val="32"/>
          <w:lang w:eastAsia="zh-CN"/>
        </w:rPr>
        <w:t>中文域名注册</w:t>
      </w:r>
      <w:r>
        <w:rPr>
          <w:rFonts w:hint="eastAsia" w:ascii="仿宋_GB2312" w:hAnsi="宋体"/>
          <w:sz w:val="32"/>
          <w:szCs w:val="32"/>
        </w:rPr>
        <w:t>费项目</w:t>
      </w:r>
      <w:r>
        <w:rPr>
          <w:rFonts w:hint="eastAsia" w:ascii="仿宋_GB2312" w:hAnsi="仿宋_GB2312" w:cs="仿宋_GB2312"/>
          <w:sz w:val="32"/>
          <w:szCs w:val="32"/>
        </w:rPr>
        <w:t>到位资金</w:t>
      </w:r>
      <w:r>
        <w:rPr>
          <w:rFonts w:hint="eastAsia" w:ascii="仿宋_GB2312" w:hAnsi="仿宋_GB2312" w:cs="仿宋_GB2312"/>
          <w:sz w:val="32"/>
          <w:szCs w:val="32"/>
          <w:lang w:val="en-US" w:eastAsia="zh-CN"/>
        </w:rPr>
        <w:t>10.4</w:t>
      </w:r>
      <w:r>
        <w:rPr>
          <w:rFonts w:hint="eastAsia" w:ascii="仿宋_GB2312" w:hAnsi="仿宋_GB2312" w:cs="仿宋_GB2312"/>
          <w:sz w:val="32"/>
          <w:szCs w:val="32"/>
        </w:rPr>
        <w:t>万元。资金到位情况与资金使用情况一致，资金到位率</w:t>
      </w:r>
      <w:r>
        <w:rPr>
          <w:rFonts w:ascii="仿宋_GB2312" w:hAnsi="仿宋_GB2312" w:cs="仿宋_GB2312"/>
          <w:sz w:val="32"/>
          <w:szCs w:val="32"/>
        </w:rPr>
        <w:t>100%</w:t>
      </w:r>
      <w:r>
        <w:rPr>
          <w:rFonts w:hint="eastAsia" w:ascii="仿宋_GB2312" w:hAnsi="仿宋_GB2312" w:cs="仿宋_GB2312"/>
          <w:sz w:val="32"/>
          <w:szCs w:val="32"/>
        </w:rPr>
        <w:t>。</w:t>
      </w:r>
    </w:p>
    <w:p>
      <w:pPr>
        <w:adjustRightInd w:val="0"/>
        <w:snapToGrid w:val="0"/>
        <w:spacing w:line="600" w:lineRule="exact"/>
        <w:ind w:firstLine="720"/>
        <w:rPr>
          <w:rFonts w:ascii="仿宋_GB2312" w:hAnsi="宋体"/>
          <w:sz w:val="32"/>
          <w:szCs w:val="32"/>
        </w:rPr>
      </w:pPr>
      <w:r>
        <w:rPr>
          <w:rFonts w:hint="eastAsia" w:ascii="楷体_GB2312" w:hAnsi="宋体" w:eastAsia="楷体_GB2312"/>
          <w:sz w:val="32"/>
          <w:szCs w:val="32"/>
          <w:lang w:val="zh-CN"/>
        </w:rPr>
        <w:t>2．资金使用。</w:t>
      </w:r>
      <w:r>
        <w:rPr>
          <w:rFonts w:hint="eastAsia" w:ascii="仿宋_GB2312" w:hAnsi="宋体"/>
          <w:sz w:val="32"/>
          <w:szCs w:val="32"/>
        </w:rPr>
        <w:t>按照年初绩效目标设定，该项目共支出2.5</w:t>
      </w:r>
      <w:r>
        <w:rPr>
          <w:rFonts w:hint="eastAsia" w:ascii="仿宋_GB2312" w:hAnsi="宋体"/>
          <w:sz w:val="32"/>
          <w:szCs w:val="32"/>
          <w:lang w:val="en-US" w:eastAsia="zh-CN"/>
        </w:rPr>
        <w:t>7</w:t>
      </w:r>
      <w:r>
        <w:rPr>
          <w:rFonts w:hint="eastAsia" w:ascii="仿宋_GB2312" w:hAnsi="宋体"/>
          <w:sz w:val="32"/>
          <w:szCs w:val="32"/>
        </w:rPr>
        <w:t>万元。</w:t>
      </w:r>
    </w:p>
    <w:p>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pStyle w:val="2"/>
        <w:ind w:firstLine="640" w:firstLineChars="200"/>
        <w:rPr>
          <w:rFonts w:hint="eastAsia" w:ascii="仿宋_GB2312" w:hAnsi="宋体" w:eastAsia="宋体" w:cs="Times New Roman"/>
          <w:kern w:val="2"/>
          <w:sz w:val="32"/>
          <w:szCs w:val="32"/>
          <w:lang w:val="en-US" w:eastAsia="zh-CN" w:bidi="ar-SA"/>
        </w:rPr>
      </w:pPr>
      <w:r>
        <w:rPr>
          <w:rFonts w:hint="eastAsia" w:ascii="仿宋_GB2312" w:hAnsi="宋体" w:eastAsia="宋体" w:cs="Times New Roman"/>
          <w:kern w:val="2"/>
          <w:sz w:val="32"/>
          <w:szCs w:val="32"/>
          <w:lang w:val="en-US" w:eastAsia="zh-CN" w:bidi="ar-SA"/>
        </w:rPr>
        <w:t>该项目资金由财政下拨，项目完成据实申请并支付，财务管理严格、规范，会计核算由专人负责，保证项目资金专款专用。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82" w:name="_Toc12374"/>
      <w:r>
        <w:rPr>
          <w:rFonts w:hint="eastAsia" w:ascii="黑体" w:hAnsi="宋体" w:eastAsia="黑体" w:cs="Times New Roman"/>
          <w:color w:val="auto"/>
          <w:sz w:val="32"/>
          <w:szCs w:val="32"/>
          <w:highlight w:val="none"/>
        </w:rPr>
        <w:t>三、项目实施及管理情况</w:t>
      </w:r>
      <w:bookmarkEnd w:id="82"/>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p>
    <w:p>
      <w:pPr>
        <w:adjustRightInd w:val="0"/>
        <w:snapToGrid w:val="0"/>
        <w:spacing w:line="600" w:lineRule="exact"/>
        <w:ind w:firstLine="720"/>
        <w:rPr>
          <w:rFonts w:ascii="仿宋_GB2312" w:hAnsi="宋体"/>
          <w:sz w:val="32"/>
          <w:szCs w:val="32"/>
        </w:rPr>
      </w:pPr>
      <w:r>
        <w:rPr>
          <w:rFonts w:hint="eastAsia" w:ascii="仿宋_GB2312" w:hAnsi="宋体"/>
          <w:sz w:val="32"/>
          <w:szCs w:val="32"/>
        </w:rPr>
        <w:t>本项目为行政运行类，由分管领导负责，相关业务股室按照目标计划及规定的业务流程具体实施。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s="Times New Roman"/>
          <w:sz w:val="32"/>
          <w:szCs w:val="32"/>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cs="Times New Roman"/>
          <w:sz w:val="32"/>
          <w:szCs w:val="32"/>
          <w:lang w:val="zh-CN"/>
        </w:rPr>
        <w:t>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ascii="仿宋_GB2312" w:hAnsi="宋体"/>
          <w:sz w:val="32"/>
          <w:szCs w:val="32"/>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sz w:val="32"/>
          <w:szCs w:val="32"/>
        </w:rPr>
        <w:t>本项目实施均按照有关规章制度和项目实施要求进行，项目资金支付严格按照项目资金管理办法对资金进行计划申请、划拨、使用，保证项目实施达到预期效益。项目资金按资金计划，按项单独核算，做到专款专用；项目实施过程中制定项目计划表，指定分管领导、项目责任人，保障项目实施合规、高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仿宋_GB2312" w:hAnsi="宋体" w:eastAsia="仿宋_GB2312" w:cs="Times New Roman"/>
          <w:color w:val="auto"/>
          <w:sz w:val="32"/>
          <w:szCs w:val="32"/>
          <w:highlight w:val="none"/>
          <w:lang w:val="zh-CN"/>
        </w:rPr>
      </w:pPr>
      <w:bookmarkStart w:id="83" w:name="_Toc19162"/>
      <w:r>
        <w:rPr>
          <w:rFonts w:hint="eastAsia" w:ascii="黑体" w:hAnsi="宋体" w:eastAsia="黑体" w:cs="Times New Roman"/>
          <w:color w:val="auto"/>
          <w:sz w:val="32"/>
          <w:szCs w:val="32"/>
          <w:highlight w:val="none"/>
        </w:rPr>
        <w:t>四、项目绩效情况</w:t>
      </w:r>
      <w:bookmarkEnd w:id="83"/>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adjustRightInd w:val="0"/>
        <w:snapToGrid w:val="0"/>
        <w:spacing w:line="600" w:lineRule="exact"/>
        <w:ind w:firstLine="720"/>
        <w:rPr>
          <w:rFonts w:ascii="仿宋_GB2312" w:hAnsi="宋体"/>
          <w:sz w:val="32"/>
          <w:szCs w:val="32"/>
        </w:rPr>
      </w:pPr>
      <w:r>
        <w:rPr>
          <w:rFonts w:hint="eastAsia" w:ascii="仿宋_GB2312" w:hAnsi="宋体"/>
          <w:sz w:val="32"/>
          <w:szCs w:val="32"/>
        </w:rPr>
        <w:t>按照年初绩效目标设定，该项目预算数为</w:t>
      </w:r>
      <w:r>
        <w:rPr>
          <w:rFonts w:hint="eastAsia" w:ascii="仿宋_GB2312" w:hAnsi="宋体"/>
          <w:sz w:val="32"/>
          <w:szCs w:val="32"/>
          <w:lang w:val="en-US" w:eastAsia="zh-CN"/>
        </w:rPr>
        <w:t>10.4</w:t>
      </w:r>
      <w:r>
        <w:rPr>
          <w:rFonts w:hint="eastAsia" w:ascii="仿宋_GB2312" w:hAnsi="宋体"/>
          <w:sz w:val="32"/>
          <w:szCs w:val="32"/>
        </w:rPr>
        <w:t>万元，支出数为2.5</w:t>
      </w:r>
      <w:r>
        <w:rPr>
          <w:rFonts w:hint="eastAsia" w:ascii="仿宋_GB2312" w:hAnsi="宋体"/>
          <w:sz w:val="32"/>
          <w:szCs w:val="32"/>
          <w:lang w:val="en-US" w:eastAsia="zh-CN"/>
        </w:rPr>
        <w:t>7</w:t>
      </w:r>
      <w:r>
        <w:rPr>
          <w:rFonts w:hint="eastAsia" w:ascii="仿宋_GB2312" w:hAnsi="宋体"/>
          <w:sz w:val="32"/>
          <w:szCs w:val="32"/>
        </w:rPr>
        <w:t>万元。用于</w:t>
      </w:r>
      <w:r>
        <w:rPr>
          <w:rFonts w:hint="eastAsia" w:ascii="仿宋_GB2312"/>
          <w:color w:val="333333"/>
          <w:sz w:val="32"/>
          <w:szCs w:val="32"/>
        </w:rPr>
        <w:t>支付20</w:t>
      </w:r>
      <w:r>
        <w:rPr>
          <w:rFonts w:hint="eastAsia" w:ascii="仿宋_GB2312"/>
          <w:color w:val="333333"/>
          <w:sz w:val="32"/>
          <w:szCs w:val="32"/>
          <w:lang w:val="en-US" w:eastAsia="zh-CN"/>
        </w:rPr>
        <w:t>21</w:t>
      </w:r>
      <w:r>
        <w:rPr>
          <w:rFonts w:hint="eastAsia" w:ascii="仿宋_GB2312"/>
          <w:color w:val="333333"/>
          <w:sz w:val="32"/>
          <w:szCs w:val="32"/>
        </w:rPr>
        <w:t>年度中文域名续费费用2.5</w:t>
      </w:r>
      <w:r>
        <w:rPr>
          <w:rFonts w:hint="eastAsia" w:ascii="仿宋_GB2312"/>
          <w:color w:val="333333"/>
          <w:sz w:val="32"/>
          <w:szCs w:val="32"/>
          <w:lang w:val="en-US" w:eastAsia="zh-CN"/>
        </w:rPr>
        <w:t>7</w:t>
      </w:r>
      <w:r>
        <w:rPr>
          <w:rFonts w:hint="eastAsia" w:ascii="仿宋_GB2312"/>
          <w:color w:val="333333"/>
          <w:sz w:val="32"/>
          <w:szCs w:val="32"/>
        </w:rPr>
        <w:t>万元</w:t>
      </w:r>
      <w:r>
        <w:rPr>
          <w:rFonts w:hint="eastAsia" w:ascii="仿宋_GB2312" w:hAnsi="宋体"/>
          <w:sz w:val="32"/>
          <w:szCs w:val="32"/>
        </w:rPr>
        <w:t>。党政机关、事业单位的网站经机构编制管理机关核准后，须在其网站底部显著位置放置统一的网站标识，点击该标识将显示单位基本信息和网上名称等信息，以方便公众辨别网站真假,强化了对山寨网站及诈骗行为的安全防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pStyle w:val="16"/>
        <w:numPr>
          <w:ilvl w:val="0"/>
          <w:numId w:val="0"/>
        </w:numPr>
        <w:shd w:val="clear" w:color="auto" w:fill="FFFFFF"/>
        <w:spacing w:before="0" w:beforeAutospacing="0" w:after="0" w:afterAutospacing="0"/>
        <w:ind w:firstLine="640" w:firstLineChars="200"/>
        <w:jc w:val="both"/>
        <w:rPr>
          <w:rFonts w:hint="eastAsia" w:ascii="仿宋_GB2312" w:hAnsi="宋体" w:eastAsia="宋体" w:cs="Times New Roman"/>
          <w:kern w:val="2"/>
          <w:sz w:val="32"/>
          <w:szCs w:val="32"/>
          <w:lang w:val="en-US" w:eastAsia="zh-CN" w:bidi="ar-SA"/>
        </w:rPr>
      </w:pPr>
      <w:r>
        <w:rPr>
          <w:rFonts w:hint="eastAsia" w:ascii="仿宋_GB2312" w:hAnsi="宋体" w:eastAsia="宋体" w:cs="Times New Roman"/>
          <w:kern w:val="2"/>
          <w:sz w:val="32"/>
          <w:szCs w:val="32"/>
          <w:lang w:val="en-US" w:eastAsia="zh-CN" w:bidi="ar-SA"/>
        </w:rPr>
        <w:t>此项工作经费共10.4万元，实际使用2.57万元，全部用于项目开展，无超支情况。县委编办在开展工作中，本着勤俭节约、简单务实的原则，对各项经费进行了不断压缩和精简，实现公开透明，严禁虚报、冒领、挤占、挪用专项资金。</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84" w:name="_Toc6789"/>
      <w:r>
        <w:rPr>
          <w:rFonts w:hint="eastAsia" w:ascii="黑体" w:hAnsi="宋体" w:eastAsia="黑体" w:cs="Times New Roman"/>
          <w:color w:val="auto"/>
          <w:sz w:val="32"/>
          <w:szCs w:val="32"/>
          <w:highlight w:val="none"/>
        </w:rPr>
        <w:t>五、评价结论及建议</w:t>
      </w:r>
      <w:bookmarkEnd w:id="84"/>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adjustRightInd w:val="0"/>
        <w:snapToGrid w:val="0"/>
        <w:spacing w:line="600" w:lineRule="exact"/>
        <w:ind w:firstLine="640" w:firstLineChars="200"/>
        <w:rPr>
          <w:rFonts w:hint="eastAsia" w:ascii="仿宋_GB2312" w:hAnsi="宋体" w:cs="Times New Roman"/>
          <w:sz w:val="32"/>
          <w:szCs w:val="32"/>
          <w:lang w:val="zh-CN"/>
        </w:rPr>
      </w:pPr>
      <w:r>
        <w:rPr>
          <w:rFonts w:hint="eastAsia" w:ascii="仿宋_GB2312" w:hAnsi="宋体" w:cs="Times New Roman"/>
          <w:sz w:val="32"/>
          <w:szCs w:val="32"/>
          <w:lang w:val="zh-CN"/>
        </w:rPr>
        <w:t>项目按照预期目标完成。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adjustRightInd w:val="0"/>
        <w:snapToGrid w:val="0"/>
        <w:spacing w:line="600" w:lineRule="exact"/>
        <w:ind w:firstLine="640" w:firstLineChars="200"/>
        <w:rPr>
          <w:rFonts w:ascii="仿宋_GB2312" w:hAnsi="宋体" w:eastAsia="仿宋_GB2312" w:cs="Times New Roman"/>
          <w:color w:val="auto"/>
          <w:sz w:val="32"/>
          <w:szCs w:val="32"/>
          <w:highlight w:val="none"/>
          <w:lang w:val="zh-CN"/>
        </w:rPr>
      </w:pPr>
      <w:r>
        <w:rPr>
          <w:rFonts w:ascii="仿宋_GB2312" w:hAnsi="宋体"/>
          <w:sz w:val="32"/>
          <w:szCs w:val="32"/>
        </w:rPr>
        <w:t>中文域名注册费无存在问题。</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pStyle w:val="2"/>
        <w:ind w:firstLine="960" w:firstLineChars="300"/>
        <w:rPr>
          <w:rFonts w:hint="eastAsia"/>
          <w:color w:val="auto"/>
          <w:highlight w:val="none"/>
          <w:lang w:val="zh-CN"/>
        </w:rPr>
      </w:pPr>
      <w:r>
        <w:rPr>
          <w:rFonts w:hint="eastAsia" w:ascii="仿宋_GB2312" w:hAnsi="宋体"/>
          <w:sz w:val="32"/>
          <w:szCs w:val="32"/>
          <w:lang w:val="zh-CN"/>
        </w:rPr>
        <w:t>无。</w:t>
      </w:r>
    </w:p>
    <w:p>
      <w:pPr>
        <w:pStyle w:val="2"/>
        <w:rPr>
          <w:lang w:val="zh-CN"/>
        </w:rPr>
      </w:pPr>
    </w:p>
    <w:p>
      <w:pPr>
        <w:pStyle w:val="2"/>
        <w:rPr>
          <w:lang w:val="zh-CN"/>
        </w:rPr>
      </w:pPr>
    </w:p>
    <w:p>
      <w:pPr>
        <w:pStyle w:val="2"/>
        <w:rPr>
          <w:rFonts w:hint="eastAsia"/>
          <w:color w:val="auto"/>
          <w:sz w:val="32"/>
          <w:szCs w:val="32"/>
          <w:highlight w:val="none"/>
          <w:lang w:val="zh-CN"/>
        </w:rPr>
      </w:pPr>
    </w:p>
    <w:p>
      <w:pPr>
        <w:pStyle w:val="2"/>
        <w:rPr>
          <w:rFonts w:hint="eastAsia"/>
          <w:color w:val="auto"/>
          <w:sz w:val="32"/>
          <w:szCs w:val="32"/>
          <w:highlight w:val="none"/>
          <w:lang w:val="zh-CN"/>
        </w:rPr>
      </w:pPr>
    </w:p>
    <w:p>
      <w:pPr>
        <w:pStyle w:val="2"/>
        <w:rPr>
          <w:rFonts w:hint="eastAsia"/>
          <w:color w:val="auto"/>
          <w:sz w:val="32"/>
          <w:szCs w:val="32"/>
          <w:highlight w:val="none"/>
          <w:lang w:val="zh-CN"/>
        </w:rPr>
      </w:pPr>
    </w:p>
    <w:p>
      <w:pPr>
        <w:pStyle w:val="2"/>
        <w:rPr>
          <w:rFonts w:hint="eastAsia"/>
          <w:color w:val="auto"/>
          <w:sz w:val="32"/>
          <w:szCs w:val="32"/>
          <w:highlight w:val="none"/>
          <w:lang w:val="zh-CN"/>
        </w:rPr>
      </w:pPr>
    </w:p>
    <w:p>
      <w:pPr>
        <w:pStyle w:val="2"/>
        <w:rPr>
          <w:rFonts w:hint="eastAsia"/>
          <w:color w:val="auto"/>
          <w:sz w:val="32"/>
          <w:szCs w:val="32"/>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spacing w:line="600" w:lineRule="exact"/>
        <w:jc w:val="center"/>
        <w:outlineLvl w:val="0"/>
        <w:rPr>
          <w:rFonts w:hint="eastAsia" w:ascii="仿宋" w:hAnsi="仿宋" w:eastAsia="仿宋"/>
          <w:b w:val="0"/>
          <w:color w:val="auto"/>
          <w:highlight w:val="none"/>
        </w:rPr>
      </w:pPr>
      <w:bookmarkStart w:id="85" w:name="_Toc15396618"/>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74"/>
      <w:bookmarkEnd w:id="85"/>
      <w:bookmarkStart w:id="86"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86"/>
    </w:p>
    <w:p>
      <w:pPr>
        <w:pStyle w:val="4"/>
        <w:rPr>
          <w:rFonts w:ascii="仿宋" w:hAnsi="仿宋" w:eastAsia="仿宋"/>
          <w:color w:val="auto"/>
          <w:highlight w:val="none"/>
        </w:rPr>
      </w:pPr>
      <w:bookmarkStart w:id="87" w:name="_Toc15396620"/>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87"/>
    </w:p>
    <w:p>
      <w:pPr>
        <w:pStyle w:val="4"/>
        <w:rPr>
          <w:rFonts w:ascii="仿宋" w:hAnsi="仿宋" w:eastAsia="仿宋"/>
          <w:color w:val="auto"/>
          <w:highlight w:val="none"/>
        </w:rPr>
      </w:pPr>
      <w:bookmarkStart w:id="88" w:name="_Toc15396621"/>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88"/>
    </w:p>
    <w:p>
      <w:pPr>
        <w:pStyle w:val="4"/>
        <w:rPr>
          <w:rFonts w:ascii="仿宋" w:hAnsi="仿宋" w:eastAsia="仿宋"/>
          <w:b w:val="0"/>
          <w:color w:val="auto"/>
          <w:highlight w:val="none"/>
        </w:rPr>
      </w:pPr>
      <w:bookmarkStart w:id="89" w:name="_Toc15396622"/>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89"/>
    </w:p>
    <w:p>
      <w:pPr>
        <w:pStyle w:val="4"/>
        <w:rPr>
          <w:rStyle w:val="32"/>
          <w:rFonts w:ascii="仿宋" w:hAnsi="仿宋" w:eastAsia="仿宋"/>
          <w:b w:val="0"/>
          <w:bCs w:val="0"/>
          <w:color w:val="auto"/>
          <w:highlight w:val="none"/>
        </w:rPr>
      </w:pPr>
      <w:bookmarkStart w:id="90" w:name="_Toc15396623"/>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90"/>
      <w:bookmarkStart w:id="91" w:name="_Toc15396624"/>
    </w:p>
    <w:p>
      <w:pPr>
        <w:pStyle w:val="4"/>
        <w:rPr>
          <w:rFonts w:ascii="仿宋" w:hAnsi="仿宋" w:eastAsia="仿宋"/>
          <w:color w:val="auto"/>
          <w:highlight w:val="none"/>
        </w:rPr>
      </w:pPr>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91"/>
    </w:p>
    <w:p>
      <w:pPr>
        <w:pStyle w:val="4"/>
        <w:rPr>
          <w:rFonts w:ascii="仿宋" w:hAnsi="仿宋" w:eastAsia="仿宋"/>
          <w:color w:val="auto"/>
          <w:highlight w:val="none"/>
        </w:rPr>
      </w:pPr>
      <w:bookmarkStart w:id="92" w:name="_Toc15396625"/>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92"/>
    </w:p>
    <w:p>
      <w:pPr>
        <w:pStyle w:val="4"/>
        <w:rPr>
          <w:rFonts w:ascii="仿宋" w:hAnsi="仿宋" w:eastAsia="仿宋"/>
          <w:color w:val="auto"/>
          <w:highlight w:val="none"/>
        </w:rPr>
      </w:pPr>
      <w:bookmarkStart w:id="93" w:name="_Toc15396626"/>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93"/>
    </w:p>
    <w:p>
      <w:pPr>
        <w:pStyle w:val="4"/>
        <w:rPr>
          <w:rFonts w:ascii="仿宋" w:hAnsi="仿宋" w:eastAsia="仿宋"/>
          <w:color w:val="auto"/>
          <w:highlight w:val="none"/>
        </w:rPr>
      </w:pPr>
      <w:bookmarkStart w:id="94" w:name="_Toc15396627"/>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94"/>
    </w:p>
    <w:p>
      <w:pPr>
        <w:pStyle w:val="4"/>
        <w:rPr>
          <w:rFonts w:ascii="仿宋" w:hAnsi="仿宋" w:eastAsia="仿宋"/>
          <w:color w:val="auto"/>
          <w:highlight w:val="none"/>
        </w:rPr>
      </w:pPr>
      <w:bookmarkStart w:id="95" w:name="_Toc15396628"/>
      <w:r>
        <w:rPr>
          <w:rStyle w:val="32"/>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般公共预算财政拨款“三公”经费支出决算表</w:t>
      </w:r>
      <w:bookmarkEnd w:id="95"/>
    </w:p>
    <w:p>
      <w:pPr>
        <w:pStyle w:val="4"/>
        <w:rPr>
          <w:rFonts w:ascii="仿宋" w:hAnsi="仿宋" w:eastAsia="仿宋"/>
          <w:color w:val="auto"/>
          <w:highlight w:val="none"/>
        </w:rPr>
      </w:pPr>
      <w:bookmarkStart w:id="96" w:name="_Toc15396629"/>
      <w:r>
        <w:rPr>
          <w:rStyle w:val="32"/>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bookmarkEnd w:id="96"/>
    </w:p>
    <w:p>
      <w:pPr>
        <w:pStyle w:val="4"/>
        <w:rPr>
          <w:rFonts w:ascii="仿宋" w:hAnsi="仿宋" w:eastAsia="仿宋"/>
          <w:color w:val="auto"/>
          <w:highlight w:val="none"/>
        </w:rPr>
      </w:pPr>
      <w:bookmarkStart w:id="97" w:name="_Toc15396630"/>
      <w:r>
        <w:rPr>
          <w:rStyle w:val="32"/>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府性基金预算财政拨款“三公”经费支出决算表</w:t>
      </w:r>
      <w:bookmarkEnd w:id="97"/>
    </w:p>
    <w:p>
      <w:pPr>
        <w:pStyle w:val="4"/>
        <w:rPr>
          <w:rStyle w:val="32"/>
          <w:rFonts w:hint="eastAsia" w:ascii="仿宋" w:hAnsi="仿宋" w:eastAsia="仿宋"/>
          <w:b w:val="0"/>
          <w:bCs w:val="0"/>
          <w:color w:val="auto"/>
          <w:highlight w:val="none"/>
        </w:rPr>
      </w:pPr>
      <w:bookmarkStart w:id="98" w:name="_Toc15396631"/>
      <w:r>
        <w:rPr>
          <w:rStyle w:val="32"/>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bookmarkEnd w:id="98"/>
    </w:p>
    <w:p>
      <w:pPr>
        <w:rPr>
          <w:rFonts w:hint="eastAsia" w:eastAsia="仿宋"/>
          <w:color w:val="auto"/>
          <w:highlight w:val="none"/>
          <w:lang w:eastAsia="zh-CN"/>
        </w:rPr>
      </w:pPr>
      <w:r>
        <w:rPr>
          <w:rStyle w:val="32"/>
          <w:rFonts w:hint="eastAsia" w:ascii="仿宋" w:hAnsi="仿宋" w:eastAsia="仿宋"/>
          <w:b w:val="0"/>
          <w:bCs w:val="0"/>
          <w:color w:val="auto"/>
          <w:highlight w:val="none"/>
          <w:lang w:eastAsia="zh-CN"/>
        </w:rPr>
        <w:t>十四、国有资本经营预算财政拨款支出决算表</w:t>
      </w:r>
    </w:p>
    <w:sectPr>
      <w:pgSz w:w="11906" w:h="16838"/>
      <w:pgMar w:top="2041" w:right="1468" w:bottom="1587" w:left="146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376FAD"/>
    <w:multiLevelType w:val="singleLevel"/>
    <w:tmpl w:val="A0376FAD"/>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9639229"/>
    <w:multiLevelType w:val="singleLevel"/>
    <w:tmpl w:val="69639229"/>
    <w:lvl w:ilvl="0" w:tentative="0">
      <w:start w:val="1"/>
      <w:numFmt w:val="chineseCounting"/>
      <w:suff w:val="nothing"/>
      <w:lvlText w:val="%1、"/>
      <w:lvlJc w:val="left"/>
      <w:rPr>
        <w:rFonts w:hint="eastAsia"/>
      </w:rPr>
    </w:lvl>
  </w:abstractNum>
  <w:abstractNum w:abstractNumId="5">
    <w:nsid w:val="715AFBCC"/>
    <w:multiLevelType w:val="singleLevel"/>
    <w:tmpl w:val="715AFBCC"/>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NWM3NjQxOTIxM2FhZjAzZjJlOWU5M2ViNjBmZG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8D100E0"/>
    <w:rsid w:val="0A2032A3"/>
    <w:rsid w:val="101860EC"/>
    <w:rsid w:val="10C055FF"/>
    <w:rsid w:val="118107EC"/>
    <w:rsid w:val="13D50BC4"/>
    <w:rsid w:val="16372723"/>
    <w:rsid w:val="16BB723D"/>
    <w:rsid w:val="177C5B78"/>
    <w:rsid w:val="1AB118EE"/>
    <w:rsid w:val="1AFA3008"/>
    <w:rsid w:val="1BE8440E"/>
    <w:rsid w:val="1D155CEE"/>
    <w:rsid w:val="1D8A1A9A"/>
    <w:rsid w:val="23860B96"/>
    <w:rsid w:val="240371BF"/>
    <w:rsid w:val="24F24FBC"/>
    <w:rsid w:val="25772EBD"/>
    <w:rsid w:val="29FD04D3"/>
    <w:rsid w:val="2C8A61B5"/>
    <w:rsid w:val="2DF04E50"/>
    <w:rsid w:val="319F7F4E"/>
    <w:rsid w:val="36AA5135"/>
    <w:rsid w:val="37E16F03"/>
    <w:rsid w:val="3D98207C"/>
    <w:rsid w:val="3F1A154C"/>
    <w:rsid w:val="40593DFA"/>
    <w:rsid w:val="44E268DA"/>
    <w:rsid w:val="45633697"/>
    <w:rsid w:val="45DB7559"/>
    <w:rsid w:val="4A627F82"/>
    <w:rsid w:val="4B4F25DA"/>
    <w:rsid w:val="4BE068DB"/>
    <w:rsid w:val="4C481197"/>
    <w:rsid w:val="4D577224"/>
    <w:rsid w:val="4EAB630A"/>
    <w:rsid w:val="4ECE2238"/>
    <w:rsid w:val="4FF726CB"/>
    <w:rsid w:val="5AF92295"/>
    <w:rsid w:val="5CD71FC4"/>
    <w:rsid w:val="67391551"/>
    <w:rsid w:val="6C4A05C8"/>
    <w:rsid w:val="6E7E3605"/>
    <w:rsid w:val="6FF5CC65"/>
    <w:rsid w:val="70AF17AC"/>
    <w:rsid w:val="715C0E4B"/>
    <w:rsid w:val="72734D90"/>
    <w:rsid w:val="73AD73D5"/>
    <w:rsid w:val="73B6EB34"/>
    <w:rsid w:val="74482772"/>
    <w:rsid w:val="77644EFA"/>
    <w:rsid w:val="79EE5BA4"/>
    <w:rsid w:val="7A894339"/>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Body Text Indent"/>
    <w:basedOn w:val="1"/>
    <w:unhideWhenUsed/>
    <w:qFormat/>
    <w:uiPriority w:val="99"/>
    <w:pPr>
      <w:tabs>
        <w:tab w:val="left" w:pos="960"/>
      </w:tabs>
      <w:spacing w:line="540" w:lineRule="exact"/>
      <w:ind w:firstLine="5440" w:firstLineChars="1700"/>
    </w:pPr>
    <w:rPr>
      <w:sz w:val="3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basedOn w:val="1"/>
    <w:next w:val="1"/>
    <w:qFormat/>
    <w:uiPriority w:val="99"/>
    <w:pPr>
      <w:spacing w:after="120" w:line="480" w:lineRule="auto"/>
      <w:ind w:left="200" w:leftChars="2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Body Text First Indent 2"/>
    <w:basedOn w:val="7"/>
    <w:unhideWhenUsed/>
    <w:qFormat/>
    <w:uiPriority w:val="99"/>
    <w:pPr>
      <w:ind w:firstLine="420" w:firstLineChars="200"/>
    </w:p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qFormat/>
    <w:uiPriority w:val="0"/>
    <w:pPr>
      <w:spacing w:before="240" w:after="60"/>
      <w:jc w:val="center"/>
      <w:outlineLvl w:val="0"/>
    </w:pPr>
    <w:rPr>
      <w:rFonts w:ascii="Arial" w:hAnsi="Arial" w:cs="Arial"/>
      <w:b/>
      <w:bCs/>
      <w:sz w:val="32"/>
      <w:szCs w:val="32"/>
    </w:rPr>
  </w:style>
  <w:style w:type="character" w:styleId="19">
    <w:name w:val="Strong"/>
    <w:basedOn w:val="18"/>
    <w:qFormat/>
    <w:uiPriority w:val="99"/>
    <w:rPr>
      <w:b/>
    </w:rPr>
  </w:style>
  <w:style w:type="character" w:styleId="20">
    <w:name w:val="Emphasis"/>
    <w:basedOn w:val="18"/>
    <w:qFormat/>
    <w:uiPriority w:val="20"/>
    <w:rPr>
      <w:i/>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8"/>
    <w:link w:val="3"/>
    <w:qFormat/>
    <w:uiPriority w:val="9"/>
    <w:rPr>
      <w:rFonts w:ascii="Times New Roman" w:hAnsi="Times New Roman"/>
      <w:b/>
      <w:bCs/>
      <w:kern w:val="44"/>
      <w:sz w:val="44"/>
      <w:szCs w:val="44"/>
    </w:rPr>
  </w:style>
  <w:style w:type="character" w:customStyle="1" w:styleId="32">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0"/>
    <w:semiHidden/>
    <w:qFormat/>
    <w:uiPriority w:val="99"/>
    <w:rPr>
      <w:rFonts w:ascii="Times New Roman" w:hAnsi="Times New Roman"/>
      <w:kern w:val="2"/>
      <w:sz w:val="18"/>
      <w:szCs w:val="18"/>
    </w:rPr>
  </w:style>
  <w:style w:type="character" w:customStyle="1" w:styleId="35">
    <w:name w:val="标题 3 Char"/>
    <w:basedOn w:val="18"/>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font41"/>
    <w:basedOn w:val="18"/>
    <w:qFormat/>
    <w:uiPriority w:val="0"/>
    <w:rPr>
      <w:rFonts w:ascii="宋体" w:hAnsi="宋体" w:eastAsia="宋体" w:cs="宋体"/>
      <w:color w:val="333333"/>
      <w:sz w:val="20"/>
      <w:szCs w:val="20"/>
      <w:u w:val="none"/>
    </w:rPr>
  </w:style>
  <w:style w:type="character" w:customStyle="1" w:styleId="38">
    <w:name w:val="font51"/>
    <w:basedOn w:val="18"/>
    <w:qFormat/>
    <w:uiPriority w:val="0"/>
    <w:rPr>
      <w:rFonts w:hint="eastAsia" w:ascii="宋体" w:hAnsi="宋体" w:eastAsia="宋体" w:cs="宋体"/>
      <w:color w:val="333333"/>
      <w:sz w:val="20"/>
      <w:szCs w:val="20"/>
      <w:u w:val="none"/>
    </w:rPr>
  </w:style>
  <w:style w:type="paragraph" w:customStyle="1" w:styleId="39">
    <w:name w:val="WPSOffice手动目录 1"/>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[工作簿1]Sheet1!$K$12:$K$13</c:f>
              <c:strCache>
                <c:ptCount val="2"/>
                <c:pt idx="0">
                  <c:v>2020年</c:v>
                </c:pt>
                <c:pt idx="1">
                  <c:v>2021年</c:v>
                </c:pt>
              </c:strCache>
            </c:strRef>
          </c:cat>
          <c:val>
            <c:numRef>
              <c:f>[工作簿1]Sheet1!$L$12:$L$13</c:f>
              <c:numCache>
                <c:formatCode>General</c:formatCode>
                <c:ptCount val="2"/>
                <c:pt idx="0">
                  <c:v>94.17</c:v>
                </c:pt>
                <c:pt idx="1">
                  <c:v>103.89</c:v>
                </c:pt>
              </c:numCache>
            </c:numRef>
          </c:val>
        </c:ser>
        <c:dLbls>
          <c:showLegendKey val="0"/>
          <c:showVal val="1"/>
          <c:showCatName val="0"/>
          <c:showSerName val="0"/>
          <c:showPercent val="0"/>
          <c:showBubbleSize val="0"/>
        </c:dLbls>
        <c:gapWidth val="219"/>
        <c:overlap val="-27"/>
        <c:axId val="408105736"/>
        <c:axId val="480655851"/>
      </c:barChart>
      <c:catAx>
        <c:axId val="4081057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0655851"/>
        <c:crosses val="autoZero"/>
        <c:auto val="1"/>
        <c:lblAlgn val="ctr"/>
        <c:lblOffset val="100"/>
        <c:noMultiLvlLbl val="0"/>
      </c:catAx>
      <c:valAx>
        <c:axId val="4806558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105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[工作簿1]Sheet1!$J$44:$J$45</c:f>
              <c:strCache>
                <c:ptCount val="2"/>
                <c:pt idx="0">
                  <c:v>一般公共预算财政拨款收入</c:v>
                </c:pt>
                <c:pt idx="1">
                  <c:v>政府性基金预算财政拨款收入</c:v>
                </c:pt>
              </c:strCache>
            </c:strRef>
          </c:cat>
          <c:val>
            <c:numRef>
              <c:f>[工作簿1]Sheet1!$K$44:$K$45</c:f>
              <c:numCache>
                <c:formatCode>General</c:formatCode>
                <c:ptCount val="2"/>
                <c:pt idx="0">
                  <c:v>101.32</c:v>
                </c:pt>
                <c:pt idx="1">
                  <c:v>2.57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[工作簿1]Sheet1!$C$47:$C$48</c:f>
              <c:strCache>
                <c:ptCount val="2"/>
                <c:pt idx="0">
                  <c:v>基本支出</c:v>
                </c:pt>
                <c:pt idx="1">
                  <c:v>项目支出</c:v>
                </c:pt>
              </c:strCache>
            </c:strRef>
          </c:cat>
          <c:val>
            <c:numRef>
              <c:f>[工作簿1]Sheet1!$D$47:$D$48</c:f>
              <c:numCache>
                <c:formatCode>General</c:formatCode>
                <c:ptCount val="2"/>
                <c:pt idx="0">
                  <c:v>101.32</c:v>
                </c:pt>
                <c:pt idx="1">
                  <c:v>2.57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484166666666667"/>
          <c:y val="0.22037037037037"/>
          <c:w val="0.894638888888889"/>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[工作簿1]Sheet1!$K$12:$K$13</c:f>
              <c:strCache>
                <c:ptCount val="2"/>
                <c:pt idx="0">
                  <c:v>2020年</c:v>
                </c:pt>
                <c:pt idx="1">
                  <c:v>2021年</c:v>
                </c:pt>
              </c:strCache>
            </c:strRef>
          </c:cat>
          <c:val>
            <c:numRef>
              <c:f>[工作簿1]Sheet1!$L$12:$L$13</c:f>
              <c:numCache>
                <c:formatCode>General</c:formatCode>
                <c:ptCount val="2"/>
                <c:pt idx="0">
                  <c:v>94.17</c:v>
                </c:pt>
                <c:pt idx="1">
                  <c:v>103.89</c:v>
                </c:pt>
              </c:numCache>
            </c:numRef>
          </c:val>
        </c:ser>
        <c:dLbls>
          <c:showLegendKey val="0"/>
          <c:showVal val="1"/>
          <c:showCatName val="0"/>
          <c:showSerName val="0"/>
          <c:showPercent val="0"/>
          <c:showBubbleSize val="0"/>
        </c:dLbls>
        <c:gapWidth val="219"/>
        <c:overlap val="-27"/>
        <c:axId val="408105736"/>
        <c:axId val="480655851"/>
      </c:barChart>
      <c:catAx>
        <c:axId val="4081057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0655851"/>
        <c:crosses val="autoZero"/>
        <c:auto val="1"/>
        <c:lblAlgn val="ctr"/>
        <c:lblOffset val="100"/>
        <c:noMultiLvlLbl val="0"/>
      </c:catAx>
      <c:valAx>
        <c:axId val="4806558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105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[工作簿1]Sheet1!$K$12:$K$13</c:f>
              <c:strCache>
                <c:ptCount val="2"/>
                <c:pt idx="0">
                  <c:v>2020年</c:v>
                </c:pt>
                <c:pt idx="1">
                  <c:v>2021年</c:v>
                </c:pt>
              </c:strCache>
            </c:strRef>
          </c:cat>
          <c:val>
            <c:numRef>
              <c:f>[工作簿1]Sheet1!$L$12:$L$13</c:f>
              <c:numCache>
                <c:formatCode>General</c:formatCode>
                <c:ptCount val="2"/>
                <c:pt idx="0">
                  <c:v>94.17</c:v>
                </c:pt>
                <c:pt idx="1">
                  <c:v>101.32</c:v>
                </c:pt>
              </c:numCache>
            </c:numRef>
          </c:val>
        </c:ser>
        <c:dLbls>
          <c:showLegendKey val="0"/>
          <c:showVal val="1"/>
          <c:showCatName val="0"/>
          <c:showSerName val="0"/>
          <c:showPercent val="0"/>
          <c:showBubbleSize val="0"/>
        </c:dLbls>
        <c:gapWidth val="219"/>
        <c:overlap val="-27"/>
        <c:axId val="487539693"/>
        <c:axId val="615968744"/>
      </c:barChart>
      <c:catAx>
        <c:axId val="4875396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5968744"/>
        <c:crosses val="autoZero"/>
        <c:auto val="1"/>
        <c:lblAlgn val="ctr"/>
        <c:lblOffset val="100"/>
        <c:noMultiLvlLbl val="0"/>
      </c:catAx>
      <c:valAx>
        <c:axId val="615968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753969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[工作簿1]Sheet1!$J$86:$J$89</c:f>
              <c:strCache>
                <c:ptCount val="4"/>
                <c:pt idx="0">
                  <c:v>一般公共服务</c:v>
                </c:pt>
                <c:pt idx="1">
                  <c:v>社会保障和就业</c:v>
                </c:pt>
                <c:pt idx="2">
                  <c:v>卫生健康支出</c:v>
                </c:pt>
                <c:pt idx="3">
                  <c:v>住房保障支出</c:v>
                </c:pt>
              </c:strCache>
            </c:strRef>
          </c:cat>
          <c:val>
            <c:numRef>
              <c:f>[工作簿1]Sheet1!$K$86:$K$89</c:f>
              <c:numCache>
                <c:formatCode>General</c:formatCode>
                <c:ptCount val="4"/>
                <c:pt idx="0">
                  <c:v>76.08</c:v>
                </c:pt>
                <c:pt idx="1">
                  <c:v>12.97</c:v>
                </c:pt>
                <c:pt idx="2">
                  <c:v>3.47</c:v>
                </c:pt>
                <c:pt idx="3">
                  <c:v>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[工作簿1]Sheet1!$J$1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1"/>
              </a:solidFill>
              <a:ln w="12700" cap="flat" cmpd="sng" algn="ctr">
                <a:solidFill>
                  <a:schemeClr val="accent1">
                    <a:shade val="50000"/>
                  </a:schemeClr>
                </a:solidFill>
                <a:prstDash val="solid"/>
                <a:miter lim="800000"/>
              </a:ln>
              <a:effectLst/>
              <a:sp3d>
                <a:extrusionClr>
                  <a:srgbClr val="FFFFFF"/>
                </a:extrusionClr>
                <a:contourClr>
                  <a:srgbClr val="FFFFFF"/>
                </a:contourClr>
              </a:sp3d>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[工作簿1]Sheet1!$I$2:$I$4</c:f>
              <c:strCache>
                <c:ptCount val="3"/>
                <c:pt idx="0">
                  <c:v>因公出国（境）费支出</c:v>
                </c:pt>
                <c:pt idx="1">
                  <c:v>公务用车购置及运行维护费支出</c:v>
                </c:pt>
                <c:pt idx="2">
                  <c:v>公务接待费支出</c:v>
                </c:pt>
              </c:strCache>
            </c:strRef>
          </c:cat>
          <c:val>
            <c:numRef>
              <c:f>[工作簿1]Sheet1!$J$2:$J$4</c:f>
              <c:numCache>
                <c:formatCode>General</c:formatCode>
                <c:ptCount val="3"/>
                <c:pt idx="0">
                  <c:v>0</c:v>
                </c:pt>
                <c:pt idx="1">
                  <c:v>0</c:v>
                </c:pt>
                <c:pt idx="2">
                  <c:v>0.32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8838</Words>
  <Characters>9466</Characters>
  <Lines>61</Lines>
  <Paragraphs>17</Paragraphs>
  <TotalTime>4</TotalTime>
  <ScaleCrop>false</ScaleCrop>
  <LinksUpToDate>false</LinksUpToDate>
  <CharactersWithSpaces>10424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ebdongzx</cp:lastModifiedBy>
  <cp:lastPrinted>2022-10-25T12:28:00Z</cp:lastPrinted>
  <dcterms:modified xsi:type="dcterms:W3CDTF">2022-10-25T13:39:53Z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9F1059B25B0D4887A39142AFFC8F0213</vt:lpwstr>
  </property>
</Properties>
</file>