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1D4B1">
      <w:pPr>
        <w:spacing w:line="600" w:lineRule="exact"/>
        <w:jc w:val="left"/>
        <w:outlineLvl w:val="9"/>
        <w:rPr>
          <w:rFonts w:ascii="方正小标宋简体" w:hAnsi="宋体" w:eastAsia="方正小标宋简体"/>
          <w:szCs w:val="21"/>
        </w:rPr>
      </w:pPr>
      <w:bookmarkStart w:id="0" w:name="_Toc15306267"/>
    </w:p>
    <w:p w14:paraId="1611D4AB">
      <w:pPr>
        <w:pStyle w:val="2"/>
        <w:spacing w:before="93"/>
      </w:pPr>
    </w:p>
    <w:p w14:paraId="33DD9C86">
      <w:pPr>
        <w:spacing w:line="600" w:lineRule="exact"/>
        <w:jc w:val="center"/>
        <w:outlineLvl w:val="9"/>
        <w:rPr>
          <w:rFonts w:ascii="方正小标宋简体" w:hAnsi="宋体" w:eastAsia="方正小标宋简体"/>
          <w:sz w:val="72"/>
          <w:szCs w:val="72"/>
        </w:rPr>
      </w:pPr>
    </w:p>
    <w:p w14:paraId="5B544DE8">
      <w:pPr>
        <w:spacing w:line="600" w:lineRule="exact"/>
        <w:jc w:val="center"/>
        <w:outlineLvl w:val="9"/>
        <w:rPr>
          <w:rFonts w:ascii="方正小标宋简体" w:hAnsi="宋体" w:eastAsia="方正小标宋简体"/>
          <w:sz w:val="72"/>
          <w:szCs w:val="72"/>
        </w:rPr>
      </w:pPr>
    </w:p>
    <w:p w14:paraId="68D2344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78441"/>
      <w:bookmarkStart w:id="4" w:name="_Toc15396597"/>
      <w:bookmarkStart w:id="5" w:name="_Toc10817"/>
      <w:bookmarkStart w:id="6"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6B70F6D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399"/>
      <w:bookmarkStart w:id="8" w:name="_Toc15306268"/>
      <w:bookmarkStart w:id="9" w:name="_Toc15396598"/>
      <w:bookmarkStart w:id="10" w:name="_Toc15396476"/>
      <w:bookmarkStart w:id="11" w:name="_Toc15377194"/>
      <w:bookmarkStart w:id="12" w:name="_Toc15378442"/>
      <w:bookmarkStart w:id="13" w:name="_Toc15377426"/>
      <w:r>
        <w:rPr>
          <w:rFonts w:hint="eastAsia" w:ascii="方正小标宋简体" w:hAnsi="方正小标宋简体" w:eastAsia="方正小标宋简体" w:cs="方正小标宋简体"/>
          <w:sz w:val="72"/>
          <w:szCs w:val="72"/>
        </w:rPr>
        <w:t>峨边彝族自治县大堡镇中心卫生院单位决算</w:t>
      </w:r>
      <w:bookmarkEnd w:id="7"/>
      <w:bookmarkEnd w:id="8"/>
      <w:bookmarkEnd w:id="9"/>
      <w:bookmarkEnd w:id="10"/>
      <w:bookmarkEnd w:id="11"/>
      <w:bookmarkEnd w:id="12"/>
      <w:bookmarkEnd w:id="13"/>
    </w:p>
    <w:p w14:paraId="5C25E27D">
      <w:pPr>
        <w:adjustRightInd w:val="0"/>
        <w:snapToGrid w:val="0"/>
        <w:spacing w:line="360" w:lineRule="auto"/>
        <w:jc w:val="center"/>
        <w:outlineLvl w:val="9"/>
        <w:rPr>
          <w:rFonts w:ascii="方正小标宋简体" w:hAnsi="宋体" w:eastAsia="方正小标宋简体"/>
          <w:sz w:val="52"/>
          <w:szCs w:val="52"/>
        </w:rPr>
      </w:pPr>
    </w:p>
    <w:p w14:paraId="1F0B62B3">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17FFB23">
      <w:pPr>
        <w:widowControl/>
        <w:jc w:val="center"/>
        <w:rPr>
          <w:rFonts w:ascii="黑体" w:hAnsi="黑体" w:eastAsia="黑体" w:cstheme="minorBidi"/>
          <w:sz w:val="28"/>
          <w:szCs w:val="28"/>
        </w:rPr>
      </w:pPr>
    </w:p>
    <w:p w14:paraId="513FD10F">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40C35B5D"/>
    <w:sdt>
      <w:sdtPr>
        <w:rPr>
          <w:rFonts w:ascii="宋体" w:hAnsi="宋体" w:eastAsia="宋体" w:cs="Times New Roman"/>
          <w:kern w:val="2"/>
          <w:sz w:val="21"/>
          <w:szCs w:val="24"/>
          <w:lang w:val="en-US" w:eastAsia="zh-CN" w:bidi="ar-SA"/>
        </w:rPr>
        <w:id w:val="14745192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00077F3A">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280FAA66">
          <w:pPr>
            <w:pStyle w:val="33"/>
            <w:tabs>
              <w:tab w:val="right" w:leader="dot" w:pos="8306"/>
            </w:tabs>
            <w:rPr>
              <w:b/>
            </w:rPr>
          </w:pPr>
          <w:r>
            <w:rPr>
              <w:b/>
            </w:rPr>
            <w:fldChar w:fldCharType="begin"/>
          </w:r>
          <w:r>
            <w:rPr>
              <w:b/>
            </w:rPr>
            <w:instrText xml:space="preserve"> HYPERLINK \l _Toc8761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_Toc8761 \h </w:instrText>
          </w:r>
          <w:r>
            <w:rPr>
              <w:b/>
            </w:rPr>
            <w:fldChar w:fldCharType="separate"/>
          </w:r>
          <w:r>
            <w:rPr>
              <w:b/>
            </w:rPr>
            <w:t>3</w:t>
          </w:r>
          <w:r>
            <w:rPr>
              <w:b/>
            </w:rPr>
            <w:fldChar w:fldCharType="end"/>
          </w:r>
          <w:r>
            <w:rPr>
              <w:b/>
            </w:rPr>
            <w:fldChar w:fldCharType="end"/>
          </w:r>
        </w:p>
        <w:p w14:paraId="637E9708">
          <w:pPr>
            <w:pStyle w:val="34"/>
            <w:tabs>
              <w:tab w:val="right" w:leader="dot" w:pos="8306"/>
            </w:tabs>
          </w:pPr>
          <w:r>
            <w:fldChar w:fldCharType="begin"/>
          </w:r>
          <w:r>
            <w:instrText xml:space="preserve"> HYPERLINK \l _Toc21356 </w:instrText>
          </w:r>
          <w:r>
            <w:fldChar w:fldCharType="separate"/>
          </w:r>
          <w:r>
            <w:rPr>
              <w:rFonts w:hint="eastAsia" w:ascii="黑体" w:hAnsi="黑体" w:eastAsia="黑体"/>
              <w:bCs w:val="0"/>
            </w:rPr>
            <w:t>一、 主要职责</w:t>
          </w:r>
          <w:r>
            <w:tab/>
          </w:r>
          <w:r>
            <w:fldChar w:fldCharType="begin"/>
          </w:r>
          <w:r>
            <w:instrText xml:space="preserve"> PAGEREF _Toc21356 \h </w:instrText>
          </w:r>
          <w:r>
            <w:fldChar w:fldCharType="separate"/>
          </w:r>
          <w:r>
            <w:t>3</w:t>
          </w:r>
          <w:r>
            <w:fldChar w:fldCharType="end"/>
          </w:r>
          <w:r>
            <w:fldChar w:fldCharType="end"/>
          </w:r>
        </w:p>
        <w:p w14:paraId="60FF592C">
          <w:pPr>
            <w:pStyle w:val="34"/>
            <w:tabs>
              <w:tab w:val="right" w:leader="dot" w:pos="8306"/>
            </w:tabs>
          </w:pPr>
          <w:r>
            <w:fldChar w:fldCharType="begin"/>
          </w:r>
          <w:r>
            <w:instrText xml:space="preserve"> HYPERLINK \l _Toc12657 </w:instrText>
          </w:r>
          <w:r>
            <w:fldChar w:fldCharType="separate"/>
          </w:r>
          <w:r>
            <w:rPr>
              <w:rFonts w:hint="eastAsia" w:ascii="黑体" w:hAnsi="黑体" w:eastAsia="黑体"/>
            </w:rPr>
            <w:t>二、机构设置</w:t>
          </w:r>
          <w:r>
            <w:tab/>
          </w:r>
          <w:r>
            <w:fldChar w:fldCharType="begin"/>
          </w:r>
          <w:r>
            <w:instrText xml:space="preserve"> PAGEREF _Toc12657 \h </w:instrText>
          </w:r>
          <w:r>
            <w:fldChar w:fldCharType="separate"/>
          </w:r>
          <w:r>
            <w:t>3</w:t>
          </w:r>
          <w:r>
            <w:fldChar w:fldCharType="end"/>
          </w:r>
          <w:r>
            <w:fldChar w:fldCharType="end"/>
          </w:r>
        </w:p>
        <w:p w14:paraId="1285A8AB">
          <w:pPr>
            <w:pStyle w:val="33"/>
            <w:tabs>
              <w:tab w:val="right" w:leader="dot" w:pos="8306"/>
            </w:tabs>
            <w:rPr>
              <w:b/>
            </w:rPr>
          </w:pPr>
          <w:r>
            <w:rPr>
              <w:b/>
            </w:rPr>
            <w:fldChar w:fldCharType="begin"/>
          </w:r>
          <w:r>
            <w:rPr>
              <w:b/>
            </w:rPr>
            <w:instrText xml:space="preserve"> HYPERLINK \l _Toc251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_Toc251 \h </w:instrText>
          </w:r>
          <w:r>
            <w:rPr>
              <w:b/>
            </w:rPr>
            <w:fldChar w:fldCharType="separate"/>
          </w:r>
          <w:r>
            <w:rPr>
              <w:b/>
            </w:rPr>
            <w:t>4</w:t>
          </w:r>
          <w:r>
            <w:rPr>
              <w:b/>
            </w:rPr>
            <w:fldChar w:fldCharType="end"/>
          </w:r>
          <w:r>
            <w:rPr>
              <w:b/>
            </w:rPr>
            <w:fldChar w:fldCharType="end"/>
          </w:r>
        </w:p>
        <w:p w14:paraId="2F64DC6F">
          <w:pPr>
            <w:pStyle w:val="34"/>
            <w:tabs>
              <w:tab w:val="right" w:leader="dot" w:pos="8306"/>
            </w:tabs>
          </w:pPr>
          <w:r>
            <w:fldChar w:fldCharType="begin"/>
          </w:r>
          <w:r>
            <w:instrText xml:space="preserve"> HYPERLINK \l _Toc23103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_Toc23103 \h </w:instrText>
          </w:r>
          <w:r>
            <w:fldChar w:fldCharType="separate"/>
          </w:r>
          <w:r>
            <w:t>4</w:t>
          </w:r>
          <w:r>
            <w:fldChar w:fldCharType="end"/>
          </w:r>
          <w:r>
            <w:fldChar w:fldCharType="end"/>
          </w:r>
        </w:p>
        <w:p w14:paraId="00788BD5">
          <w:pPr>
            <w:pStyle w:val="34"/>
            <w:tabs>
              <w:tab w:val="right" w:leader="dot" w:pos="8306"/>
            </w:tabs>
          </w:pPr>
          <w:r>
            <w:fldChar w:fldCharType="begin"/>
          </w:r>
          <w:r>
            <w:instrText xml:space="preserve"> HYPERLINK \l _Toc10425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_Toc10425 \h </w:instrText>
          </w:r>
          <w:r>
            <w:fldChar w:fldCharType="separate"/>
          </w:r>
          <w:r>
            <w:t>4</w:t>
          </w:r>
          <w:r>
            <w:fldChar w:fldCharType="end"/>
          </w:r>
          <w:r>
            <w:fldChar w:fldCharType="end"/>
          </w:r>
        </w:p>
        <w:p w14:paraId="59C8CFC7">
          <w:pPr>
            <w:pStyle w:val="34"/>
            <w:tabs>
              <w:tab w:val="right" w:leader="dot" w:pos="8306"/>
            </w:tabs>
          </w:pPr>
          <w:r>
            <w:fldChar w:fldCharType="begin"/>
          </w:r>
          <w:r>
            <w:instrText xml:space="preserve"> HYPERLINK \l _Toc14370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_Toc14370 \h </w:instrText>
          </w:r>
          <w:r>
            <w:fldChar w:fldCharType="separate"/>
          </w:r>
          <w:r>
            <w:t>5</w:t>
          </w:r>
          <w:r>
            <w:fldChar w:fldCharType="end"/>
          </w:r>
          <w:r>
            <w:fldChar w:fldCharType="end"/>
          </w:r>
        </w:p>
        <w:p w14:paraId="5A2253BA">
          <w:pPr>
            <w:pStyle w:val="34"/>
            <w:tabs>
              <w:tab w:val="right" w:leader="dot" w:pos="8306"/>
            </w:tabs>
          </w:pPr>
          <w:r>
            <w:fldChar w:fldCharType="begin"/>
          </w:r>
          <w:r>
            <w:instrText xml:space="preserve"> HYPERLINK \l _Toc23769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_Toc23769 \h </w:instrText>
          </w:r>
          <w:r>
            <w:fldChar w:fldCharType="separate"/>
          </w:r>
          <w:r>
            <w:t>6</w:t>
          </w:r>
          <w:r>
            <w:fldChar w:fldCharType="end"/>
          </w:r>
          <w:r>
            <w:fldChar w:fldCharType="end"/>
          </w:r>
        </w:p>
        <w:p w14:paraId="49140177">
          <w:pPr>
            <w:pStyle w:val="34"/>
            <w:tabs>
              <w:tab w:val="right" w:leader="dot" w:pos="8306"/>
            </w:tabs>
          </w:pPr>
          <w:r>
            <w:fldChar w:fldCharType="begin"/>
          </w:r>
          <w:r>
            <w:instrText xml:space="preserve"> HYPERLINK \l _Toc11150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_Toc11150 \h </w:instrText>
          </w:r>
          <w:r>
            <w:fldChar w:fldCharType="separate"/>
          </w:r>
          <w:r>
            <w:t>6</w:t>
          </w:r>
          <w:r>
            <w:fldChar w:fldCharType="end"/>
          </w:r>
          <w:r>
            <w:fldChar w:fldCharType="end"/>
          </w:r>
        </w:p>
        <w:p w14:paraId="0BF80BA9">
          <w:pPr>
            <w:pStyle w:val="34"/>
            <w:tabs>
              <w:tab w:val="right" w:leader="dot" w:pos="8306"/>
            </w:tabs>
          </w:pPr>
          <w:r>
            <w:fldChar w:fldCharType="begin"/>
          </w:r>
          <w:r>
            <w:instrText xml:space="preserve"> HYPERLINK \l _Toc31694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_Toc31694 \h </w:instrText>
          </w:r>
          <w:r>
            <w:fldChar w:fldCharType="separate"/>
          </w:r>
          <w:r>
            <w:t>9</w:t>
          </w:r>
          <w:r>
            <w:fldChar w:fldCharType="end"/>
          </w:r>
          <w:r>
            <w:fldChar w:fldCharType="end"/>
          </w:r>
        </w:p>
        <w:p w14:paraId="0CD71A4F">
          <w:pPr>
            <w:pStyle w:val="34"/>
            <w:tabs>
              <w:tab w:val="right" w:leader="dot" w:pos="8306"/>
            </w:tabs>
          </w:pPr>
          <w:r>
            <w:fldChar w:fldCharType="begin"/>
          </w:r>
          <w:r>
            <w:instrText xml:space="preserve"> HYPERLINK \l _Toc7420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_Toc7420 \h </w:instrText>
          </w:r>
          <w:r>
            <w:fldChar w:fldCharType="separate"/>
          </w:r>
          <w:r>
            <w:t>9</w:t>
          </w:r>
          <w:r>
            <w:fldChar w:fldCharType="end"/>
          </w:r>
          <w:r>
            <w:fldChar w:fldCharType="end"/>
          </w:r>
        </w:p>
        <w:p w14:paraId="219077CE">
          <w:pPr>
            <w:pStyle w:val="34"/>
            <w:tabs>
              <w:tab w:val="right" w:leader="dot" w:pos="8306"/>
            </w:tabs>
          </w:pPr>
          <w:r>
            <w:fldChar w:fldCharType="begin"/>
          </w:r>
          <w:r>
            <w:instrText xml:space="preserve"> HYPERLINK \l _Toc15248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_Toc15248 \h </w:instrText>
          </w:r>
          <w:r>
            <w:fldChar w:fldCharType="separate"/>
          </w:r>
          <w:r>
            <w:t>11</w:t>
          </w:r>
          <w:r>
            <w:fldChar w:fldCharType="end"/>
          </w:r>
          <w:r>
            <w:fldChar w:fldCharType="end"/>
          </w:r>
        </w:p>
        <w:p w14:paraId="2296AF6C">
          <w:pPr>
            <w:pStyle w:val="34"/>
            <w:tabs>
              <w:tab w:val="right" w:leader="dot" w:pos="8306"/>
            </w:tabs>
          </w:pPr>
          <w:r>
            <w:fldChar w:fldCharType="begin"/>
          </w:r>
          <w:r>
            <w:instrText xml:space="preserve"> HYPERLINK \l _Toc28903 </w:instrText>
          </w:r>
          <w:r>
            <w:fldChar w:fldCharType="separate"/>
          </w:r>
          <w:r>
            <w:rPr>
              <w:rFonts w:hint="eastAsia" w:ascii="黑体" w:hAnsi="黑体" w:eastAsia="黑体"/>
            </w:rPr>
            <w:t>九、 国有资本经营预算支出决算情况说明</w:t>
          </w:r>
          <w:r>
            <w:tab/>
          </w:r>
          <w:r>
            <w:fldChar w:fldCharType="begin"/>
          </w:r>
          <w:r>
            <w:instrText xml:space="preserve"> PAGEREF _Toc28903 \h </w:instrText>
          </w:r>
          <w:r>
            <w:fldChar w:fldCharType="separate"/>
          </w:r>
          <w:r>
            <w:t>11</w:t>
          </w:r>
          <w:r>
            <w:fldChar w:fldCharType="end"/>
          </w:r>
          <w:r>
            <w:fldChar w:fldCharType="end"/>
          </w:r>
        </w:p>
        <w:p w14:paraId="225E0C6E">
          <w:pPr>
            <w:pStyle w:val="34"/>
            <w:tabs>
              <w:tab w:val="right" w:leader="dot" w:pos="8306"/>
            </w:tabs>
          </w:pPr>
          <w:r>
            <w:fldChar w:fldCharType="begin"/>
          </w:r>
          <w:r>
            <w:instrText xml:space="preserve"> HYPERLINK \l _Toc5978 </w:instrText>
          </w:r>
          <w:r>
            <w:fldChar w:fldCharType="separate"/>
          </w:r>
          <w:r>
            <w:rPr>
              <w:rFonts w:hint="eastAsia" w:ascii="黑体" w:hAnsi="黑体" w:eastAsia="黑体"/>
            </w:rPr>
            <w:t>十、 其他重要事项的情况说明</w:t>
          </w:r>
          <w:r>
            <w:tab/>
          </w:r>
          <w:r>
            <w:fldChar w:fldCharType="begin"/>
          </w:r>
          <w:r>
            <w:instrText xml:space="preserve"> PAGEREF _Toc5978 \h </w:instrText>
          </w:r>
          <w:r>
            <w:fldChar w:fldCharType="separate"/>
          </w:r>
          <w:r>
            <w:t>11</w:t>
          </w:r>
          <w:r>
            <w:fldChar w:fldCharType="end"/>
          </w:r>
          <w:r>
            <w:fldChar w:fldCharType="end"/>
          </w:r>
        </w:p>
        <w:p w14:paraId="503E629A">
          <w:pPr>
            <w:pStyle w:val="33"/>
            <w:tabs>
              <w:tab w:val="right" w:leader="dot" w:pos="8306"/>
            </w:tabs>
          </w:pPr>
          <w:r>
            <w:rPr>
              <w:b/>
            </w:rPr>
            <w:fldChar w:fldCharType="begin"/>
          </w:r>
          <w:r>
            <w:rPr>
              <w:b/>
            </w:rPr>
            <w:instrText xml:space="preserve"> HYPERLINK \l _Toc9097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_Toc9097 \h </w:instrText>
          </w:r>
          <w:r>
            <w:rPr>
              <w:b/>
            </w:rPr>
            <w:fldChar w:fldCharType="separate"/>
          </w:r>
          <w:r>
            <w:rPr>
              <w:b/>
            </w:rPr>
            <w:t>13</w:t>
          </w:r>
          <w:r>
            <w:rPr>
              <w:b/>
            </w:rPr>
            <w:fldChar w:fldCharType="end"/>
          </w:r>
          <w:r>
            <w:rPr>
              <w:b/>
            </w:rPr>
            <w:fldChar w:fldCharType="end"/>
          </w:r>
        </w:p>
        <w:p w14:paraId="4329DFB2">
          <w:pPr>
            <w:pStyle w:val="33"/>
            <w:tabs>
              <w:tab w:val="right" w:leader="dot" w:pos="8306"/>
            </w:tabs>
          </w:pPr>
          <w:r>
            <w:rPr>
              <w:b/>
            </w:rPr>
            <w:fldChar w:fldCharType="begin"/>
          </w:r>
          <w:r>
            <w:rPr>
              <w:b/>
            </w:rPr>
            <w:instrText xml:space="preserve"> HYPERLINK \l _Toc27670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_Toc27670 \h </w:instrText>
          </w:r>
          <w:r>
            <w:rPr>
              <w:b/>
            </w:rPr>
            <w:fldChar w:fldCharType="separate"/>
          </w:r>
          <w:r>
            <w:rPr>
              <w:b/>
            </w:rPr>
            <w:t>16</w:t>
          </w:r>
          <w:r>
            <w:rPr>
              <w:b/>
            </w:rPr>
            <w:fldChar w:fldCharType="end"/>
          </w:r>
          <w:r>
            <w:rPr>
              <w:b/>
            </w:rPr>
            <w:fldChar w:fldCharType="end"/>
          </w:r>
        </w:p>
        <w:p w14:paraId="50999E73">
          <w:pPr>
            <w:pStyle w:val="33"/>
            <w:tabs>
              <w:tab w:val="right" w:leader="dot" w:pos="8306"/>
            </w:tabs>
            <w:rPr>
              <w:b/>
            </w:rPr>
          </w:pPr>
          <w:r>
            <w:rPr>
              <w:b/>
            </w:rPr>
            <w:fldChar w:fldCharType="begin"/>
          </w:r>
          <w:r>
            <w:rPr>
              <w:b/>
            </w:rPr>
            <w:instrText xml:space="preserve"> HYPERLINK \l _Toc31607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_Toc31607 \h </w:instrText>
          </w:r>
          <w:r>
            <w:rPr>
              <w:b/>
            </w:rPr>
            <w:fldChar w:fldCharType="separate"/>
          </w:r>
          <w:r>
            <w:rPr>
              <w:b/>
            </w:rPr>
            <w:t>17</w:t>
          </w:r>
          <w:r>
            <w:rPr>
              <w:b/>
            </w:rPr>
            <w:fldChar w:fldCharType="end"/>
          </w:r>
          <w:r>
            <w:rPr>
              <w:b/>
            </w:rPr>
            <w:fldChar w:fldCharType="end"/>
          </w:r>
        </w:p>
        <w:p w14:paraId="7283F9A6">
          <w:pPr>
            <w:pStyle w:val="34"/>
            <w:tabs>
              <w:tab w:val="right" w:leader="dot" w:pos="8306"/>
            </w:tabs>
          </w:pPr>
          <w:r>
            <w:fldChar w:fldCharType="begin"/>
          </w:r>
          <w:r>
            <w:instrText xml:space="preserve"> HYPERLINK \l _Toc450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_Toc450 \h </w:instrText>
          </w:r>
          <w:r>
            <w:fldChar w:fldCharType="separate"/>
          </w:r>
          <w:r>
            <w:t>17</w:t>
          </w:r>
          <w:r>
            <w:fldChar w:fldCharType="end"/>
          </w:r>
          <w:r>
            <w:fldChar w:fldCharType="end"/>
          </w:r>
        </w:p>
        <w:p w14:paraId="44280AB3">
          <w:pPr>
            <w:pStyle w:val="34"/>
            <w:tabs>
              <w:tab w:val="right" w:leader="dot" w:pos="8306"/>
            </w:tabs>
          </w:pPr>
          <w:r>
            <w:fldChar w:fldCharType="begin"/>
          </w:r>
          <w:r>
            <w:instrText xml:space="preserve"> HYPERLINK \l _Toc27115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_Toc27115 \h </w:instrText>
          </w:r>
          <w:r>
            <w:fldChar w:fldCharType="separate"/>
          </w:r>
          <w:r>
            <w:t>17</w:t>
          </w:r>
          <w:r>
            <w:fldChar w:fldCharType="end"/>
          </w:r>
          <w:r>
            <w:fldChar w:fldCharType="end"/>
          </w:r>
        </w:p>
        <w:p w14:paraId="2C7A6987">
          <w:pPr>
            <w:pStyle w:val="34"/>
            <w:tabs>
              <w:tab w:val="right" w:leader="dot" w:pos="8306"/>
            </w:tabs>
          </w:pPr>
          <w:r>
            <w:fldChar w:fldCharType="begin"/>
          </w:r>
          <w:r>
            <w:instrText xml:space="preserve"> HYPERLINK \l _Toc30721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_Toc30721 \h </w:instrText>
          </w:r>
          <w:r>
            <w:fldChar w:fldCharType="separate"/>
          </w:r>
          <w:r>
            <w:t>17</w:t>
          </w:r>
          <w:r>
            <w:fldChar w:fldCharType="end"/>
          </w:r>
          <w:r>
            <w:fldChar w:fldCharType="end"/>
          </w:r>
        </w:p>
        <w:p w14:paraId="41482327">
          <w:pPr>
            <w:pStyle w:val="34"/>
            <w:tabs>
              <w:tab w:val="right" w:leader="dot" w:pos="8306"/>
            </w:tabs>
          </w:pPr>
          <w:r>
            <w:fldChar w:fldCharType="begin"/>
          </w:r>
          <w:r>
            <w:instrText xml:space="preserve"> HYPERLINK \l _Toc4858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_Toc4858 \h </w:instrText>
          </w:r>
          <w:r>
            <w:fldChar w:fldCharType="separate"/>
          </w:r>
          <w:r>
            <w:t>17</w:t>
          </w:r>
          <w:r>
            <w:fldChar w:fldCharType="end"/>
          </w:r>
          <w:r>
            <w:fldChar w:fldCharType="end"/>
          </w:r>
        </w:p>
        <w:p w14:paraId="742B306D">
          <w:pPr>
            <w:pStyle w:val="34"/>
            <w:tabs>
              <w:tab w:val="right" w:leader="dot" w:pos="8306"/>
            </w:tabs>
          </w:pPr>
          <w:r>
            <w:fldChar w:fldCharType="begin"/>
          </w:r>
          <w:r>
            <w:instrText xml:space="preserve"> HYPERLINK \l _Toc26508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_Toc26508 \h </w:instrText>
          </w:r>
          <w:r>
            <w:fldChar w:fldCharType="separate"/>
          </w:r>
          <w:r>
            <w:t>17</w:t>
          </w:r>
          <w:r>
            <w:fldChar w:fldCharType="end"/>
          </w:r>
          <w:r>
            <w:fldChar w:fldCharType="end"/>
          </w:r>
        </w:p>
        <w:p w14:paraId="2C6E63A8">
          <w:pPr>
            <w:pStyle w:val="34"/>
            <w:tabs>
              <w:tab w:val="right" w:leader="dot" w:pos="8306"/>
            </w:tabs>
          </w:pPr>
          <w:r>
            <w:fldChar w:fldCharType="begin"/>
          </w:r>
          <w:r>
            <w:instrText xml:space="preserve"> HYPERLINK \l _Toc22991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_Toc22991 \h </w:instrText>
          </w:r>
          <w:r>
            <w:fldChar w:fldCharType="separate"/>
          </w:r>
          <w:r>
            <w:t>17</w:t>
          </w:r>
          <w:r>
            <w:fldChar w:fldCharType="end"/>
          </w:r>
          <w:r>
            <w:fldChar w:fldCharType="end"/>
          </w:r>
        </w:p>
        <w:p w14:paraId="59EC082E">
          <w:pPr>
            <w:pStyle w:val="34"/>
            <w:tabs>
              <w:tab w:val="right" w:leader="dot" w:pos="8306"/>
            </w:tabs>
          </w:pPr>
          <w:r>
            <w:fldChar w:fldCharType="begin"/>
          </w:r>
          <w:r>
            <w:instrText xml:space="preserve"> HYPERLINK \l _Toc20944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_Toc20944 \h </w:instrText>
          </w:r>
          <w:r>
            <w:fldChar w:fldCharType="separate"/>
          </w:r>
          <w:r>
            <w:t>17</w:t>
          </w:r>
          <w:r>
            <w:fldChar w:fldCharType="end"/>
          </w:r>
          <w:r>
            <w:fldChar w:fldCharType="end"/>
          </w:r>
        </w:p>
        <w:p w14:paraId="535DA5DB">
          <w:pPr>
            <w:pStyle w:val="34"/>
            <w:tabs>
              <w:tab w:val="right" w:leader="dot" w:pos="8306"/>
            </w:tabs>
          </w:pPr>
          <w:r>
            <w:fldChar w:fldCharType="begin"/>
          </w:r>
          <w:r>
            <w:instrText xml:space="preserve"> HYPERLINK \l _Toc24931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_Toc24931 \h </w:instrText>
          </w:r>
          <w:r>
            <w:fldChar w:fldCharType="separate"/>
          </w:r>
          <w:r>
            <w:t>17</w:t>
          </w:r>
          <w:r>
            <w:fldChar w:fldCharType="end"/>
          </w:r>
          <w:r>
            <w:fldChar w:fldCharType="end"/>
          </w:r>
        </w:p>
        <w:p w14:paraId="44592A45">
          <w:pPr>
            <w:pStyle w:val="34"/>
            <w:tabs>
              <w:tab w:val="right" w:leader="dot" w:pos="8306"/>
            </w:tabs>
          </w:pPr>
          <w:r>
            <w:fldChar w:fldCharType="begin"/>
          </w:r>
          <w:r>
            <w:instrText xml:space="preserve"> HYPERLINK \l _Toc24597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_Toc24597 \h </w:instrText>
          </w:r>
          <w:r>
            <w:fldChar w:fldCharType="separate"/>
          </w:r>
          <w:r>
            <w:t>17</w:t>
          </w:r>
          <w:r>
            <w:fldChar w:fldCharType="end"/>
          </w:r>
          <w:r>
            <w:fldChar w:fldCharType="end"/>
          </w:r>
        </w:p>
        <w:p w14:paraId="51510851">
          <w:pPr>
            <w:pStyle w:val="34"/>
            <w:tabs>
              <w:tab w:val="right" w:leader="dot" w:pos="8306"/>
            </w:tabs>
          </w:pPr>
          <w:r>
            <w:fldChar w:fldCharType="begin"/>
          </w:r>
          <w:r>
            <w:instrText xml:space="preserve"> HYPERLINK \l _Toc24369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_Toc24369 \h </w:instrText>
          </w:r>
          <w:r>
            <w:fldChar w:fldCharType="separate"/>
          </w:r>
          <w:r>
            <w:t>17</w:t>
          </w:r>
          <w:r>
            <w:fldChar w:fldCharType="end"/>
          </w:r>
          <w:r>
            <w:fldChar w:fldCharType="end"/>
          </w:r>
        </w:p>
        <w:p w14:paraId="7DA94DF3">
          <w:pPr>
            <w:pStyle w:val="34"/>
            <w:tabs>
              <w:tab w:val="right" w:leader="dot" w:pos="8306"/>
            </w:tabs>
          </w:pPr>
          <w:r>
            <w:fldChar w:fldCharType="begin"/>
          </w:r>
          <w:r>
            <w:instrText xml:space="preserve"> HYPERLINK \l _Toc9720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_Toc9720 \h </w:instrText>
          </w:r>
          <w:r>
            <w:fldChar w:fldCharType="separate"/>
          </w:r>
          <w:r>
            <w:t>17</w:t>
          </w:r>
          <w:r>
            <w:fldChar w:fldCharType="end"/>
          </w:r>
          <w:r>
            <w:fldChar w:fldCharType="end"/>
          </w:r>
        </w:p>
        <w:p w14:paraId="581344BC">
          <w:pPr>
            <w:pStyle w:val="34"/>
            <w:tabs>
              <w:tab w:val="right" w:leader="dot" w:pos="8306"/>
            </w:tabs>
          </w:pPr>
          <w:r>
            <w:fldChar w:fldCharType="begin"/>
          </w:r>
          <w:r>
            <w:instrText xml:space="preserve"> HYPERLINK \l _Toc9281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_Toc9281 \h </w:instrText>
          </w:r>
          <w:r>
            <w:fldChar w:fldCharType="separate"/>
          </w:r>
          <w:r>
            <w:t>17</w:t>
          </w:r>
          <w:r>
            <w:fldChar w:fldCharType="end"/>
          </w:r>
          <w:r>
            <w:fldChar w:fldCharType="end"/>
          </w:r>
        </w:p>
        <w:p w14:paraId="23EDDB96">
          <w:pPr>
            <w:pStyle w:val="34"/>
            <w:tabs>
              <w:tab w:val="right" w:leader="dot" w:pos="8306"/>
            </w:tabs>
          </w:pPr>
          <w:r>
            <w:fldChar w:fldCharType="begin"/>
          </w:r>
          <w:r>
            <w:instrText xml:space="preserve"> HYPERLINK \l _Toc5303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_Toc5303 \h </w:instrText>
          </w:r>
          <w:r>
            <w:fldChar w:fldCharType="separate"/>
          </w:r>
          <w:r>
            <w:t>17</w:t>
          </w:r>
          <w:r>
            <w:fldChar w:fldCharType="end"/>
          </w:r>
          <w:r>
            <w:fldChar w:fldCharType="end"/>
          </w:r>
        </w:p>
        <w:p w14:paraId="088E40C6">
          <w:pPr>
            <w:rPr>
              <w:b/>
            </w:rPr>
          </w:pPr>
          <w:r>
            <w:rPr>
              <w:b/>
            </w:rPr>
            <w:fldChar w:fldCharType="end"/>
          </w:r>
        </w:p>
      </w:sdtContent>
    </w:sdt>
    <w:p w14:paraId="3A4746A9">
      <w:pPr>
        <w:rPr>
          <w:b/>
        </w:rPr>
      </w:pPr>
    </w:p>
    <w:p w14:paraId="1E168996">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76B6A0F1">
      <w:pPr>
        <w:pStyle w:val="3"/>
        <w:jc w:val="center"/>
        <w:rPr>
          <w:rStyle w:val="27"/>
          <w:rFonts w:ascii="黑体" w:hAnsi="黑体" w:eastAsia="黑体"/>
          <w:b/>
          <w:bCs w:val="0"/>
        </w:rPr>
      </w:pPr>
      <w:bookmarkStart w:id="16" w:name="_Toc8761"/>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515C862A">
      <w:pPr>
        <w:widowControl/>
        <w:jc w:val="left"/>
        <w:rPr>
          <w:rFonts w:ascii="黑体" w:eastAsia="黑体"/>
          <w:sz w:val="32"/>
          <w:szCs w:val="32"/>
        </w:rPr>
      </w:pPr>
    </w:p>
    <w:p w14:paraId="1C730978">
      <w:pPr>
        <w:pStyle w:val="4"/>
        <w:numPr>
          <w:ilvl w:val="0"/>
          <w:numId w:val="1"/>
        </w:numPr>
        <w:rPr>
          <w:rStyle w:val="28"/>
          <w:rFonts w:ascii="黑体" w:hAnsi="黑体" w:eastAsia="黑体"/>
          <w:b w:val="0"/>
          <w:bCs w:val="0"/>
        </w:rPr>
      </w:pPr>
      <w:bookmarkStart w:id="17" w:name="_Toc21356"/>
      <w:bookmarkStart w:id="18" w:name="_Toc15396600"/>
      <w:bookmarkStart w:id="19" w:name="_Toc15377197"/>
      <w:r>
        <w:rPr>
          <w:rStyle w:val="28"/>
          <w:rFonts w:hint="eastAsia" w:ascii="黑体" w:hAnsi="黑体" w:eastAsia="黑体"/>
          <w:b w:val="0"/>
          <w:bCs w:val="0"/>
        </w:rPr>
        <w:t>主要职责</w:t>
      </w:r>
      <w:bookmarkEnd w:id="17"/>
    </w:p>
    <w:p w14:paraId="7B2B8C64">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5420FF61">
      <w:pPr>
        <w:pStyle w:val="4"/>
        <w:rPr>
          <w:rFonts w:ascii="黑体" w:hAnsi="黑体" w:eastAsia="黑体"/>
          <w:b w:val="0"/>
        </w:rPr>
      </w:pPr>
      <w:bookmarkStart w:id="20" w:name="_Toc12657"/>
      <w:r>
        <w:rPr>
          <w:rFonts w:hint="eastAsia" w:ascii="黑体" w:hAnsi="黑体" w:eastAsia="黑体"/>
          <w:b w:val="0"/>
        </w:rPr>
        <w:t>二、机构设置</w:t>
      </w:r>
      <w:bookmarkEnd w:id="20"/>
    </w:p>
    <w:bookmarkEnd w:id="18"/>
    <w:bookmarkEnd w:id="19"/>
    <w:p w14:paraId="301A38AE">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峨边彝族自治县大堡镇中心卫生院是峨边卫生健康局下属二级预算单位，属于公益一类事业单位。</w:t>
      </w:r>
      <w:r>
        <w:rPr>
          <w:rFonts w:ascii="仿宋" w:hAnsi="仿宋" w:eastAsia="仿宋"/>
          <w:sz w:val="32"/>
          <w:szCs w:val="32"/>
        </w:rPr>
        <w:br w:type="page"/>
      </w:r>
    </w:p>
    <w:p w14:paraId="45603A9F">
      <w:pPr>
        <w:pStyle w:val="3"/>
        <w:ind w:right="440"/>
        <w:jc w:val="center"/>
        <w:rPr>
          <w:rStyle w:val="27"/>
          <w:rFonts w:ascii="黑体" w:hAnsi="黑体" w:eastAsia="黑体"/>
          <w:b w:val="0"/>
          <w:bCs/>
        </w:rPr>
      </w:pPr>
      <w:bookmarkStart w:id="21" w:name="_Toc251"/>
      <w:bookmarkStart w:id="22" w:name="_Toc15377204"/>
      <w:bookmarkStart w:id="23"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1524CBD2"/>
    <w:p w14:paraId="05BE4CD4">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23103"/>
      <w:bookmarkStart w:id="26"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7D1914E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547.6</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3.79</w:t>
      </w:r>
      <w:r>
        <w:rPr>
          <w:rFonts w:hint="eastAsia" w:ascii="仿宋" w:hAnsi="仿宋" w:eastAsia="仿宋"/>
          <w:sz w:val="32"/>
          <w:szCs w:val="32"/>
        </w:rPr>
        <w:t>万元，增长</w:t>
      </w:r>
      <w:r>
        <w:rPr>
          <w:rFonts w:hint="eastAsia" w:ascii="仿宋" w:hAnsi="仿宋" w:eastAsia="仿宋"/>
          <w:sz w:val="32"/>
          <w:szCs w:val="32"/>
          <w:lang w:val="en-US" w:eastAsia="zh-CN"/>
        </w:rPr>
        <w:t>0.70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2023年项目经费增加</w:t>
      </w:r>
      <w:r>
        <w:rPr>
          <w:rFonts w:hint="eastAsia" w:ascii="仿宋" w:hAnsi="仿宋" w:eastAsia="仿宋"/>
          <w:sz w:val="32"/>
          <w:szCs w:val="32"/>
        </w:rPr>
        <w:t>。</w:t>
      </w:r>
    </w:p>
    <w:p w14:paraId="7EBA3209">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6A903577">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E19EC83">
      <w:pPr>
        <w:spacing w:line="600" w:lineRule="exact"/>
        <w:ind w:firstLine="640" w:firstLineChars="200"/>
        <w:jc w:val="left"/>
        <w:rPr>
          <w:rFonts w:ascii="仿宋_GB2312" w:eastAsia="仿宋_GB2312"/>
          <w:sz w:val="32"/>
          <w:szCs w:val="32"/>
        </w:rPr>
      </w:pPr>
    </w:p>
    <w:p w14:paraId="04214F28">
      <w:pPr>
        <w:pStyle w:val="26"/>
        <w:numPr>
          <w:ilvl w:val="0"/>
          <w:numId w:val="2"/>
        </w:numPr>
        <w:spacing w:line="600" w:lineRule="exact"/>
        <w:ind w:firstLineChars="0"/>
        <w:outlineLvl w:val="1"/>
        <w:rPr>
          <w:rStyle w:val="28"/>
          <w:rFonts w:ascii="黑体" w:hAnsi="黑体" w:eastAsia="黑体"/>
          <w:b w:val="0"/>
        </w:rPr>
      </w:pPr>
      <w:bookmarkStart w:id="27" w:name="_Toc15377206"/>
      <w:bookmarkStart w:id="28" w:name="_Toc15396604"/>
      <w:bookmarkStart w:id="29" w:name="_Toc10425"/>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5EEB89B8">
      <w:pPr>
        <w:spacing w:line="600" w:lineRule="exact"/>
        <w:ind w:firstLine="640" w:firstLineChars="200"/>
        <w:outlineLvl w:val="1"/>
        <w:rPr>
          <w:rFonts w:hint="eastAsia" w:ascii="仿宋" w:hAnsi="仿宋" w:eastAsia="仿宋"/>
          <w:sz w:val="32"/>
          <w:szCs w:val="32"/>
          <w:lang w:eastAsia="zh-CN"/>
        </w:rPr>
      </w:pPr>
      <w:bookmarkStart w:id="30" w:name="_Toc22699"/>
      <w:r>
        <w:rPr>
          <w:rFonts w:hint="eastAsia" w:ascii="仿宋" w:hAnsi="仿宋" w:eastAsia="仿宋"/>
          <w:sz w:val="32"/>
          <w:szCs w:val="32"/>
        </w:rPr>
        <w:t>2023年度本年收入合计</w:t>
      </w:r>
      <w:r>
        <w:rPr>
          <w:rFonts w:ascii="仿宋" w:hAnsi="仿宋" w:eastAsia="仿宋"/>
          <w:b/>
          <w:sz w:val="32"/>
          <w:szCs w:val="32"/>
        </w:rPr>
        <w:t>547.6</w:t>
      </w:r>
      <w:r>
        <w:rPr>
          <w:rFonts w:hint="eastAsia" w:ascii="仿宋" w:hAnsi="仿宋" w:eastAsia="仿宋"/>
          <w:sz w:val="32"/>
          <w:szCs w:val="32"/>
        </w:rPr>
        <w:t>万元，其中：一般公共预算财政拨款收入</w:t>
      </w:r>
      <w:r>
        <w:rPr>
          <w:rFonts w:ascii="仿宋" w:hAnsi="仿宋" w:eastAsia="仿宋"/>
          <w:b/>
          <w:sz w:val="32"/>
          <w:szCs w:val="32"/>
        </w:rPr>
        <w:t>391.15</w:t>
      </w:r>
      <w:r>
        <w:rPr>
          <w:rFonts w:hint="eastAsia" w:ascii="仿宋" w:hAnsi="仿宋" w:eastAsia="仿宋"/>
          <w:sz w:val="32"/>
          <w:szCs w:val="32"/>
        </w:rPr>
        <w:t>万元，占</w:t>
      </w:r>
      <w:r>
        <w:rPr>
          <w:rFonts w:ascii="仿宋" w:hAnsi="仿宋" w:eastAsia="仿宋"/>
          <w:b/>
          <w:sz w:val="32"/>
          <w:szCs w:val="32"/>
        </w:rPr>
        <w:t>71.4</w:t>
      </w:r>
      <w:r>
        <w:rPr>
          <w:rFonts w:hint="eastAsia" w:ascii="仿宋" w:hAnsi="仿宋" w:eastAsia="仿宋"/>
          <w:b/>
          <w:sz w:val="32"/>
          <w:szCs w:val="32"/>
          <w:lang w:val="en-US" w:eastAsia="zh-CN"/>
        </w:rPr>
        <w:t>3</w:t>
      </w:r>
      <w:r>
        <w:rPr>
          <w:rFonts w:ascii="仿宋" w:hAnsi="仿宋" w:eastAsia="仿宋"/>
          <w:b/>
          <w:sz w:val="32"/>
          <w:szCs w:val="32"/>
        </w:rPr>
        <w:t>%</w:t>
      </w:r>
      <w:r>
        <w:rPr>
          <w:rFonts w:hint="eastAsia" w:ascii="仿宋" w:hAnsi="仿宋" w:eastAsia="仿宋"/>
          <w:sz w:val="32"/>
          <w:szCs w:val="32"/>
        </w:rPr>
        <w:t>；事业收入</w:t>
      </w:r>
      <w:r>
        <w:rPr>
          <w:rFonts w:ascii="仿宋" w:hAnsi="仿宋" w:eastAsia="仿宋"/>
          <w:b/>
          <w:sz w:val="32"/>
          <w:szCs w:val="32"/>
        </w:rPr>
        <w:t>156.45</w:t>
      </w:r>
      <w:r>
        <w:rPr>
          <w:rFonts w:hint="eastAsia" w:ascii="仿宋" w:hAnsi="仿宋" w:eastAsia="仿宋"/>
          <w:sz w:val="32"/>
          <w:szCs w:val="32"/>
        </w:rPr>
        <w:t>万元，占</w:t>
      </w:r>
      <w:r>
        <w:rPr>
          <w:rFonts w:ascii="仿宋" w:hAnsi="仿宋" w:eastAsia="仿宋"/>
          <w:b/>
          <w:sz w:val="32"/>
          <w:szCs w:val="32"/>
        </w:rPr>
        <w:t>28.57</w:t>
      </w:r>
      <w:r>
        <w:rPr>
          <w:rFonts w:ascii="仿宋" w:hAnsi="仿宋" w:eastAsia="仿宋"/>
          <w:sz w:val="32"/>
          <w:szCs w:val="32"/>
        </w:rPr>
        <w:t>%</w:t>
      </w:r>
      <w:r>
        <w:rPr>
          <w:rFonts w:hint="eastAsia" w:ascii="仿宋" w:hAnsi="仿宋" w:eastAsia="仿宋"/>
          <w:sz w:val="32"/>
          <w:szCs w:val="32"/>
          <w:lang w:eastAsia="zh-CN"/>
        </w:rPr>
        <w:t>。</w:t>
      </w:r>
      <w:bookmarkEnd w:id="30"/>
    </w:p>
    <w:p w14:paraId="4FF4E872">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37C1B29F">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8371EEA">
      <w:pPr>
        <w:spacing w:line="600" w:lineRule="exact"/>
        <w:ind w:firstLine="640" w:firstLineChars="200"/>
        <w:rPr>
          <w:rFonts w:ascii="仿宋_GB2312" w:eastAsia="仿宋_GB2312"/>
          <w:sz w:val="32"/>
          <w:szCs w:val="32"/>
        </w:rPr>
      </w:pPr>
    </w:p>
    <w:p w14:paraId="1A04D3A0">
      <w:pPr>
        <w:pStyle w:val="26"/>
        <w:numPr>
          <w:ilvl w:val="0"/>
          <w:numId w:val="2"/>
        </w:numPr>
        <w:spacing w:line="600" w:lineRule="exact"/>
        <w:ind w:firstLineChars="0"/>
        <w:outlineLvl w:val="1"/>
        <w:rPr>
          <w:rStyle w:val="28"/>
          <w:rFonts w:ascii="黑体" w:hAnsi="黑体" w:eastAsia="黑体"/>
          <w:b w:val="0"/>
        </w:rPr>
      </w:pPr>
      <w:bookmarkStart w:id="31" w:name="_Toc14370"/>
      <w:bookmarkStart w:id="32" w:name="_Toc15396605"/>
      <w:bookmarkStart w:id="33" w:name="_Toc15377207"/>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5904A578">
      <w:pPr>
        <w:spacing w:line="600" w:lineRule="exact"/>
        <w:ind w:firstLine="640" w:firstLineChars="200"/>
        <w:outlineLvl w:val="1"/>
        <w:rPr>
          <w:rFonts w:ascii="仿宋" w:hAnsi="仿宋" w:eastAsia="仿宋"/>
          <w:sz w:val="32"/>
          <w:szCs w:val="32"/>
        </w:rPr>
      </w:pPr>
      <w:bookmarkStart w:id="34" w:name="_Toc18314"/>
      <w:r>
        <w:rPr>
          <w:rFonts w:hint="eastAsia" w:ascii="仿宋" w:hAnsi="仿宋" w:eastAsia="仿宋"/>
          <w:sz w:val="32"/>
          <w:szCs w:val="32"/>
        </w:rPr>
        <w:t>2023年度本年支出合计</w:t>
      </w:r>
      <w:r>
        <w:rPr>
          <w:rFonts w:ascii="仿宋" w:hAnsi="仿宋" w:eastAsia="仿宋"/>
          <w:b/>
          <w:sz w:val="32"/>
          <w:szCs w:val="32"/>
        </w:rPr>
        <w:t>547.6</w:t>
      </w:r>
      <w:r>
        <w:rPr>
          <w:rFonts w:hint="eastAsia" w:ascii="仿宋" w:hAnsi="仿宋" w:eastAsia="仿宋"/>
          <w:sz w:val="32"/>
          <w:szCs w:val="32"/>
        </w:rPr>
        <w:t>万元，其中：基本支出</w:t>
      </w:r>
      <w:r>
        <w:rPr>
          <w:rFonts w:ascii="仿宋" w:hAnsi="仿宋" w:eastAsia="仿宋"/>
          <w:b/>
          <w:sz w:val="32"/>
          <w:szCs w:val="32"/>
        </w:rPr>
        <w:t>413.44</w:t>
      </w:r>
      <w:r>
        <w:rPr>
          <w:rFonts w:hint="eastAsia" w:ascii="仿宋" w:hAnsi="仿宋" w:eastAsia="仿宋"/>
          <w:sz w:val="32"/>
          <w:szCs w:val="32"/>
        </w:rPr>
        <w:t>万元，占</w:t>
      </w:r>
      <w:r>
        <w:rPr>
          <w:rFonts w:ascii="仿宋" w:hAnsi="仿宋" w:eastAsia="仿宋"/>
          <w:b/>
          <w:sz w:val="32"/>
          <w:szCs w:val="32"/>
        </w:rPr>
        <w:t>75.5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134.16</w:t>
      </w:r>
      <w:r>
        <w:rPr>
          <w:rFonts w:hint="eastAsia" w:ascii="仿宋" w:hAnsi="仿宋" w:eastAsia="仿宋"/>
          <w:sz w:val="32"/>
          <w:szCs w:val="32"/>
        </w:rPr>
        <w:t>万元，占</w:t>
      </w:r>
      <w:r>
        <w:rPr>
          <w:rFonts w:ascii="仿宋" w:hAnsi="仿宋" w:eastAsia="仿宋"/>
          <w:b/>
          <w:sz w:val="32"/>
          <w:szCs w:val="32"/>
        </w:rPr>
        <w:t>24.</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rPr>
        <w:t>。</w:t>
      </w:r>
      <w:bookmarkEnd w:id="34"/>
    </w:p>
    <w:p w14:paraId="17B30B96">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0D774DD8">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3C1465D5">
      <w:pPr>
        <w:spacing w:line="600" w:lineRule="exact"/>
        <w:ind w:firstLine="640" w:firstLineChars="200"/>
        <w:rPr>
          <w:rFonts w:ascii="仿宋_GB2312" w:eastAsia="仿宋_GB2312"/>
          <w:sz w:val="32"/>
          <w:szCs w:val="32"/>
        </w:rPr>
      </w:pPr>
    </w:p>
    <w:p w14:paraId="5D1382DA">
      <w:pPr>
        <w:spacing w:line="600" w:lineRule="exact"/>
        <w:ind w:firstLine="640" w:firstLineChars="200"/>
        <w:outlineLvl w:val="1"/>
        <w:rPr>
          <w:rStyle w:val="28"/>
          <w:rFonts w:ascii="黑体" w:hAnsi="黑体" w:eastAsia="黑体"/>
          <w:b w:val="0"/>
        </w:rPr>
      </w:pPr>
      <w:bookmarkStart w:id="35" w:name="_Toc15396606"/>
      <w:bookmarkStart w:id="36" w:name="_Toc15377208"/>
      <w:bookmarkStart w:id="37" w:name="_Toc23769"/>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1D5AA3DF">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391.15</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47.27</w:t>
      </w:r>
      <w:r>
        <w:rPr>
          <w:rFonts w:hint="eastAsia" w:ascii="仿宋" w:hAnsi="仿宋" w:eastAsia="仿宋"/>
          <w:sz w:val="32"/>
          <w:szCs w:val="32"/>
        </w:rPr>
        <w:t>万元，增长</w:t>
      </w:r>
      <w:r>
        <w:rPr>
          <w:rFonts w:hint="eastAsia" w:ascii="仿宋" w:hAnsi="仿宋" w:eastAsia="仿宋"/>
          <w:sz w:val="32"/>
          <w:szCs w:val="32"/>
          <w:lang w:val="en-US" w:eastAsia="zh-CN"/>
        </w:rPr>
        <w:t>13.75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2023年项目经费增加。</w:t>
      </w:r>
    </w:p>
    <w:p w14:paraId="6EEF01E6">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6285070F">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25CA4274">
      <w:pPr>
        <w:spacing w:line="600" w:lineRule="exact"/>
        <w:ind w:firstLine="640"/>
        <w:rPr>
          <w:rFonts w:ascii="仿宋" w:hAnsi="仿宋" w:eastAsia="仿宋"/>
          <w:b/>
          <w:sz w:val="32"/>
          <w:szCs w:val="32"/>
        </w:rPr>
      </w:pPr>
    </w:p>
    <w:p w14:paraId="08CA41C1">
      <w:pPr>
        <w:spacing w:line="600" w:lineRule="exact"/>
        <w:ind w:firstLine="640" w:firstLineChars="200"/>
        <w:outlineLvl w:val="1"/>
        <w:rPr>
          <w:rStyle w:val="28"/>
          <w:rFonts w:ascii="黑体" w:hAnsi="黑体" w:eastAsia="黑体"/>
          <w:b w:val="0"/>
        </w:rPr>
      </w:pPr>
      <w:bookmarkStart w:id="38" w:name="_Toc15377209"/>
      <w:bookmarkStart w:id="39" w:name="_Toc15396607"/>
      <w:bookmarkStart w:id="40" w:name="_Toc11150"/>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041C9941">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20F9DE8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391.15</w:t>
      </w:r>
      <w:r>
        <w:rPr>
          <w:rFonts w:hint="eastAsia" w:ascii="仿宋" w:hAnsi="仿宋" w:eastAsia="仿宋"/>
          <w:sz w:val="32"/>
          <w:szCs w:val="32"/>
        </w:rPr>
        <w:t>万元，占本年支出合计的</w:t>
      </w:r>
      <w:r>
        <w:rPr>
          <w:rFonts w:ascii="仿宋" w:hAnsi="仿宋" w:eastAsia="仿宋"/>
          <w:b/>
          <w:sz w:val="32"/>
          <w:szCs w:val="32"/>
        </w:rPr>
        <w:t>71.42</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47.27</w:t>
      </w:r>
      <w:r>
        <w:rPr>
          <w:rFonts w:hint="eastAsia" w:ascii="仿宋" w:hAnsi="仿宋" w:eastAsia="仿宋"/>
          <w:sz w:val="32"/>
          <w:szCs w:val="32"/>
        </w:rPr>
        <w:t>万元，增长</w:t>
      </w:r>
      <w:r>
        <w:rPr>
          <w:rFonts w:hint="eastAsia" w:ascii="仿宋" w:hAnsi="仿宋" w:eastAsia="仿宋"/>
          <w:sz w:val="32"/>
          <w:szCs w:val="32"/>
          <w:lang w:val="en-US" w:eastAsia="zh-CN"/>
        </w:rPr>
        <w:t>13.75</w:t>
      </w:r>
      <w:r>
        <w:rPr>
          <w:rFonts w:ascii="仿宋" w:hAnsi="仿宋" w:eastAsia="仿宋"/>
          <w:sz w:val="32"/>
          <w:szCs w:val="32"/>
        </w:rPr>
        <w:t>%</w:t>
      </w:r>
      <w:r>
        <w:rPr>
          <w:rFonts w:hint="eastAsia" w:ascii="仿宋" w:hAnsi="仿宋" w:eastAsia="仿宋"/>
          <w:sz w:val="32"/>
          <w:szCs w:val="32"/>
        </w:rPr>
        <w:t>。主要变动原因是2023年项目经费增加</w:t>
      </w:r>
      <w:r>
        <w:rPr>
          <w:rFonts w:hint="eastAsia" w:ascii="仿宋" w:hAnsi="仿宋" w:eastAsia="仿宋"/>
          <w:sz w:val="32"/>
          <w:szCs w:val="32"/>
          <w:lang w:eastAsia="zh-CN"/>
        </w:rPr>
        <w:t>。</w:t>
      </w:r>
    </w:p>
    <w:p w14:paraId="151DB8CC">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36192794">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3B596DC">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7FEA9CB9">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391.15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37.24</w:t>
      </w:r>
      <w:r>
        <w:rPr>
          <w:rFonts w:hint="eastAsia" w:ascii="仿宋" w:hAnsi="仿宋" w:eastAsia="仿宋"/>
          <w:sz w:val="32"/>
          <w:szCs w:val="32"/>
        </w:rPr>
        <w:t>万元，占</w:t>
      </w:r>
      <w:r>
        <w:rPr>
          <w:rFonts w:hint="eastAsia" w:ascii="仿宋" w:hAnsi="仿宋" w:eastAsia="仿宋"/>
          <w:sz w:val="32"/>
          <w:szCs w:val="32"/>
          <w:lang w:val="en-US" w:eastAsia="zh-CN"/>
        </w:rPr>
        <w:t>9.52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333.68</w:t>
      </w:r>
      <w:r>
        <w:rPr>
          <w:rFonts w:hint="eastAsia" w:ascii="仿宋" w:hAnsi="仿宋" w:eastAsia="仿宋"/>
          <w:sz w:val="32"/>
          <w:szCs w:val="32"/>
        </w:rPr>
        <w:t>万元，占</w:t>
      </w:r>
      <w:r>
        <w:rPr>
          <w:rFonts w:hint="eastAsia" w:ascii="仿宋" w:hAnsi="仿宋" w:eastAsia="仿宋"/>
          <w:sz w:val="32"/>
          <w:szCs w:val="32"/>
          <w:lang w:val="en-US" w:eastAsia="zh-CN"/>
        </w:rPr>
        <w:t>85.31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20.23</w:t>
      </w:r>
      <w:r>
        <w:rPr>
          <w:rFonts w:hint="eastAsia" w:ascii="仿宋" w:hAnsi="仿宋" w:eastAsia="仿宋"/>
          <w:sz w:val="32"/>
          <w:szCs w:val="32"/>
        </w:rPr>
        <w:t>万元，占</w:t>
      </w:r>
      <w:r>
        <w:rPr>
          <w:rFonts w:hint="eastAsia" w:ascii="仿宋" w:hAnsi="仿宋" w:eastAsia="仿宋"/>
          <w:sz w:val="32"/>
          <w:szCs w:val="32"/>
          <w:lang w:val="en-US" w:eastAsia="zh-CN"/>
        </w:rPr>
        <w:t>5.17</w:t>
      </w:r>
      <w:r>
        <w:rPr>
          <w:rFonts w:ascii="仿宋" w:hAnsi="仿宋" w:eastAsia="仿宋"/>
          <w:sz w:val="32"/>
          <w:szCs w:val="32"/>
        </w:rPr>
        <w:t>%</w:t>
      </w:r>
      <w:r>
        <w:rPr>
          <w:rFonts w:hint="eastAsia" w:ascii="仿宋" w:hAnsi="仿宋" w:eastAsia="仿宋"/>
          <w:sz w:val="32"/>
          <w:szCs w:val="32"/>
        </w:rPr>
        <w:t>。</w:t>
      </w:r>
    </w:p>
    <w:p w14:paraId="4E1F3668">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3E3B2767">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3C2A042F">
      <w:pPr>
        <w:spacing w:line="600" w:lineRule="exact"/>
        <w:ind w:firstLine="640" w:firstLineChars="200"/>
        <w:rPr>
          <w:rFonts w:ascii="仿宋" w:hAnsi="仿宋" w:eastAsia="仿宋"/>
          <w:sz w:val="32"/>
          <w:szCs w:val="32"/>
        </w:rPr>
      </w:pPr>
    </w:p>
    <w:p w14:paraId="74892487">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6298E302">
      <w:pPr>
        <w:spacing w:line="600" w:lineRule="exact"/>
        <w:ind w:firstLine="643" w:firstLineChars="200"/>
        <w:outlineLvl w:val="1"/>
        <w:rPr>
          <w:rFonts w:ascii="仿宋" w:hAnsi="仿宋" w:eastAsia="仿宋"/>
          <w:sz w:val="32"/>
          <w:szCs w:val="32"/>
        </w:rPr>
      </w:pPr>
      <w:bookmarkStart w:id="44" w:name="_Toc15377213"/>
      <w:bookmarkStart w:id="45" w:name="_Toc15378460"/>
      <w:bookmarkStart w:id="46" w:name="_Toc18424"/>
      <w:bookmarkStart w:id="47" w:name="_Toc15377444"/>
      <w:r>
        <w:rPr>
          <w:rFonts w:hint="eastAsia" w:ascii="仿宋" w:hAnsi="仿宋" w:eastAsia="仿宋"/>
          <w:b/>
          <w:sz w:val="32"/>
          <w:szCs w:val="32"/>
        </w:rPr>
        <w:t>2023年度一般公共预算支出决算数为</w:t>
      </w:r>
      <w:r>
        <w:rPr>
          <w:rFonts w:ascii="仿宋" w:hAnsi="仿宋" w:eastAsia="仿宋"/>
          <w:b/>
          <w:sz w:val="32"/>
          <w:szCs w:val="32"/>
        </w:rPr>
        <w:t>391.15</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2BEB2F01">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支出决算为19.</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lang w:val="en-US"/>
        </w:rPr>
        <w:t>8万元，完成预算100%，决算数与预算数持平。</w:t>
      </w:r>
    </w:p>
    <w:p w14:paraId="74548712">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bookmarkStart w:id="104" w:name="_GoBack"/>
      <w:bookmarkEnd w:id="104"/>
      <w:r>
        <w:rPr>
          <w:rFonts w:hint="eastAsia" w:ascii="仿宋_GB2312" w:hAnsi="仿宋_GB2312" w:eastAsia="仿宋_GB2312"/>
          <w:color w:val="000000"/>
          <w:kern w:val="2"/>
          <w:sz w:val="32"/>
          <w:szCs w:val="24"/>
          <w:lang w:val="en-US"/>
        </w:rPr>
        <w:t>支出决算为9.</w:t>
      </w:r>
      <w:r>
        <w:rPr>
          <w:rFonts w:hint="eastAsia" w:ascii="仿宋_GB2312" w:hAnsi="仿宋_GB2312" w:eastAsia="仿宋_GB2312"/>
          <w:color w:val="000000"/>
          <w:kern w:val="2"/>
          <w:sz w:val="32"/>
          <w:szCs w:val="24"/>
          <w:lang w:val="en-US" w:eastAsia="zh-CN"/>
        </w:rPr>
        <w:t>99</w:t>
      </w:r>
      <w:r>
        <w:rPr>
          <w:rFonts w:hint="eastAsia" w:ascii="仿宋_GB2312" w:hAnsi="仿宋_GB2312" w:eastAsia="仿宋_GB2312"/>
          <w:color w:val="000000"/>
          <w:kern w:val="2"/>
          <w:sz w:val="32"/>
          <w:szCs w:val="24"/>
          <w:lang w:val="en-US"/>
        </w:rPr>
        <w:t>万元，完成预算100%，决算数与预算数持平。</w:t>
      </w:r>
    </w:p>
    <w:p w14:paraId="5C48B3FC">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 xml:space="preserve">3.社会保障和就业（类）其他社会保障和就业支出（款）其他社会保障和就业支出（项）: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7.57</w:t>
      </w:r>
      <w:r>
        <w:rPr>
          <w:rFonts w:hint="eastAsia" w:ascii="仿宋_GB2312" w:hAnsi="仿宋_GB2312" w:eastAsia="仿宋_GB2312"/>
          <w:color w:val="000000"/>
          <w:kern w:val="2"/>
          <w:sz w:val="32"/>
          <w:szCs w:val="24"/>
          <w:lang w:val="en-US"/>
        </w:rPr>
        <w:t>万元，完成预算100%，决算数与预算数持平。</w:t>
      </w:r>
    </w:p>
    <w:p w14:paraId="612A8287">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202.82</w:t>
      </w:r>
      <w:r>
        <w:rPr>
          <w:rFonts w:hint="eastAsia" w:ascii="仿宋_GB2312" w:hAnsi="仿宋_GB2312" w:eastAsia="仿宋_GB2312"/>
          <w:color w:val="000000"/>
          <w:kern w:val="2"/>
          <w:sz w:val="32"/>
          <w:szCs w:val="24"/>
          <w:lang w:val="en-US"/>
        </w:rPr>
        <w:t>万元，完成预算100%，决算数与预算数持平。</w:t>
      </w:r>
    </w:p>
    <w:p w14:paraId="7DE31435">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34.85</w:t>
      </w:r>
      <w:r>
        <w:rPr>
          <w:rFonts w:hint="eastAsia" w:ascii="仿宋_GB2312" w:hAnsi="仿宋_GB2312" w:eastAsia="仿宋_GB2312"/>
          <w:color w:val="000000"/>
          <w:kern w:val="2"/>
          <w:sz w:val="32"/>
          <w:szCs w:val="24"/>
          <w:lang w:val="en-US"/>
        </w:rPr>
        <w:t>万元，完成预算100%，决算数与预算数持平。</w:t>
      </w:r>
    </w:p>
    <w:p w14:paraId="27551913">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86.33</w:t>
      </w:r>
      <w:r>
        <w:rPr>
          <w:rFonts w:hint="eastAsia" w:ascii="仿宋_GB2312" w:hAnsi="仿宋_GB2312" w:eastAsia="仿宋_GB2312"/>
          <w:color w:val="000000"/>
          <w:kern w:val="2"/>
          <w:sz w:val="32"/>
          <w:szCs w:val="24"/>
          <w:lang w:val="en-US"/>
        </w:rPr>
        <w:t>万元，完成预算100%，决算数与预算数持平。</w:t>
      </w:r>
    </w:p>
    <w:p w14:paraId="2E703C3C">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7.卫生健康（类）行政事业单位医疗（款）事业单位医疗（项）: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8.24</w:t>
      </w:r>
      <w:r>
        <w:rPr>
          <w:rFonts w:hint="eastAsia" w:ascii="仿宋_GB2312" w:hAnsi="仿宋_GB2312" w:eastAsia="仿宋_GB2312"/>
          <w:color w:val="000000"/>
          <w:kern w:val="2"/>
          <w:sz w:val="32"/>
          <w:szCs w:val="24"/>
          <w:lang w:val="en-US"/>
        </w:rPr>
        <w:t>万元，完成预算100%，决算数与预算数持平。</w:t>
      </w:r>
    </w:p>
    <w:p w14:paraId="11F2C2A0">
      <w:pPr>
        <w:spacing w:line="576" w:lineRule="exact"/>
        <w:ind w:firstLine="643"/>
        <w:jc w:val="both"/>
        <w:rPr>
          <w:rFonts w:hint="eastAsia"/>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1.44</w:t>
      </w:r>
      <w:r>
        <w:rPr>
          <w:rFonts w:hint="eastAsia" w:ascii="仿宋_GB2312" w:hAnsi="仿宋_GB2312" w:eastAsia="仿宋_GB2312"/>
          <w:color w:val="000000"/>
          <w:kern w:val="2"/>
          <w:sz w:val="32"/>
          <w:szCs w:val="24"/>
          <w:lang w:val="en-US"/>
        </w:rPr>
        <w:t>万元，完成预算100%，决算数与预算数持平。</w:t>
      </w:r>
    </w:p>
    <w:p w14:paraId="1C8F713E">
      <w:pPr>
        <w:spacing w:line="576" w:lineRule="exact"/>
        <w:ind w:firstLine="643"/>
        <w:jc w:val="both"/>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支出决算为2</w:t>
      </w:r>
      <w:r>
        <w:rPr>
          <w:rFonts w:hint="eastAsia" w:ascii="仿宋_GB2312" w:hAnsi="仿宋_GB2312" w:eastAsia="仿宋_GB2312"/>
          <w:color w:val="000000"/>
          <w:kern w:val="2"/>
          <w:sz w:val="32"/>
          <w:szCs w:val="24"/>
          <w:lang w:val="en-US" w:eastAsia="zh-CN"/>
        </w:rPr>
        <w:t>0.23</w:t>
      </w:r>
      <w:r>
        <w:rPr>
          <w:rFonts w:hint="eastAsia" w:ascii="仿宋_GB2312" w:hAnsi="仿宋_GB2312" w:eastAsia="仿宋_GB2312"/>
          <w:color w:val="000000"/>
          <w:kern w:val="2"/>
          <w:sz w:val="32"/>
          <w:szCs w:val="24"/>
          <w:lang w:val="en-US"/>
        </w:rPr>
        <w:t>万元，完成预算100%，决算数与预算数持平</w:t>
      </w:r>
      <w:r>
        <w:rPr>
          <w:rFonts w:hint="eastAsia" w:ascii="仿宋" w:hAnsi="仿宋" w:eastAsia="仿宋"/>
          <w:color w:val="auto"/>
          <w:kern w:val="2"/>
          <w:sz w:val="32"/>
          <w:szCs w:val="24"/>
          <w:lang w:val="en-US"/>
        </w:rPr>
        <w:t>。</w:t>
      </w:r>
    </w:p>
    <w:p w14:paraId="0B870D77">
      <w:pPr>
        <w:tabs>
          <w:tab w:val="right" w:pos="8306"/>
        </w:tabs>
        <w:spacing w:line="600" w:lineRule="exact"/>
        <w:ind w:firstLine="640"/>
        <w:outlineLvl w:val="1"/>
        <w:rPr>
          <w:rStyle w:val="28"/>
        </w:rPr>
      </w:pPr>
      <w:bookmarkStart w:id="48" w:name="_Toc15396608"/>
      <w:bookmarkStart w:id="49" w:name="_Toc31694"/>
      <w:bookmarkStart w:id="5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213B19B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256.99</w:t>
      </w:r>
      <w:r>
        <w:rPr>
          <w:rFonts w:hint="eastAsia" w:ascii="仿宋" w:hAnsi="仿宋" w:eastAsia="仿宋"/>
          <w:sz w:val="32"/>
          <w:szCs w:val="32"/>
        </w:rPr>
        <w:t>万元，其中：</w:t>
      </w:r>
    </w:p>
    <w:p w14:paraId="78F6AE7D">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250.39</w:t>
      </w:r>
      <w:r>
        <w:rPr>
          <w:rFonts w:hint="eastAsia" w:ascii="仿宋" w:hAnsi="仿宋" w:eastAsia="仿宋"/>
          <w:sz w:val="32"/>
          <w:szCs w:val="32"/>
        </w:rPr>
        <w:t>万元，主要包括：基本工资、津贴补贴、伙食补助费、绩效工资、机关事业单位基本养老保险缴费、职业年金缴费、职工基本医疗保险缴费、其他社会保障缴费、住房公积金、其他工资福利支出</w:t>
      </w:r>
      <w:r>
        <w:rPr>
          <w:rFonts w:hint="eastAsia" w:ascii="仿宋" w:hAnsi="仿宋" w:eastAsia="仿宋"/>
          <w:sz w:val="32"/>
          <w:szCs w:val="32"/>
          <w:lang w:eastAsia="zh-CN"/>
        </w:rPr>
        <w:t>、</w:t>
      </w:r>
      <w:r>
        <w:rPr>
          <w:rFonts w:hint="eastAsia" w:ascii="仿宋" w:hAnsi="仿宋" w:eastAsia="仿宋"/>
          <w:sz w:val="32"/>
          <w:szCs w:val="32"/>
          <w:lang w:val="en-US" w:eastAsia="zh-CN"/>
        </w:rPr>
        <w:t>生活补助、其他对个人和家庭的补助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6.6</w:t>
      </w:r>
      <w:r>
        <w:rPr>
          <w:rFonts w:hint="eastAsia" w:ascii="仿宋" w:hAnsi="仿宋" w:eastAsia="仿宋"/>
          <w:sz w:val="32"/>
          <w:szCs w:val="32"/>
        </w:rPr>
        <w:t>万元，主要包括：工会经费、福利费等。</w:t>
      </w:r>
    </w:p>
    <w:p w14:paraId="44DB5816">
      <w:pPr>
        <w:spacing w:line="600" w:lineRule="exact"/>
        <w:ind w:firstLine="640"/>
        <w:rPr>
          <w:rFonts w:ascii="仿宋" w:hAnsi="仿宋" w:eastAsia="仿宋"/>
          <w:b/>
          <w:sz w:val="32"/>
          <w:szCs w:val="32"/>
        </w:rPr>
      </w:pPr>
    </w:p>
    <w:p w14:paraId="040325C0">
      <w:pPr>
        <w:spacing w:line="600" w:lineRule="exact"/>
        <w:ind w:firstLine="640"/>
        <w:outlineLvl w:val="1"/>
        <w:rPr>
          <w:rStyle w:val="28"/>
          <w:rFonts w:ascii="黑体" w:hAnsi="黑体" w:eastAsia="黑体"/>
          <w:b w:val="0"/>
        </w:rPr>
      </w:pPr>
      <w:bookmarkStart w:id="51" w:name="_Toc15377215"/>
      <w:bookmarkStart w:id="52" w:name="_Toc15396609"/>
      <w:bookmarkStart w:id="53" w:name="_Toc7420"/>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6429CC5C">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2E9FA61A">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%。决算数与预算数持平的主要原因是202</w:t>
      </w:r>
      <w:r>
        <w:rPr>
          <w:rFonts w:hint="eastAsia" w:ascii="仿宋" w:hAnsi="仿宋" w:eastAsia="仿宋"/>
          <w:sz w:val="32"/>
          <w:szCs w:val="32"/>
          <w:lang w:val="en-US" w:eastAsia="zh-CN"/>
        </w:rPr>
        <w:t>3</w:t>
      </w:r>
      <w:r>
        <w:rPr>
          <w:rFonts w:hint="eastAsia" w:ascii="仿宋" w:hAnsi="仿宋" w:eastAsia="仿宋"/>
          <w:sz w:val="32"/>
          <w:szCs w:val="32"/>
        </w:rPr>
        <w:t>年无三公经费预算。</w:t>
      </w:r>
    </w:p>
    <w:p w14:paraId="4B7C09F7">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61D563CD">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49FE214">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56D5EDE6">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6083B0C6">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6D678B02">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6E45783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A3622B7">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万元。主要用于具体工作等所需的公务用车燃料费、维修费、过路过桥费、保险费等支出。</w:t>
      </w:r>
    </w:p>
    <w:p w14:paraId="3C75108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7CAC955D">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52010B9">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65C0015">
      <w:pPr>
        <w:spacing w:line="600" w:lineRule="exact"/>
        <w:ind w:firstLine="640"/>
        <w:outlineLvl w:val="9"/>
        <w:rPr>
          <w:rFonts w:ascii="黑体" w:eastAsia="黑体"/>
          <w:sz w:val="32"/>
          <w:szCs w:val="32"/>
        </w:rPr>
      </w:pPr>
    </w:p>
    <w:p w14:paraId="6163E760">
      <w:pPr>
        <w:spacing w:line="600" w:lineRule="exact"/>
        <w:ind w:firstLine="640"/>
        <w:outlineLvl w:val="1"/>
        <w:rPr>
          <w:rStyle w:val="28"/>
          <w:rFonts w:ascii="黑体" w:hAnsi="黑体" w:eastAsia="黑体"/>
        </w:rPr>
      </w:pPr>
      <w:bookmarkStart w:id="58" w:name="_Toc15248"/>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55A9EC1C">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C68A893">
      <w:pPr>
        <w:spacing w:line="600" w:lineRule="exact"/>
        <w:ind w:firstLine="640"/>
        <w:rPr>
          <w:rFonts w:ascii="仿宋_GB2312" w:eastAsia="仿宋_GB2312"/>
          <w:sz w:val="32"/>
          <w:szCs w:val="32"/>
        </w:rPr>
      </w:pPr>
    </w:p>
    <w:p w14:paraId="5E25352A">
      <w:pPr>
        <w:numPr>
          <w:ilvl w:val="0"/>
          <w:numId w:val="3"/>
        </w:numPr>
        <w:spacing w:line="600" w:lineRule="exact"/>
        <w:ind w:firstLine="640"/>
        <w:outlineLvl w:val="1"/>
        <w:rPr>
          <w:rStyle w:val="28"/>
          <w:rFonts w:ascii="黑体" w:hAnsi="黑体" w:eastAsia="黑体"/>
          <w:b w:val="0"/>
        </w:rPr>
      </w:pPr>
      <w:bookmarkStart w:id="59" w:name="_Toc15396611"/>
      <w:bookmarkStart w:id="60" w:name="_Toc28903"/>
      <w:bookmarkStart w:id="61" w:name="_Toc15377219"/>
      <w:r>
        <w:rPr>
          <w:rStyle w:val="28"/>
          <w:rFonts w:hint="eastAsia" w:ascii="黑体" w:hAnsi="黑体" w:eastAsia="黑体"/>
          <w:b w:val="0"/>
        </w:rPr>
        <w:t>国有资本经营预算支出决算情况说明</w:t>
      </w:r>
      <w:bookmarkEnd w:id="59"/>
      <w:bookmarkEnd w:id="60"/>
      <w:bookmarkEnd w:id="61"/>
    </w:p>
    <w:p w14:paraId="2222F5C7">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E61155D">
      <w:pPr>
        <w:spacing w:line="580" w:lineRule="exact"/>
        <w:jc w:val="center"/>
        <w:rPr>
          <w:rFonts w:ascii="方正小标宋简体" w:hAnsi="方正小标宋简体" w:eastAsia="方正小标宋简体" w:cs="方正小标宋简体"/>
          <w:sz w:val="44"/>
          <w:szCs w:val="44"/>
        </w:rPr>
      </w:pPr>
    </w:p>
    <w:p w14:paraId="4847C0EF">
      <w:pPr>
        <w:numPr>
          <w:ilvl w:val="0"/>
          <w:numId w:val="3"/>
        </w:numPr>
        <w:spacing w:line="600" w:lineRule="exact"/>
        <w:ind w:firstLine="640"/>
        <w:outlineLvl w:val="1"/>
        <w:rPr>
          <w:rStyle w:val="28"/>
          <w:rFonts w:ascii="黑体" w:hAnsi="黑体" w:eastAsia="黑体"/>
          <w:b w:val="0"/>
        </w:rPr>
      </w:pPr>
      <w:bookmarkStart w:id="62" w:name="_Toc15377221"/>
      <w:bookmarkStart w:id="63" w:name="_Toc15396612"/>
      <w:bookmarkStart w:id="64" w:name="_Toc5978"/>
      <w:r>
        <w:rPr>
          <w:rStyle w:val="28"/>
          <w:rFonts w:hint="eastAsia" w:ascii="黑体" w:hAnsi="黑体" w:eastAsia="黑体"/>
          <w:b w:val="0"/>
        </w:rPr>
        <w:t>其他重要事项的情况说明</w:t>
      </w:r>
      <w:bookmarkEnd w:id="62"/>
      <w:bookmarkEnd w:id="63"/>
      <w:bookmarkEnd w:id="64"/>
    </w:p>
    <w:p w14:paraId="519D5242">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5A067194">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峨边彝族自治县大堡镇中心卫生院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3797A69E">
      <w:pPr>
        <w:spacing w:line="600" w:lineRule="exact"/>
        <w:ind w:firstLine="643" w:firstLineChars="200"/>
        <w:rPr>
          <w:rFonts w:ascii="仿宋" w:hAnsi="仿宋" w:eastAsia="仿宋"/>
          <w:b/>
          <w:sz w:val="32"/>
          <w:szCs w:val="32"/>
        </w:rPr>
      </w:pPr>
    </w:p>
    <w:p w14:paraId="67187D3E">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717D3D7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峨边彝族自治县大堡镇中心卫生院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6FCE8EC0">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3D346BDE">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峨边彝族自治县大堡镇中心卫生院</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开展医疗业务工作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13432B6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1B934D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2B5B0C95">
      <w:pPr>
        <w:pStyle w:val="2"/>
        <w:ind w:left="0" w:leftChars="0" w:firstLine="639" w:firstLineChars="213"/>
      </w:pPr>
      <w:r>
        <w:rPr>
          <w:rFonts w:hint="eastAsia"/>
        </w:rPr>
        <w:t>本单位项目主要为基层医疗机构基药补助、基本公共卫生服务补助资金，由主管部门统一进行预算绩效管理。</w:t>
      </w:r>
    </w:p>
    <w:p w14:paraId="4E3C0630">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77519B42">
      <w:pPr>
        <w:numPr>
          <w:ilvl w:val="0"/>
          <w:numId w:val="4"/>
        </w:numPr>
        <w:spacing w:line="600" w:lineRule="exact"/>
        <w:ind w:firstLine="660" w:firstLineChars="150"/>
        <w:jc w:val="center"/>
        <w:outlineLvl w:val="0"/>
        <w:rPr>
          <w:rStyle w:val="27"/>
          <w:rFonts w:ascii="黑体" w:hAnsi="黑体" w:eastAsia="黑体"/>
          <w:b w:val="0"/>
        </w:rPr>
      </w:pPr>
      <w:bookmarkStart w:id="68" w:name="_Toc9097"/>
      <w:bookmarkStart w:id="69" w:name="_Toc15377225"/>
      <w:bookmarkStart w:id="70" w:name="_Toc153966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073B37F0">
      <w:pPr>
        <w:spacing w:line="600" w:lineRule="exact"/>
        <w:jc w:val="left"/>
        <w:rPr>
          <w:rFonts w:ascii="宋体"/>
          <w:b/>
          <w:sz w:val="44"/>
          <w:szCs w:val="44"/>
        </w:rPr>
      </w:pPr>
    </w:p>
    <w:p w14:paraId="11D861C8">
      <w:pPr>
        <w:pStyle w:val="25"/>
        <w:spacing w:beforeLines="0" w:afterLines="0" w:line="560" w:lineRule="exact"/>
        <w:ind w:firstLine="640" w:firstLineChars="200"/>
        <w:outlineLvl w:val="1"/>
        <w:rPr>
          <w:rFonts w:hint="eastAsia" w:ascii="仿宋_GB2312" w:eastAsia="仿宋_GB2312"/>
          <w:color w:val="auto"/>
          <w:sz w:val="32"/>
          <w:szCs w:val="32"/>
        </w:rPr>
      </w:pPr>
      <w:bookmarkStart w:id="71" w:name="_Toc18326"/>
      <w:r>
        <w:rPr>
          <w:rFonts w:hint="eastAsia" w:ascii="仿宋_GB2312" w:eastAsia="仿宋_GB2312"/>
          <w:color w:val="auto"/>
          <w:sz w:val="32"/>
          <w:szCs w:val="32"/>
        </w:rPr>
        <w:t>1.财政拨款收入：指单位从同级财政部门取得的财政预算资金。</w:t>
      </w:r>
      <w:bookmarkEnd w:id="71"/>
    </w:p>
    <w:p w14:paraId="06813F33">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4E82DB7C">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4B1F855">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65812996">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20BA038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1AAA90C1">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19ED200B">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28420DCF">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6F4F4ADC">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7BF5688B">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52FCBA5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59BDBB82">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7F89A4FB">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14.住房保障支出（类）住房改革支出（款）住房公积金（项）：指反映行政事业单位按人力资源和社会保障部、财政部规定的基本工资和津贴补贴以及规定比例为职工缴纳的住房公积金。</w:t>
      </w:r>
    </w:p>
    <w:p w14:paraId="6CF5E4E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15.基本支出：指为保障机构正常运转、完成日常工作任务而发生的人员支出和公用支出。</w:t>
      </w:r>
    </w:p>
    <w:p w14:paraId="136EE4A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16.项目支出：指在基本支出之外为完成特定行政任务和事业发展目标所发生的支出。 </w:t>
      </w:r>
    </w:p>
    <w:p w14:paraId="195C328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357D8B">
      <w:pPr>
        <w:pStyle w:val="25"/>
        <w:spacing w:line="560" w:lineRule="exact"/>
        <w:ind w:firstLine="640" w:firstLineChars="200"/>
        <w:rPr>
          <w:rFonts w:ascii="仿宋_GB2312" w:eastAsia="仿宋_GB2312" w:cs="黑体"/>
          <w:color w:val="auto"/>
          <w:sz w:val="32"/>
          <w:szCs w:val="32"/>
        </w:rPr>
      </w:pPr>
    </w:p>
    <w:p w14:paraId="17B12FF2">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27670"/>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4A5077D5">
      <w:pPr>
        <w:spacing w:line="572" w:lineRule="exact"/>
        <w:jc w:val="left"/>
        <w:outlineLvl w:val="9"/>
        <w:rPr>
          <w:rFonts w:ascii="仿宋_GB2312" w:hAnsi="仿宋_GB2312" w:eastAsia="仿宋_GB2312" w:cs="仿宋_GB2312"/>
          <w:sz w:val="32"/>
          <w:szCs w:val="32"/>
        </w:rPr>
      </w:pPr>
    </w:p>
    <w:p w14:paraId="5B9DB90C">
      <w:pPr>
        <w:spacing w:line="600" w:lineRule="exact"/>
        <w:jc w:val="center"/>
        <w:outlineLvl w:val="1"/>
        <w:rPr>
          <w:rFonts w:ascii="黑体" w:hAnsi="黑体" w:eastAsia="黑体"/>
          <w:color w:val="FF0000"/>
          <w:sz w:val="44"/>
          <w:szCs w:val="44"/>
        </w:rPr>
      </w:pPr>
      <w:bookmarkStart w:id="75" w:name="_Toc19788"/>
      <w:bookmarkStart w:id="76" w:name="_Toc15396618"/>
      <w:r>
        <w:rPr>
          <w:rFonts w:hint="eastAsia"/>
          <w:sz w:val="32"/>
          <w:szCs w:val="32"/>
        </w:rPr>
        <w:t>部门预算项目支出绩效自评表（2023年度）</w:t>
      </w:r>
      <w:bookmarkEnd w:id="75"/>
    </w:p>
    <w:p w14:paraId="0E9A6446">
      <w:pPr>
        <w:pStyle w:val="13"/>
        <w:spacing w:line="560" w:lineRule="exact"/>
        <w:ind w:left="0" w:leftChars="0" w:firstLine="640"/>
        <w:rPr>
          <w:sz w:val="32"/>
        </w:rPr>
      </w:pPr>
    </w:p>
    <w:p w14:paraId="6AD78751">
      <w:pPr>
        <w:pStyle w:val="2"/>
        <w:spacing w:before="93"/>
        <w:ind w:left="0" w:leftChars="0" w:firstLine="640" w:firstLineChars="200"/>
        <w:rPr>
          <w:rFonts w:hAnsi="Calibri" w:cs="仿宋"/>
          <w:sz w:val="32"/>
          <w:szCs w:val="32"/>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3F60793A">
      <w:pPr>
        <w:pStyle w:val="2"/>
        <w:spacing w:before="93"/>
        <w:rPr>
          <w:rFonts w:hAnsi="Calibri" w:cs="仿宋"/>
          <w:sz w:val="32"/>
          <w:szCs w:val="32"/>
        </w:rPr>
      </w:pPr>
    </w:p>
    <w:p w14:paraId="2F96E902">
      <w:pPr>
        <w:pStyle w:val="2"/>
        <w:spacing w:before="93"/>
        <w:rPr>
          <w:rFonts w:hAnsi="Calibri" w:cs="仿宋"/>
          <w:sz w:val="32"/>
          <w:szCs w:val="32"/>
        </w:rPr>
      </w:pPr>
    </w:p>
    <w:p w14:paraId="07999558">
      <w:pPr>
        <w:pStyle w:val="2"/>
        <w:spacing w:before="93"/>
        <w:rPr>
          <w:rFonts w:hAnsi="Calibri" w:cs="仿宋"/>
          <w:sz w:val="32"/>
          <w:szCs w:val="32"/>
        </w:rPr>
      </w:pPr>
    </w:p>
    <w:p w14:paraId="5A896433">
      <w:pPr>
        <w:pStyle w:val="2"/>
        <w:spacing w:before="93"/>
        <w:rPr>
          <w:rFonts w:hAnsi="Calibri" w:cs="仿宋"/>
          <w:sz w:val="32"/>
          <w:szCs w:val="32"/>
        </w:rPr>
      </w:pPr>
    </w:p>
    <w:p w14:paraId="0DA37680">
      <w:pPr>
        <w:pStyle w:val="2"/>
        <w:spacing w:before="93"/>
        <w:rPr>
          <w:rFonts w:hAnsi="Calibri" w:cs="仿宋"/>
          <w:sz w:val="32"/>
          <w:szCs w:val="32"/>
        </w:rPr>
      </w:pPr>
    </w:p>
    <w:p w14:paraId="2AECC90B">
      <w:pPr>
        <w:pStyle w:val="2"/>
        <w:spacing w:before="93"/>
        <w:rPr>
          <w:rFonts w:hAnsi="Calibri" w:cs="仿宋"/>
          <w:sz w:val="32"/>
          <w:szCs w:val="32"/>
        </w:rPr>
      </w:pPr>
    </w:p>
    <w:p w14:paraId="19299AB5">
      <w:pPr>
        <w:pStyle w:val="2"/>
        <w:spacing w:before="93"/>
        <w:rPr>
          <w:rFonts w:hAnsi="Calibri" w:cs="仿宋"/>
          <w:sz w:val="32"/>
          <w:szCs w:val="32"/>
        </w:rPr>
      </w:pPr>
    </w:p>
    <w:p w14:paraId="5DFF2E2A">
      <w:pPr>
        <w:pStyle w:val="2"/>
        <w:spacing w:before="93"/>
        <w:rPr>
          <w:rFonts w:hAnsi="Calibri" w:cs="仿宋"/>
          <w:sz w:val="32"/>
          <w:szCs w:val="32"/>
        </w:rPr>
      </w:pPr>
    </w:p>
    <w:p w14:paraId="5B9801D5">
      <w:pPr>
        <w:pStyle w:val="2"/>
        <w:spacing w:before="93"/>
        <w:rPr>
          <w:rFonts w:hAnsi="Calibri" w:cs="仿宋"/>
          <w:sz w:val="32"/>
          <w:szCs w:val="32"/>
        </w:rPr>
      </w:pPr>
    </w:p>
    <w:p w14:paraId="734B83CC">
      <w:pPr>
        <w:pStyle w:val="2"/>
        <w:spacing w:before="93"/>
        <w:rPr>
          <w:rFonts w:hAnsi="Calibri" w:cs="仿宋"/>
          <w:sz w:val="32"/>
          <w:szCs w:val="32"/>
        </w:rPr>
      </w:pPr>
    </w:p>
    <w:p w14:paraId="28FEBAE4">
      <w:pPr>
        <w:pStyle w:val="2"/>
        <w:spacing w:before="93"/>
        <w:rPr>
          <w:rFonts w:hAnsi="Calibri" w:cs="仿宋"/>
          <w:sz w:val="32"/>
          <w:szCs w:val="32"/>
        </w:rPr>
      </w:pPr>
    </w:p>
    <w:p w14:paraId="505F33FF">
      <w:pPr>
        <w:pStyle w:val="2"/>
        <w:spacing w:before="93"/>
        <w:rPr>
          <w:rFonts w:hAnsi="Calibri" w:cs="仿宋"/>
          <w:sz w:val="32"/>
          <w:szCs w:val="32"/>
        </w:rPr>
      </w:pPr>
    </w:p>
    <w:p w14:paraId="4679559B">
      <w:pPr>
        <w:pStyle w:val="2"/>
        <w:spacing w:before="93"/>
        <w:rPr>
          <w:rFonts w:hAnsi="Calibri" w:cs="仿宋"/>
          <w:sz w:val="32"/>
          <w:szCs w:val="32"/>
        </w:rPr>
      </w:pPr>
    </w:p>
    <w:p w14:paraId="6357F051">
      <w:pPr>
        <w:spacing w:line="600" w:lineRule="exact"/>
        <w:jc w:val="center"/>
        <w:outlineLvl w:val="0"/>
        <w:rPr>
          <w:rFonts w:ascii="仿宋" w:hAnsi="仿宋" w:eastAsia="仿宋"/>
        </w:rPr>
      </w:pPr>
      <w:bookmarkStart w:id="77" w:name="_Toc31607"/>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19D898FF">
      <w:pPr>
        <w:pStyle w:val="4"/>
        <w:rPr>
          <w:rFonts w:ascii="仿宋" w:hAnsi="仿宋" w:eastAsia="仿宋"/>
        </w:rPr>
      </w:pPr>
      <w:bookmarkStart w:id="79" w:name="_Toc450"/>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574D828F">
      <w:pPr>
        <w:pStyle w:val="4"/>
        <w:rPr>
          <w:rFonts w:ascii="仿宋" w:hAnsi="仿宋" w:eastAsia="仿宋"/>
        </w:rPr>
      </w:pPr>
      <w:bookmarkStart w:id="80" w:name="_Toc15396620"/>
      <w:bookmarkStart w:id="81" w:name="_Toc27115"/>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68D3800D">
      <w:pPr>
        <w:pStyle w:val="4"/>
        <w:rPr>
          <w:rFonts w:ascii="仿宋" w:hAnsi="仿宋" w:eastAsia="仿宋"/>
        </w:rPr>
      </w:pPr>
      <w:bookmarkStart w:id="82" w:name="_Toc30721"/>
      <w:bookmarkStart w:id="83"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15D7B38E">
      <w:pPr>
        <w:pStyle w:val="4"/>
        <w:rPr>
          <w:rFonts w:ascii="仿宋" w:hAnsi="仿宋" w:eastAsia="仿宋"/>
          <w:b w:val="0"/>
        </w:rPr>
      </w:pPr>
      <w:bookmarkStart w:id="84" w:name="_Toc15396622"/>
      <w:bookmarkStart w:id="85" w:name="_Toc4858"/>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3B624AAF">
      <w:pPr>
        <w:pStyle w:val="4"/>
        <w:rPr>
          <w:rStyle w:val="28"/>
          <w:rFonts w:ascii="仿宋" w:hAnsi="仿宋" w:eastAsia="仿宋"/>
          <w:b w:val="0"/>
          <w:bCs w:val="0"/>
        </w:rPr>
      </w:pPr>
      <w:bookmarkStart w:id="86" w:name="_Toc15396623"/>
      <w:bookmarkStart w:id="87" w:name="_Toc26508"/>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05E7976E">
      <w:pPr>
        <w:pStyle w:val="4"/>
        <w:rPr>
          <w:rFonts w:ascii="仿宋" w:hAnsi="仿宋" w:eastAsia="仿宋"/>
        </w:rPr>
      </w:pPr>
      <w:bookmarkStart w:id="89" w:name="_Toc22991"/>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0570752E">
      <w:pPr>
        <w:pStyle w:val="4"/>
        <w:rPr>
          <w:rFonts w:ascii="仿宋" w:hAnsi="仿宋" w:eastAsia="仿宋"/>
        </w:rPr>
      </w:pPr>
      <w:bookmarkStart w:id="90" w:name="_Toc20944"/>
      <w:bookmarkStart w:id="91"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7F3A14B6">
      <w:pPr>
        <w:pStyle w:val="4"/>
        <w:rPr>
          <w:rFonts w:ascii="仿宋" w:hAnsi="仿宋" w:eastAsia="仿宋"/>
        </w:rPr>
      </w:pPr>
      <w:bookmarkStart w:id="92" w:name="_Toc15396626"/>
      <w:bookmarkStart w:id="93" w:name="_Toc24931"/>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376D8000">
      <w:pPr>
        <w:pStyle w:val="4"/>
        <w:rPr>
          <w:rFonts w:ascii="仿宋" w:hAnsi="仿宋" w:eastAsia="仿宋"/>
        </w:rPr>
      </w:pPr>
      <w:bookmarkStart w:id="94" w:name="_Toc24597"/>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605D2768">
      <w:pPr>
        <w:pStyle w:val="4"/>
        <w:rPr>
          <w:rFonts w:ascii="仿宋" w:hAnsi="仿宋" w:eastAsia="仿宋"/>
        </w:rPr>
      </w:pPr>
      <w:bookmarkStart w:id="96" w:name="_Toc15396628"/>
      <w:bookmarkStart w:id="97" w:name="_Toc24369"/>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1154896F">
      <w:pPr>
        <w:pStyle w:val="4"/>
        <w:rPr>
          <w:rFonts w:ascii="仿宋" w:hAnsi="仿宋" w:eastAsia="仿宋"/>
        </w:rPr>
      </w:pPr>
      <w:bookmarkStart w:id="98" w:name="_Toc15396629"/>
      <w:bookmarkStart w:id="99" w:name="_Toc9720"/>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2AAEAEA2">
      <w:pPr>
        <w:pStyle w:val="4"/>
        <w:rPr>
          <w:rFonts w:ascii="仿宋" w:hAnsi="仿宋" w:eastAsia="仿宋"/>
        </w:rPr>
      </w:pPr>
      <w:bookmarkStart w:id="100" w:name="_Toc15396630"/>
      <w:bookmarkStart w:id="101" w:name="_Toc9281"/>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5DD9E1D9">
      <w:pPr>
        <w:pStyle w:val="4"/>
        <w:rPr>
          <w:rFonts w:eastAsia="仿宋"/>
        </w:rPr>
      </w:pPr>
      <w:bookmarkStart w:id="102" w:name="_Toc15396631"/>
      <w:bookmarkStart w:id="103" w:name="_Toc5303"/>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D11FF26">
        <w:pPr>
          <w:pStyle w:val="9"/>
          <w:jc w:val="center"/>
        </w:pPr>
        <w:r>
          <w:fldChar w:fldCharType="begin"/>
        </w:r>
        <w:r>
          <w:instrText xml:space="preserve">PAGE   \* MERGEFORMAT</w:instrText>
        </w:r>
        <w:r>
          <w:fldChar w:fldCharType="separate"/>
        </w:r>
        <w:r>
          <w:rPr>
            <w:lang w:val="zh-CN"/>
          </w:rPr>
          <w:t>15</w:t>
        </w:r>
        <w:r>
          <w:fldChar w:fldCharType="end"/>
        </w:r>
      </w:p>
    </w:sdtContent>
  </w:sdt>
  <w:p w14:paraId="07BC47C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7CF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FC6A0C"/>
    <w:rsid w:val="081B5E94"/>
    <w:rsid w:val="08E3435C"/>
    <w:rsid w:val="0A2032A3"/>
    <w:rsid w:val="0B8A37D8"/>
    <w:rsid w:val="0C0E4C74"/>
    <w:rsid w:val="0F5FFB2F"/>
    <w:rsid w:val="0FFFCF60"/>
    <w:rsid w:val="10C055FF"/>
    <w:rsid w:val="118107EC"/>
    <w:rsid w:val="11DD6519"/>
    <w:rsid w:val="16BB723D"/>
    <w:rsid w:val="18015F3F"/>
    <w:rsid w:val="19AB51ED"/>
    <w:rsid w:val="1BE8440E"/>
    <w:rsid w:val="1D155CEE"/>
    <w:rsid w:val="1FDBBF84"/>
    <w:rsid w:val="20F57F95"/>
    <w:rsid w:val="240371BF"/>
    <w:rsid w:val="25711CC6"/>
    <w:rsid w:val="25C741E6"/>
    <w:rsid w:val="276F80C0"/>
    <w:rsid w:val="27842671"/>
    <w:rsid w:val="292457A4"/>
    <w:rsid w:val="29FD04D3"/>
    <w:rsid w:val="2ABE7A3E"/>
    <w:rsid w:val="2AFF09B6"/>
    <w:rsid w:val="2B6503F8"/>
    <w:rsid w:val="2CA234A8"/>
    <w:rsid w:val="2EFA178C"/>
    <w:rsid w:val="2EFDF86C"/>
    <w:rsid w:val="2F9D17E1"/>
    <w:rsid w:val="2FBF5391"/>
    <w:rsid w:val="30B46D73"/>
    <w:rsid w:val="319F7F4E"/>
    <w:rsid w:val="31CB3FF4"/>
    <w:rsid w:val="356A28F1"/>
    <w:rsid w:val="357C035A"/>
    <w:rsid w:val="368E000D"/>
    <w:rsid w:val="383D272C"/>
    <w:rsid w:val="39AE70AB"/>
    <w:rsid w:val="3A4DCE41"/>
    <w:rsid w:val="3BCB56FA"/>
    <w:rsid w:val="3C0C0783"/>
    <w:rsid w:val="3CF85169"/>
    <w:rsid w:val="3D5969CF"/>
    <w:rsid w:val="3EE167EB"/>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0A12238"/>
    <w:rsid w:val="51DB4B86"/>
    <w:rsid w:val="51F64DB0"/>
    <w:rsid w:val="523F6A54"/>
    <w:rsid w:val="537A1D47"/>
    <w:rsid w:val="55333C3E"/>
    <w:rsid w:val="5F67802D"/>
    <w:rsid w:val="5F7DC4F2"/>
    <w:rsid w:val="5FB36814"/>
    <w:rsid w:val="5FBB8E56"/>
    <w:rsid w:val="5FFB5535"/>
    <w:rsid w:val="64CA39A1"/>
    <w:rsid w:val="69630ADE"/>
    <w:rsid w:val="69BD5F13"/>
    <w:rsid w:val="69FB0B4B"/>
    <w:rsid w:val="6B215100"/>
    <w:rsid w:val="6BFFE1FB"/>
    <w:rsid w:val="6C4A05C8"/>
    <w:rsid w:val="6D3B1A89"/>
    <w:rsid w:val="6DB7D8A3"/>
    <w:rsid w:val="6EC78701"/>
    <w:rsid w:val="6EF2657E"/>
    <w:rsid w:val="6F7A5481"/>
    <w:rsid w:val="6FFE07A9"/>
    <w:rsid w:val="70B3445B"/>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4721</Words>
  <Characters>5097</Characters>
  <Lines>54</Lines>
  <Paragraphs>15</Paragraphs>
  <TotalTime>3</TotalTime>
  <ScaleCrop>false</ScaleCrop>
  <LinksUpToDate>false</LinksUpToDate>
  <CharactersWithSpaces>5213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2024-10-24T02:48:15Z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7CA0E907F9D04A0694E96B0F594252BA_12</vt:lpwstr>
  </property>
</Properties>
</file>