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360" w:lineRule="auto"/>
        <w:jc w:val="center"/>
        <w:rPr>
          <w:rFonts w:hint="eastAsia" w:ascii="方正小标宋简体" w:hAnsi="方正小标宋简体" w:eastAsia="方正小标宋简体"/>
          <w:kern w:val="2"/>
          <w:sz w:val="72"/>
          <w:szCs w:val="24"/>
          <w:lang w:val="zh-CN"/>
        </w:rPr>
      </w:pPr>
    </w:p>
    <w:p>
      <w:pPr>
        <w:spacing w:beforeLines="0" w:afterLines="0" w:line="360" w:lineRule="auto"/>
        <w:jc w:val="center"/>
        <w:rPr>
          <w:rFonts w:hint="eastAsia" w:ascii="方正小标宋简体" w:hAnsi="方正小标宋简体" w:eastAsia="方正小标宋简体"/>
          <w:kern w:val="2"/>
          <w:sz w:val="72"/>
          <w:szCs w:val="24"/>
          <w:lang w:val="zh-CN"/>
        </w:rPr>
      </w:pPr>
      <w:r>
        <w:rPr>
          <w:rFonts w:hint="eastAsia" w:ascii="方正小标宋简体" w:hAnsi="方正小标宋简体" w:eastAsia="方正小标宋简体"/>
          <w:kern w:val="2"/>
          <w:sz w:val="72"/>
          <w:szCs w:val="24"/>
          <w:lang w:val="zh-CN"/>
        </w:rPr>
        <w:t>2</w:t>
      </w:r>
      <w:bookmarkStart w:id="0" w:name="_GoBack"/>
      <w:r>
        <w:rPr>
          <w:rFonts w:hint="eastAsia" w:ascii="方正小标宋简体" w:hAnsi="方正小标宋简体" w:eastAsia="方正小标宋简体"/>
          <w:kern w:val="2"/>
          <w:sz w:val="72"/>
          <w:szCs w:val="24"/>
          <w:lang w:val="zh-CN"/>
        </w:rPr>
        <w:t>022年度</w:t>
      </w:r>
    </w:p>
    <w:p>
      <w:pPr>
        <w:spacing w:beforeLines="0" w:afterLines="0" w:line="360" w:lineRule="auto"/>
        <w:jc w:val="center"/>
        <w:rPr>
          <w:rFonts w:hint="eastAsia" w:ascii="方正小标宋简体" w:hAnsi="方正小标宋简体" w:eastAsia="方正小标宋简体"/>
          <w:kern w:val="2"/>
          <w:sz w:val="72"/>
          <w:szCs w:val="24"/>
          <w:lang w:val="zh-CN"/>
        </w:rPr>
      </w:pPr>
      <w:r>
        <w:rPr>
          <w:rFonts w:hint="eastAsia" w:ascii="方正小标宋简体" w:hAnsi="方正小标宋简体" w:eastAsia="方正小标宋简体"/>
          <w:kern w:val="2"/>
          <w:sz w:val="72"/>
          <w:szCs w:val="24"/>
          <w:lang w:val="zh-CN"/>
        </w:rPr>
        <w:t>峨边彝族自治县白杨乡中心小学单位决算</w:t>
      </w:r>
    </w:p>
    <w:bookmarkEnd w:id="0"/>
    <w:p>
      <w:pPr>
        <w:keepNext/>
        <w:keepLines/>
        <w:tabs>
          <w:tab w:val="right" w:leader="dot" w:pos="8296"/>
        </w:tabs>
        <w:spacing w:beforeLines="0" w:afterLines="0" w:line="576" w:lineRule="exact"/>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pStyle w:val="4"/>
        <w:rPr>
          <w:rFonts w:hint="eastAsia" w:ascii="黑体" w:hAnsi="黑体" w:eastAsia="黑体"/>
          <w:b/>
          <w:color w:val="FF0000"/>
          <w:kern w:val="2"/>
          <w:sz w:val="48"/>
          <w:szCs w:val="24"/>
          <w:lang w:val="zh-CN"/>
        </w:rPr>
      </w:pPr>
    </w:p>
    <w:p>
      <w:pPr>
        <w:spacing w:beforeLines="0" w:afterLines="0"/>
        <w:jc w:val="center"/>
        <w:rPr>
          <w:rFonts w:hint="eastAsia" w:ascii="黑体" w:hAnsi="黑体" w:eastAsia="黑体"/>
          <w:color w:val="auto"/>
          <w:kern w:val="2"/>
          <w:sz w:val="48"/>
          <w:szCs w:val="24"/>
          <w:lang w:val="zh-CN"/>
        </w:rPr>
      </w:pPr>
    </w:p>
    <w:p>
      <w:pPr>
        <w:spacing w:beforeLines="0" w:afterLines="0"/>
        <w:jc w:val="center"/>
        <w:rPr>
          <w:rFonts w:hint="eastAsia" w:ascii="黑体" w:hAnsi="黑体" w:eastAsia="黑体"/>
          <w:color w:val="auto"/>
          <w:kern w:val="2"/>
          <w:sz w:val="48"/>
          <w:szCs w:val="24"/>
          <w:lang w:val="zh-CN"/>
        </w:rPr>
      </w:pPr>
      <w:r>
        <w:rPr>
          <w:rFonts w:hint="eastAsia" w:ascii="黑体" w:hAnsi="黑体" w:eastAsia="黑体"/>
          <w:color w:val="auto"/>
          <w:kern w:val="2"/>
          <w:sz w:val="48"/>
          <w:szCs w:val="24"/>
          <w:lang w:val="zh-CN"/>
        </w:rPr>
        <w:t>目录</w:t>
      </w:r>
    </w:p>
    <w:p>
      <w:pPr>
        <w:spacing w:beforeLines="0" w:afterLines="0"/>
        <w:jc w:val="center"/>
        <w:rPr>
          <w:rFonts w:hint="eastAsia" w:ascii="黑体" w:hAnsi="黑体" w:eastAsia="黑体"/>
          <w:color w:val="auto"/>
          <w:kern w:val="2"/>
          <w:sz w:val="28"/>
          <w:szCs w:val="24"/>
          <w:lang w:val="zh-CN"/>
        </w:rPr>
      </w:pPr>
    </w:p>
    <w:p>
      <w:pPr>
        <w:tabs>
          <w:tab w:val="right" w:leader="dot" w:pos="8296"/>
        </w:tabs>
        <w:spacing w:before="93" w:beforeLines="0" w:afterLines="0"/>
        <w:jc w:val="center"/>
        <w:rPr>
          <w:rFonts w:hint="eastAsia" w:ascii="仿宋" w:hAnsi="仿宋" w:eastAsia="仿宋"/>
          <w:color w:val="auto"/>
          <w:kern w:val="2"/>
          <w:sz w:val="28"/>
          <w:szCs w:val="24"/>
          <w:lang w:val="zh-CN"/>
        </w:rPr>
      </w:pPr>
      <w:r>
        <w:rPr>
          <w:rFonts w:hint="eastAsia" w:ascii="仿宋" w:hAnsi="仿宋" w:eastAsia="仿宋"/>
          <w:color w:val="auto"/>
          <w:kern w:val="2"/>
          <w:sz w:val="28"/>
          <w:szCs w:val="24"/>
          <w:lang w:val="zh-CN"/>
        </w:rPr>
        <w:t>公开时间：2023年</w:t>
      </w:r>
      <w:r>
        <w:rPr>
          <w:rFonts w:hint="eastAsia" w:ascii="仿宋" w:hAnsi="仿宋" w:eastAsia="仿宋"/>
          <w:color w:val="auto"/>
          <w:kern w:val="2"/>
          <w:sz w:val="28"/>
          <w:szCs w:val="24"/>
          <w:lang w:val="en-US" w:eastAsia="zh-CN"/>
        </w:rPr>
        <w:t xml:space="preserve">   </w:t>
      </w:r>
      <w:r>
        <w:rPr>
          <w:rFonts w:hint="eastAsia" w:ascii="仿宋" w:hAnsi="仿宋" w:eastAsia="仿宋"/>
          <w:color w:val="auto"/>
          <w:kern w:val="2"/>
          <w:sz w:val="28"/>
          <w:szCs w:val="24"/>
          <w:lang w:val="zh-CN"/>
        </w:rPr>
        <w:t>月  日</w:t>
      </w:r>
    </w:p>
    <w:p>
      <w:pPr>
        <w:spacing w:beforeLines="0" w:afterLines="0"/>
        <w:jc w:val="both"/>
        <w:rPr>
          <w:rFonts w:hint="eastAsia" w:ascii="Times New Roman" w:hAnsi="Times New Roman" w:eastAsia="Times New Roman"/>
          <w:color w:val="auto"/>
          <w:kern w:val="2"/>
          <w:sz w:val="21"/>
          <w:szCs w:val="24"/>
          <w:lang w:val="zh-CN"/>
        </w:rPr>
      </w:pP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textAlignment w:val="auto"/>
        <w:rPr>
          <w:rFonts w:hint="default" w:ascii="仿宋" w:hAnsi="仿宋" w:eastAsia="仿宋"/>
          <w:color w:val="auto"/>
          <w:kern w:val="2"/>
          <w:sz w:val="24"/>
          <w:szCs w:val="24"/>
          <w:lang w:val="en-US" w:eastAsia="zh-CN"/>
        </w:rPr>
      </w:pPr>
      <w:r>
        <w:rPr>
          <w:rFonts w:hint="eastAsia" w:ascii="仿宋" w:hAnsi="仿宋" w:eastAsia="仿宋"/>
          <w:color w:val="auto"/>
          <w:kern w:val="2"/>
          <w:sz w:val="24"/>
          <w:szCs w:val="24"/>
          <w:lang w:val="zh-CN"/>
        </w:rPr>
        <w:t>第一部分 单位概况</w:t>
      </w:r>
      <w:r>
        <w:rPr>
          <w:rFonts w:hint="eastAsia" w:ascii="仿宋" w:hAnsi="仿宋" w:eastAsia="仿宋"/>
          <w:color w:val="auto"/>
          <w:kern w:val="2"/>
          <w:sz w:val="24"/>
          <w:szCs w:val="24"/>
          <w:lang w:val="en-US" w:eastAsia="zh-CN"/>
        </w:rPr>
        <w:tab/>
      </w:r>
      <w:r>
        <w:rPr>
          <w:rFonts w:hint="eastAsia" w:ascii="仿宋" w:hAnsi="仿宋" w:eastAsia="仿宋"/>
          <w:color w:val="auto"/>
          <w:kern w:val="2"/>
          <w:sz w:val="24"/>
          <w:szCs w:val="24"/>
          <w:lang w:val="en-US" w:eastAsia="zh-CN"/>
        </w:rPr>
        <w:t>1</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一、部门职责</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1</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二、机构设置</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2</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textAlignment w:val="auto"/>
        <w:rPr>
          <w:rFonts w:hint="default" w:ascii="仿宋" w:hAnsi="仿宋" w:eastAsia="仿宋"/>
          <w:color w:val="auto"/>
          <w:kern w:val="2"/>
          <w:sz w:val="24"/>
          <w:szCs w:val="24"/>
          <w:lang w:val="en-US" w:eastAsia="zh-CN"/>
        </w:rPr>
      </w:pPr>
      <w:r>
        <w:rPr>
          <w:rFonts w:hint="eastAsia" w:ascii="仿宋" w:hAnsi="仿宋" w:eastAsia="仿宋"/>
          <w:color w:val="auto"/>
          <w:kern w:val="2"/>
          <w:sz w:val="24"/>
          <w:szCs w:val="24"/>
          <w:lang w:val="zh-CN"/>
        </w:rPr>
        <w:t>第二部分 2022年度单位决算情况说明</w:t>
      </w:r>
      <w:r>
        <w:rPr>
          <w:rFonts w:hint="eastAsia" w:ascii="仿宋" w:hAnsi="仿宋" w:eastAsia="仿宋"/>
          <w:color w:val="auto"/>
          <w:kern w:val="2"/>
          <w:sz w:val="24"/>
          <w:szCs w:val="24"/>
          <w:lang w:val="en-US" w:eastAsia="zh-CN"/>
        </w:rPr>
        <w:tab/>
      </w:r>
      <w:r>
        <w:rPr>
          <w:rFonts w:hint="eastAsia" w:ascii="仿宋" w:hAnsi="仿宋" w:eastAsia="仿宋"/>
          <w:color w:val="auto"/>
          <w:kern w:val="2"/>
          <w:sz w:val="24"/>
          <w:szCs w:val="24"/>
          <w:lang w:val="en-US" w:eastAsia="zh-CN"/>
        </w:rPr>
        <w:t>3</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一、收入支出决算总体情况说明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3</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二、收入决算情况说明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3</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三、支出决算情况说明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4</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四、财政拨款收入支出决算总体情况说明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4</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五、一般公共预算财政拨款支出决算情况说明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5</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六、一般公共预算财政拨款基本支出决算情况说明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7</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七、财政拨款</w:t>
      </w:r>
      <w:r>
        <w:rPr>
          <w:rFonts w:hint="default" w:ascii="宋体" w:hAnsi="宋体" w:eastAsia="宋体"/>
          <w:color w:val="auto"/>
          <w:kern w:val="2"/>
          <w:sz w:val="24"/>
          <w:szCs w:val="24"/>
          <w:lang w:val="zh-CN"/>
        </w:rPr>
        <w:t>“</w:t>
      </w:r>
      <w:r>
        <w:rPr>
          <w:rFonts w:hint="eastAsia" w:ascii="宋体" w:hAnsi="宋体" w:eastAsia="宋体"/>
          <w:color w:val="auto"/>
          <w:kern w:val="2"/>
          <w:sz w:val="24"/>
          <w:szCs w:val="24"/>
          <w:lang w:val="zh-CN"/>
        </w:rPr>
        <w:t>三公</w:t>
      </w:r>
      <w:r>
        <w:rPr>
          <w:rFonts w:hint="default" w:ascii="宋体" w:hAnsi="宋体" w:eastAsia="宋体"/>
          <w:color w:val="auto"/>
          <w:kern w:val="2"/>
          <w:sz w:val="24"/>
          <w:szCs w:val="24"/>
          <w:lang w:val="zh-CN"/>
        </w:rPr>
        <w:t>”</w:t>
      </w:r>
      <w:r>
        <w:rPr>
          <w:rFonts w:hint="eastAsia" w:ascii="宋体" w:hAnsi="宋体" w:eastAsia="宋体"/>
          <w:color w:val="auto"/>
          <w:kern w:val="2"/>
          <w:sz w:val="24"/>
          <w:szCs w:val="24"/>
          <w:lang w:val="zh-CN"/>
        </w:rPr>
        <w:t>经费支出决算情况说明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仿宋" w:hAnsi="仿宋" w:eastAsia="宋体"/>
          <w:color w:val="auto"/>
          <w:kern w:val="2"/>
          <w:sz w:val="24"/>
          <w:szCs w:val="24"/>
          <w:lang w:val="en-US" w:eastAsia="zh-CN"/>
        </w:rPr>
      </w:pPr>
      <w:r>
        <w:rPr>
          <w:rFonts w:hint="eastAsia" w:ascii="宋体" w:hAnsi="宋体" w:eastAsia="宋体"/>
          <w:color w:val="auto"/>
          <w:kern w:val="2"/>
          <w:sz w:val="24"/>
          <w:szCs w:val="24"/>
          <w:lang w:val="zh-CN"/>
        </w:rPr>
        <w:t>八、政府性基金预算支出决算情况说明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9</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default"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九、国有资本经营预算支出决算情况说明</w:t>
      </w:r>
      <w:r>
        <w:rPr>
          <w:rFonts w:hint="eastAsia" w:ascii="宋体" w:hAnsi="宋体" w:eastAsia="宋体"/>
          <w:color w:val="auto"/>
          <w:kern w:val="2"/>
          <w:sz w:val="24"/>
          <w:szCs w:val="24"/>
          <w:lang w:val="en-US" w:eastAsia="zh-CN"/>
        </w:rPr>
        <w:tab/>
      </w:r>
      <w:r>
        <w:rPr>
          <w:rFonts w:hint="eastAsia" w:ascii="宋体" w:hAnsi="宋体" w:eastAsia="宋体"/>
          <w:color w:val="auto"/>
          <w:kern w:val="2"/>
          <w:sz w:val="24"/>
          <w:szCs w:val="24"/>
          <w:lang w:val="en-US" w:eastAsia="zh-CN"/>
        </w:rPr>
        <w:t>9</w:t>
      </w:r>
    </w:p>
    <w:p>
      <w:pPr>
        <w:keepNext/>
        <w:keepLines/>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firstLine="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十、其他重要事项的情况说明</w:t>
      </w:r>
      <w:r>
        <w:rPr>
          <w:rFonts w:hint="eastAsia" w:ascii="宋体" w:hAnsi="宋体" w:eastAsia="宋体"/>
          <w:color w:val="auto"/>
          <w:kern w:val="2"/>
          <w:sz w:val="24"/>
          <w:szCs w:val="24"/>
          <w:lang w:val="zh-CN"/>
        </w:rPr>
        <w:tab/>
      </w:r>
      <w:r>
        <w:rPr>
          <w:rFonts w:hint="eastAsia" w:ascii="宋体" w:hAnsi="宋体" w:eastAsia="宋体"/>
          <w:color w:val="auto"/>
          <w:kern w:val="2"/>
          <w:sz w:val="24"/>
          <w:szCs w:val="24"/>
          <w:lang w:val="en-US" w:eastAsia="zh-CN"/>
        </w:rPr>
        <w:t>9</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textAlignment w:val="auto"/>
        <w:rPr>
          <w:rFonts w:hint="default" w:ascii="仿宋" w:hAnsi="仿宋" w:eastAsia="仿宋"/>
          <w:color w:val="auto"/>
          <w:kern w:val="2"/>
          <w:sz w:val="24"/>
          <w:szCs w:val="24"/>
          <w:lang w:val="en-US" w:eastAsia="zh-CN"/>
        </w:rPr>
      </w:pPr>
      <w:r>
        <w:rPr>
          <w:rFonts w:hint="eastAsia" w:ascii="仿宋" w:hAnsi="仿宋" w:eastAsia="仿宋"/>
          <w:color w:val="auto"/>
          <w:kern w:val="2"/>
          <w:sz w:val="24"/>
          <w:szCs w:val="24"/>
          <w:lang w:val="zh-CN"/>
        </w:rPr>
        <w:t>第三部分 名词解释</w:t>
      </w:r>
      <w:r>
        <w:rPr>
          <w:rFonts w:hint="eastAsia" w:ascii="仿宋" w:hAnsi="仿宋" w:eastAsia="仿宋"/>
          <w:color w:val="auto"/>
          <w:kern w:val="2"/>
          <w:sz w:val="24"/>
          <w:szCs w:val="24"/>
          <w:lang w:val="en-US" w:eastAsia="zh-CN"/>
        </w:rPr>
        <w:tab/>
      </w:r>
      <w:r>
        <w:rPr>
          <w:rFonts w:hint="eastAsia" w:ascii="仿宋" w:hAnsi="仿宋" w:eastAsia="仿宋"/>
          <w:color w:val="auto"/>
          <w:kern w:val="2"/>
          <w:sz w:val="24"/>
          <w:szCs w:val="24"/>
          <w:lang w:val="en-US" w:eastAsia="zh-CN"/>
        </w:rPr>
        <w:t>11</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textAlignment w:val="auto"/>
        <w:rPr>
          <w:rFonts w:hint="default" w:ascii="仿宋" w:hAnsi="仿宋" w:eastAsia="仿宋"/>
          <w:color w:val="auto"/>
          <w:kern w:val="2"/>
          <w:sz w:val="24"/>
          <w:szCs w:val="24"/>
          <w:lang w:val="en-US" w:eastAsia="zh-CN"/>
        </w:rPr>
      </w:pPr>
      <w:r>
        <w:rPr>
          <w:rFonts w:hint="eastAsia" w:ascii="仿宋" w:hAnsi="仿宋" w:eastAsia="仿宋"/>
          <w:color w:val="auto"/>
          <w:kern w:val="2"/>
          <w:sz w:val="24"/>
          <w:szCs w:val="24"/>
          <w:lang w:val="zh-CN"/>
        </w:rPr>
        <w:t>第四部分 附件</w:t>
      </w:r>
      <w:r>
        <w:rPr>
          <w:rFonts w:hint="eastAsia" w:ascii="仿宋" w:hAnsi="仿宋" w:eastAsia="仿宋"/>
          <w:color w:val="auto"/>
          <w:kern w:val="2"/>
          <w:sz w:val="24"/>
          <w:szCs w:val="24"/>
          <w:lang w:val="en-US" w:eastAsia="zh-CN"/>
        </w:rPr>
        <w:tab/>
      </w:r>
      <w:r>
        <w:rPr>
          <w:rFonts w:hint="eastAsia" w:ascii="仿宋" w:hAnsi="仿宋" w:eastAsia="仿宋"/>
          <w:color w:val="auto"/>
          <w:kern w:val="2"/>
          <w:sz w:val="24"/>
          <w:szCs w:val="24"/>
          <w:lang w:val="en-US" w:eastAsia="zh-CN"/>
        </w:rPr>
        <w:t>14</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textAlignment w:val="auto"/>
        <w:rPr>
          <w:rFonts w:hint="default" w:ascii="仿宋" w:hAnsi="仿宋" w:eastAsia="仿宋"/>
          <w:color w:val="auto"/>
          <w:kern w:val="2"/>
          <w:sz w:val="24"/>
          <w:szCs w:val="24"/>
          <w:lang w:val="en-US" w:eastAsia="zh-CN"/>
        </w:rPr>
      </w:pPr>
      <w:r>
        <w:rPr>
          <w:rFonts w:hint="eastAsia" w:ascii="仿宋" w:hAnsi="仿宋" w:eastAsia="仿宋"/>
          <w:color w:val="auto"/>
          <w:kern w:val="2"/>
          <w:sz w:val="24"/>
          <w:szCs w:val="24"/>
          <w:lang w:val="zh-CN"/>
        </w:rPr>
        <w:t>第五部分 附表</w:t>
      </w:r>
      <w:r>
        <w:rPr>
          <w:rFonts w:hint="eastAsia" w:ascii="仿宋" w:hAnsi="仿宋" w:eastAsia="仿宋"/>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一、收入支出决算总表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二、收入决算表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三、支出决算表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四、财政拨款收入支出决算总表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五、财政拨款支出决算明细表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六、一般公共预算财政拨款支出决算表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七、一般公共预算财政拨款支出决算明细表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八、一般公共预算财政拨款基本支出决算明细表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九、一般公共预算财政拨款项目支出决算表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十、政府性基金预算财政拨款收入支出决算表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十一、国有资本经营预算财政拨款收入支出决算表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十二、国有资本经营预算财政拨款支出决算表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ageBreakBefore w:val="0"/>
        <w:widowControl w:val="0"/>
        <w:tabs>
          <w:tab w:val="right" w:leader="dot" w:pos="8296"/>
        </w:tabs>
        <w:kinsoku/>
        <w:wordWrap/>
        <w:overflowPunct/>
        <w:topLinePunct w:val="0"/>
        <w:autoSpaceDE w:val="0"/>
        <w:autoSpaceDN w:val="0"/>
        <w:bidi w:val="0"/>
        <w:adjustRightInd w:val="0"/>
        <w:snapToGrid/>
        <w:spacing w:beforeLines="0" w:afterLines="0" w:line="440" w:lineRule="exact"/>
        <w:ind w:left="420"/>
        <w:textAlignment w:val="auto"/>
        <w:rPr>
          <w:rFonts w:hint="eastAsia" w:ascii="宋体" w:hAnsi="宋体" w:eastAsia="宋体"/>
          <w:color w:val="auto"/>
          <w:kern w:val="2"/>
          <w:sz w:val="24"/>
          <w:szCs w:val="24"/>
          <w:lang w:val="en-US" w:eastAsia="zh-CN"/>
        </w:rPr>
      </w:pPr>
      <w:r>
        <w:rPr>
          <w:rFonts w:hint="eastAsia" w:ascii="宋体" w:hAnsi="宋体" w:eastAsia="宋体"/>
          <w:color w:val="auto"/>
          <w:kern w:val="2"/>
          <w:sz w:val="24"/>
          <w:szCs w:val="24"/>
          <w:lang w:val="zh-CN"/>
        </w:rPr>
        <w:t>十三、财政拨款</w:t>
      </w:r>
      <w:r>
        <w:rPr>
          <w:rFonts w:hint="default" w:ascii="宋体" w:hAnsi="宋体" w:eastAsia="宋体"/>
          <w:color w:val="auto"/>
          <w:kern w:val="2"/>
          <w:sz w:val="24"/>
          <w:szCs w:val="24"/>
          <w:lang w:val="zh-CN"/>
        </w:rPr>
        <w:t>“</w:t>
      </w:r>
      <w:r>
        <w:rPr>
          <w:rFonts w:hint="eastAsia" w:ascii="宋体" w:hAnsi="宋体" w:eastAsia="宋体"/>
          <w:color w:val="auto"/>
          <w:kern w:val="2"/>
          <w:sz w:val="24"/>
          <w:szCs w:val="24"/>
          <w:lang w:val="zh-CN"/>
        </w:rPr>
        <w:t>三公</w:t>
      </w:r>
      <w:r>
        <w:rPr>
          <w:rFonts w:hint="default" w:ascii="宋体" w:hAnsi="宋体" w:eastAsia="宋体"/>
          <w:color w:val="auto"/>
          <w:kern w:val="2"/>
          <w:sz w:val="24"/>
          <w:szCs w:val="24"/>
          <w:lang w:val="zh-CN"/>
        </w:rPr>
        <w:t>”</w:t>
      </w:r>
      <w:r>
        <w:rPr>
          <w:rFonts w:hint="eastAsia" w:ascii="宋体" w:hAnsi="宋体" w:eastAsia="宋体"/>
          <w:color w:val="auto"/>
          <w:kern w:val="2"/>
          <w:sz w:val="24"/>
          <w:szCs w:val="24"/>
          <w:lang w:val="zh-CN"/>
        </w:rPr>
        <w:t>经费支出决算表</w:t>
      </w:r>
      <w:r>
        <w:rPr>
          <w:rFonts w:hint="eastAsia" w:ascii="宋体" w:hAnsi="宋体" w:eastAsia="宋体"/>
          <w:color w:val="auto"/>
          <w:kern w:val="2"/>
          <w:sz w:val="24"/>
          <w:szCs w:val="24"/>
          <w:lang w:val="en-US" w:eastAsia="zh-CN"/>
        </w:rPr>
        <w:tab/>
      </w:r>
      <w:r>
        <w:rPr>
          <w:rFonts w:hint="eastAsia" w:ascii="仿宋" w:hAnsi="仿宋" w:eastAsia="仿宋"/>
          <w:color w:val="auto"/>
          <w:kern w:val="2"/>
          <w:sz w:val="24"/>
          <w:szCs w:val="24"/>
          <w:lang w:val="en-US" w:eastAsia="zh-CN"/>
        </w:rPr>
        <w:t>28</w:t>
      </w:r>
    </w:p>
    <w:p>
      <w:pPr>
        <w:pStyle w:val="2"/>
        <w:keepNext/>
        <w:keepLines/>
        <w:spacing w:before="340" w:beforeLines="0" w:after="330" w:afterLines="0" w:line="576" w:lineRule="auto"/>
        <w:jc w:val="center"/>
        <w:rPr>
          <w:rFonts w:hint="eastAsia" w:ascii="黑体" w:hAnsi="黑体" w:eastAsia="黑体"/>
          <w:color w:val="auto"/>
          <w:kern w:val="44"/>
          <w:sz w:val="44"/>
          <w:szCs w:val="24"/>
          <w:lang w:val="zh-CN"/>
        </w:rPr>
        <w:sectPr>
          <w:footerReference r:id="rId4" w:type="default"/>
          <w:pgSz w:w="12240" w:h="15840"/>
          <w:pgMar w:top="1440" w:right="1800" w:bottom="1440" w:left="1800" w:header="720" w:footer="720" w:gutter="0"/>
          <w:lnNumType w:countBy="0" w:distance="360"/>
          <w:pgNumType w:start="1"/>
          <w:cols w:space="720" w:num="1"/>
          <w:docGrid w:type="lines" w:linePitch="312" w:charSpace="0"/>
        </w:sectPr>
      </w:pPr>
    </w:p>
    <w:p>
      <w:pPr>
        <w:pStyle w:val="2"/>
        <w:keepNext/>
        <w:keepLines/>
        <w:spacing w:before="340" w:beforeLines="0" w:after="330" w:afterLines="0" w:line="576" w:lineRule="auto"/>
        <w:jc w:val="center"/>
        <w:rPr>
          <w:rFonts w:hint="eastAsia" w:ascii="黑体" w:hAnsi="黑体" w:eastAsia="黑体"/>
          <w:b/>
          <w:color w:val="auto"/>
          <w:kern w:val="44"/>
          <w:sz w:val="44"/>
          <w:szCs w:val="24"/>
          <w:lang w:val="zh-CN"/>
        </w:rPr>
      </w:pPr>
      <w:r>
        <w:rPr>
          <w:rFonts w:hint="eastAsia" w:ascii="黑体" w:hAnsi="黑体" w:eastAsia="黑体"/>
          <w:color w:val="auto"/>
          <w:kern w:val="44"/>
          <w:sz w:val="44"/>
          <w:szCs w:val="24"/>
          <w:lang w:val="zh-CN"/>
        </w:rPr>
        <w:t>第一部分 单位概况</w:t>
      </w:r>
    </w:p>
    <w:p>
      <w:pPr>
        <w:numPr>
          <w:ilvl w:val="0"/>
          <w:numId w:val="0"/>
        </w:numPr>
        <w:ind w:leftChars="0"/>
        <w:jc w:val="left"/>
        <w:rPr>
          <w:rFonts w:hint="eastAsia"/>
          <w:sz w:val="32"/>
          <w:szCs w:val="32"/>
        </w:rPr>
      </w:pPr>
      <w:r>
        <w:rPr>
          <w:rFonts w:hint="eastAsia" w:ascii="黑体" w:hAnsi="黑体" w:eastAsia="黑体"/>
          <w:color w:val="000000"/>
          <w:kern w:val="2"/>
          <w:sz w:val="32"/>
          <w:szCs w:val="24"/>
          <w:lang w:val="zh-CN"/>
        </w:rPr>
        <w:t>一、主要</w:t>
      </w:r>
      <w:r>
        <w:rPr>
          <w:rFonts w:hint="eastAsia" w:ascii="黑体" w:hAnsi="黑体" w:eastAsia="黑体"/>
          <w:color w:val="auto"/>
          <w:kern w:val="2"/>
          <w:sz w:val="32"/>
          <w:szCs w:val="24"/>
          <w:lang w:val="zh-CN"/>
        </w:rPr>
        <w:t>职责</w:t>
      </w:r>
    </w:p>
    <w:p>
      <w:pPr>
        <w:numPr>
          <w:ilvl w:val="0"/>
          <w:numId w:val="0"/>
        </w:numPr>
        <w:ind w:leftChars="0" w:firstLine="320" w:firstLineChars="1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主要职能。</w:t>
      </w:r>
    </w:p>
    <w:p>
      <w:pPr>
        <w:numPr>
          <w:ilvl w:val="0"/>
          <w:numId w:val="0"/>
        </w:numPr>
        <w:ind w:leftChars="0"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宣传贯彻执行党和国家的教育方针、政策、法律法规等，坚持依法治教、依法治学，贯彻执行县教育局的行政规章制度</w:t>
      </w:r>
      <w:r>
        <w:rPr>
          <w:rFonts w:hint="eastAsia" w:ascii="仿宋_GB2312" w:hAnsi="仿宋_GB2312" w:eastAsia="仿宋_GB2312" w:cs="仿宋_GB2312"/>
          <w:sz w:val="32"/>
          <w:szCs w:val="32"/>
          <w:lang w:eastAsia="zh-CN"/>
        </w:rPr>
        <w:t>。</w:t>
      </w:r>
    </w:p>
    <w:p>
      <w:pPr>
        <w:numPr>
          <w:ilvl w:val="0"/>
          <w:numId w:val="0"/>
        </w:numPr>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配合县、镇人民政府制定符合党的教育方针和国家教育法律法规以及本校实际的教育发展规划和学校布局调整规划，并抓好组织实施和落实工作。</w:t>
      </w:r>
    </w:p>
    <w:p>
      <w:pPr>
        <w:numPr>
          <w:ilvl w:val="0"/>
          <w:numId w:val="0"/>
        </w:numPr>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巩固提高“两基”工作成果和整体水平，配合各级人民政府依法动员、组织适龄儿童少年入学，严格控制辍学。负责抓所在镇的成人教育工作，抓好扫盲和巩固工作，推进普及义务教育。</w:t>
      </w:r>
    </w:p>
    <w:p>
      <w:pPr>
        <w:numPr>
          <w:ilvl w:val="0"/>
          <w:numId w:val="0"/>
        </w:numPr>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组织开展本校的教育教学科研和教育教学改革，科研兴教，科研兴校。负责对本校教育教学业务的具体管理，负责教育教学管理及教研教改工作，全力推进素质教育实施。     </w:t>
      </w:r>
    </w:p>
    <w:p>
      <w:pPr>
        <w:numPr>
          <w:ilvl w:val="0"/>
          <w:numId w:val="0"/>
        </w:numPr>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按照干部和教师的职数、编制和管理权限，负责本校教师人事管理、继续教育、考核考评</w:t>
      </w:r>
      <w:r>
        <w:rPr>
          <w:rFonts w:hint="eastAsia" w:ascii="仿宋_GB2312" w:hAnsi="仿宋_GB2312" w:eastAsia="仿宋_GB2312" w:cs="仿宋_GB2312"/>
          <w:sz w:val="32"/>
          <w:szCs w:val="32"/>
          <w:lang w:val="en-US" w:eastAsia="zh-CN"/>
        </w:rPr>
        <w:t>等工作。</w:t>
      </w:r>
      <w:r>
        <w:rPr>
          <w:rFonts w:hint="eastAsia" w:ascii="仿宋_GB2312" w:hAnsi="仿宋_GB2312" w:eastAsia="仿宋_GB2312" w:cs="仿宋_GB2312"/>
          <w:sz w:val="32"/>
          <w:szCs w:val="32"/>
        </w:rPr>
        <w:t> </w:t>
      </w:r>
    </w:p>
    <w:p>
      <w:pPr>
        <w:numPr>
          <w:ilvl w:val="0"/>
          <w:numId w:val="0"/>
        </w:numPr>
        <w:ind w:leftChars="0"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负责本校财务和基建管理，筹措资金，改善办学条</w:t>
      </w:r>
      <w:r>
        <w:rPr>
          <w:rFonts w:hint="eastAsia" w:ascii="仿宋_GB2312" w:hAnsi="仿宋_GB2312" w:eastAsia="仿宋_GB2312" w:cs="仿宋_GB2312"/>
          <w:sz w:val="32"/>
          <w:szCs w:val="32"/>
          <w:lang w:eastAsia="zh-CN"/>
        </w:rPr>
        <w:t>件等工作。</w:t>
      </w:r>
    </w:p>
    <w:p>
      <w:pPr>
        <w:numPr>
          <w:ilvl w:val="0"/>
          <w:numId w:val="0"/>
        </w:numPr>
        <w:ind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指导、管理、检查、评价本校的教育教学工作，提高办学质量和办学效益。按照义务教育课程计划，开齐课程，开足课时，认真实施中小学的教育教学管理，全面推进素质教育，全面提高教育教学质量。</w:t>
      </w:r>
    </w:p>
    <w:p>
      <w:pPr>
        <w:numPr>
          <w:ilvl w:val="0"/>
          <w:numId w:val="0"/>
        </w:numPr>
        <w:ind w:leftChars="0" w:firstLine="320" w:firstLineChars="100"/>
        <w:jc w:val="left"/>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二、机</w:t>
      </w:r>
      <w:r>
        <w:rPr>
          <w:rFonts w:hint="eastAsia" w:ascii="黑体" w:hAnsi="黑体" w:eastAsia="黑体"/>
          <w:color w:val="auto"/>
          <w:kern w:val="2"/>
          <w:sz w:val="32"/>
          <w:szCs w:val="24"/>
          <w:lang w:val="zh-CN"/>
        </w:rPr>
        <w:t>构设置</w:t>
      </w:r>
    </w:p>
    <w:p>
      <w:pPr>
        <w:pStyle w:val="3"/>
        <w:keepNext/>
        <w:keepLines/>
        <w:spacing w:before="260" w:beforeLines="0" w:after="260" w:afterLines="0" w:line="576" w:lineRule="exact"/>
        <w:ind w:firstLine="640"/>
        <w:jc w:val="both"/>
        <w:rPr>
          <w:rFonts w:hint="default" w:ascii="仿宋" w:hAnsi="仿宋" w:eastAsia="仿宋" w:cs="仿宋"/>
          <w:b w:val="0"/>
          <w:bCs w:val="0"/>
          <w:kern w:val="2"/>
          <w:sz w:val="32"/>
          <w:szCs w:val="32"/>
          <w:lang w:val="en-US" w:eastAsia="zh-CN" w:bidi="ar-SA"/>
        </w:rPr>
      </w:pPr>
      <w:r>
        <w:rPr>
          <w:rFonts w:hint="eastAsia" w:ascii="仿宋" w:hAnsi="仿宋" w:eastAsia="仿宋" w:cs="仿宋"/>
          <w:sz w:val="32"/>
          <w:szCs w:val="32"/>
        </w:rPr>
        <w:t>峨边彝族自治县白杨小学属峨边彝族自治县教育局下设二级单位1个</w:t>
      </w:r>
      <w:r>
        <w:rPr>
          <w:rFonts w:hint="eastAsia" w:ascii="仿宋" w:hAnsi="仿宋" w:eastAsia="Microsoft Yi Baiti" w:cs="仿宋"/>
          <w:sz w:val="32"/>
          <w:szCs w:val="32"/>
          <w:lang w:eastAsia="ii-CN"/>
        </w:rPr>
        <w:t>，</w:t>
      </w:r>
      <w:r>
        <w:rPr>
          <w:rFonts w:hint="eastAsia" w:ascii="仿宋" w:hAnsi="仿宋" w:eastAsia="仿宋" w:cs="仿宋"/>
          <w:b w:val="0"/>
          <w:bCs w:val="0"/>
          <w:kern w:val="2"/>
          <w:sz w:val="32"/>
          <w:szCs w:val="32"/>
          <w:lang w:val="en-US" w:eastAsia="zh-CN" w:bidi="ar-SA"/>
        </w:rPr>
        <w:t>核定内设机构为：行政办、教务处、少队、安全办、财务室5个部门，3个村幼儿园教学点。</w:t>
      </w:r>
    </w:p>
    <w:p>
      <w:pPr>
        <w:numPr>
          <w:ilvl w:val="0"/>
          <w:numId w:val="0"/>
        </w:numPr>
        <w:ind w:leftChars="0" w:firstLine="320" w:firstLineChars="100"/>
        <w:jc w:val="left"/>
        <w:rPr>
          <w:rFonts w:hint="eastAsia" w:ascii="仿宋" w:hAnsi="仿宋" w:eastAsia="Microsoft Yi Baiti" w:cs="仿宋"/>
          <w:sz w:val="32"/>
          <w:szCs w:val="32"/>
          <w:lang w:eastAsia="ii-CN"/>
        </w:rPr>
      </w:pPr>
    </w:p>
    <w:p>
      <w:pPr>
        <w:pStyle w:val="2"/>
        <w:keepNext/>
        <w:keepLines/>
        <w:spacing w:before="340" w:beforeLines="0" w:after="330" w:afterLines="0" w:line="576" w:lineRule="exact"/>
        <w:ind w:right="442"/>
        <w:jc w:val="both"/>
        <w:rPr>
          <w:rFonts w:hint="eastAsia" w:ascii="黑体" w:hAnsi="黑体" w:eastAsia="黑体"/>
          <w:color w:val="000000"/>
          <w:kern w:val="44"/>
          <w:sz w:val="44"/>
          <w:szCs w:val="24"/>
          <w:lang w:val="zh-CN"/>
        </w:rPr>
      </w:pPr>
    </w:p>
    <w:p>
      <w:pPr>
        <w:pStyle w:val="2"/>
        <w:keepNext/>
        <w:keepLines/>
        <w:spacing w:before="340" w:beforeLines="0" w:after="330" w:afterLines="0" w:line="576" w:lineRule="exact"/>
        <w:ind w:right="442"/>
        <w:jc w:val="both"/>
        <w:rPr>
          <w:rFonts w:hint="eastAsia" w:ascii="黑体" w:hAnsi="黑体" w:eastAsia="黑体"/>
          <w:color w:val="000000"/>
          <w:kern w:val="44"/>
          <w:sz w:val="44"/>
          <w:szCs w:val="24"/>
          <w:lang w:val="zh-CN"/>
        </w:rPr>
      </w:pPr>
    </w:p>
    <w:p>
      <w:pPr>
        <w:pStyle w:val="2"/>
        <w:keepNext/>
        <w:keepLines/>
        <w:spacing w:before="340" w:beforeLines="0" w:after="330" w:afterLines="0" w:line="576" w:lineRule="exact"/>
        <w:ind w:right="442"/>
        <w:jc w:val="both"/>
        <w:rPr>
          <w:rFonts w:hint="eastAsia" w:ascii="黑体" w:hAnsi="黑体" w:eastAsia="黑体"/>
          <w:color w:val="000000"/>
          <w:kern w:val="44"/>
          <w:sz w:val="44"/>
          <w:szCs w:val="24"/>
          <w:lang w:val="zh-CN"/>
        </w:rPr>
      </w:pPr>
    </w:p>
    <w:p>
      <w:pPr>
        <w:pStyle w:val="2"/>
        <w:keepNext/>
        <w:keepLines/>
        <w:spacing w:before="340" w:beforeLines="0" w:after="330" w:afterLines="0" w:line="576" w:lineRule="exact"/>
        <w:ind w:right="442"/>
        <w:jc w:val="both"/>
        <w:rPr>
          <w:rFonts w:hint="eastAsia" w:ascii="黑体" w:hAnsi="黑体" w:eastAsia="黑体"/>
          <w:color w:val="000000"/>
          <w:kern w:val="44"/>
          <w:sz w:val="44"/>
          <w:szCs w:val="24"/>
          <w:lang w:val="zh-CN"/>
        </w:rPr>
      </w:pPr>
    </w:p>
    <w:p>
      <w:pPr>
        <w:pStyle w:val="2"/>
        <w:keepNext/>
        <w:keepLines/>
        <w:spacing w:before="340" w:beforeLines="0" w:after="330" w:afterLines="0" w:line="576" w:lineRule="exact"/>
        <w:ind w:right="442"/>
        <w:jc w:val="both"/>
        <w:rPr>
          <w:rFonts w:hint="eastAsia" w:ascii="黑体" w:hAnsi="黑体" w:eastAsia="黑体"/>
          <w:color w:val="000000"/>
          <w:kern w:val="44"/>
          <w:sz w:val="44"/>
          <w:szCs w:val="24"/>
          <w:lang w:val="zh-CN"/>
        </w:rPr>
      </w:pPr>
    </w:p>
    <w:p>
      <w:pPr>
        <w:pStyle w:val="2"/>
        <w:keepNext/>
        <w:keepLines/>
        <w:spacing w:before="340" w:beforeLines="0" w:after="330" w:afterLines="0" w:line="576" w:lineRule="exact"/>
        <w:ind w:right="442"/>
        <w:jc w:val="both"/>
        <w:rPr>
          <w:rFonts w:hint="eastAsia" w:ascii="黑体" w:hAnsi="黑体" w:eastAsia="黑体"/>
          <w:color w:val="000000"/>
          <w:kern w:val="44"/>
          <w:sz w:val="44"/>
          <w:szCs w:val="24"/>
          <w:lang w:val="zh-CN"/>
        </w:rPr>
      </w:pPr>
    </w:p>
    <w:p>
      <w:pPr>
        <w:rPr>
          <w:rFonts w:hint="eastAsia" w:ascii="黑体" w:hAnsi="黑体" w:eastAsia="黑体"/>
          <w:color w:val="000000"/>
          <w:kern w:val="44"/>
          <w:sz w:val="44"/>
          <w:szCs w:val="24"/>
          <w:lang w:val="zh-CN"/>
        </w:rPr>
      </w:pPr>
    </w:p>
    <w:p>
      <w:pPr>
        <w:rPr>
          <w:rFonts w:hint="eastAsia" w:ascii="黑体" w:hAnsi="黑体" w:eastAsia="黑体"/>
          <w:color w:val="000000"/>
          <w:kern w:val="44"/>
          <w:sz w:val="44"/>
          <w:szCs w:val="24"/>
          <w:lang w:val="zh-CN"/>
        </w:rPr>
      </w:pPr>
    </w:p>
    <w:p>
      <w:pPr>
        <w:keepNext/>
        <w:keepLines/>
        <w:pageBreakBefore w:val="0"/>
        <w:widowControl w:val="0"/>
        <w:kinsoku/>
        <w:wordWrap/>
        <w:overflowPunct/>
        <w:topLinePunct w:val="0"/>
        <w:autoSpaceDE w:val="0"/>
        <w:autoSpaceDN w:val="0"/>
        <w:bidi w:val="0"/>
        <w:adjustRightInd w:val="0"/>
        <w:snapToGrid/>
        <w:ind w:firstLine="440" w:firstLineChars="100"/>
        <w:textAlignment w:val="auto"/>
        <w:rPr>
          <w:rFonts w:hint="eastAsia" w:ascii="Times New Roman" w:hAnsi="Times New Roman" w:eastAsia="Times New Roman"/>
          <w:b/>
          <w:color w:val="auto"/>
          <w:kern w:val="44"/>
          <w:sz w:val="44"/>
          <w:szCs w:val="24"/>
          <w:lang w:val="zh-CN"/>
        </w:rPr>
      </w:pPr>
      <w:r>
        <w:rPr>
          <w:rFonts w:hint="eastAsia" w:ascii="黑体" w:hAnsi="黑体" w:eastAsia="黑体"/>
          <w:color w:val="000000"/>
          <w:kern w:val="44"/>
          <w:sz w:val="44"/>
          <w:szCs w:val="24"/>
          <w:lang w:val="zh-CN"/>
        </w:rPr>
        <w:t>第二部分</w:t>
      </w:r>
      <w:r>
        <w:rPr>
          <w:rFonts w:hint="eastAsia" w:ascii="黑体" w:hAnsi="黑体" w:eastAsia="黑体"/>
          <w:b/>
          <w:color w:val="000000"/>
          <w:kern w:val="44"/>
          <w:sz w:val="44"/>
          <w:szCs w:val="24"/>
          <w:lang w:val="zh-CN"/>
        </w:rPr>
        <w:t xml:space="preserve"> </w:t>
      </w:r>
      <w:r>
        <w:rPr>
          <w:rFonts w:hint="eastAsia" w:ascii="黑体" w:hAnsi="黑体" w:eastAsia="黑体"/>
          <w:color w:val="auto"/>
          <w:kern w:val="44"/>
          <w:sz w:val="44"/>
          <w:szCs w:val="24"/>
          <w:lang w:val="zh-CN"/>
        </w:rPr>
        <w:t>2022年度单位决算情况说明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 xml:space="preserve">    一、收</w:t>
      </w:r>
      <w:r>
        <w:rPr>
          <w:rFonts w:hint="eastAsia" w:ascii="黑体" w:hAnsi="黑体" w:eastAsia="黑体"/>
          <w:color w:val="auto"/>
          <w:kern w:val="2"/>
          <w:sz w:val="32"/>
          <w:szCs w:val="24"/>
          <w:lang w:val="zh-CN"/>
        </w:rPr>
        <w:t>入支出决算总体情况说明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 w:hAnsi="仿宋" w:eastAsia="Microsoft Yi Baiti"/>
          <w:color w:val="auto"/>
          <w:kern w:val="2"/>
          <w:sz w:val="32"/>
          <w:szCs w:val="24"/>
          <w:lang w:val="en-US" w:eastAsia="ii-CN"/>
        </w:rPr>
      </w:pPr>
      <w:r>
        <w:rPr>
          <w:rFonts w:hint="eastAsia" w:ascii="仿宋_GB2312" w:hAnsi="仿宋_GB2312" w:eastAsia="仿宋_GB2312"/>
          <w:color w:val="000000"/>
          <w:kern w:val="2"/>
          <w:sz w:val="32"/>
          <w:szCs w:val="24"/>
          <w:lang w:val="zh-CN"/>
        </w:rPr>
        <w:t>2022年度收、支总计379.92万元。与2021年相比，收、支总计各减少172.51万元，下降31.2%。主要变动原因是</w:t>
      </w:r>
      <w:r>
        <w:rPr>
          <w:rFonts w:hint="eastAsia" w:ascii="仿宋_GB2312" w:hAnsi="仿宋_GB2312" w:eastAsia="仿宋_GB2312"/>
          <w:color w:val="000000"/>
          <w:kern w:val="2"/>
          <w:sz w:val="32"/>
          <w:szCs w:val="24"/>
          <w:lang w:val="en-US" w:eastAsia="zh-CN"/>
        </w:rPr>
        <w:t>人员减少和在建工程减少</w:t>
      </w:r>
      <w:r>
        <w:rPr>
          <w:rFonts w:hint="eastAsia" w:ascii="仿宋_GB2312" w:hAnsi="仿宋_GB2312" w:eastAsia="Microsoft Yi Baiti"/>
          <w:color w:val="000000"/>
          <w:kern w:val="2"/>
          <w:sz w:val="32"/>
          <w:szCs w:val="24"/>
          <w:lang w:val="en-US" w:eastAsia="ii-CN"/>
        </w:rPr>
        <w:t>。</w:t>
      </w:r>
    </w:p>
    <w:p>
      <w:pPr>
        <w:pStyle w:val="4"/>
        <w:keepNext/>
        <w:keepLines/>
        <w:pageBreakBefore w:val="0"/>
        <w:widowControl w:val="0"/>
        <w:kinsoku/>
        <w:wordWrap/>
        <w:overflowPunct/>
        <w:topLinePunct w:val="0"/>
        <w:autoSpaceDE w:val="0"/>
        <w:autoSpaceDN w:val="0"/>
        <w:bidi w:val="0"/>
        <w:adjustRightInd w:val="0"/>
        <w:snapToGrid/>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r>
        <w:rPr>
          <w:rFonts w:hint="eastAsia" w:ascii="仿宋_GB2312" w:eastAsia="仿宋_GB2312"/>
          <w:color w:val="000000"/>
          <w:sz w:val="32"/>
          <w:szCs w:val="32"/>
        </w:rPr>
        <w:drawing>
          <wp:anchor distT="0" distB="0" distL="114300" distR="114300" simplePos="0" relativeHeight="251659264" behindDoc="0" locked="0" layoutInCell="1" allowOverlap="1">
            <wp:simplePos x="0" y="0"/>
            <wp:positionH relativeFrom="column">
              <wp:posOffset>321310</wp:posOffset>
            </wp:positionH>
            <wp:positionV relativeFrom="paragraph">
              <wp:posOffset>-182245</wp:posOffset>
            </wp:positionV>
            <wp:extent cx="4989195" cy="2186305"/>
            <wp:effectExtent l="4445" t="4445" r="5080" b="1905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numPr>
          <w:ilvl w:val="0"/>
          <w:numId w:val="1"/>
        </w:numPr>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收</w:t>
      </w:r>
      <w:r>
        <w:rPr>
          <w:rFonts w:hint="eastAsia" w:ascii="黑体" w:hAnsi="黑体" w:eastAsia="黑体"/>
          <w:color w:val="auto"/>
          <w:kern w:val="2"/>
          <w:sz w:val="32"/>
          <w:szCs w:val="24"/>
          <w:lang w:val="zh-CN"/>
        </w:rPr>
        <w:t>入决算情况说明</w:t>
      </w:r>
    </w:p>
    <w:p>
      <w:pPr>
        <w:keepNext/>
        <w:keepLines/>
        <w:pageBreakBefore w:val="0"/>
        <w:widowControl w:val="0"/>
        <w:numPr>
          <w:ilvl w:val="0"/>
          <w:numId w:val="1"/>
        </w:numPr>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本年收入合计376.47万元，其中：一般公共预算财政拨款收入368.55万元，占97.9%；政府性基金预算财政拨款收入0万元，占0%；国有资本经营预算财政拨款收入0万元，占0%；上级补助收入0万元，占0%；事业收入0万元，占0%；经营收入0万元，占0%；附属单位上缴收入0万元，占0%；其他收入7.92万元，占2.1%。</w:t>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287655</wp:posOffset>
            </wp:positionH>
            <wp:positionV relativeFrom="paragraph">
              <wp:posOffset>-12065</wp:posOffset>
            </wp:positionV>
            <wp:extent cx="4298315" cy="2867025"/>
            <wp:effectExtent l="4445" t="4445" r="10160" b="889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1600" w:firstLineChars="50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1600" w:firstLineChars="50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1600" w:firstLineChars="50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三、支</w:t>
      </w:r>
      <w:r>
        <w:rPr>
          <w:rFonts w:hint="eastAsia" w:ascii="黑体" w:hAnsi="黑体" w:eastAsia="黑体"/>
          <w:color w:val="auto"/>
          <w:kern w:val="2"/>
          <w:sz w:val="32"/>
          <w:szCs w:val="24"/>
          <w:lang w:val="zh-CN"/>
        </w:rPr>
        <w:t>出决算情况说明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2022年本年支出合计376.47万元，其中：基本支出249.6万元，占66.3%；项目支出126.88万元，占33.7%。</w:t>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702945</wp:posOffset>
            </wp:positionH>
            <wp:positionV relativeFrom="paragraph">
              <wp:posOffset>101600</wp:posOffset>
            </wp:positionV>
            <wp:extent cx="4415155" cy="2226310"/>
            <wp:effectExtent l="4445" t="4445" r="15240" b="952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四、财</w:t>
      </w:r>
      <w:r>
        <w:rPr>
          <w:rFonts w:hint="eastAsia" w:ascii="黑体" w:hAnsi="黑体" w:eastAsia="黑体"/>
          <w:color w:val="auto"/>
          <w:kern w:val="2"/>
          <w:sz w:val="32"/>
          <w:szCs w:val="24"/>
          <w:lang w:val="zh-CN"/>
        </w:rPr>
        <w:t>政拨款收入支出决算总体情况说明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2022年财政拨款收、支总计372万元。与2021年相比，财政拨款收、支总计各减少180.43万元，下降32.7%。主要变动原因是</w:t>
      </w:r>
      <w:r>
        <w:rPr>
          <w:rFonts w:hint="eastAsia" w:ascii="仿宋_GB2312" w:hAnsi="仿宋_GB2312" w:eastAsia="仿宋_GB2312"/>
          <w:color w:val="000000"/>
          <w:kern w:val="2"/>
          <w:sz w:val="32"/>
          <w:szCs w:val="24"/>
          <w:lang w:val="en-US" w:eastAsia="zh-CN"/>
        </w:rPr>
        <w:t>人员减少和在建工程减少</w:t>
      </w:r>
      <w:r>
        <w:rPr>
          <w:rFonts w:hint="eastAsia" w:ascii="仿宋_GB2312" w:hAnsi="仿宋_GB2312" w:eastAsia="仿宋_GB2312"/>
          <w:color w:val="000000"/>
          <w:kern w:val="2"/>
          <w:sz w:val="32"/>
          <w:szCs w:val="24"/>
          <w:lang w:val="zh-CN"/>
        </w:rPr>
        <w:t>。</w:t>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r>
        <w:rPr>
          <w:rFonts w:hint="eastAsia" w:ascii="仿宋_GB2312" w:eastAsia="仿宋_GB2312"/>
          <w:color w:val="000000"/>
          <w:sz w:val="32"/>
          <w:szCs w:val="32"/>
        </w:rPr>
        <w:drawing>
          <wp:anchor distT="0" distB="0" distL="114300" distR="114300" simplePos="0" relativeHeight="251662336" behindDoc="0" locked="0" layoutInCell="1" allowOverlap="1">
            <wp:simplePos x="0" y="0"/>
            <wp:positionH relativeFrom="column">
              <wp:posOffset>448310</wp:posOffset>
            </wp:positionH>
            <wp:positionV relativeFrom="paragraph">
              <wp:posOffset>43815</wp:posOffset>
            </wp:positionV>
            <wp:extent cx="4735195" cy="2211070"/>
            <wp:effectExtent l="4445" t="4445" r="15240" b="952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五、</w:t>
      </w:r>
      <w:r>
        <w:rPr>
          <w:rFonts w:hint="eastAsia" w:ascii="黑体" w:hAnsi="黑体" w:eastAsia="黑体"/>
          <w:b/>
          <w:color w:val="000000"/>
          <w:kern w:val="2"/>
          <w:sz w:val="32"/>
          <w:szCs w:val="24"/>
          <w:lang w:val="zh-CN"/>
        </w:rPr>
        <w:t>一</w:t>
      </w:r>
      <w:r>
        <w:rPr>
          <w:rFonts w:hint="eastAsia" w:ascii="黑体" w:hAnsi="黑体" w:eastAsia="黑体"/>
          <w:color w:val="auto"/>
          <w:kern w:val="2"/>
          <w:sz w:val="32"/>
          <w:szCs w:val="24"/>
          <w:lang w:val="zh-CN"/>
        </w:rPr>
        <w:t>般公共预算财政拨款支出决算情况说明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（一）一般公共预算财政拨款支出决算总体情况。</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2022年一般公共预算财政拨款支出368.55万元，占本年支出合计的97.9%。与2021年相比，一般公共预算财政拨款支出减少100.4</w:t>
      </w:r>
      <w:r>
        <w:rPr>
          <w:rFonts w:hint="eastAsia" w:ascii="仿宋_GB2312" w:hAnsi="仿宋_GB2312" w:eastAsia="仿宋_GB2312"/>
          <w:color w:val="000000"/>
          <w:kern w:val="2"/>
          <w:sz w:val="32"/>
          <w:szCs w:val="24"/>
          <w:lang w:val="en-US" w:eastAsia="zh-CN"/>
        </w:rPr>
        <w:t>4</w:t>
      </w:r>
      <w:r>
        <w:rPr>
          <w:rFonts w:hint="eastAsia" w:ascii="仿宋_GB2312" w:hAnsi="仿宋_GB2312" w:eastAsia="仿宋_GB2312"/>
          <w:color w:val="000000"/>
          <w:kern w:val="2"/>
          <w:sz w:val="32"/>
          <w:szCs w:val="24"/>
          <w:lang w:val="zh-CN"/>
        </w:rPr>
        <w:t>万元，下降21.4%。主要变动原因是</w:t>
      </w:r>
      <w:r>
        <w:rPr>
          <w:rFonts w:hint="eastAsia" w:ascii="仿宋_GB2312" w:hAnsi="仿宋_GB2312" w:eastAsia="仿宋_GB2312"/>
          <w:color w:val="000000"/>
          <w:kern w:val="2"/>
          <w:sz w:val="32"/>
          <w:szCs w:val="24"/>
          <w:lang w:val="en-US" w:eastAsia="zh-CN"/>
        </w:rPr>
        <w:t>人员减少、在建工程减少</w:t>
      </w:r>
      <w:r>
        <w:rPr>
          <w:rFonts w:hint="eastAsia" w:ascii="仿宋_GB2312" w:hAnsi="仿宋_GB2312" w:eastAsia="仿宋_GB2312"/>
          <w:color w:val="000000"/>
          <w:kern w:val="2"/>
          <w:sz w:val="32"/>
          <w:szCs w:val="24"/>
          <w:lang w:val="zh-CN"/>
        </w:rPr>
        <w:t>。</w:t>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3360" behindDoc="0" locked="0" layoutInCell="1" allowOverlap="1">
            <wp:simplePos x="0" y="0"/>
            <wp:positionH relativeFrom="column">
              <wp:posOffset>440690</wp:posOffset>
            </wp:positionH>
            <wp:positionV relativeFrom="paragraph">
              <wp:posOffset>187325</wp:posOffset>
            </wp:positionV>
            <wp:extent cx="4766945" cy="1819910"/>
            <wp:effectExtent l="4445" t="5080" r="13970" b="19050"/>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both"/>
        <w:textAlignment w:val="auto"/>
        <w:rPr>
          <w:rFonts w:hint="eastAsia" w:ascii="仿宋" w:hAnsi="仿宋" w:eastAsia="仿宋"/>
          <w:color w:val="auto"/>
          <w:kern w:val="2"/>
          <w:sz w:val="32"/>
          <w:szCs w:val="24"/>
          <w:lang w:val="en-US" w:eastAsia="zh-CN"/>
        </w:rPr>
      </w:pP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（二）一般公共预算财政拨款支出决算结构情况。</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2022年一般公共预算财政拨款支出368.55万元，主要用于以下方面:教育支出312.29万元，占84.7%；社会保障和就业支出29.59万元，占8%；卫生健康支出7.57万元，占2.1%；住房保障支出19.11万元，占5.2%；</w:t>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r>
        <w:rPr>
          <w:rFonts w:ascii="仿宋" w:hAnsi="仿宋" w:eastAsia="仿宋"/>
          <w:color w:val="000000"/>
          <w:sz w:val="32"/>
          <w:szCs w:val="32"/>
        </w:rPr>
        <w:drawing>
          <wp:anchor distT="0" distB="0" distL="114300" distR="114300" simplePos="0" relativeHeight="251664384" behindDoc="0" locked="0" layoutInCell="1" allowOverlap="1">
            <wp:simplePos x="0" y="0"/>
            <wp:positionH relativeFrom="column">
              <wp:posOffset>676910</wp:posOffset>
            </wp:positionH>
            <wp:positionV relativeFrom="paragraph">
              <wp:posOffset>67310</wp:posOffset>
            </wp:positionV>
            <wp:extent cx="4398010" cy="2609215"/>
            <wp:effectExtent l="4445" t="4445" r="17145" b="7620"/>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640"/>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both"/>
        <w:textAlignment w:val="auto"/>
        <w:rPr>
          <w:rFonts w:hint="eastAsia" w:ascii="仿宋" w:hAnsi="仿宋" w:eastAsia="仿宋"/>
          <w:color w:val="auto"/>
          <w:kern w:val="2"/>
          <w:sz w:val="32"/>
          <w:szCs w:val="24"/>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asciiTheme="minorHAnsi" w:hAnsiTheme="minorHAnsi" w:eastAsiaTheme="minorEastAsia" w:cstheme="minorBidi"/>
          <w:sz w:val="24"/>
          <w:szCs w:val="24"/>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asciiTheme="minorHAnsi" w:hAnsiTheme="minorHAnsi" w:eastAsiaTheme="minorEastAsia" w:cstheme="minorBidi"/>
          <w:sz w:val="24"/>
          <w:szCs w:val="24"/>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lang w:val="en-US"/>
        </w:rPr>
      </w:pPr>
    </w:p>
    <w:p>
      <w:pPr>
        <w:keepNext/>
        <w:keepLines/>
        <w:pageBreakBefore w:val="0"/>
        <w:widowControl w:val="0"/>
        <w:kinsoku/>
        <w:wordWrap/>
        <w:overflowPunct/>
        <w:topLinePunct w:val="0"/>
        <w:autoSpaceDE w:val="0"/>
        <w:autoSpaceDN w:val="0"/>
        <w:bidi w:val="0"/>
        <w:adjustRightInd w:val="0"/>
        <w:snapToGrid/>
        <w:textAlignment w:val="auto"/>
        <w:rPr>
          <w:rFonts w:hint="eastAsia"/>
          <w:lang w:val="en-US"/>
        </w:rPr>
      </w:pPr>
    </w:p>
    <w:p>
      <w:pPr>
        <w:keepNext/>
        <w:keepLines/>
        <w:pageBreakBefore w:val="0"/>
        <w:widowControl w:val="0"/>
        <w:tabs>
          <w:tab w:val="left" w:pos="4947"/>
        </w:tabs>
        <w:kinsoku/>
        <w:wordWrap/>
        <w:overflowPunct/>
        <w:topLinePunct w:val="0"/>
        <w:autoSpaceDE w:val="0"/>
        <w:autoSpaceDN w:val="0"/>
        <w:bidi w:val="0"/>
        <w:adjustRightInd w:val="0"/>
        <w:snapToGrid/>
        <w:jc w:val="left"/>
        <w:textAlignment w:val="auto"/>
        <w:rPr>
          <w:rFonts w:hint="eastAsia" w:eastAsiaTheme="minorEastAsia"/>
          <w:lang w:val="en-US" w:eastAsia="zh-CN"/>
        </w:rPr>
      </w:pP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（三）一般公共预算财政拨款支出决算具体情况。</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2022年一般公共预算支出决算数为368.55万元</w:t>
      </w:r>
      <w:r>
        <w:rPr>
          <w:rFonts w:hint="eastAsia" w:ascii="仿宋_GB2312" w:hAnsi="仿宋_GB2312" w:eastAsia="仿宋_GB2312"/>
          <w:color w:val="000000"/>
          <w:kern w:val="2"/>
          <w:sz w:val="32"/>
          <w:szCs w:val="24"/>
          <w:lang w:val="zh-CN"/>
        </w:rPr>
        <w:t>，</w:t>
      </w:r>
      <w:r>
        <w:rPr>
          <w:rFonts w:hint="eastAsia" w:ascii="仿宋_GB2312" w:hAnsi="仿宋_GB2312" w:eastAsia="仿宋_GB2312"/>
          <w:b/>
          <w:color w:val="000000"/>
          <w:kern w:val="2"/>
          <w:sz w:val="32"/>
          <w:szCs w:val="24"/>
          <w:lang w:val="zh-CN"/>
        </w:rPr>
        <w:t>完成预算99.1%。其中：</w:t>
      </w:r>
    </w:p>
    <w:p>
      <w:pPr>
        <w:keepNext/>
        <w:keepLines/>
        <w:pageBreakBefore w:val="0"/>
        <w:widowControl w:val="0"/>
        <w:numPr>
          <w:ilvl w:val="0"/>
          <w:numId w:val="2"/>
        </w:numPr>
        <w:kinsoku/>
        <w:wordWrap/>
        <w:overflowPunct/>
        <w:topLinePunct w:val="0"/>
        <w:autoSpaceDE w:val="0"/>
        <w:autoSpaceDN w:val="0"/>
        <w:bidi w:val="0"/>
        <w:adjustRightInd w:val="0"/>
        <w:snapToGrid/>
        <w:spacing w:beforeLines="0" w:afterLines="0" w:line="576" w:lineRule="exact"/>
        <w:jc w:val="both"/>
        <w:textAlignment w:val="auto"/>
        <w:rPr>
          <w:rFonts w:hint="eastAsia" w:ascii="仿宋" w:hAnsi="仿宋" w:eastAsia="仿宋"/>
          <w:color w:val="auto"/>
          <w:sz w:val="32"/>
          <w:szCs w:val="32"/>
          <w:highlight w:val="none"/>
          <w:lang w:val="en-US" w:eastAsia="zh-CN"/>
        </w:rPr>
      </w:pPr>
      <w:r>
        <w:rPr>
          <w:rFonts w:hint="eastAsia" w:ascii="仿宋_GB2312" w:hAnsi="仿宋_GB2312" w:eastAsia="仿宋_GB2312"/>
          <w:b/>
          <w:color w:val="000000"/>
          <w:kern w:val="2"/>
          <w:sz w:val="32"/>
          <w:szCs w:val="24"/>
          <w:lang w:val="en-US"/>
        </w:rPr>
        <w:t>教育支出（类）</w:t>
      </w:r>
      <w:r>
        <w:rPr>
          <w:rFonts w:hint="eastAsia" w:ascii="仿宋_GB2312" w:hAnsi="仿宋_GB2312" w:eastAsia="仿宋_GB2312"/>
          <w:b/>
          <w:color w:val="000000"/>
          <w:kern w:val="2"/>
          <w:sz w:val="32"/>
          <w:szCs w:val="24"/>
          <w:lang w:val="en-US" w:eastAsia="zh-CN"/>
        </w:rPr>
        <w:t>普通教育</w:t>
      </w:r>
      <w:r>
        <w:rPr>
          <w:rFonts w:hint="eastAsia" w:ascii="仿宋_GB2312" w:hAnsi="仿宋_GB2312" w:eastAsia="仿宋_GB2312"/>
          <w:b/>
          <w:color w:val="000000"/>
          <w:kern w:val="2"/>
          <w:sz w:val="32"/>
          <w:szCs w:val="24"/>
          <w:lang w:val="en-US"/>
        </w:rPr>
        <w:t>（款）</w:t>
      </w:r>
      <w:r>
        <w:rPr>
          <w:rFonts w:hint="eastAsia" w:ascii="仿宋_GB2312" w:hAnsi="仿宋_GB2312" w:eastAsia="仿宋_GB2312"/>
          <w:b/>
          <w:color w:val="000000"/>
          <w:kern w:val="2"/>
          <w:sz w:val="32"/>
          <w:szCs w:val="24"/>
          <w:lang w:val="en-US" w:eastAsia="zh-CN"/>
        </w:rPr>
        <w:t>学前教育</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55.84</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94.96</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小于预算数的主要原因是幼儿园提升打造未支付完。</w:t>
      </w:r>
    </w:p>
    <w:p>
      <w:pPr>
        <w:keepNext/>
        <w:keepLines/>
        <w:pageBreakBefore w:val="0"/>
        <w:widowControl w:val="0"/>
        <w:numPr>
          <w:ilvl w:val="0"/>
          <w:numId w:val="2"/>
        </w:numPr>
        <w:kinsoku/>
        <w:wordWrap/>
        <w:overflowPunct/>
        <w:topLinePunct w:val="0"/>
        <w:autoSpaceDE w:val="0"/>
        <w:autoSpaceDN w:val="0"/>
        <w:bidi w:val="0"/>
        <w:adjustRightInd w:val="0"/>
        <w:snapToGrid/>
        <w:spacing w:beforeLines="0" w:afterLines="0" w:line="576" w:lineRule="exact"/>
        <w:ind w:left="0" w:leftChars="0" w:firstLine="0" w:firstLineChars="0"/>
        <w:jc w:val="both"/>
        <w:textAlignment w:val="auto"/>
        <w:rPr>
          <w:rFonts w:hint="eastAsia" w:ascii="仿宋" w:hAnsi="仿宋" w:eastAsia="仿宋"/>
          <w:color w:val="auto"/>
          <w:sz w:val="32"/>
          <w:szCs w:val="32"/>
          <w:highlight w:val="none"/>
          <w:lang w:val="en-US" w:eastAsia="zh-CN"/>
        </w:rPr>
      </w:pPr>
      <w:r>
        <w:rPr>
          <w:rFonts w:hint="eastAsia" w:ascii="仿宋_GB2312" w:hAnsi="仿宋_GB2312" w:eastAsia="仿宋_GB2312"/>
          <w:b/>
          <w:color w:val="000000"/>
          <w:kern w:val="2"/>
          <w:sz w:val="32"/>
          <w:szCs w:val="24"/>
          <w:lang w:val="en-US"/>
        </w:rPr>
        <w:t>教育</w:t>
      </w:r>
      <w:r>
        <w:rPr>
          <w:rFonts w:hint="eastAsia" w:ascii="仿宋_GB2312" w:hAnsi="仿宋_GB2312" w:eastAsia="仿宋_GB2312"/>
          <w:b/>
          <w:color w:val="000000"/>
          <w:kern w:val="2"/>
          <w:sz w:val="32"/>
          <w:szCs w:val="24"/>
          <w:lang w:val="en-US" w:eastAsia="zh-CN"/>
        </w:rPr>
        <w:t>支出</w:t>
      </w:r>
      <w:r>
        <w:rPr>
          <w:rFonts w:hint="eastAsia" w:ascii="仿宋_GB2312" w:hAnsi="仿宋_GB2312" w:eastAsia="仿宋_GB2312"/>
          <w:b/>
          <w:color w:val="000000"/>
          <w:kern w:val="2"/>
          <w:sz w:val="32"/>
          <w:szCs w:val="24"/>
          <w:lang w:val="en-US"/>
        </w:rPr>
        <w:t>（类）</w:t>
      </w:r>
      <w:r>
        <w:rPr>
          <w:rFonts w:hint="eastAsia" w:ascii="仿宋_GB2312" w:hAnsi="仿宋_GB2312" w:eastAsia="仿宋_GB2312"/>
          <w:b/>
          <w:color w:val="000000"/>
          <w:kern w:val="2"/>
          <w:sz w:val="32"/>
          <w:szCs w:val="24"/>
          <w:lang w:val="en-US" w:eastAsia="zh-CN"/>
        </w:rPr>
        <w:t>普通教育</w:t>
      </w:r>
      <w:r>
        <w:rPr>
          <w:rFonts w:hint="eastAsia" w:ascii="仿宋_GB2312" w:hAnsi="仿宋_GB2312" w:eastAsia="仿宋_GB2312"/>
          <w:b/>
          <w:color w:val="000000"/>
          <w:kern w:val="2"/>
          <w:sz w:val="32"/>
          <w:szCs w:val="24"/>
          <w:lang w:val="en-US"/>
        </w:rPr>
        <w:t>（款）</w:t>
      </w:r>
      <w:r>
        <w:rPr>
          <w:rFonts w:hint="eastAsia" w:ascii="仿宋_GB2312" w:hAnsi="仿宋_GB2312" w:eastAsia="仿宋_GB2312"/>
          <w:b/>
          <w:color w:val="000000"/>
          <w:kern w:val="2"/>
          <w:sz w:val="32"/>
          <w:szCs w:val="24"/>
          <w:lang w:val="en-US" w:eastAsia="zh-CN"/>
        </w:rPr>
        <w:t>小学教育</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255.45</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100</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与预算数持平。</w:t>
      </w:r>
    </w:p>
    <w:p>
      <w:pPr>
        <w:keepNext/>
        <w:keepLines/>
        <w:pageBreakBefore w:val="0"/>
        <w:widowControl w:val="0"/>
        <w:numPr>
          <w:ilvl w:val="0"/>
          <w:numId w:val="0"/>
        </w:numPr>
        <w:kinsoku/>
        <w:wordWrap/>
        <w:overflowPunct/>
        <w:topLinePunct w:val="0"/>
        <w:autoSpaceDE w:val="0"/>
        <w:autoSpaceDN w:val="0"/>
        <w:bidi w:val="0"/>
        <w:adjustRightInd w:val="0"/>
        <w:snapToGrid/>
        <w:spacing w:beforeLines="0" w:afterLines="0" w:line="576" w:lineRule="exact"/>
        <w:ind w:leftChars="0"/>
        <w:jc w:val="both"/>
        <w:textAlignment w:val="auto"/>
        <w:rPr>
          <w:rFonts w:hint="eastAsia"/>
          <w:lang w:val="en-US"/>
        </w:rPr>
      </w:pPr>
      <w:r>
        <w:rPr>
          <w:rFonts w:hint="eastAsia" w:ascii="仿宋_GB2312" w:hAnsi="仿宋_GB2312" w:eastAsia="仿宋_GB2312"/>
          <w:b/>
          <w:color w:val="000000"/>
          <w:kern w:val="2"/>
          <w:sz w:val="32"/>
          <w:szCs w:val="24"/>
          <w:lang w:val="en-US"/>
        </w:rPr>
        <w:t>3.教育</w:t>
      </w:r>
      <w:r>
        <w:rPr>
          <w:rFonts w:hint="eastAsia" w:ascii="仿宋_GB2312" w:hAnsi="仿宋_GB2312" w:eastAsia="仿宋_GB2312"/>
          <w:b/>
          <w:color w:val="000000"/>
          <w:kern w:val="2"/>
          <w:sz w:val="32"/>
          <w:szCs w:val="24"/>
          <w:lang w:val="en-US" w:eastAsia="zh-CN"/>
        </w:rPr>
        <w:t>支出</w:t>
      </w:r>
      <w:r>
        <w:rPr>
          <w:rFonts w:hint="eastAsia" w:ascii="仿宋_GB2312" w:hAnsi="仿宋_GB2312" w:eastAsia="仿宋_GB2312"/>
          <w:b/>
          <w:color w:val="000000"/>
          <w:kern w:val="2"/>
          <w:sz w:val="32"/>
          <w:szCs w:val="24"/>
          <w:lang w:val="en-US"/>
        </w:rPr>
        <w:t>（类）</w:t>
      </w:r>
      <w:r>
        <w:rPr>
          <w:rFonts w:hint="eastAsia" w:ascii="仿宋_GB2312" w:hAnsi="仿宋_GB2312" w:eastAsia="仿宋_GB2312"/>
          <w:b/>
          <w:color w:val="000000"/>
          <w:kern w:val="2"/>
          <w:sz w:val="32"/>
          <w:szCs w:val="24"/>
          <w:lang w:val="en-US" w:eastAsia="zh-CN"/>
        </w:rPr>
        <w:t>普通教育</w:t>
      </w:r>
      <w:r>
        <w:rPr>
          <w:rFonts w:hint="eastAsia" w:ascii="仿宋_GB2312" w:hAnsi="仿宋_GB2312" w:eastAsia="仿宋_GB2312"/>
          <w:b/>
          <w:color w:val="000000"/>
          <w:kern w:val="2"/>
          <w:sz w:val="32"/>
          <w:szCs w:val="24"/>
          <w:lang w:val="en-US"/>
        </w:rPr>
        <w:t>（款）</w:t>
      </w:r>
      <w:r>
        <w:rPr>
          <w:rFonts w:hint="eastAsia" w:ascii="仿宋_GB2312" w:hAnsi="仿宋_GB2312" w:eastAsia="仿宋_GB2312"/>
          <w:b/>
          <w:color w:val="000000"/>
          <w:kern w:val="2"/>
          <w:sz w:val="32"/>
          <w:szCs w:val="24"/>
          <w:lang w:val="en-US" w:eastAsia="zh-CN"/>
        </w:rPr>
        <w:t>初中教育</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1</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67.56</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小于预算数的主要原因是公用经费未使用完。</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仿宋_GB2312" w:hAnsi="仿宋_GB2312" w:eastAsia="仿宋_GB2312"/>
          <w:b/>
          <w:color w:val="000000"/>
          <w:kern w:val="2"/>
          <w:sz w:val="32"/>
          <w:szCs w:val="24"/>
          <w:lang w:val="en-US"/>
        </w:rPr>
      </w:pPr>
      <w:r>
        <w:rPr>
          <w:rFonts w:hint="eastAsia" w:ascii="仿宋_GB2312" w:hAnsi="仿宋_GB2312" w:eastAsia="仿宋_GB2312"/>
          <w:b/>
          <w:color w:val="000000"/>
          <w:kern w:val="2"/>
          <w:sz w:val="32"/>
          <w:szCs w:val="24"/>
          <w:lang w:val="en-US"/>
        </w:rPr>
        <w:t>4.社会保障和就业</w:t>
      </w:r>
      <w:r>
        <w:rPr>
          <w:rFonts w:hint="eastAsia" w:ascii="仿宋_GB2312" w:hAnsi="仿宋_GB2312" w:eastAsia="仿宋_GB2312"/>
          <w:b/>
          <w:color w:val="000000"/>
          <w:kern w:val="2"/>
          <w:sz w:val="32"/>
          <w:szCs w:val="24"/>
          <w:lang w:val="en-US" w:eastAsia="zh-CN"/>
        </w:rPr>
        <w:t>支出</w:t>
      </w:r>
      <w:r>
        <w:rPr>
          <w:rFonts w:hint="eastAsia" w:ascii="仿宋_GB2312" w:hAnsi="仿宋_GB2312" w:eastAsia="仿宋_GB2312"/>
          <w:b/>
          <w:color w:val="000000"/>
          <w:kern w:val="2"/>
          <w:sz w:val="32"/>
          <w:szCs w:val="24"/>
          <w:lang w:val="en-US"/>
        </w:rPr>
        <w:t>（类）</w:t>
      </w:r>
      <w:r>
        <w:rPr>
          <w:rFonts w:hint="eastAsia" w:ascii="仿宋_GB2312" w:hAnsi="仿宋_GB2312" w:eastAsia="仿宋_GB2312"/>
          <w:b/>
          <w:color w:val="000000"/>
          <w:kern w:val="2"/>
          <w:sz w:val="32"/>
          <w:szCs w:val="24"/>
          <w:lang w:val="en-US" w:eastAsia="zh-CN"/>
        </w:rPr>
        <w:t>行政事业单位养老</w:t>
      </w:r>
      <w:r>
        <w:rPr>
          <w:rFonts w:hint="eastAsia" w:ascii="仿宋_GB2312" w:hAnsi="仿宋_GB2312" w:eastAsia="仿宋_GB2312"/>
          <w:b/>
          <w:color w:val="000000"/>
          <w:kern w:val="2"/>
          <w:sz w:val="32"/>
          <w:szCs w:val="24"/>
          <w:lang w:val="en-US"/>
        </w:rPr>
        <w:t>（款）</w:t>
      </w:r>
      <w:r>
        <w:rPr>
          <w:rFonts w:hint="eastAsia" w:ascii="仿宋_GB2312" w:hAnsi="仿宋_GB2312" w:eastAsia="仿宋_GB2312"/>
          <w:b/>
          <w:color w:val="000000"/>
          <w:kern w:val="2"/>
          <w:sz w:val="32"/>
          <w:szCs w:val="24"/>
          <w:lang w:val="en-US" w:eastAsia="zh-CN"/>
        </w:rPr>
        <w:t>机关事业单位基本养老保险缴费</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17.49</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100</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与预算数持平。</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仿宋" w:hAnsi="仿宋" w:eastAsia="仿宋"/>
          <w:color w:val="auto"/>
          <w:sz w:val="32"/>
          <w:szCs w:val="32"/>
          <w:highlight w:val="none"/>
          <w:lang w:val="en-US" w:eastAsia="zh-CN"/>
        </w:rPr>
      </w:pPr>
      <w:r>
        <w:rPr>
          <w:rFonts w:hint="eastAsia" w:ascii="仿宋_GB2312" w:hAnsi="仿宋_GB2312" w:eastAsia="仿宋_GB2312"/>
          <w:b/>
          <w:color w:val="000000"/>
          <w:kern w:val="2"/>
          <w:sz w:val="32"/>
          <w:szCs w:val="24"/>
          <w:lang w:val="en-US"/>
        </w:rPr>
        <w:t>5.社会保障和就业支</w:t>
      </w:r>
      <w:r>
        <w:rPr>
          <w:rFonts w:hint="eastAsia" w:ascii="仿宋_GB2312" w:hAnsi="仿宋_GB2312" w:eastAsia="仿宋_GB2312"/>
          <w:b/>
          <w:color w:val="000000"/>
          <w:kern w:val="2"/>
          <w:sz w:val="32"/>
          <w:szCs w:val="24"/>
          <w:lang w:val="en-US" w:eastAsia="zh-CN"/>
        </w:rPr>
        <w:t>出</w:t>
      </w:r>
      <w:r>
        <w:rPr>
          <w:rFonts w:hint="eastAsia" w:ascii="仿宋_GB2312" w:hAnsi="仿宋_GB2312" w:eastAsia="仿宋_GB2312"/>
          <w:b/>
          <w:color w:val="000000"/>
          <w:kern w:val="2"/>
          <w:sz w:val="32"/>
          <w:szCs w:val="24"/>
          <w:lang w:val="en-US"/>
        </w:rPr>
        <w:t>（类）</w:t>
      </w:r>
      <w:r>
        <w:rPr>
          <w:rFonts w:hint="eastAsia" w:ascii="仿宋_GB2312" w:hAnsi="仿宋_GB2312" w:eastAsia="仿宋_GB2312"/>
          <w:b/>
          <w:color w:val="000000"/>
          <w:kern w:val="2"/>
          <w:sz w:val="32"/>
          <w:szCs w:val="24"/>
          <w:lang w:val="en-US" w:eastAsia="zh-CN"/>
        </w:rPr>
        <w:t>行政事业单位养老支出</w:t>
      </w:r>
      <w:r>
        <w:rPr>
          <w:rFonts w:hint="eastAsia" w:ascii="仿宋_GB2312" w:hAnsi="仿宋_GB2312" w:eastAsia="仿宋_GB2312"/>
          <w:b/>
          <w:color w:val="000000"/>
          <w:kern w:val="2"/>
          <w:sz w:val="32"/>
          <w:szCs w:val="24"/>
          <w:lang w:val="en-US"/>
        </w:rPr>
        <w:t>（款）</w:t>
      </w:r>
      <w:r>
        <w:rPr>
          <w:rFonts w:hint="eastAsia" w:ascii="仿宋_GB2312" w:hAnsi="仿宋_GB2312" w:eastAsia="仿宋_GB2312"/>
          <w:b/>
          <w:color w:val="000000"/>
          <w:kern w:val="2"/>
          <w:sz w:val="32"/>
          <w:szCs w:val="24"/>
          <w:lang w:val="en-US" w:eastAsia="zh-CN"/>
        </w:rPr>
        <w:t>机关事业单位职业年金缴费</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8.73</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100</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与预算数持平。</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仿宋_GB2312" w:hAnsi="仿宋_GB2312" w:eastAsia="仿宋_GB2312"/>
          <w:b/>
          <w:color w:val="000000"/>
          <w:kern w:val="2"/>
          <w:sz w:val="32"/>
          <w:szCs w:val="24"/>
          <w:lang w:val="en-US"/>
        </w:rPr>
      </w:pPr>
      <w:r>
        <w:rPr>
          <w:rFonts w:hint="eastAsia" w:ascii="仿宋_GB2312" w:hAnsi="仿宋_GB2312" w:eastAsia="仿宋_GB2312"/>
          <w:b/>
          <w:color w:val="000000"/>
          <w:kern w:val="2"/>
          <w:sz w:val="32"/>
          <w:szCs w:val="24"/>
          <w:lang w:val="en-US" w:eastAsia="zh-CN"/>
        </w:rPr>
        <w:t>6</w:t>
      </w:r>
      <w:r>
        <w:rPr>
          <w:rFonts w:hint="eastAsia" w:ascii="仿宋_GB2312" w:hAnsi="仿宋_GB2312" w:eastAsia="仿宋_GB2312"/>
          <w:b/>
          <w:color w:val="000000"/>
          <w:kern w:val="2"/>
          <w:sz w:val="32"/>
          <w:szCs w:val="24"/>
          <w:lang w:val="en-US"/>
        </w:rPr>
        <w:t>.社会保障和就业支</w:t>
      </w:r>
      <w:r>
        <w:rPr>
          <w:rFonts w:hint="eastAsia" w:ascii="仿宋_GB2312" w:hAnsi="仿宋_GB2312" w:eastAsia="仿宋_GB2312"/>
          <w:b/>
          <w:color w:val="000000"/>
          <w:kern w:val="2"/>
          <w:sz w:val="32"/>
          <w:szCs w:val="24"/>
          <w:lang w:val="en-US" w:eastAsia="zh-CN"/>
        </w:rPr>
        <w:t>出</w:t>
      </w:r>
      <w:r>
        <w:rPr>
          <w:rFonts w:hint="eastAsia" w:ascii="仿宋_GB2312" w:hAnsi="仿宋_GB2312" w:eastAsia="仿宋_GB2312"/>
          <w:b/>
          <w:color w:val="000000"/>
          <w:kern w:val="2"/>
          <w:sz w:val="32"/>
          <w:szCs w:val="24"/>
          <w:lang w:val="en-US"/>
        </w:rPr>
        <w:t>（类）</w:t>
      </w:r>
      <w:r>
        <w:rPr>
          <w:rFonts w:hint="eastAsia" w:ascii="仿宋_GB2312" w:hAnsi="仿宋_GB2312" w:eastAsia="仿宋_GB2312"/>
          <w:b/>
          <w:color w:val="000000"/>
          <w:kern w:val="2"/>
          <w:sz w:val="32"/>
          <w:szCs w:val="24"/>
          <w:lang w:val="en-US" w:eastAsia="zh-CN"/>
        </w:rPr>
        <w:t>其他社会保障和就业支出</w:t>
      </w:r>
      <w:r>
        <w:rPr>
          <w:rFonts w:hint="eastAsia" w:ascii="仿宋_GB2312" w:hAnsi="仿宋_GB2312" w:eastAsia="仿宋_GB2312"/>
          <w:b/>
          <w:color w:val="000000"/>
          <w:kern w:val="2"/>
          <w:sz w:val="32"/>
          <w:szCs w:val="24"/>
          <w:lang w:val="en-US"/>
        </w:rPr>
        <w:t>（款）</w:t>
      </w:r>
      <w:r>
        <w:rPr>
          <w:rFonts w:hint="eastAsia" w:ascii="仿宋_GB2312" w:hAnsi="仿宋_GB2312" w:eastAsia="仿宋_GB2312"/>
          <w:b/>
          <w:color w:val="000000"/>
          <w:kern w:val="2"/>
          <w:sz w:val="32"/>
          <w:szCs w:val="24"/>
          <w:lang w:val="en-US" w:eastAsia="zh-CN"/>
        </w:rPr>
        <w:t>其他社会保障和就业支出</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3.37</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100</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与预算数持平。</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仿宋" w:hAnsi="仿宋" w:eastAsia="仿宋"/>
          <w:color w:val="auto"/>
          <w:kern w:val="2"/>
          <w:sz w:val="32"/>
          <w:szCs w:val="24"/>
          <w:lang w:val="en-US"/>
        </w:rPr>
      </w:pPr>
      <w:r>
        <w:rPr>
          <w:rFonts w:hint="eastAsia" w:ascii="仿宋_GB2312" w:hAnsi="仿宋_GB2312" w:eastAsia="仿宋_GB2312"/>
          <w:b/>
          <w:color w:val="000000"/>
          <w:kern w:val="2"/>
          <w:sz w:val="32"/>
          <w:szCs w:val="24"/>
          <w:lang w:val="en-US" w:eastAsia="zh-CN"/>
        </w:rPr>
        <w:t>7</w:t>
      </w:r>
      <w:r>
        <w:rPr>
          <w:rFonts w:hint="eastAsia" w:ascii="仿宋_GB2312" w:hAnsi="仿宋_GB2312" w:eastAsia="仿宋_GB2312"/>
          <w:b/>
          <w:color w:val="000000"/>
          <w:kern w:val="2"/>
          <w:sz w:val="32"/>
          <w:szCs w:val="24"/>
          <w:lang w:val="en-US"/>
        </w:rPr>
        <w:t>.卫生健康支出（类）</w:t>
      </w:r>
      <w:r>
        <w:rPr>
          <w:rFonts w:hint="eastAsia" w:ascii="仿宋_GB2312" w:hAnsi="仿宋_GB2312" w:eastAsia="仿宋_GB2312"/>
          <w:b/>
          <w:color w:val="000000"/>
          <w:kern w:val="2"/>
          <w:sz w:val="32"/>
          <w:szCs w:val="24"/>
          <w:lang w:val="en-US" w:eastAsia="zh-CN"/>
        </w:rPr>
        <w:t>行政事业单位医疗</w:t>
      </w:r>
      <w:r>
        <w:rPr>
          <w:rFonts w:hint="eastAsia" w:ascii="仿宋_GB2312" w:hAnsi="仿宋_GB2312" w:eastAsia="仿宋_GB2312"/>
          <w:b/>
          <w:color w:val="000000"/>
          <w:kern w:val="2"/>
          <w:sz w:val="32"/>
          <w:szCs w:val="24"/>
          <w:lang w:val="en-US"/>
        </w:rPr>
        <w:t>（款）</w:t>
      </w:r>
      <w:r>
        <w:rPr>
          <w:rFonts w:hint="eastAsia" w:ascii="仿宋_GB2312" w:hAnsi="仿宋_GB2312" w:eastAsia="仿宋_GB2312"/>
          <w:b/>
          <w:color w:val="000000"/>
          <w:kern w:val="2"/>
          <w:sz w:val="32"/>
          <w:szCs w:val="24"/>
          <w:lang w:val="en-US" w:eastAsia="zh-CN"/>
        </w:rPr>
        <w:t>事业单位医疗</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6.67</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100</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与预算数持平。</w:t>
      </w:r>
    </w:p>
    <w:p>
      <w:pPr>
        <w:pStyle w:val="4"/>
        <w:keepNext/>
        <w:keepLines/>
        <w:pageBreakBefore w:val="0"/>
        <w:widowControl w:val="0"/>
        <w:kinsoku/>
        <w:wordWrap/>
        <w:overflowPunct/>
        <w:topLinePunct w:val="0"/>
        <w:autoSpaceDE w:val="0"/>
        <w:autoSpaceDN w:val="0"/>
        <w:bidi w:val="0"/>
        <w:adjustRightInd w:val="0"/>
        <w:snapToGrid/>
        <w:textAlignment w:val="auto"/>
        <w:rPr>
          <w:rFonts w:hint="eastAsia" w:ascii="仿宋" w:hAnsi="仿宋" w:eastAsia="仿宋"/>
          <w:color w:val="auto"/>
          <w:sz w:val="32"/>
          <w:szCs w:val="32"/>
          <w:highlight w:val="none"/>
          <w:lang w:val="en-US" w:eastAsia="zh-CN"/>
        </w:rPr>
      </w:pPr>
      <w:r>
        <w:rPr>
          <w:rFonts w:hint="eastAsia" w:hAnsi="仿宋_GB2312"/>
          <w:b/>
          <w:color w:val="000000"/>
          <w:kern w:val="2"/>
          <w:sz w:val="32"/>
          <w:szCs w:val="24"/>
          <w:lang w:val="en-US" w:eastAsia="zh-CN"/>
        </w:rPr>
        <w:t>8</w:t>
      </w:r>
      <w:r>
        <w:rPr>
          <w:rFonts w:hint="eastAsia" w:ascii="仿宋_GB2312" w:hAnsi="仿宋_GB2312" w:eastAsia="仿宋_GB2312"/>
          <w:b/>
          <w:color w:val="000000"/>
          <w:kern w:val="2"/>
          <w:sz w:val="32"/>
          <w:szCs w:val="24"/>
          <w:lang w:val="en-US"/>
        </w:rPr>
        <w:t>.卫生健康支出（类）</w:t>
      </w:r>
      <w:r>
        <w:rPr>
          <w:rFonts w:hint="eastAsia" w:ascii="仿宋_GB2312" w:hAnsi="仿宋_GB2312" w:eastAsia="仿宋_GB2312"/>
          <w:b/>
          <w:color w:val="000000"/>
          <w:kern w:val="2"/>
          <w:sz w:val="32"/>
          <w:szCs w:val="24"/>
          <w:lang w:val="en-US" w:eastAsia="zh-CN"/>
        </w:rPr>
        <w:t>行政事业单位医疗</w:t>
      </w:r>
      <w:r>
        <w:rPr>
          <w:rFonts w:hint="eastAsia" w:ascii="仿宋_GB2312" w:hAnsi="仿宋_GB2312" w:eastAsia="仿宋_GB2312"/>
          <w:b/>
          <w:color w:val="000000"/>
          <w:kern w:val="2"/>
          <w:sz w:val="32"/>
          <w:szCs w:val="24"/>
          <w:lang w:val="en-US"/>
        </w:rPr>
        <w:t>（款）</w:t>
      </w:r>
      <w:r>
        <w:rPr>
          <w:rFonts w:hint="eastAsia" w:hAnsi="仿宋_GB2312"/>
          <w:b/>
          <w:color w:val="000000"/>
          <w:kern w:val="2"/>
          <w:sz w:val="32"/>
          <w:szCs w:val="24"/>
          <w:lang w:val="en-US" w:eastAsia="zh-CN"/>
        </w:rPr>
        <w:t>公务员医疗补助金</w:t>
      </w:r>
      <w:r>
        <w:rPr>
          <w:rFonts w:hint="eastAsia" w:ascii="仿宋_GB2312" w:hAnsi="仿宋_GB2312" w:eastAsia="仿宋_GB2312"/>
          <w:b/>
          <w:color w:val="000000"/>
          <w:kern w:val="2"/>
          <w:sz w:val="32"/>
          <w:szCs w:val="24"/>
          <w:lang w:val="en-US"/>
        </w:rPr>
        <w:t>（项）:</w:t>
      </w:r>
      <w:r>
        <w:rPr>
          <w:rFonts w:hint="eastAsia" w:ascii="仿宋" w:hAnsi="仿宋" w:eastAsia="仿宋"/>
          <w:color w:val="auto"/>
          <w:kern w:val="2"/>
          <w:sz w:val="32"/>
          <w:szCs w:val="24"/>
          <w:lang w:val="en-US"/>
        </w:rPr>
        <w:t>支出决算为</w:t>
      </w:r>
      <w:r>
        <w:rPr>
          <w:rFonts w:hint="eastAsia" w:ascii="仿宋" w:hAnsi="仿宋" w:eastAsia="仿宋"/>
          <w:color w:val="auto"/>
          <w:kern w:val="2"/>
          <w:sz w:val="32"/>
          <w:szCs w:val="24"/>
          <w:lang w:val="en-US" w:eastAsia="zh-CN"/>
        </w:rPr>
        <w:t>0.9</w:t>
      </w:r>
      <w:r>
        <w:rPr>
          <w:rFonts w:hint="eastAsia" w:ascii="仿宋" w:hAnsi="仿宋" w:eastAsia="仿宋"/>
          <w:color w:val="auto"/>
          <w:kern w:val="2"/>
          <w:sz w:val="32"/>
          <w:szCs w:val="24"/>
          <w:lang w:val="en-US"/>
        </w:rPr>
        <w:t>万元，完成预算</w:t>
      </w:r>
      <w:r>
        <w:rPr>
          <w:rFonts w:hint="eastAsia" w:ascii="仿宋" w:hAnsi="仿宋" w:eastAsia="仿宋"/>
          <w:color w:val="auto"/>
          <w:kern w:val="2"/>
          <w:sz w:val="32"/>
          <w:szCs w:val="24"/>
          <w:lang w:val="en-US" w:eastAsia="zh-CN"/>
        </w:rPr>
        <w:t>100</w:t>
      </w:r>
      <w:r>
        <w:rPr>
          <w:rFonts w:hint="eastAsia" w:ascii="仿宋" w:hAnsi="仿宋" w:eastAsia="仿宋"/>
          <w:color w:val="auto"/>
          <w:kern w:val="2"/>
          <w:sz w:val="32"/>
          <w:szCs w:val="24"/>
          <w:lang w:val="en-US"/>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与预算数持平。</w:t>
      </w:r>
    </w:p>
    <w:p>
      <w:pPr>
        <w:pStyle w:val="4"/>
        <w:keepNext/>
        <w:keepLines/>
        <w:pageBreakBefore w:val="0"/>
        <w:widowControl w:val="0"/>
        <w:kinsoku/>
        <w:wordWrap/>
        <w:overflowPunct/>
        <w:topLinePunct w:val="0"/>
        <w:autoSpaceDE w:val="0"/>
        <w:autoSpaceDN w:val="0"/>
        <w:bidi w:val="0"/>
        <w:adjustRightInd w:val="0"/>
        <w:snapToGrid/>
        <w:textAlignment w:val="auto"/>
        <w:rPr>
          <w:rFonts w:hint="eastAsia" w:ascii="仿宋" w:hAnsi="仿宋" w:eastAsia="仿宋"/>
          <w:b/>
          <w:color w:val="auto"/>
          <w:kern w:val="2"/>
          <w:sz w:val="32"/>
          <w:szCs w:val="24"/>
          <w:lang w:val="en-US"/>
        </w:rPr>
      </w:pPr>
      <w:r>
        <w:rPr>
          <w:rStyle w:val="9"/>
          <w:rFonts w:hint="eastAsia" w:ascii="仿宋" w:hAnsi="仿宋" w:eastAsia="仿宋"/>
          <w:bCs/>
          <w:color w:val="auto"/>
          <w:sz w:val="32"/>
          <w:szCs w:val="32"/>
          <w:highlight w:val="none"/>
          <w:lang w:val="en-US" w:eastAsia="zh-CN"/>
        </w:rPr>
        <w:t>9</w:t>
      </w:r>
      <w:r>
        <w:rPr>
          <w:rStyle w:val="9"/>
          <w:rFonts w:ascii="仿宋" w:hAnsi="仿宋" w:eastAsia="仿宋"/>
          <w:bCs/>
          <w:color w:val="auto"/>
          <w:sz w:val="32"/>
          <w:szCs w:val="32"/>
          <w:highlight w:val="none"/>
        </w:rPr>
        <w:t>.</w:t>
      </w:r>
      <w:r>
        <w:rPr>
          <w:rFonts w:hint="eastAsia" w:ascii="仿宋" w:hAnsi="仿宋" w:eastAsia="仿宋"/>
          <w:b/>
          <w:bCs/>
          <w:color w:val="auto"/>
          <w:sz w:val="32"/>
          <w:szCs w:val="32"/>
          <w:highlight w:val="none"/>
          <w:lang w:val="en-US" w:eastAsia="zh-CN"/>
        </w:rPr>
        <w:t>住房保障支出</w:t>
      </w:r>
      <w:r>
        <w:rPr>
          <w:rStyle w:val="9"/>
          <w:rFonts w:hint="eastAsia" w:ascii="仿宋" w:hAnsi="仿宋" w:eastAsia="仿宋"/>
          <w:bCs/>
          <w:color w:val="auto"/>
          <w:sz w:val="32"/>
          <w:szCs w:val="32"/>
          <w:highlight w:val="none"/>
        </w:rPr>
        <w:t>（类）</w:t>
      </w:r>
      <w:r>
        <w:rPr>
          <w:rStyle w:val="9"/>
          <w:rFonts w:hint="eastAsia" w:ascii="仿宋" w:hAnsi="仿宋" w:eastAsia="仿宋"/>
          <w:bCs/>
          <w:color w:val="auto"/>
          <w:sz w:val="32"/>
          <w:szCs w:val="32"/>
          <w:highlight w:val="none"/>
          <w:lang w:val="en-US" w:eastAsia="zh-CN"/>
        </w:rPr>
        <w:t>住房改革支出</w:t>
      </w:r>
      <w:r>
        <w:rPr>
          <w:rStyle w:val="9"/>
          <w:rFonts w:hint="eastAsia" w:ascii="仿宋" w:hAnsi="仿宋" w:eastAsia="仿宋"/>
          <w:bCs/>
          <w:color w:val="auto"/>
          <w:sz w:val="32"/>
          <w:szCs w:val="32"/>
          <w:highlight w:val="none"/>
        </w:rPr>
        <w:t>（款）</w:t>
      </w:r>
      <w:r>
        <w:rPr>
          <w:rStyle w:val="9"/>
          <w:rFonts w:hint="eastAsia" w:ascii="仿宋" w:hAnsi="仿宋" w:eastAsia="仿宋"/>
          <w:bCs/>
          <w:color w:val="auto"/>
          <w:sz w:val="32"/>
          <w:szCs w:val="32"/>
          <w:highlight w:val="none"/>
          <w:lang w:val="en-US" w:eastAsia="zh-CN"/>
        </w:rPr>
        <w:t>住房公积金</w:t>
      </w:r>
      <w:r>
        <w:rPr>
          <w:rStyle w:val="9"/>
          <w:rFonts w:hint="eastAsia" w:ascii="仿宋" w:hAnsi="仿宋" w:eastAsia="仿宋"/>
          <w:bCs/>
          <w:color w:val="auto"/>
          <w:sz w:val="32"/>
          <w:szCs w:val="32"/>
          <w:highlight w:val="none"/>
        </w:rPr>
        <w:t>（项）</w:t>
      </w:r>
      <w:r>
        <w:rPr>
          <w:rStyle w:val="9"/>
          <w:rFonts w:ascii="仿宋" w:hAnsi="仿宋" w:eastAsia="仿宋"/>
          <w:bCs/>
          <w:color w:val="auto"/>
          <w:sz w:val="32"/>
          <w:szCs w:val="32"/>
          <w:highlight w:val="none"/>
        </w:rPr>
        <w:t>:</w:t>
      </w:r>
      <w:r>
        <w:rPr>
          <w:rStyle w:val="9"/>
          <w:rFonts w:hint="eastAsia" w:ascii="仿宋" w:hAnsi="仿宋" w:eastAsia="仿宋"/>
          <w:b w:val="0"/>
          <w:bCs/>
          <w:color w:val="auto"/>
          <w:sz w:val="32"/>
          <w:szCs w:val="32"/>
          <w:highlight w:val="none"/>
        </w:rPr>
        <w:t>支出决算为</w:t>
      </w:r>
      <w:r>
        <w:rPr>
          <w:rStyle w:val="9"/>
          <w:rFonts w:hint="eastAsia" w:ascii="仿宋" w:hAnsi="仿宋" w:eastAsia="仿宋"/>
          <w:b w:val="0"/>
          <w:bCs/>
          <w:color w:val="auto"/>
          <w:sz w:val="32"/>
          <w:szCs w:val="32"/>
          <w:highlight w:val="none"/>
          <w:lang w:val="en-US" w:eastAsia="zh-CN"/>
        </w:rPr>
        <w:t>19.11</w:t>
      </w:r>
      <w:r>
        <w:rPr>
          <w:rStyle w:val="9"/>
          <w:rFonts w:hint="eastAsia" w:ascii="仿宋" w:hAnsi="仿宋" w:eastAsia="仿宋"/>
          <w:b w:val="0"/>
          <w:bCs/>
          <w:color w:val="auto"/>
          <w:sz w:val="32"/>
          <w:szCs w:val="32"/>
          <w:highlight w:val="none"/>
        </w:rPr>
        <w:t>万元，完成预算</w:t>
      </w:r>
      <w:r>
        <w:rPr>
          <w:rStyle w:val="9"/>
          <w:rFonts w:hint="eastAsia" w:ascii="仿宋" w:hAnsi="仿宋" w:eastAsia="仿宋"/>
          <w:b w:val="0"/>
          <w:bCs/>
          <w:color w:val="auto"/>
          <w:sz w:val="32"/>
          <w:szCs w:val="32"/>
          <w:highlight w:val="none"/>
          <w:lang w:val="en-US" w:eastAsia="zh-CN"/>
        </w:rPr>
        <w:t>100</w:t>
      </w:r>
      <w:r>
        <w:rPr>
          <w:rStyle w:val="9"/>
          <w:rFonts w:ascii="仿宋" w:hAnsi="仿宋" w:eastAsia="仿宋"/>
          <w:b w:val="0"/>
          <w:bCs/>
          <w:color w:val="auto"/>
          <w:sz w:val="32"/>
          <w:szCs w:val="32"/>
          <w:highlight w:val="none"/>
        </w:rPr>
        <w:t>%</w:t>
      </w:r>
      <w:r>
        <w:rPr>
          <w:rStyle w:val="9"/>
          <w:rFonts w:hint="eastAsia" w:ascii="仿宋" w:hAnsi="仿宋" w:eastAsia="仿宋"/>
          <w:b w:val="0"/>
          <w:bCs/>
          <w:color w:val="auto"/>
          <w:sz w:val="32"/>
          <w:szCs w:val="32"/>
          <w:highlight w:val="none"/>
        </w:rPr>
        <w:t>。</w:t>
      </w:r>
      <w:r>
        <w:rPr>
          <w:rFonts w:hint="eastAsia" w:ascii="仿宋" w:hAnsi="仿宋" w:eastAsia="仿宋"/>
          <w:color w:val="auto"/>
          <w:sz w:val="32"/>
          <w:szCs w:val="32"/>
          <w:highlight w:val="none"/>
        </w:rPr>
        <w:t>决算数</w:t>
      </w:r>
      <w:r>
        <w:rPr>
          <w:rFonts w:hint="eastAsia" w:ascii="仿宋" w:hAnsi="仿宋" w:eastAsia="仿宋"/>
          <w:color w:val="auto"/>
          <w:sz w:val="32"/>
          <w:szCs w:val="32"/>
          <w:highlight w:val="none"/>
          <w:lang w:val="en-US" w:eastAsia="zh-CN"/>
        </w:rPr>
        <w:t>与预算数持平。</w:t>
      </w:r>
    </w:p>
    <w:p>
      <w:pPr>
        <w:keepNext/>
        <w:keepLines/>
        <w:pageBreakBefore w:val="0"/>
        <w:widowControl w:val="0"/>
        <w:tabs>
          <w:tab w:val="right" w:pos="8306"/>
        </w:tabs>
        <w:kinsoku/>
        <w:wordWrap/>
        <w:overflowPunct/>
        <w:topLinePunct w:val="0"/>
        <w:autoSpaceDE w:val="0"/>
        <w:autoSpaceDN w:val="0"/>
        <w:bidi w:val="0"/>
        <w:adjustRightInd w:val="0"/>
        <w:snapToGrid/>
        <w:spacing w:beforeLines="0" w:afterLines="0" w:line="576" w:lineRule="exact"/>
        <w:ind w:firstLine="640"/>
        <w:jc w:val="both"/>
        <w:textAlignment w:val="auto"/>
        <w:rPr>
          <w:rFonts w:hint="default" w:ascii="Cambria" w:hAnsi="Cambria" w:eastAsia="Cambria"/>
          <w:b/>
          <w:color w:val="auto"/>
          <w:kern w:val="2"/>
          <w:sz w:val="32"/>
          <w:szCs w:val="24"/>
          <w:lang w:val="zh-CN"/>
        </w:rPr>
      </w:pPr>
      <w:r>
        <w:rPr>
          <w:rFonts w:hint="eastAsia" w:ascii="黑体" w:hAnsi="黑体" w:eastAsia="黑体"/>
          <w:color w:val="000000"/>
          <w:kern w:val="2"/>
          <w:sz w:val="32"/>
          <w:szCs w:val="24"/>
          <w:lang w:val="zh-CN"/>
        </w:rPr>
        <w:t>六</w:t>
      </w:r>
      <w:r>
        <w:rPr>
          <w:rFonts w:hint="eastAsia" w:ascii="黑体" w:hAnsi="黑体" w:eastAsia="黑体"/>
          <w:b/>
          <w:color w:val="000000"/>
          <w:kern w:val="2"/>
          <w:sz w:val="32"/>
          <w:szCs w:val="24"/>
          <w:lang w:val="zh-CN"/>
        </w:rPr>
        <w:t>、一</w:t>
      </w:r>
      <w:r>
        <w:rPr>
          <w:rFonts w:hint="eastAsia" w:ascii="黑体" w:hAnsi="黑体" w:eastAsia="黑体"/>
          <w:color w:val="auto"/>
          <w:kern w:val="2"/>
          <w:sz w:val="32"/>
          <w:szCs w:val="24"/>
          <w:lang w:val="zh-CN"/>
        </w:rPr>
        <w:t>般公共预算财政拨款基本支出决算情况说明</w:t>
      </w:r>
      <w:r>
        <w:rPr>
          <w:rFonts w:hint="eastAsia" w:ascii="黑体" w:hAnsi="黑体" w:eastAsia="黑体"/>
          <w:color w:val="auto"/>
          <w:kern w:val="2"/>
          <w:sz w:val="32"/>
          <w:szCs w:val="24"/>
          <w:lang w:val="zh-CN"/>
        </w:rPr>
        <w:tab/>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2022年一般公共预算财政拨款基本支出249.6万元，其中：</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人员经费</w:t>
      </w:r>
      <w:r>
        <w:rPr>
          <w:rFonts w:hint="eastAsia" w:ascii="仿宋_GB2312" w:hAnsi="仿宋_GB2312" w:eastAsia="仿宋_GB2312"/>
          <w:color w:val="000000"/>
          <w:kern w:val="2"/>
          <w:sz w:val="32"/>
          <w:szCs w:val="24"/>
          <w:lang w:val="zh-CN"/>
        </w:rPr>
        <w:t>242.03万元，主要包括：</w:t>
      </w:r>
      <w:r>
        <w:rPr>
          <w:rFonts w:hint="eastAsia" w:ascii="仿宋" w:hAnsi="仿宋" w:eastAsia="仿宋"/>
          <w:color w:val="auto"/>
          <w:kern w:val="2"/>
          <w:sz w:val="32"/>
          <w:szCs w:val="24"/>
          <w:lang w:val="en-US"/>
        </w:rPr>
        <w:t>基本工资、津贴补贴、伙食补助费、绩效工资、机关事业单位基本养老保险缴费、职业年金缴费、其他社会保障缴费、其他工资福利支出、生活补助、医疗费补助、住房公积金、其他对个人和家庭的补助支出等</w:t>
      </w:r>
      <w:r>
        <w:rPr>
          <w:rFonts w:hint="eastAsia" w:ascii="仿宋_GB2312" w:hAnsi="仿宋_GB2312" w:eastAsia="仿宋_GB2312"/>
          <w:color w:val="000000"/>
          <w:kern w:val="2"/>
          <w:sz w:val="32"/>
          <w:szCs w:val="24"/>
          <w:lang w:val="zh-CN"/>
        </w:rPr>
        <w:t>。</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公用经费</w:t>
      </w:r>
      <w:r>
        <w:rPr>
          <w:rFonts w:hint="eastAsia" w:ascii="仿宋_GB2312" w:hAnsi="仿宋_GB2312" w:eastAsia="仿宋_GB2312"/>
          <w:color w:val="000000"/>
          <w:kern w:val="2"/>
          <w:sz w:val="32"/>
          <w:szCs w:val="24"/>
          <w:lang w:val="zh-CN"/>
        </w:rPr>
        <w:t>7.57万元，主要包括：</w:t>
      </w:r>
      <w:r>
        <w:rPr>
          <w:rFonts w:hint="eastAsia" w:ascii="仿宋" w:hAnsi="仿宋" w:eastAsia="仿宋"/>
          <w:color w:val="auto"/>
          <w:kern w:val="2"/>
          <w:sz w:val="32"/>
          <w:szCs w:val="24"/>
          <w:lang w:val="en-US"/>
        </w:rPr>
        <w:t>办公费、差旅费、维修（护）费、培训费、工会经费、福利费、</w:t>
      </w:r>
      <w:r>
        <w:rPr>
          <w:rFonts w:hint="eastAsia" w:ascii="仿宋" w:hAnsi="仿宋" w:eastAsia="仿宋"/>
          <w:color w:val="auto"/>
          <w:kern w:val="2"/>
          <w:sz w:val="32"/>
          <w:szCs w:val="24"/>
          <w:lang w:val="en-US" w:eastAsia="zh-CN"/>
        </w:rPr>
        <w:t>其他交通费用、</w:t>
      </w:r>
      <w:r>
        <w:rPr>
          <w:rFonts w:hint="eastAsia" w:ascii="仿宋" w:hAnsi="仿宋" w:eastAsia="仿宋"/>
          <w:color w:val="auto"/>
          <w:kern w:val="2"/>
          <w:sz w:val="32"/>
          <w:szCs w:val="24"/>
          <w:lang w:val="en-US"/>
        </w:rPr>
        <w:t>其他商品和服务支出</w:t>
      </w:r>
      <w:r>
        <w:rPr>
          <w:rFonts w:hint="eastAsia" w:ascii="仿宋_GB2312" w:hAnsi="仿宋_GB2312" w:eastAsia="仿宋_GB2312"/>
          <w:color w:val="000000"/>
          <w:kern w:val="2"/>
          <w:sz w:val="32"/>
          <w:szCs w:val="24"/>
          <w:lang w:val="zh-CN"/>
        </w:rPr>
        <w:t>。</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七、</w:t>
      </w:r>
      <w:r>
        <w:rPr>
          <w:rFonts w:hint="default" w:ascii="黑体" w:hAnsi="黑体" w:eastAsia="黑体"/>
          <w:b/>
          <w:color w:val="auto"/>
          <w:kern w:val="2"/>
          <w:sz w:val="32"/>
          <w:szCs w:val="24"/>
          <w:lang w:val="zh-CN"/>
        </w:rPr>
        <w:t>“</w:t>
      </w:r>
      <w:r>
        <w:rPr>
          <w:rFonts w:hint="eastAsia" w:ascii="黑体" w:hAnsi="黑体" w:eastAsia="黑体"/>
          <w:color w:val="auto"/>
          <w:kern w:val="2"/>
          <w:sz w:val="32"/>
          <w:szCs w:val="24"/>
          <w:lang w:val="zh-CN"/>
        </w:rPr>
        <w:t>三公</w:t>
      </w:r>
      <w:r>
        <w:rPr>
          <w:rFonts w:hint="default" w:ascii="黑体" w:hAnsi="黑体" w:eastAsia="黑体"/>
          <w:color w:val="auto"/>
          <w:kern w:val="2"/>
          <w:sz w:val="32"/>
          <w:szCs w:val="24"/>
          <w:lang w:val="zh-CN"/>
        </w:rPr>
        <w:t>”</w:t>
      </w:r>
      <w:r>
        <w:rPr>
          <w:rFonts w:hint="eastAsia" w:ascii="黑体" w:hAnsi="黑体" w:eastAsia="黑体"/>
          <w:color w:val="auto"/>
          <w:kern w:val="2"/>
          <w:sz w:val="32"/>
          <w:szCs w:val="24"/>
          <w:lang w:val="zh-CN"/>
        </w:rPr>
        <w:t>经费财政拨款支出决算情况说明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（一）</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三公</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经费财政拨款支出决算总体情况说明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default" w:ascii="仿宋_GB2312" w:hAnsi="仿宋_GB2312" w:eastAsia="仿宋_GB2312"/>
          <w:color w:val="000000"/>
          <w:kern w:val="2"/>
          <w:sz w:val="32"/>
          <w:szCs w:val="24"/>
          <w:lang w:val="en-US" w:eastAsia="zh-CN"/>
        </w:rPr>
      </w:pPr>
      <w:r>
        <w:rPr>
          <w:rFonts w:hint="eastAsia" w:ascii="仿宋_GB2312" w:hAnsi="仿宋_GB2312" w:eastAsia="仿宋_GB2312"/>
          <w:color w:val="000000"/>
          <w:kern w:val="2"/>
          <w:sz w:val="32"/>
          <w:szCs w:val="24"/>
          <w:lang w:val="zh-CN"/>
        </w:rPr>
        <w:t>2022年</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三公</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经费财政拨款支出决算为0万元，完成预算0%；</w:t>
      </w:r>
      <w:r>
        <w:rPr>
          <w:rFonts w:hint="eastAsia" w:ascii="仿宋_GB2312" w:hAnsi="仿宋_GB2312" w:eastAsia="仿宋_GB2312"/>
          <w:color w:val="000000"/>
          <w:kern w:val="2"/>
          <w:sz w:val="32"/>
          <w:szCs w:val="24"/>
          <w:lang w:val="en-US" w:eastAsia="zh-CN"/>
        </w:rPr>
        <w:t>与上年持平。</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三公</w:t>
      </w:r>
      <w:r>
        <w:rPr>
          <w:rFonts w:hint="default" w:ascii="仿宋_GB2312" w:hAnsi="仿宋_GB2312" w:eastAsia="仿宋_GB2312"/>
          <w:b/>
          <w:color w:val="000000"/>
          <w:kern w:val="2"/>
          <w:sz w:val="32"/>
          <w:szCs w:val="24"/>
          <w:lang w:val="zh-CN"/>
        </w:rPr>
        <w:t>”</w:t>
      </w:r>
      <w:r>
        <w:rPr>
          <w:rFonts w:hint="eastAsia" w:ascii="仿宋_GB2312" w:hAnsi="仿宋_GB2312" w:eastAsia="仿宋_GB2312"/>
          <w:b/>
          <w:color w:val="000000"/>
          <w:kern w:val="2"/>
          <w:sz w:val="32"/>
          <w:szCs w:val="24"/>
          <w:lang w:val="zh-CN"/>
        </w:rPr>
        <w:t>经费财政拨款支出决算具体情况说明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三公</w:t>
      </w:r>
      <w:r>
        <w:rPr>
          <w:rFonts w:hint="default" w:ascii="仿宋_GB2312" w:hAnsi="仿宋_GB2312" w:eastAsia="仿宋_GB2312"/>
          <w:color w:val="000000"/>
          <w:kern w:val="2"/>
          <w:sz w:val="32"/>
          <w:szCs w:val="24"/>
          <w:lang w:val="zh-CN"/>
        </w:rPr>
        <w:t>”</w:t>
      </w:r>
      <w:r>
        <w:rPr>
          <w:rFonts w:hint="eastAsia" w:ascii="仿宋_GB2312" w:hAnsi="仿宋_GB2312" w:eastAsia="仿宋_GB2312"/>
          <w:color w:val="000000"/>
          <w:kern w:val="2"/>
          <w:sz w:val="32"/>
          <w:szCs w:val="24"/>
          <w:lang w:val="zh-CN"/>
        </w:rPr>
        <w:t>经费财政拨款支出决算中，因公出国（境）费支出决算0万元，占0%；公务用车购置及运行维护费支出决算0万元，占0%；公务接待费支出决算0万元，占0%。具体情况如下：</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both"/>
        <w:textAlignment w:val="auto"/>
        <w:rPr>
          <w:rFonts w:hint="eastAsia" w:ascii="仿宋_GB2312" w:hAnsi="仿宋_GB2312" w:eastAsia="仿宋_GB2312"/>
          <w:color w:val="000000"/>
          <w:kern w:val="2"/>
          <w:sz w:val="32"/>
          <w:szCs w:val="24"/>
          <w:lang w:val="en-US" w:eastAsia="zh-CN"/>
        </w:rPr>
      </w:pPr>
      <w:r>
        <w:rPr>
          <w:rFonts w:hint="eastAsia" w:ascii="仿宋_GB2312" w:hAnsi="仿宋_GB2312" w:eastAsia="仿宋_GB2312"/>
          <w:b/>
          <w:color w:val="000000"/>
          <w:kern w:val="2"/>
          <w:sz w:val="32"/>
          <w:szCs w:val="24"/>
          <w:lang w:val="zh-CN"/>
        </w:rPr>
        <w:t>1.因公出国（境）经费</w:t>
      </w:r>
      <w:r>
        <w:rPr>
          <w:rFonts w:hint="eastAsia" w:ascii="仿宋_GB2312" w:hAnsi="仿宋_GB2312" w:eastAsia="仿宋_GB2312"/>
          <w:color w:val="000000"/>
          <w:kern w:val="2"/>
          <w:sz w:val="32"/>
          <w:szCs w:val="24"/>
          <w:lang w:val="zh-CN"/>
        </w:rPr>
        <w:t>支出0万元，完成预算0%。全年安排因公出国（境）团组0个，出国（境）0人。因公出国（境）支出决算</w:t>
      </w:r>
      <w:r>
        <w:rPr>
          <w:rFonts w:hint="eastAsia" w:ascii="仿宋_GB2312" w:hAnsi="仿宋_GB2312" w:eastAsia="仿宋_GB2312"/>
          <w:color w:val="000000"/>
          <w:kern w:val="2"/>
          <w:sz w:val="32"/>
          <w:szCs w:val="24"/>
          <w:lang w:val="en-US" w:eastAsia="zh-CN"/>
        </w:rPr>
        <w:t>与</w:t>
      </w:r>
      <w:r>
        <w:rPr>
          <w:rFonts w:hint="eastAsia" w:ascii="仿宋_GB2312" w:hAnsi="仿宋_GB2312" w:eastAsia="仿宋_GB2312"/>
          <w:color w:val="000000"/>
          <w:kern w:val="2"/>
          <w:sz w:val="32"/>
          <w:szCs w:val="24"/>
          <w:lang w:val="zh-CN"/>
        </w:rPr>
        <w:t>2021年</w:t>
      </w:r>
      <w:r>
        <w:rPr>
          <w:rFonts w:hint="eastAsia" w:ascii="仿宋_GB2312" w:hAnsi="仿宋_GB2312" w:eastAsia="仿宋_GB2312"/>
          <w:color w:val="000000"/>
          <w:kern w:val="2"/>
          <w:sz w:val="32"/>
          <w:szCs w:val="24"/>
          <w:lang w:val="en-US" w:eastAsia="zh-CN"/>
        </w:rPr>
        <w:t>持平</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000000"/>
          <w:kern w:val="2"/>
          <w:sz w:val="32"/>
          <w:szCs w:val="24"/>
          <w:lang w:val="en-US" w:eastAsia="zh-CN"/>
        </w:rPr>
      </w:pPr>
      <w:r>
        <w:rPr>
          <w:rFonts w:hint="eastAsia" w:ascii="仿宋_GB2312" w:hAnsi="仿宋_GB2312" w:eastAsia="仿宋_GB2312"/>
          <w:b/>
          <w:color w:val="000000"/>
          <w:kern w:val="2"/>
          <w:sz w:val="32"/>
          <w:szCs w:val="24"/>
          <w:lang w:val="zh-CN"/>
        </w:rPr>
        <w:t>2.公务用车购置及运行维护费</w:t>
      </w:r>
      <w:r>
        <w:rPr>
          <w:rFonts w:hint="eastAsia" w:ascii="仿宋_GB2312" w:hAnsi="仿宋_GB2312" w:eastAsia="仿宋_GB2312"/>
          <w:color w:val="000000"/>
          <w:kern w:val="2"/>
          <w:sz w:val="32"/>
          <w:szCs w:val="24"/>
          <w:lang w:val="zh-CN"/>
        </w:rPr>
        <w:t>支出0万元，完成预算0%。公务用车购置及运行维护费支出决算</w:t>
      </w:r>
      <w:r>
        <w:rPr>
          <w:rFonts w:hint="eastAsia" w:ascii="仿宋_GB2312" w:hAnsi="仿宋_GB2312" w:eastAsia="仿宋_GB2312"/>
          <w:color w:val="000000"/>
          <w:kern w:val="2"/>
          <w:sz w:val="32"/>
          <w:szCs w:val="24"/>
          <w:lang w:val="en-US" w:eastAsia="zh-CN"/>
        </w:rPr>
        <w:t>与</w:t>
      </w:r>
      <w:r>
        <w:rPr>
          <w:rFonts w:hint="eastAsia" w:ascii="仿宋_GB2312" w:hAnsi="仿宋_GB2312" w:eastAsia="仿宋_GB2312"/>
          <w:color w:val="000000"/>
          <w:kern w:val="2"/>
          <w:sz w:val="32"/>
          <w:szCs w:val="24"/>
          <w:lang w:val="zh-CN"/>
        </w:rPr>
        <w:t>2021年</w:t>
      </w:r>
      <w:r>
        <w:rPr>
          <w:rFonts w:hint="eastAsia" w:ascii="仿宋_GB2312" w:hAnsi="仿宋_GB2312" w:eastAsia="仿宋_GB2312"/>
          <w:color w:val="000000"/>
          <w:kern w:val="2"/>
          <w:sz w:val="32"/>
          <w:szCs w:val="24"/>
          <w:lang w:val="en-US" w:eastAsia="zh-CN"/>
        </w:rPr>
        <w:t>持平</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其中：</w:t>
      </w:r>
      <w:r>
        <w:rPr>
          <w:rFonts w:hint="eastAsia" w:ascii="仿宋_GB2312" w:hAnsi="仿宋_GB2312" w:eastAsia="仿宋_GB2312"/>
          <w:b/>
          <w:color w:val="000000"/>
          <w:kern w:val="2"/>
          <w:sz w:val="32"/>
          <w:szCs w:val="24"/>
          <w:lang w:val="zh-CN"/>
        </w:rPr>
        <w:t>公务用车购置费</w:t>
      </w:r>
      <w:r>
        <w:rPr>
          <w:rFonts w:hint="eastAsia" w:ascii="仿宋_GB2312" w:hAnsi="仿宋_GB2312" w:eastAsia="仿宋_GB2312"/>
          <w:color w:val="000000"/>
          <w:kern w:val="2"/>
          <w:sz w:val="32"/>
          <w:szCs w:val="24"/>
          <w:lang w:val="zh-CN"/>
        </w:rPr>
        <w:t>支出0万元。全年按规定更新购置公务用车0辆，其中：轿车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辆、金额</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万元，越野车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辆、金额</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万元，小型载客汽车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辆、金额</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万元，大中型载客汽车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辆、金额</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万元，其他车型</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辆、金额</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万元。截至2022年12月底，本部门共有公务用车0辆，其中：轿车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辆、越野车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辆、小型载客汽车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辆、大中型载客汽车</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辆、其他车型</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lang w:val="zh-CN"/>
        </w:rPr>
        <w:t>辆。</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公务用车运行维护费</w:t>
      </w:r>
      <w:r>
        <w:rPr>
          <w:rFonts w:hint="eastAsia" w:ascii="仿宋_GB2312" w:hAnsi="仿宋_GB2312" w:eastAsia="仿宋_GB2312"/>
          <w:color w:val="000000"/>
          <w:kern w:val="2"/>
          <w:sz w:val="32"/>
          <w:szCs w:val="24"/>
          <w:lang w:val="zh-CN"/>
        </w:rPr>
        <w:t>支出0万元</w:t>
      </w:r>
    </w:p>
    <w:p>
      <w:pPr>
        <w:keepNext/>
        <w:keepLines/>
        <w:pageBreakBefore w:val="0"/>
        <w:widowControl w:val="0"/>
        <w:numPr>
          <w:ilvl w:val="0"/>
          <w:numId w:val="2"/>
        </w:numPr>
        <w:kinsoku/>
        <w:wordWrap/>
        <w:overflowPunct/>
        <w:topLinePunct w:val="0"/>
        <w:autoSpaceDE w:val="0"/>
        <w:autoSpaceDN w:val="0"/>
        <w:bidi w:val="0"/>
        <w:adjustRightInd w:val="0"/>
        <w:snapToGrid/>
        <w:spacing w:beforeLines="0" w:afterLines="0" w:line="576" w:lineRule="exact"/>
        <w:ind w:left="0" w:leftChars="0" w:firstLine="0" w:firstLineChars="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公务接待费</w:t>
      </w:r>
      <w:r>
        <w:rPr>
          <w:rFonts w:hint="eastAsia" w:ascii="仿宋_GB2312" w:hAnsi="仿宋_GB2312" w:eastAsia="仿宋_GB2312"/>
          <w:color w:val="000000"/>
          <w:kern w:val="2"/>
          <w:sz w:val="32"/>
          <w:szCs w:val="24"/>
          <w:lang w:val="zh-CN"/>
        </w:rPr>
        <w:t>支出0万元，完成预算0%。公务接待费支出决算与2021年</w:t>
      </w:r>
    </w:p>
    <w:p>
      <w:pPr>
        <w:keepNext/>
        <w:keepLines/>
        <w:pageBreakBefore w:val="0"/>
        <w:widowControl w:val="0"/>
        <w:numPr>
          <w:ilvl w:val="0"/>
          <w:numId w:val="0"/>
        </w:numPr>
        <w:kinsoku/>
        <w:wordWrap/>
        <w:overflowPunct/>
        <w:topLinePunct w:val="0"/>
        <w:autoSpaceDE w:val="0"/>
        <w:autoSpaceDN w:val="0"/>
        <w:bidi w:val="0"/>
        <w:adjustRightInd w:val="0"/>
        <w:snapToGrid/>
        <w:spacing w:beforeLines="0" w:afterLines="0" w:line="576" w:lineRule="exact"/>
        <w:ind w:leftChars="0" w:firstLine="643" w:firstLineChars="200"/>
        <w:jc w:val="both"/>
        <w:textAlignment w:val="auto"/>
        <w:rPr>
          <w:rFonts w:hint="eastAsia" w:ascii="仿宋_GB2312" w:hAnsi="仿宋_GB2312" w:eastAsia="仿宋_GB2312"/>
          <w:color w:val="000000"/>
          <w:kern w:val="2"/>
          <w:sz w:val="32"/>
          <w:szCs w:val="24"/>
          <w:lang w:val="en-US"/>
        </w:rPr>
      </w:pPr>
      <w:r>
        <w:rPr>
          <w:rFonts w:hint="eastAsia" w:ascii="仿宋_GB2312" w:hAnsi="仿宋_GB2312" w:eastAsia="仿宋_GB2312"/>
          <w:b/>
          <w:color w:val="000000"/>
          <w:kern w:val="2"/>
          <w:sz w:val="32"/>
          <w:szCs w:val="24"/>
          <w:lang w:val="zh-CN"/>
        </w:rPr>
        <w:t>国内公务接待</w:t>
      </w:r>
      <w:r>
        <w:rPr>
          <w:rFonts w:hint="eastAsia" w:ascii="仿宋_GB2312" w:hAnsi="仿宋_GB2312" w:eastAsia="仿宋_GB2312"/>
          <w:color w:val="000000"/>
          <w:kern w:val="2"/>
          <w:sz w:val="32"/>
          <w:szCs w:val="24"/>
          <w:lang w:val="zh-CN"/>
        </w:rPr>
        <w:t>支出0万元。国内公务接待0批次，0人次，共计支出0万元</w:t>
      </w:r>
      <w:r>
        <w:rPr>
          <w:rFonts w:hint="eastAsia" w:ascii="仿宋_GB2312" w:hAnsi="仿宋_GB2312" w:eastAsia="仿宋_GB2312"/>
          <w:color w:val="000000"/>
          <w:kern w:val="2"/>
          <w:sz w:val="32"/>
          <w:szCs w:val="24"/>
          <w:highlight w:val="white"/>
          <w:lang w:val="en-US"/>
        </w:rPr>
        <w:t>。</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000000"/>
          <w:kern w:val="2"/>
          <w:sz w:val="32"/>
          <w:szCs w:val="24"/>
          <w:lang w:val="en-US"/>
        </w:rPr>
      </w:pPr>
      <w:r>
        <w:rPr>
          <w:rFonts w:hint="eastAsia" w:ascii="仿宋_GB2312" w:hAnsi="仿宋_GB2312" w:eastAsia="仿宋_GB2312"/>
          <w:b/>
          <w:color w:val="000000"/>
          <w:kern w:val="2"/>
          <w:sz w:val="32"/>
          <w:szCs w:val="24"/>
          <w:lang w:val="zh-CN"/>
        </w:rPr>
        <w:t>外事接待</w:t>
      </w:r>
      <w:r>
        <w:rPr>
          <w:rFonts w:hint="eastAsia" w:ascii="仿宋_GB2312" w:hAnsi="仿宋_GB2312" w:eastAsia="仿宋_GB2312"/>
          <w:color w:val="000000"/>
          <w:kern w:val="2"/>
          <w:sz w:val="32"/>
          <w:szCs w:val="24"/>
          <w:lang w:val="zh-CN"/>
        </w:rPr>
        <w:t>支出0万元。外事接待0批次，0人，共计支出0万元。</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黑体" w:hAnsi="黑体" w:eastAsia="黑体"/>
          <w:b/>
          <w:color w:val="auto"/>
          <w:kern w:val="2"/>
          <w:sz w:val="32"/>
          <w:szCs w:val="24"/>
          <w:lang w:val="zh-CN"/>
        </w:rPr>
      </w:pPr>
      <w:r>
        <w:rPr>
          <w:rFonts w:hint="eastAsia" w:ascii="黑体" w:hAnsi="黑体" w:eastAsia="黑体"/>
          <w:color w:val="000000"/>
          <w:kern w:val="2"/>
          <w:sz w:val="32"/>
          <w:szCs w:val="24"/>
          <w:lang w:val="zh-CN"/>
        </w:rPr>
        <w:t>八、</w:t>
      </w:r>
      <w:r>
        <w:rPr>
          <w:rFonts w:hint="eastAsia" w:ascii="黑体" w:hAnsi="黑体" w:eastAsia="黑体"/>
          <w:color w:val="auto"/>
          <w:kern w:val="2"/>
          <w:sz w:val="32"/>
          <w:szCs w:val="24"/>
          <w:lang w:val="zh-CN"/>
        </w:rPr>
        <w:t>政府性基金预算支出决算情况说明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2022年政府性基金预算拨款支出0万元。</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黑体" w:hAnsi="黑体" w:eastAsia="黑体"/>
          <w:color w:val="auto"/>
          <w:kern w:val="2"/>
          <w:sz w:val="32"/>
          <w:szCs w:val="24"/>
          <w:lang w:val="zh-CN"/>
        </w:rPr>
      </w:pPr>
      <w:r>
        <w:rPr>
          <w:rFonts w:hint="eastAsia" w:ascii="黑体" w:hAnsi="黑体" w:eastAsia="黑体"/>
          <w:color w:val="auto"/>
          <w:kern w:val="2"/>
          <w:sz w:val="32"/>
          <w:szCs w:val="24"/>
          <w:lang w:val="zh-CN"/>
        </w:rPr>
        <w:t>九、国有资本经营预算支出决算情况说明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2022年国有资本经营预算拨款支出0万元。</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黑体" w:hAnsi="黑体" w:eastAsia="黑体"/>
          <w:b/>
          <w:color w:val="auto"/>
          <w:kern w:val="2"/>
          <w:sz w:val="32"/>
          <w:szCs w:val="24"/>
          <w:lang w:val="zh-CN"/>
        </w:rPr>
      </w:pPr>
      <w:r>
        <w:rPr>
          <w:rFonts w:hint="eastAsia" w:ascii="黑体" w:hAnsi="黑体" w:eastAsia="黑体"/>
          <w:color w:val="000000"/>
          <w:kern w:val="2"/>
          <w:sz w:val="32"/>
          <w:szCs w:val="24"/>
          <w:lang w:val="zh-CN"/>
        </w:rPr>
        <w:t>十</w:t>
      </w:r>
      <w:r>
        <w:rPr>
          <w:rFonts w:hint="eastAsia" w:ascii="黑体" w:hAnsi="黑体" w:eastAsia="黑体"/>
          <w:b/>
          <w:color w:val="auto"/>
          <w:kern w:val="2"/>
          <w:sz w:val="32"/>
          <w:szCs w:val="24"/>
          <w:lang w:val="zh-CN"/>
        </w:rPr>
        <w:t>、</w:t>
      </w:r>
      <w:r>
        <w:rPr>
          <w:rFonts w:hint="eastAsia" w:ascii="黑体" w:hAnsi="黑体" w:eastAsia="黑体"/>
          <w:color w:val="auto"/>
          <w:kern w:val="2"/>
          <w:sz w:val="32"/>
          <w:szCs w:val="24"/>
          <w:lang w:val="zh-CN"/>
        </w:rPr>
        <w:t>其他重要事项的情况说明</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b/>
          <w:color w:val="000000"/>
          <w:kern w:val="2"/>
          <w:sz w:val="32"/>
          <w:szCs w:val="24"/>
          <w:lang w:val="zh-CN"/>
        </w:rPr>
        <w:t>（一）机关运行经费支出情况</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en-US" w:eastAsia="zh-CN"/>
        </w:rPr>
      </w:pPr>
      <w:r>
        <w:rPr>
          <w:rFonts w:hint="eastAsia" w:ascii="仿宋_GB2312" w:hAnsi="仿宋_GB2312" w:eastAsia="仿宋_GB2312"/>
          <w:color w:val="000000"/>
          <w:kern w:val="2"/>
          <w:sz w:val="32"/>
          <w:szCs w:val="24"/>
          <w:lang w:val="zh-CN"/>
        </w:rPr>
        <w:t>2022年，峨边彝族自治县白杨乡中心小学机关运行经费支出0万元，与2021年</w:t>
      </w:r>
      <w:r>
        <w:rPr>
          <w:rFonts w:hint="eastAsia" w:ascii="仿宋_GB2312" w:hAnsi="仿宋_GB2312" w:eastAsia="仿宋_GB2312"/>
          <w:color w:val="000000"/>
          <w:kern w:val="2"/>
          <w:sz w:val="32"/>
          <w:szCs w:val="24"/>
          <w:lang w:val="en-US" w:eastAsia="zh-CN"/>
        </w:rPr>
        <w:t>持平。</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（二）政府采购支出情况</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jc w:val="both"/>
        <w:textAlignment w:val="auto"/>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2022年，峨边彝族自治县白杨乡中心小学政府采购支出总额0万元，其中：政府采购货物支出0万元、政府采购工程支出0万元、政府采购服务支出0万元。授予中小企业合同金额0万元，占政府采购支出总额的0%，其中：授予小微企业合同金额0万元，</w:t>
      </w:r>
      <w:r>
        <w:rPr>
          <w:rFonts w:hint="eastAsia" w:ascii="仿宋_GB2312" w:hAnsi="仿宋_GB2312" w:eastAsia="仿宋_GB2312"/>
          <w:color w:val="auto"/>
          <w:kern w:val="2"/>
          <w:sz w:val="32"/>
          <w:szCs w:val="24"/>
          <w:lang w:val="en-US"/>
        </w:rPr>
        <w:t>占政府采购支出总额的</w:t>
      </w:r>
      <w:r>
        <w:rPr>
          <w:rFonts w:hint="eastAsia" w:ascii="仿宋_GB2312" w:hAnsi="仿宋_GB2312" w:eastAsia="仿宋_GB2312"/>
          <w:color w:val="000000"/>
          <w:kern w:val="2"/>
          <w:sz w:val="32"/>
          <w:szCs w:val="24"/>
          <w:lang w:val="zh-CN"/>
        </w:rPr>
        <w:t>0%。</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（三）国有资产占有使用情况</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0"/>
        <w:textAlignment w:val="auto"/>
        <w:rPr>
          <w:rFonts w:hint="eastAsia" w:ascii="仿宋" w:hAnsi="仿宋" w:eastAsia="仿宋"/>
          <w:b/>
          <w:color w:val="auto"/>
          <w:kern w:val="2"/>
          <w:sz w:val="32"/>
          <w:szCs w:val="24"/>
          <w:lang w:val="en-US"/>
        </w:rPr>
      </w:pPr>
      <w:r>
        <w:rPr>
          <w:rFonts w:hint="eastAsia" w:ascii="仿宋_GB2312" w:hAnsi="仿宋_GB2312" w:eastAsia="仿宋_GB2312"/>
          <w:color w:val="000000"/>
          <w:kern w:val="2"/>
          <w:sz w:val="32"/>
          <w:szCs w:val="24"/>
          <w:lang w:val="zh-CN"/>
        </w:rPr>
        <w:t>截至2022年12月31日，峨边彝族自治县白杨乡中心小学共有车辆0辆，其中：副部（省）级及以上领导用车0辆、主要领导干部用车0辆、机要通信用车0辆、应急保障用车0辆、执法执勤用车0辆、特种专业技术用车0辆、离退休干部用车0辆、其他用车0辆。单价100万元（含）以上设备0台（套)。</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（四）预算绩效管理情况。</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auto"/>
          <w:kern w:val="2"/>
          <w:sz w:val="32"/>
          <w:szCs w:val="24"/>
          <w:lang w:val="en-US"/>
        </w:rPr>
      </w:pPr>
      <w:r>
        <w:rPr>
          <w:rFonts w:hint="eastAsia" w:ascii="仿宋_GB2312" w:hAnsi="仿宋_GB2312" w:eastAsia="仿宋_GB2312"/>
          <w:color w:val="auto"/>
          <w:kern w:val="2"/>
          <w:sz w:val="32"/>
          <w:szCs w:val="24"/>
          <w:lang w:val="en-US"/>
        </w:rPr>
        <w:t>根据预算绩效管理要求，本单位在202</w:t>
      </w:r>
      <w:r>
        <w:rPr>
          <w:rFonts w:hint="eastAsia" w:ascii="宋体" w:hAnsi="宋体" w:eastAsia="宋体"/>
          <w:color w:val="auto"/>
          <w:kern w:val="2"/>
          <w:sz w:val="32"/>
          <w:szCs w:val="24"/>
          <w:lang w:val="en-US"/>
        </w:rPr>
        <w:t>2</w:t>
      </w:r>
      <w:r>
        <w:rPr>
          <w:rFonts w:hint="eastAsia" w:ascii="仿宋_GB2312" w:hAnsi="仿宋_GB2312" w:eastAsia="仿宋_GB2312"/>
          <w:color w:val="auto"/>
          <w:kern w:val="2"/>
          <w:sz w:val="32"/>
          <w:szCs w:val="24"/>
          <w:lang w:val="en-US"/>
        </w:rPr>
        <w:t>年度预算编制阶段，组织对</w:t>
      </w:r>
      <w:r>
        <w:rPr>
          <w:rFonts w:hint="eastAsia" w:ascii="仿宋_GB2312" w:hAnsi="仿宋_GB2312" w:eastAsia="仿宋_GB2312"/>
          <w:color w:val="auto"/>
          <w:kern w:val="2"/>
          <w:sz w:val="32"/>
          <w:szCs w:val="24"/>
          <w:lang w:val="en-US" w:eastAsia="zh-CN"/>
        </w:rPr>
        <w:t>办公费、助学金、伙食补助、村幼教师、特岗教师</w:t>
      </w:r>
      <w:r>
        <w:rPr>
          <w:rFonts w:hint="eastAsia" w:ascii="仿宋_GB2312" w:hAnsi="仿宋_GB2312" w:eastAsia="仿宋_GB2312"/>
          <w:color w:val="auto"/>
          <w:kern w:val="2"/>
          <w:sz w:val="32"/>
          <w:szCs w:val="24"/>
          <w:lang w:val="en-US"/>
        </w:rPr>
        <w:t>等</w:t>
      </w:r>
      <w:r>
        <w:rPr>
          <w:rFonts w:hint="eastAsia" w:ascii="仿宋_GB2312" w:hAnsi="仿宋_GB2312" w:eastAsia="仿宋_GB2312"/>
          <w:color w:val="auto"/>
          <w:kern w:val="2"/>
          <w:sz w:val="32"/>
          <w:szCs w:val="24"/>
          <w:lang w:val="en-US" w:eastAsia="zh-CN"/>
        </w:rPr>
        <w:t>9</w:t>
      </w:r>
      <w:r>
        <w:rPr>
          <w:rFonts w:hint="eastAsia" w:ascii="仿宋_GB2312" w:hAnsi="仿宋_GB2312" w:eastAsia="仿宋_GB2312"/>
          <w:color w:val="auto"/>
          <w:kern w:val="2"/>
          <w:sz w:val="32"/>
          <w:szCs w:val="24"/>
          <w:lang w:val="en-US"/>
        </w:rPr>
        <w:t>个项目开展了预算事前绩效评估，对</w:t>
      </w:r>
      <w:r>
        <w:rPr>
          <w:rFonts w:hint="eastAsia" w:ascii="仿宋_GB2312" w:hAnsi="仿宋_GB2312" w:eastAsia="仿宋_GB2312"/>
          <w:color w:val="auto"/>
          <w:kern w:val="2"/>
          <w:sz w:val="32"/>
          <w:szCs w:val="24"/>
          <w:lang w:val="en-US" w:eastAsia="zh-CN"/>
        </w:rPr>
        <w:t>23</w:t>
      </w:r>
      <w:r>
        <w:rPr>
          <w:rFonts w:hint="eastAsia" w:ascii="仿宋_GB2312" w:hAnsi="仿宋_GB2312" w:eastAsia="仿宋_GB2312"/>
          <w:color w:val="auto"/>
          <w:kern w:val="2"/>
          <w:sz w:val="32"/>
          <w:szCs w:val="24"/>
          <w:lang w:val="en-US"/>
        </w:rPr>
        <w:t>个项目编制了绩效目标，预算执行过程中，选取</w:t>
      </w:r>
      <w:r>
        <w:rPr>
          <w:rFonts w:hint="eastAsia" w:ascii="仿宋_GB2312" w:hAnsi="仿宋_GB2312" w:eastAsia="仿宋_GB2312"/>
          <w:color w:val="auto"/>
          <w:kern w:val="2"/>
          <w:sz w:val="32"/>
          <w:szCs w:val="24"/>
          <w:lang w:val="en-US" w:eastAsia="zh-CN"/>
        </w:rPr>
        <w:t>23</w:t>
      </w:r>
      <w:r>
        <w:rPr>
          <w:rFonts w:hint="eastAsia" w:ascii="仿宋_GB2312" w:hAnsi="仿宋_GB2312" w:eastAsia="仿宋_GB2312"/>
          <w:color w:val="auto"/>
          <w:kern w:val="2"/>
          <w:sz w:val="32"/>
          <w:szCs w:val="24"/>
          <w:lang w:val="en-US"/>
        </w:rPr>
        <w:t>个项目开展绩效监控，组织对</w:t>
      </w:r>
      <w:r>
        <w:rPr>
          <w:rFonts w:hint="eastAsia" w:ascii="仿宋_GB2312" w:hAnsi="仿宋_GB2312" w:eastAsia="仿宋_GB2312"/>
          <w:color w:val="auto"/>
          <w:kern w:val="2"/>
          <w:sz w:val="32"/>
          <w:szCs w:val="24"/>
          <w:lang w:val="en-US" w:eastAsia="zh-CN"/>
        </w:rPr>
        <w:t>23</w:t>
      </w:r>
      <w:r>
        <w:rPr>
          <w:rFonts w:hint="eastAsia" w:ascii="仿宋_GB2312" w:hAnsi="仿宋_GB2312" w:eastAsia="仿宋_GB2312"/>
          <w:color w:val="auto"/>
          <w:kern w:val="2"/>
          <w:sz w:val="32"/>
          <w:szCs w:val="24"/>
          <w:lang w:val="en-US"/>
        </w:rPr>
        <w:t>个项目开展绩效自评，绩效自评表详见第四部分附件。</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643"/>
        <w:jc w:val="both"/>
        <w:textAlignment w:val="auto"/>
        <w:rPr>
          <w:rFonts w:hint="eastAsia" w:ascii="仿宋_GB2312" w:hAnsi="仿宋_GB2312" w:eastAsia="仿宋_GB2312"/>
          <w:color w:val="auto"/>
          <w:kern w:val="2"/>
          <w:sz w:val="32"/>
          <w:szCs w:val="24"/>
          <w:lang w:val="zh-CN"/>
        </w:rPr>
      </w:pP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黑体" w:hAnsi="黑体" w:eastAsia="黑体"/>
          <w:color w:val="000000"/>
          <w:kern w:val="2"/>
          <w:sz w:val="44"/>
          <w:szCs w:val="24"/>
          <w:lang w:val="zh-CN"/>
        </w:rPr>
      </w:pP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黑体" w:hAnsi="黑体" w:eastAsia="黑体"/>
          <w:color w:val="auto"/>
          <w:kern w:val="44"/>
          <w:sz w:val="44"/>
          <w:szCs w:val="24"/>
          <w:lang w:val="zh-CN"/>
        </w:rPr>
      </w:pPr>
      <w:r>
        <w:rPr>
          <w:rFonts w:hint="eastAsia" w:ascii="黑体" w:hAnsi="黑体" w:eastAsia="黑体"/>
          <w:color w:val="000000"/>
          <w:kern w:val="2"/>
          <w:sz w:val="44"/>
          <w:szCs w:val="24"/>
          <w:lang w:val="zh-CN"/>
        </w:rPr>
        <w:t>第三部分 名</w:t>
      </w:r>
      <w:r>
        <w:rPr>
          <w:rFonts w:hint="eastAsia" w:ascii="黑体" w:hAnsi="黑体" w:eastAsia="黑体"/>
          <w:color w:val="auto"/>
          <w:kern w:val="44"/>
          <w:sz w:val="44"/>
          <w:szCs w:val="24"/>
          <w:lang w:val="zh-CN"/>
        </w:rPr>
        <w:t>词解释</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1.财政拨款收入：指单位从同级财政部门取得的财政预算资金。</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2.事业收入：指事业单位开展专业业务活动及辅助活动取得的收入。</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3.经营收入：指事业单位在专业业务活动及其辅助活动之外开展非独立核算经营活动取得的收入。</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 xml:space="preserve">4.其他收入：指单位取得的除上述收入以外的各项收入。 </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 xml:space="preserve">6.年初结转和结余：指以前年度尚未完成、结转到本年按有关规定继续使用的资金。 </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7.结余分配：指事业单位按照事业单位会计制度的规定从非财政补助结余中分配的事业基金和职工福利基金等。</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8、年末结转和结余：指单位按有关规定结转到下年或以后年度继续使用的资金。</w:t>
      </w:r>
    </w:p>
    <w:p>
      <w:pPr>
        <w:keepNext/>
        <w:keepLines/>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教育支出（类）</w:t>
      </w:r>
      <w:r>
        <w:rPr>
          <w:rFonts w:hint="eastAsia" w:ascii="仿宋" w:hAnsi="仿宋" w:eastAsia="仿宋"/>
          <w:sz w:val="32"/>
          <w:szCs w:val="32"/>
        </w:rPr>
        <w:t>普通教育（款）学前教育（项）：指反映各部门举办的学前教育支出。</w:t>
      </w:r>
    </w:p>
    <w:p>
      <w:pPr>
        <w:keepNext/>
        <w:keepLines/>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0</w:t>
      </w:r>
      <w:r>
        <w:rPr>
          <w:rFonts w:ascii="仿宋" w:hAnsi="仿宋" w:eastAsia="仿宋"/>
          <w:sz w:val="32"/>
          <w:szCs w:val="32"/>
        </w:rPr>
        <w:t>.教育支出（类）</w:t>
      </w:r>
      <w:r>
        <w:rPr>
          <w:rFonts w:hint="eastAsia" w:ascii="仿宋" w:hAnsi="仿宋" w:eastAsia="仿宋"/>
          <w:sz w:val="32"/>
          <w:szCs w:val="32"/>
        </w:rPr>
        <w:t>普通教育（款）小学教育（项）：指反映各部门举办的小学教育支出。</w:t>
      </w:r>
    </w:p>
    <w:p>
      <w:pPr>
        <w:keepNext/>
        <w:keepLines/>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.教育支出（类）</w:t>
      </w:r>
      <w:r>
        <w:rPr>
          <w:rFonts w:hint="eastAsia" w:ascii="仿宋" w:hAnsi="仿宋" w:eastAsia="仿宋"/>
          <w:sz w:val="32"/>
          <w:szCs w:val="32"/>
        </w:rPr>
        <w:t>普通教育（款）初中教育（项）：指反映各部门举办的初中教育支出。</w:t>
      </w:r>
    </w:p>
    <w:p>
      <w:pPr>
        <w:keepNext/>
        <w:keepLines/>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.教育支出（类）</w:t>
      </w:r>
      <w:r>
        <w:rPr>
          <w:rFonts w:hint="eastAsia" w:ascii="仿宋" w:hAnsi="仿宋" w:eastAsia="仿宋"/>
          <w:sz w:val="32"/>
          <w:szCs w:val="32"/>
        </w:rPr>
        <w:t>普通教育（款）其他普通教育支出（项）：指反映除上述项目以外其他用于普通教育方面的支出。</w:t>
      </w:r>
    </w:p>
    <w:p>
      <w:pPr>
        <w:keepNext/>
        <w:keepLines/>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13.</w:t>
      </w:r>
      <w:r>
        <w:rPr>
          <w:rFonts w:ascii="仿宋" w:hAnsi="仿宋" w:eastAsia="仿宋"/>
          <w:sz w:val="32"/>
          <w:szCs w:val="32"/>
        </w:rPr>
        <w:t>教育支出（类）</w:t>
      </w:r>
      <w:r>
        <w:rPr>
          <w:rFonts w:hint="eastAsia" w:ascii="仿宋" w:hAnsi="仿宋" w:eastAsia="仿宋"/>
          <w:sz w:val="32"/>
          <w:szCs w:val="32"/>
        </w:rPr>
        <w:t>教育费附加安排的支出（款）其他教育费附加安排的支出（项）：指反映除上述项目以外教育附加支出。</w:t>
      </w:r>
    </w:p>
    <w:p>
      <w:pPr>
        <w:keepNext/>
        <w:keepLines/>
        <w:pageBreakBefore w:val="0"/>
        <w:widowControl w:val="0"/>
        <w:kinsoku/>
        <w:wordWrap/>
        <w:overflowPunct/>
        <w:topLinePunct w:val="0"/>
        <w:autoSpaceDE w:val="0"/>
        <w:autoSpaceDN w:val="0"/>
        <w:bidi w:val="0"/>
        <w:adjustRightInd w:val="0"/>
        <w:snapToGrid/>
        <w:spacing w:line="60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kern w:val="0"/>
          <w:sz w:val="32"/>
          <w:szCs w:val="32"/>
        </w:rPr>
        <w:t>14.社会保障和就业（类）行政事业单位离退休</w:t>
      </w:r>
      <w:r>
        <w:rPr>
          <w:rFonts w:hint="eastAsia" w:ascii="仿宋" w:hAnsi="仿宋" w:eastAsia="仿宋" w:cs="宋体"/>
          <w:color w:val="000000"/>
          <w:kern w:val="0"/>
          <w:sz w:val="32"/>
          <w:szCs w:val="32"/>
        </w:rPr>
        <w:t>（款）机关事业单位基本养老保险缴费支出（项）：反映机关事业单位实施养老保险制度由单位缴纳的基本养老保险支出。</w:t>
      </w:r>
    </w:p>
    <w:p>
      <w:pPr>
        <w:keepNext/>
        <w:keepLines/>
        <w:pageBreakBefore w:val="0"/>
        <w:widowControl w:val="0"/>
        <w:kinsoku/>
        <w:wordWrap/>
        <w:overflowPunct/>
        <w:topLinePunct w:val="0"/>
        <w:autoSpaceDE w:val="0"/>
        <w:autoSpaceDN w:val="0"/>
        <w:bidi w:val="0"/>
        <w:adjustRightInd w:val="0"/>
        <w:snapToGrid/>
        <w:spacing w:line="600" w:lineRule="exact"/>
        <w:ind w:firstLine="643" w:firstLineChars="200"/>
        <w:textAlignment w:val="auto"/>
        <w:rPr>
          <w:rStyle w:val="9"/>
          <w:rFonts w:ascii="仿宋" w:hAnsi="仿宋" w:eastAsia="仿宋"/>
          <w:b w:val="0"/>
          <w:bCs/>
          <w:color w:val="000000"/>
          <w:sz w:val="32"/>
          <w:szCs w:val="32"/>
        </w:rPr>
      </w:pPr>
      <w:r>
        <w:rPr>
          <w:rStyle w:val="9"/>
          <w:rFonts w:hint="eastAsia" w:ascii="仿宋" w:hAnsi="仿宋" w:eastAsia="仿宋"/>
          <w:bCs/>
          <w:color w:val="000000"/>
          <w:sz w:val="32"/>
          <w:szCs w:val="32"/>
        </w:rPr>
        <w:t>15</w:t>
      </w:r>
      <w:r>
        <w:rPr>
          <w:rStyle w:val="9"/>
          <w:rFonts w:ascii="仿宋" w:hAnsi="仿宋" w:eastAsia="仿宋"/>
          <w:bCs/>
          <w:color w:val="000000"/>
          <w:sz w:val="32"/>
          <w:szCs w:val="32"/>
        </w:rPr>
        <w:t>.</w:t>
      </w:r>
      <w:r>
        <w:rPr>
          <w:rFonts w:hint="eastAsia" w:ascii="仿宋" w:hAnsi="仿宋" w:eastAsia="仿宋" w:cs="宋体"/>
          <w:color w:val="000000"/>
          <w:kern w:val="0"/>
          <w:sz w:val="32"/>
          <w:szCs w:val="32"/>
        </w:rPr>
        <w:t xml:space="preserve"> 社会保障和就业（类）行政事业单位离退休（款）机关事业单位职业年金缴费支出（项）：反映机关事业单位实施养老保险制度由单位缴纳的职业年金支出。</w:t>
      </w:r>
    </w:p>
    <w:p>
      <w:pPr>
        <w:keepNext/>
        <w:keepLines/>
        <w:pageBreakBefore w:val="0"/>
        <w:widowControl w:val="0"/>
        <w:kinsoku/>
        <w:wordWrap/>
        <w:overflowPunct/>
        <w:topLinePunct w:val="0"/>
        <w:autoSpaceDE w:val="0"/>
        <w:autoSpaceDN w:val="0"/>
        <w:bidi w:val="0"/>
        <w:adjustRightInd w:val="0"/>
        <w:snapToGrid/>
        <w:spacing w:line="600" w:lineRule="exact"/>
        <w:ind w:firstLine="643" w:firstLineChars="200"/>
        <w:textAlignment w:val="auto"/>
        <w:rPr>
          <w:rFonts w:ascii="仿宋" w:hAnsi="仿宋" w:eastAsia="仿宋" w:cs="宋体"/>
          <w:color w:val="000000"/>
          <w:kern w:val="0"/>
          <w:sz w:val="32"/>
          <w:szCs w:val="32"/>
        </w:rPr>
      </w:pPr>
      <w:r>
        <w:rPr>
          <w:rStyle w:val="9"/>
          <w:rFonts w:hint="eastAsia" w:ascii="仿宋" w:hAnsi="仿宋" w:eastAsia="仿宋"/>
          <w:bCs/>
          <w:color w:val="000000"/>
          <w:sz w:val="32"/>
          <w:szCs w:val="32"/>
        </w:rPr>
        <w:t>16</w:t>
      </w:r>
      <w:r>
        <w:rPr>
          <w:rStyle w:val="9"/>
          <w:rFonts w:ascii="仿宋" w:hAnsi="仿宋" w:eastAsia="仿宋"/>
          <w:bCs/>
          <w:color w:val="000000"/>
          <w:sz w:val="32"/>
          <w:szCs w:val="32"/>
        </w:rPr>
        <w:t>.</w:t>
      </w:r>
      <w:r>
        <w:rPr>
          <w:rFonts w:hint="eastAsia" w:ascii="仿宋" w:hAnsi="仿宋" w:eastAsia="仿宋" w:cs="宋体"/>
          <w:color w:val="000000"/>
          <w:kern w:val="0"/>
          <w:sz w:val="32"/>
          <w:szCs w:val="32"/>
        </w:rPr>
        <w:t xml:space="preserve"> 社会保障和就业（类）其他社会保障和就业（款）其他社会保障和就业支出（项）：反映除上述项目以外其他用于行政事业单位养老方面的支出。</w:t>
      </w:r>
    </w:p>
    <w:p>
      <w:pPr>
        <w:keepNext/>
        <w:keepLines/>
        <w:pageBreakBefore w:val="0"/>
        <w:widowControl w:val="0"/>
        <w:kinsoku/>
        <w:wordWrap/>
        <w:overflowPunct/>
        <w:topLinePunct w:val="0"/>
        <w:autoSpaceDE w:val="0"/>
        <w:autoSpaceDN w:val="0"/>
        <w:bidi w:val="0"/>
        <w:adjustRightInd w:val="0"/>
        <w:snapToGrid/>
        <w:spacing w:line="600" w:lineRule="exact"/>
        <w:ind w:firstLine="643" w:firstLineChars="200"/>
        <w:textAlignment w:val="auto"/>
        <w:rPr>
          <w:rStyle w:val="9"/>
          <w:rFonts w:ascii="仿宋" w:hAnsi="仿宋" w:eastAsia="仿宋"/>
          <w:b w:val="0"/>
          <w:bCs/>
          <w:color w:val="000000"/>
          <w:sz w:val="32"/>
          <w:szCs w:val="32"/>
        </w:rPr>
      </w:pPr>
      <w:r>
        <w:rPr>
          <w:rStyle w:val="9"/>
          <w:rFonts w:hint="eastAsia" w:ascii="仿宋" w:hAnsi="仿宋" w:eastAsia="仿宋"/>
          <w:bCs/>
          <w:color w:val="000000"/>
          <w:sz w:val="32"/>
          <w:szCs w:val="32"/>
        </w:rPr>
        <w:t>17</w:t>
      </w:r>
      <w:r>
        <w:rPr>
          <w:rStyle w:val="9"/>
          <w:rFonts w:ascii="仿宋" w:hAnsi="仿宋" w:eastAsia="仿宋"/>
          <w:bCs/>
          <w:color w:val="000000"/>
          <w:sz w:val="32"/>
          <w:szCs w:val="32"/>
        </w:rPr>
        <w:t>.</w:t>
      </w:r>
      <w:r>
        <w:rPr>
          <w:rFonts w:hint="eastAsia" w:ascii="仿宋" w:hAnsi="仿宋" w:eastAsia="仿宋" w:cs="宋体"/>
          <w:color w:val="000000"/>
          <w:kern w:val="0"/>
          <w:sz w:val="32"/>
          <w:szCs w:val="32"/>
        </w:rPr>
        <w:t xml:space="preserve"> 医疗卫生与计划生育（类）行政事业单位医疗（款）事业单位医疗（项）：反映财政部门安排的事业单位基本医疗保险缴费经费，未参加医疗保险的事业单位的公费医疗经费，按国家规定享受离休人员待遇的医疗经费。</w:t>
      </w:r>
    </w:p>
    <w:p>
      <w:pPr>
        <w:keepNext/>
        <w:keepLines/>
        <w:pageBreakBefore w:val="0"/>
        <w:widowControl w:val="0"/>
        <w:kinsoku/>
        <w:wordWrap/>
        <w:overflowPunct/>
        <w:topLinePunct w:val="0"/>
        <w:autoSpaceDE w:val="0"/>
        <w:autoSpaceDN w:val="0"/>
        <w:bidi w:val="0"/>
        <w:adjustRightInd w:val="0"/>
        <w:snapToGrid/>
        <w:spacing w:line="600" w:lineRule="exact"/>
        <w:ind w:firstLine="643" w:firstLineChars="200"/>
        <w:textAlignment w:val="auto"/>
        <w:rPr>
          <w:rStyle w:val="9"/>
          <w:rFonts w:ascii="仿宋" w:hAnsi="仿宋" w:eastAsia="仿宋"/>
          <w:b w:val="0"/>
          <w:bCs/>
          <w:color w:val="000000"/>
          <w:sz w:val="32"/>
          <w:szCs w:val="32"/>
        </w:rPr>
      </w:pPr>
      <w:r>
        <w:rPr>
          <w:rStyle w:val="9"/>
          <w:rFonts w:hint="eastAsia" w:ascii="仿宋" w:hAnsi="仿宋" w:eastAsia="仿宋"/>
          <w:bCs/>
          <w:color w:val="000000"/>
          <w:sz w:val="32"/>
          <w:szCs w:val="32"/>
        </w:rPr>
        <w:t>18</w:t>
      </w:r>
      <w:r>
        <w:rPr>
          <w:rStyle w:val="9"/>
          <w:rFonts w:ascii="仿宋" w:hAnsi="仿宋" w:eastAsia="仿宋"/>
          <w:bCs/>
          <w:color w:val="000000"/>
          <w:sz w:val="32"/>
          <w:szCs w:val="32"/>
        </w:rPr>
        <w:t>.</w:t>
      </w:r>
      <w:r>
        <w:rPr>
          <w:rFonts w:hint="eastAsia" w:ascii="仿宋" w:hAnsi="仿宋" w:eastAsia="仿宋" w:cs="宋体"/>
          <w:color w:val="000000"/>
          <w:kern w:val="0"/>
          <w:sz w:val="32"/>
          <w:szCs w:val="32"/>
        </w:rPr>
        <w:t xml:space="preserve"> 医疗卫生与计划生育（类）行政事业单位医疗（款）公务员医疗补助（项）：反映财政部门安排的公务员医疗补助经费。</w:t>
      </w:r>
    </w:p>
    <w:p>
      <w:pPr>
        <w:pStyle w:val="4"/>
        <w:keepNext/>
        <w:keepLines/>
        <w:pageBreakBefore w:val="0"/>
        <w:widowControl w:val="0"/>
        <w:kinsoku/>
        <w:wordWrap/>
        <w:overflowPunct/>
        <w:topLinePunct w:val="0"/>
        <w:autoSpaceDE w:val="0"/>
        <w:autoSpaceDN w:val="0"/>
        <w:bidi w:val="0"/>
        <w:adjustRightInd w:val="0"/>
        <w:snapToGrid/>
        <w:spacing w:before="93"/>
        <w:textAlignment w:val="auto"/>
        <w:rPr>
          <w:rFonts w:ascii="仿宋" w:hAnsi="仿宋" w:eastAsia="仿宋"/>
          <w:color w:val="333333"/>
          <w:sz w:val="32"/>
          <w:szCs w:val="32"/>
        </w:rPr>
      </w:pPr>
      <w:r>
        <w:rPr>
          <w:rStyle w:val="9"/>
          <w:rFonts w:hint="eastAsia" w:ascii="仿宋" w:hAnsi="仿宋" w:eastAsia="仿宋"/>
          <w:b w:val="0"/>
          <w:bCs/>
          <w:color w:val="000000"/>
          <w:sz w:val="32"/>
          <w:szCs w:val="32"/>
        </w:rPr>
        <w:t xml:space="preserve">    19</w:t>
      </w:r>
      <w:r>
        <w:rPr>
          <w:rStyle w:val="9"/>
          <w:rFonts w:ascii="仿宋" w:hAnsi="仿宋" w:eastAsia="仿宋"/>
          <w:b w:val="0"/>
          <w:bCs/>
          <w:color w:val="000000"/>
          <w:sz w:val="32"/>
          <w:szCs w:val="32"/>
        </w:rPr>
        <w:t>.</w:t>
      </w:r>
      <w:r>
        <w:rPr>
          <w:rStyle w:val="9"/>
          <w:rFonts w:hint="eastAsia" w:ascii="仿宋" w:hAnsi="仿宋" w:eastAsia="仿宋"/>
          <w:b w:val="0"/>
          <w:bCs/>
          <w:color w:val="000000"/>
          <w:sz w:val="32"/>
          <w:szCs w:val="32"/>
        </w:rPr>
        <w:t>农林水支出（类）扶贫（款）其他扶贫支出（项）</w:t>
      </w:r>
      <w:r>
        <w:rPr>
          <w:rStyle w:val="9"/>
          <w:rFonts w:ascii="仿宋" w:hAnsi="仿宋" w:eastAsia="仿宋"/>
          <w:b w:val="0"/>
          <w:bCs/>
          <w:color w:val="000000"/>
          <w:sz w:val="32"/>
          <w:szCs w:val="32"/>
        </w:rPr>
        <w:t>:</w:t>
      </w:r>
      <w:r>
        <w:rPr>
          <w:rFonts w:hint="eastAsia" w:ascii="仿宋" w:hAnsi="仿宋" w:eastAsia="仿宋"/>
          <w:color w:val="333333"/>
          <w:sz w:val="32"/>
          <w:szCs w:val="32"/>
        </w:rPr>
        <w:t xml:space="preserve"> 反映其他用于扶贫方面的支出。</w:t>
      </w:r>
    </w:p>
    <w:p>
      <w:pPr>
        <w:pStyle w:val="4"/>
        <w:keepNext/>
        <w:keepLines/>
        <w:pageBreakBefore w:val="0"/>
        <w:widowControl w:val="0"/>
        <w:kinsoku/>
        <w:wordWrap/>
        <w:overflowPunct/>
        <w:topLinePunct w:val="0"/>
        <w:autoSpaceDE w:val="0"/>
        <w:autoSpaceDN w:val="0"/>
        <w:bidi w:val="0"/>
        <w:adjustRightInd w:val="0"/>
        <w:snapToGrid/>
        <w:spacing w:before="93"/>
        <w:textAlignment w:val="auto"/>
        <w:rPr>
          <w:rFonts w:ascii="仿宋" w:hAnsi="仿宋" w:eastAsia="仿宋"/>
          <w:color w:val="000000"/>
          <w:sz w:val="32"/>
          <w:szCs w:val="32"/>
        </w:rPr>
      </w:pPr>
      <w:r>
        <w:rPr>
          <w:rFonts w:hint="eastAsia" w:ascii="仿宋" w:hAnsi="仿宋" w:eastAsia="仿宋"/>
          <w:color w:val="000000"/>
          <w:sz w:val="32"/>
          <w:szCs w:val="32"/>
        </w:rPr>
        <w:t>20.社会保障和就业支出（类）行政事业单位离退休（款）</w:t>
      </w:r>
    </w:p>
    <w:p>
      <w:pPr>
        <w:keepNext/>
        <w:keepLines/>
        <w:pageBreakBefore w:val="0"/>
        <w:widowControl w:val="0"/>
        <w:kinsoku/>
        <w:wordWrap/>
        <w:overflowPunct/>
        <w:topLinePunct w:val="0"/>
        <w:autoSpaceDE w:val="0"/>
        <w:autoSpaceDN w:val="0"/>
        <w:bidi w:val="0"/>
        <w:adjustRightInd w:val="0"/>
        <w:snapToGrid/>
        <w:textAlignment w:val="auto"/>
        <w:rPr>
          <w:rFonts w:ascii="仿宋" w:hAnsi="仿宋" w:eastAsia="仿宋"/>
          <w:color w:val="000000"/>
          <w:sz w:val="32"/>
          <w:szCs w:val="32"/>
        </w:rPr>
      </w:pPr>
      <w:r>
        <w:rPr>
          <w:rFonts w:hint="eastAsia" w:ascii="仿宋" w:hAnsi="仿宋" w:eastAsia="仿宋"/>
          <w:color w:val="000000"/>
          <w:sz w:val="32"/>
          <w:szCs w:val="32"/>
        </w:rPr>
        <w:t>未归口管理的行政单位离退休（项）：指反映未实行归口管理的行政单位开支的离退休支出。</w:t>
      </w:r>
    </w:p>
    <w:p>
      <w:pPr>
        <w:keepNext/>
        <w:keepLines/>
        <w:pageBreakBefore w:val="0"/>
        <w:widowControl w:val="0"/>
        <w:kinsoku/>
        <w:wordWrap/>
        <w:overflowPunct/>
        <w:topLinePunct w:val="0"/>
        <w:autoSpaceDE w:val="0"/>
        <w:autoSpaceDN w:val="0"/>
        <w:bidi w:val="0"/>
        <w:adjustRightInd w:val="0"/>
        <w:snapToGrid/>
        <w:ind w:firstLine="640" w:firstLineChars="200"/>
        <w:textAlignment w:val="auto"/>
        <w:rPr>
          <w:rFonts w:ascii="仿宋" w:hAnsi="仿宋" w:eastAsia="仿宋"/>
          <w:color w:val="000000"/>
          <w:sz w:val="32"/>
          <w:szCs w:val="32"/>
        </w:rPr>
      </w:pPr>
      <w:r>
        <w:rPr>
          <w:rFonts w:hint="eastAsia" w:ascii="仿宋" w:hAnsi="仿宋" w:eastAsia="仿宋"/>
          <w:color w:val="000000"/>
          <w:sz w:val="32"/>
          <w:szCs w:val="32"/>
        </w:rPr>
        <w:t>21.住房保障支出（类）住房改革支出（款）住房公积金（项）：指反映行政事业单位按人国资源和社会保障部、财政部规定的基本工资和津贴补贴以及规定比例为职工缴纳的住房公积金</w:t>
      </w:r>
    </w:p>
    <w:p>
      <w:pPr>
        <w:keepNext/>
        <w:keepLines/>
        <w:pageBreakBefore w:val="0"/>
        <w:widowControl w:val="0"/>
        <w:kinsoku/>
        <w:wordWrap/>
        <w:overflowPunct/>
        <w:topLinePunct w:val="0"/>
        <w:autoSpaceDE w:val="0"/>
        <w:autoSpaceDN w:val="0"/>
        <w:bidi w:val="0"/>
        <w:adjustRightInd w:val="0"/>
        <w:snapToGrid/>
        <w:ind w:firstLine="640" w:firstLineChars="200"/>
        <w:textAlignment w:val="auto"/>
        <w:rPr>
          <w:rFonts w:ascii="仿宋" w:hAnsi="仿宋" w:eastAsia="仿宋"/>
          <w:color w:val="000000"/>
          <w:sz w:val="32"/>
          <w:szCs w:val="32"/>
        </w:rPr>
      </w:pPr>
      <w:r>
        <w:rPr>
          <w:rFonts w:hint="eastAsia" w:ascii="仿宋" w:hAnsi="仿宋" w:eastAsia="仿宋"/>
          <w:color w:val="000000"/>
          <w:sz w:val="32"/>
          <w:szCs w:val="32"/>
        </w:rPr>
        <w:t>22.基本支出：指为保障机构正常运转、完成日常工作任务而发生的人员支出和公用支出。</w:t>
      </w:r>
    </w:p>
    <w:p>
      <w:pPr>
        <w:keepNext/>
        <w:keepLines/>
        <w:pageBreakBefore w:val="0"/>
        <w:widowControl w:val="0"/>
        <w:kinsoku/>
        <w:wordWrap/>
        <w:overflowPunct/>
        <w:topLinePunct w:val="0"/>
        <w:autoSpaceDE w:val="0"/>
        <w:autoSpaceDN w:val="0"/>
        <w:bidi w:val="0"/>
        <w:adjustRightInd w:val="0"/>
        <w:snapToGrid/>
        <w:ind w:firstLine="640" w:firstLineChars="200"/>
        <w:textAlignment w:val="auto"/>
        <w:rPr>
          <w:rFonts w:ascii="仿宋" w:hAnsi="仿宋" w:eastAsia="仿宋"/>
          <w:color w:val="000000"/>
          <w:sz w:val="32"/>
          <w:szCs w:val="32"/>
        </w:rPr>
      </w:pPr>
      <w:r>
        <w:rPr>
          <w:rFonts w:hint="eastAsia" w:ascii="仿宋" w:hAnsi="仿宋" w:eastAsia="仿宋"/>
          <w:color w:val="000000"/>
          <w:sz w:val="32"/>
          <w:szCs w:val="32"/>
        </w:rPr>
        <w:t xml:space="preserve">23.项目支出：指在基本支出之外为完成特定行政任务和事业发展目标所发生的支出。 </w:t>
      </w:r>
    </w:p>
    <w:p>
      <w:pPr>
        <w:keepNext/>
        <w:keepLines/>
        <w:pageBreakBefore w:val="0"/>
        <w:widowControl w:val="0"/>
        <w:kinsoku/>
        <w:wordWrap/>
        <w:overflowPunct/>
        <w:topLinePunct w:val="0"/>
        <w:autoSpaceDE w:val="0"/>
        <w:autoSpaceDN w:val="0"/>
        <w:bidi w:val="0"/>
        <w:adjustRightInd w:val="0"/>
        <w:snapToGrid/>
        <w:ind w:firstLine="640" w:firstLineChars="200"/>
        <w:textAlignment w:val="auto"/>
        <w:rPr>
          <w:rFonts w:ascii="仿宋" w:hAnsi="仿宋" w:eastAsia="仿宋"/>
          <w:color w:val="000000"/>
          <w:sz w:val="32"/>
          <w:szCs w:val="32"/>
        </w:rPr>
      </w:pPr>
      <w:r>
        <w:rPr>
          <w:rFonts w:hint="eastAsia" w:ascii="仿宋" w:hAnsi="仿宋" w:eastAsia="仿宋"/>
          <w:color w:val="000000"/>
          <w:sz w:val="32"/>
          <w:szCs w:val="32"/>
        </w:rPr>
        <w:t>24.经营支出：指事业单位在专业业务活动及其辅助活动之外开展非独立核算经营活动发生的支出。</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25.“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10"/>
        <w:keepNext/>
        <w:keepLines/>
        <w:pageBreakBefore w:val="0"/>
        <w:widowControl w:val="0"/>
        <w:kinsoku/>
        <w:wordWrap/>
        <w:overflowPunct/>
        <w:topLinePunct w:val="0"/>
        <w:autoSpaceDE w:val="0"/>
        <w:autoSpaceDN w:val="0"/>
        <w:bidi w:val="0"/>
        <w:adjustRightInd w:val="0"/>
        <w:snapToGrid/>
        <w:spacing w:line="560" w:lineRule="exact"/>
        <w:ind w:firstLine="640" w:firstLineChars="200"/>
        <w:jc w:val="both"/>
        <w:textAlignment w:val="auto"/>
        <w:rPr>
          <w:rFonts w:hAnsi="仿宋" w:cs="Times New Roman"/>
          <w:kern w:val="2"/>
          <w:sz w:val="32"/>
          <w:szCs w:val="32"/>
        </w:rPr>
      </w:pPr>
      <w:r>
        <w:rPr>
          <w:rFonts w:hint="eastAsia" w:hAnsi="仿宋" w:cs="Times New Roman"/>
          <w:kern w:val="2"/>
          <w:sz w:val="32"/>
          <w:szCs w:val="32"/>
        </w:rPr>
        <w:t>26.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keepNext/>
        <w:keepLines/>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黑体" w:hAnsi="黑体" w:eastAsia="黑体"/>
          <w:color w:val="auto"/>
          <w:kern w:val="44"/>
          <w:sz w:val="44"/>
          <w:szCs w:val="24"/>
          <w:lang w:val="zh-CN"/>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center"/>
        <w:textAlignment w:val="auto"/>
        <w:rPr>
          <w:rFonts w:hint="eastAsia" w:ascii="黑体" w:hAnsi="黑体" w:eastAsia="黑体"/>
          <w:color w:val="auto"/>
          <w:kern w:val="2"/>
          <w:sz w:val="44"/>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center"/>
        <w:textAlignment w:val="auto"/>
        <w:rPr>
          <w:rFonts w:hint="eastAsia" w:ascii="黑体" w:hAnsi="黑体" w:eastAsia="黑体"/>
          <w:color w:val="auto"/>
          <w:kern w:val="2"/>
          <w:sz w:val="44"/>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center"/>
        <w:textAlignment w:val="auto"/>
        <w:rPr>
          <w:rFonts w:hint="eastAsia" w:ascii="黑体" w:hAnsi="黑体" w:eastAsia="黑体"/>
          <w:color w:val="auto"/>
          <w:kern w:val="2"/>
          <w:sz w:val="44"/>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center"/>
        <w:textAlignment w:val="auto"/>
        <w:rPr>
          <w:rFonts w:hint="eastAsia" w:ascii="黑体" w:hAnsi="黑体" w:eastAsia="黑体"/>
          <w:color w:val="auto"/>
          <w:kern w:val="2"/>
          <w:sz w:val="44"/>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both"/>
        <w:textAlignment w:val="auto"/>
        <w:rPr>
          <w:rFonts w:hint="eastAsia" w:ascii="黑体" w:hAnsi="黑体" w:eastAsia="黑体"/>
          <w:color w:val="auto"/>
          <w:kern w:val="2"/>
          <w:sz w:val="44"/>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1760" w:firstLineChars="400"/>
        <w:jc w:val="both"/>
        <w:textAlignment w:val="auto"/>
        <w:rPr>
          <w:rFonts w:hint="eastAsia" w:ascii="黑体" w:hAnsi="黑体" w:eastAsia="黑体"/>
          <w:color w:val="auto"/>
          <w:kern w:val="2"/>
          <w:sz w:val="44"/>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2640" w:firstLineChars="600"/>
        <w:jc w:val="both"/>
        <w:textAlignment w:val="auto"/>
        <w:rPr>
          <w:rFonts w:hint="eastAsia" w:ascii="黑体" w:hAnsi="黑体" w:eastAsia="黑体"/>
          <w:color w:val="auto"/>
          <w:kern w:val="2"/>
          <w:sz w:val="44"/>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line="600" w:lineRule="exact"/>
        <w:ind w:firstLine="2640" w:firstLineChars="600"/>
        <w:jc w:val="both"/>
        <w:textAlignment w:val="auto"/>
        <w:rPr>
          <w:rFonts w:hint="eastAsia" w:ascii="黑体" w:hAnsi="黑体" w:eastAsia="黑体"/>
          <w:color w:val="auto"/>
          <w:kern w:val="44"/>
          <w:sz w:val="44"/>
          <w:szCs w:val="24"/>
          <w:lang w:val="en-US"/>
        </w:rPr>
      </w:pPr>
      <w:r>
        <w:rPr>
          <w:rFonts w:hint="eastAsia" w:ascii="黑体" w:hAnsi="黑体" w:eastAsia="黑体"/>
          <w:color w:val="auto"/>
          <w:kern w:val="2"/>
          <w:sz w:val="44"/>
          <w:szCs w:val="24"/>
          <w:lang w:val="en-US"/>
        </w:rPr>
        <w:t>第</w:t>
      </w:r>
      <w:r>
        <w:rPr>
          <w:rFonts w:hint="eastAsia" w:ascii="黑体" w:hAnsi="黑体" w:eastAsia="黑体"/>
          <w:color w:val="auto"/>
          <w:kern w:val="44"/>
          <w:sz w:val="44"/>
          <w:szCs w:val="24"/>
          <w:lang w:val="en-US"/>
        </w:rPr>
        <w:t>四部分 附件</w:t>
      </w:r>
    </w:p>
    <w:p>
      <w:pPr>
        <w:keepNext/>
        <w:keepLines/>
        <w:pageBreakBefore w:val="0"/>
        <w:widowControl w:val="0"/>
        <w:kinsoku/>
        <w:wordWrap/>
        <w:overflowPunct/>
        <w:topLinePunct w:val="0"/>
        <w:autoSpaceDE w:val="0"/>
        <w:autoSpaceDN w:val="0"/>
        <w:bidi w:val="0"/>
        <w:adjustRightInd w:val="0"/>
        <w:snapToGrid/>
        <w:spacing w:beforeLines="0" w:afterLines="0" w:line="600" w:lineRule="exact"/>
        <w:jc w:val="center"/>
        <w:textAlignment w:val="auto"/>
        <w:rPr>
          <w:rFonts w:hint="eastAsia" w:ascii="仿宋_GB2312" w:hAnsi="仿宋_GB2312" w:eastAsia="仿宋_GB2312"/>
          <w:color w:val="auto"/>
          <w:sz w:val="32"/>
          <w:szCs w:val="24"/>
          <w:lang w:val="en-US"/>
        </w:rPr>
      </w:pPr>
      <w:r>
        <w:rPr>
          <w:rFonts w:hint="eastAsia" w:ascii="宋体" w:hAnsi="宋体" w:eastAsia="宋体"/>
          <w:color w:val="auto"/>
          <w:sz w:val="32"/>
          <w:szCs w:val="24"/>
          <w:lang w:val="en-US"/>
        </w:rPr>
        <w:t>部门预算项目支出绩效自评表（2022年度）</w: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25" o:spt="75" type="#_x0000_t75" style="height:312.5pt;width:431.85pt;" o:ole="t" filled="f" o:preferrelative="t" stroked="f" coordsize="21600,21600">
            <v:path/>
            <v:fill on="f" focussize="0,0"/>
            <v:stroke on="f"/>
            <v:imagedata r:id="rId14" o:title=""/>
            <o:lock v:ext="edit" aspectratio="f"/>
            <w10:wrap type="none"/>
            <w10:anchorlock/>
          </v:shape>
          <o:OLEObject Type="Embed" ProgID="Excel.Sheet.12" ShapeID="_x0000_i1025" DrawAspect="Content" ObjectID="_1468075725" r:id="rId13">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26" o:spt="75" type="#_x0000_t75" style="height:365.05pt;width:431.85pt;" o:ole="t" filled="f" o:preferrelative="t" stroked="f" coordsize="21600,21600">
            <v:path/>
            <v:fill on="f" focussize="0,0"/>
            <v:stroke on="f"/>
            <v:imagedata r:id="rId16" o:title=""/>
            <o:lock v:ext="edit" aspectratio="f"/>
            <w10:wrap type="none"/>
            <w10:anchorlock/>
          </v:shape>
          <o:OLEObject Type="Embed" ProgID="Excel.Sheet.12" ShapeID="_x0000_i1026" DrawAspect="Content" ObjectID="_1468075726" r:id="rId15">
            <o:LockedField>false</o:LockedField>
          </o:OLEObject>
        </w:object>
      </w:r>
      <w:r>
        <w:rPr>
          <w:rFonts w:hint="eastAsia" w:ascii="仿宋_GB2312" w:hAnsi="仿宋_GB2312" w:eastAsia="仿宋_GB2312"/>
          <w:color w:val="auto"/>
          <w:sz w:val="32"/>
          <w:szCs w:val="24"/>
          <w:lang w:val="en-US"/>
        </w:rPr>
        <w:object>
          <v:shape id="_x0000_i1027" o:spt="75" type="#_x0000_t75" style="height:312.5pt;width:431.85pt;" o:ole="t" filled="f" o:preferrelative="t" stroked="f" coordsize="21600,21600">
            <v:path/>
            <v:fill on="f" focussize="0,0"/>
            <v:stroke on="f"/>
            <v:imagedata r:id="rId18" o:title=""/>
            <o:lock v:ext="edit" aspectratio="f"/>
            <w10:wrap type="none"/>
            <w10:anchorlock/>
          </v:shape>
          <o:OLEObject Type="Embed" ProgID="Excel.Sheet.12" ShapeID="_x0000_i1027" DrawAspect="Content" ObjectID="_1468075727" r:id="rId17">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28" o:spt="75" type="#_x0000_t75" style="height:312.5pt;width:431.85pt;" o:ole="t" filled="f" o:preferrelative="t" stroked="f" coordsize="21600,21600">
            <v:path/>
            <v:fill on="f" focussize="0,0"/>
            <v:stroke on="f"/>
            <v:imagedata r:id="rId20" o:title=""/>
            <o:lock v:ext="edit" aspectratio="f"/>
            <w10:wrap type="none"/>
            <w10:anchorlock/>
          </v:shape>
          <o:OLEObject Type="Embed" ProgID="Excel.Sheet.12" ShapeID="_x0000_i1028" DrawAspect="Content" ObjectID="_1468075728" r:id="rId19">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29" o:spt="75" type="#_x0000_t75" style="height:312.5pt;width:431.85pt;" o:ole="t" filled="f" o:preferrelative="t" stroked="f" coordsize="21600,21600">
            <v:path/>
            <v:fill on="f" focussize="0,0"/>
            <v:stroke on="f"/>
            <v:imagedata r:id="rId22" o:title=""/>
            <o:lock v:ext="edit" aspectratio="f"/>
            <w10:wrap type="none"/>
            <w10:anchorlock/>
          </v:shape>
          <o:OLEObject Type="Embed" ProgID="Excel.Sheet.12" ShapeID="_x0000_i1029" DrawAspect="Content" ObjectID="_1468075729" r:id="rId21">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0" o:spt="75" type="#_x0000_t75" style="height:312.5pt;width:431.85pt;" o:ole="t" filled="f" o:preferrelative="t" stroked="f" coordsize="21600,21600">
            <v:path/>
            <v:fill on="f" focussize="0,0"/>
            <v:stroke on="f"/>
            <v:imagedata r:id="rId24" o:title=""/>
            <o:lock v:ext="edit" aspectratio="f"/>
            <w10:wrap type="none"/>
            <w10:anchorlock/>
          </v:shape>
          <o:OLEObject Type="Embed" ProgID="Excel.Sheet.12" ShapeID="_x0000_i1030" DrawAspect="Content" ObjectID="_1468075730" r:id="rId23">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1" o:spt="75" type="#_x0000_t75" style="height:300.65pt;width:431.85pt;" o:ole="t" filled="f" o:preferrelative="t" stroked="f" coordsize="21600,21600">
            <v:path/>
            <v:fill on="f" focussize="0,0"/>
            <v:stroke on="f"/>
            <v:imagedata r:id="rId26" o:title=""/>
            <o:lock v:ext="edit" aspectratio="f"/>
            <w10:wrap type="none"/>
            <w10:anchorlock/>
          </v:shape>
          <o:OLEObject Type="Embed" ProgID="Excel.Sheet.12" ShapeID="_x0000_i1031" DrawAspect="Content" ObjectID="_1468075731" r:id="rId25">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2" o:spt="75" type="#_x0000_t75" style="height:300.65pt;width:431.85pt;" o:ole="t" filled="f" o:preferrelative="t" stroked="f" coordsize="21600,21600">
            <v:path/>
            <v:fill on="f" focussize="0,0"/>
            <v:stroke on="f"/>
            <v:imagedata r:id="rId28" o:title=""/>
            <o:lock v:ext="edit" aspectratio="f"/>
            <w10:wrap type="none"/>
            <w10:anchorlock/>
          </v:shape>
          <o:OLEObject Type="Embed" ProgID="Excel.Sheet.12" ShapeID="_x0000_i1032" DrawAspect="Content" ObjectID="_1468075732" r:id="rId27">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3" o:spt="75" type="#_x0000_t75" style="height:300.65pt;width:431.85pt;" o:ole="t" filled="f" o:preferrelative="t" stroked="f" coordsize="21600,21600">
            <v:path/>
            <v:fill on="f" focussize="0,0"/>
            <v:stroke on="f"/>
            <v:imagedata r:id="rId30" o:title=""/>
            <o:lock v:ext="edit" aspectratio="f"/>
            <w10:wrap type="none"/>
            <w10:anchorlock/>
          </v:shape>
          <o:OLEObject Type="Embed" ProgID="Excel.Sheet.12" ShapeID="_x0000_i1033" DrawAspect="Content" ObjectID="_1468075733" r:id="rId29">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4" o:spt="75" type="#_x0000_t75" style="height:300.65pt;width:431.85pt;" o:ole="t" filled="f" o:preferrelative="t" stroked="f" coordsize="21600,21600">
            <v:path/>
            <v:fill on="f" focussize="0,0"/>
            <v:stroke on="f"/>
            <v:imagedata r:id="rId32" o:title=""/>
            <o:lock v:ext="edit" aspectratio="f"/>
            <w10:wrap type="none"/>
            <w10:anchorlock/>
          </v:shape>
          <o:OLEObject Type="Embed" ProgID="Excel.Sheet.12" ShapeID="_x0000_i1034" DrawAspect="Content" ObjectID="_1468075734" r:id="rId31">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5" o:spt="75" type="#_x0000_t75" style="height:300.65pt;width:431.85pt;" o:ole="t" filled="f" o:preferrelative="t" stroked="f" coordsize="21600,21600">
            <v:path/>
            <v:fill on="f" focussize="0,0"/>
            <v:stroke on="f"/>
            <v:imagedata r:id="rId34" o:title=""/>
            <o:lock v:ext="edit" aspectratio="f"/>
            <w10:wrap type="none"/>
            <w10:anchorlock/>
          </v:shape>
          <o:OLEObject Type="Embed" ProgID="Excel.Sheet.12" ShapeID="_x0000_i1035" DrawAspect="Content" ObjectID="_1468075735" r:id="rId33">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6" o:spt="75" type="#_x0000_t75" style="height:300.65pt;width:431.85pt;" o:ole="t" filled="f" o:preferrelative="t" stroked="f" coordsize="21600,21600">
            <v:path/>
            <v:fill on="f" focussize="0,0"/>
            <v:stroke on="f"/>
            <v:imagedata r:id="rId36" o:title=""/>
            <o:lock v:ext="edit" aspectratio="f"/>
            <w10:wrap type="none"/>
            <w10:anchorlock/>
          </v:shape>
          <o:OLEObject Type="Embed" ProgID="Excel.Sheet.12" ShapeID="_x0000_i1036" DrawAspect="Content" ObjectID="_1468075736" r:id="rId35">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7" o:spt="75" type="#_x0000_t75" style="height:300.65pt;width:431.85pt;" o:ole="t" filled="f" o:preferrelative="t" stroked="f" coordsize="21600,21600">
            <v:path/>
            <v:fill on="f" focussize="0,0"/>
            <v:stroke on="f"/>
            <v:imagedata r:id="rId38" o:title=""/>
            <o:lock v:ext="edit" aspectratio="f"/>
            <w10:wrap type="none"/>
            <w10:anchorlock/>
          </v:shape>
          <o:OLEObject Type="Embed" ProgID="Excel.Sheet.12" ShapeID="_x0000_i1037" DrawAspect="Content" ObjectID="_1468075737" r:id="rId37">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8" o:spt="75" type="#_x0000_t75" style="height:300.65pt;width:431.85pt;" o:ole="t" filled="f" o:preferrelative="t" stroked="f" coordsize="21600,21600">
            <v:path/>
            <v:fill on="f" focussize="0,0"/>
            <v:stroke on="f"/>
            <v:imagedata r:id="rId40" o:title=""/>
            <o:lock v:ext="edit" aspectratio="f"/>
            <w10:wrap type="none"/>
            <w10:anchorlock/>
          </v:shape>
          <o:OLEObject Type="Embed" ProgID="Excel.Sheet.12" ShapeID="_x0000_i1038" DrawAspect="Content" ObjectID="_1468075738" r:id="rId39">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39" o:spt="75" type="#_x0000_t75" style="height:300.65pt;width:431.85pt;" o:ole="t" filled="f" o:preferrelative="t" stroked="f" coordsize="21600,21600">
            <v:path/>
            <v:fill on="f" focussize="0,0"/>
            <v:stroke on="f"/>
            <v:imagedata r:id="rId42" o:title=""/>
            <o:lock v:ext="edit" aspectratio="f"/>
            <w10:wrap type="none"/>
            <w10:anchorlock/>
          </v:shape>
          <o:OLEObject Type="Embed" ProgID="Excel.Sheet.12" ShapeID="_x0000_i1039" DrawAspect="Content" ObjectID="_1468075739" r:id="rId41">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0" o:spt="75" type="#_x0000_t75" style="height:300.65pt;width:431.85pt;" o:ole="t" filled="f" o:preferrelative="t" stroked="f" coordsize="21600,21600">
            <v:path/>
            <v:fill on="f" focussize="0,0"/>
            <v:stroke on="f"/>
            <v:imagedata r:id="rId44" o:title=""/>
            <o:lock v:ext="edit" aspectratio="f"/>
            <w10:wrap type="none"/>
            <w10:anchorlock/>
          </v:shape>
          <o:OLEObject Type="Embed" ProgID="Excel.Sheet.12" ShapeID="_x0000_i1040" DrawAspect="Content" ObjectID="_1468075740" r:id="rId43">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1" o:spt="75" type="#_x0000_t75" style="height:300.65pt;width:431.85pt;" o:ole="t" filled="f" o:preferrelative="t" stroked="f" coordsize="21600,21600">
            <v:path/>
            <v:fill on="f" focussize="0,0"/>
            <v:stroke on="f"/>
            <v:imagedata r:id="rId46" o:title=""/>
            <o:lock v:ext="edit" aspectratio="f"/>
            <w10:wrap type="none"/>
            <w10:anchorlock/>
          </v:shape>
          <o:OLEObject Type="Embed" ProgID="Excel.Sheet.12" ShapeID="_x0000_i1041" DrawAspect="Content" ObjectID="_1468075741" r:id="rId45">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2" o:spt="75" type="#_x0000_t75" style="height:300.65pt;width:431.85pt;" o:ole="t" filled="f" o:preferrelative="t" stroked="f" coordsize="21600,21600">
            <v:path/>
            <v:fill on="f" focussize="0,0"/>
            <v:stroke on="f"/>
            <v:imagedata r:id="rId48" o:title=""/>
            <o:lock v:ext="edit" aspectratio="f"/>
            <w10:wrap type="none"/>
            <w10:anchorlock/>
          </v:shape>
          <o:OLEObject Type="Embed" ProgID="Excel.Sheet.12" ShapeID="_x0000_i1042" DrawAspect="Content" ObjectID="_1468075742" r:id="rId47">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3" o:spt="75" type="#_x0000_t75" style="height:300.65pt;width:431.85pt;" o:ole="t" filled="f" o:preferrelative="t" stroked="f" coordsize="21600,21600">
            <v:path/>
            <v:fill on="f" focussize="0,0"/>
            <v:stroke on="f"/>
            <v:imagedata r:id="rId50" o:title=""/>
            <o:lock v:ext="edit" aspectratio="f"/>
            <w10:wrap type="none"/>
            <w10:anchorlock/>
          </v:shape>
          <o:OLEObject Type="Embed" ProgID="Excel.Sheet.12" ShapeID="_x0000_i1043" DrawAspect="Content" ObjectID="_1468075743" r:id="rId49">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4" o:spt="75" type="#_x0000_t75" style="height:300.65pt;width:431.85pt;" o:ole="t" filled="f" o:preferrelative="t" stroked="f" coordsize="21600,21600">
            <v:path/>
            <v:fill on="f" focussize="0,0"/>
            <v:stroke on="f"/>
            <v:imagedata r:id="rId52" o:title=""/>
            <o:lock v:ext="edit" aspectratio="f"/>
            <w10:wrap type="none"/>
            <w10:anchorlock/>
          </v:shape>
          <o:OLEObject Type="Embed" ProgID="Excel.Sheet.12" ShapeID="_x0000_i1044" DrawAspect="Content" ObjectID="_1468075744" r:id="rId51">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5" o:spt="75" type="#_x0000_t75" style="height:300.65pt;width:431.85pt;" o:ole="t" filled="f" o:preferrelative="t" stroked="f" coordsize="21600,21600">
            <v:path/>
            <v:fill on="f" focussize="0,0"/>
            <v:stroke on="f"/>
            <v:imagedata r:id="rId54" o:title=""/>
            <o:lock v:ext="edit" aspectratio="f"/>
            <w10:wrap type="none"/>
            <w10:anchorlock/>
          </v:shape>
          <o:OLEObject Type="Embed" ProgID="Excel.Sheet.12" ShapeID="_x0000_i1045" DrawAspect="Content" ObjectID="_1468075745" r:id="rId53">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6" o:spt="75" type="#_x0000_t75" style="height:300.65pt;width:431.85pt;" o:ole="t" filled="f" o:preferrelative="t" stroked="f" coordsize="21600,21600">
            <v:path/>
            <v:fill on="f" focussize="0,0"/>
            <v:stroke on="f"/>
            <v:imagedata r:id="rId56" o:title=""/>
            <o:lock v:ext="edit" aspectratio="f"/>
            <w10:wrap type="none"/>
            <w10:anchorlock/>
          </v:shape>
          <o:OLEObject Type="Embed" ProgID="Excel.Sheet.12" ShapeID="_x0000_i1046" DrawAspect="Content" ObjectID="_1468075746" r:id="rId55">
            <o:LockedField>false</o:LockedField>
          </o:OLEObject>
        </w:object>
      </w:r>
    </w:p>
    <w:p>
      <w:pPr>
        <w:keepNext/>
        <w:keepLines/>
        <w:pageBreakBefore w:val="0"/>
        <w:widowControl w:val="0"/>
        <w:kinsoku/>
        <w:wordWrap/>
        <w:overflowPunct/>
        <w:topLinePunct w:val="0"/>
        <w:autoSpaceDE w:val="0"/>
        <w:autoSpaceDN w:val="0"/>
        <w:bidi w:val="0"/>
        <w:adjustRightInd w:val="0"/>
        <w:snapToGrid/>
        <w:spacing w:beforeLines="0" w:afterLines="0"/>
        <w:jc w:val="both"/>
        <w:textAlignment w:val="auto"/>
        <w:rPr>
          <w:rFonts w:hint="eastAsia" w:ascii="仿宋_GB2312" w:hAnsi="仿宋_GB2312" w:eastAsia="仿宋_GB2312"/>
          <w:color w:val="auto"/>
          <w:sz w:val="32"/>
          <w:szCs w:val="24"/>
          <w:lang w:val="en-US"/>
        </w:rPr>
      </w:pPr>
      <w:r>
        <w:rPr>
          <w:rFonts w:hint="eastAsia" w:ascii="仿宋_GB2312" w:hAnsi="仿宋_GB2312" w:eastAsia="仿宋_GB2312"/>
          <w:color w:val="auto"/>
          <w:sz w:val="32"/>
          <w:szCs w:val="24"/>
          <w:lang w:val="en-US"/>
        </w:rPr>
        <w:object>
          <v:shape id="_x0000_i1047" o:spt="75" type="#_x0000_t75" style="height:300.65pt;width:431.85pt;" o:ole="t" filled="f" o:preferrelative="t" stroked="f" coordsize="21600,21600">
            <v:path/>
            <v:fill on="f" focussize="0,0"/>
            <v:stroke on="f"/>
            <v:imagedata r:id="rId58" o:title=""/>
            <o:lock v:ext="edit" aspectratio="f"/>
            <w10:wrap type="none"/>
            <w10:anchorlock/>
          </v:shape>
          <o:OLEObject Type="Embed" ProgID="Excel.Sheet.12" ShapeID="_x0000_i1047" DrawAspect="Content" ObjectID="_1468075747" r:id="rId57">
            <o:LockedField>false</o:LockedField>
          </o:OLEObject>
        </w:object>
      </w:r>
    </w:p>
    <w:p>
      <w:pPr>
        <w:spacing w:beforeLines="0" w:afterLines="0"/>
        <w:jc w:val="both"/>
        <w:rPr>
          <w:rFonts w:hint="eastAsia" w:ascii="仿宋_GB2312" w:hAnsi="仿宋_GB2312" w:eastAsia="仿宋_GB2312"/>
          <w:color w:val="auto"/>
          <w:sz w:val="32"/>
          <w:szCs w:val="24"/>
          <w:lang w:val="en-US"/>
        </w:rPr>
      </w:pPr>
    </w:p>
    <w:p>
      <w:pPr>
        <w:keepNext/>
        <w:keepLines/>
        <w:pageBreakBefore w:val="0"/>
        <w:widowControl w:val="0"/>
        <w:numPr>
          <w:ilvl w:val="0"/>
          <w:numId w:val="3"/>
        </w:numPr>
        <w:kinsoku/>
        <w:wordWrap/>
        <w:overflowPunct/>
        <w:topLinePunct w:val="0"/>
        <w:autoSpaceDE w:val="0"/>
        <w:autoSpaceDN w:val="0"/>
        <w:bidi w:val="0"/>
        <w:adjustRightInd w:val="0"/>
        <w:snapToGrid/>
        <w:spacing w:beforeLines="0" w:afterLines="0" w:line="600" w:lineRule="exact"/>
        <w:jc w:val="center"/>
        <w:textAlignment w:val="auto"/>
        <w:rPr>
          <w:rFonts w:hint="eastAsia" w:ascii="黑体" w:hAnsi="黑体" w:eastAsia="黑体"/>
          <w:color w:val="auto"/>
          <w:kern w:val="44"/>
          <w:sz w:val="44"/>
          <w:szCs w:val="24"/>
          <w:lang w:val="en-US"/>
        </w:rPr>
      </w:pPr>
      <w:r>
        <w:rPr>
          <w:rFonts w:hint="eastAsia" w:ascii="黑体" w:hAnsi="黑体" w:eastAsia="黑体"/>
          <w:color w:val="auto"/>
          <w:kern w:val="44"/>
          <w:sz w:val="44"/>
          <w:szCs w:val="24"/>
          <w:lang w:val="en-US"/>
        </w:rPr>
        <w:t>附表</w:t>
      </w:r>
    </w:p>
    <w:p>
      <w:pPr>
        <w:keepNext/>
        <w:keepLines/>
        <w:pageBreakBefore w:val="0"/>
        <w:widowControl w:val="0"/>
        <w:numPr>
          <w:ilvl w:val="0"/>
          <w:numId w:val="4"/>
        </w:numPr>
        <w:kinsoku/>
        <w:wordWrap/>
        <w:overflowPunct/>
        <w:topLinePunct w:val="0"/>
        <w:autoSpaceDE w:val="0"/>
        <w:autoSpaceDN w:val="0"/>
        <w:bidi w:val="0"/>
        <w:adjustRightInd w:val="0"/>
        <w:snapToGrid/>
        <w:spacing w:beforeLines="0" w:afterLines="0" w:line="600" w:lineRule="exact"/>
        <w:jc w:val="both"/>
        <w:textAlignment w:val="auto"/>
        <w:rPr>
          <w:rFonts w:hint="eastAsia" w:ascii="仿宋" w:hAnsi="仿宋" w:eastAsia="仿宋"/>
          <w:color w:val="auto"/>
          <w:kern w:val="2"/>
          <w:sz w:val="32"/>
          <w:szCs w:val="24"/>
          <w:lang w:val="en-US"/>
        </w:rPr>
      </w:pPr>
      <w:r>
        <w:rPr>
          <w:rFonts w:hint="eastAsia" w:ascii="仿宋" w:hAnsi="仿宋" w:eastAsia="仿宋"/>
          <w:color w:val="auto"/>
          <w:kern w:val="2"/>
          <w:sz w:val="32"/>
          <w:szCs w:val="24"/>
          <w:lang w:val="en-US"/>
        </w:rPr>
        <w:t>收入支出决算总表</w:t>
      </w:r>
    </w:p>
    <w:p>
      <w:pPr>
        <w:keepNext/>
        <w:keepLines/>
        <w:pageBreakBefore w:val="0"/>
        <w:widowControl w:val="0"/>
        <w:numPr>
          <w:ilvl w:val="0"/>
          <w:numId w:val="4"/>
        </w:numPr>
        <w:kinsoku/>
        <w:wordWrap/>
        <w:overflowPunct/>
        <w:topLinePunct w:val="0"/>
        <w:autoSpaceDE w:val="0"/>
        <w:autoSpaceDN w:val="0"/>
        <w:bidi w:val="0"/>
        <w:adjustRightInd w:val="0"/>
        <w:snapToGrid/>
        <w:spacing w:beforeLines="0" w:afterLines="0" w:line="600" w:lineRule="exact"/>
        <w:ind w:left="0" w:leftChars="0" w:firstLine="0" w:firstLineChars="0"/>
        <w:jc w:val="both"/>
        <w:textAlignment w:val="auto"/>
        <w:rPr>
          <w:rFonts w:hint="eastAsia" w:ascii="仿宋" w:hAnsi="仿宋" w:eastAsia="仿宋"/>
          <w:color w:val="auto"/>
          <w:kern w:val="2"/>
          <w:sz w:val="32"/>
          <w:szCs w:val="24"/>
          <w:lang w:val="en-US"/>
        </w:rPr>
      </w:pPr>
      <w:r>
        <w:rPr>
          <w:rFonts w:hint="eastAsia" w:ascii="仿宋" w:hAnsi="仿宋" w:eastAsia="仿宋"/>
          <w:color w:val="auto"/>
          <w:kern w:val="2"/>
          <w:sz w:val="32"/>
          <w:szCs w:val="24"/>
          <w:lang w:val="en-US"/>
        </w:rPr>
        <w:t>收入决算表</w:t>
      </w:r>
    </w:p>
    <w:p>
      <w:pPr>
        <w:keepNext/>
        <w:keepLines/>
        <w:pageBreakBefore w:val="0"/>
        <w:widowControl w:val="0"/>
        <w:numPr>
          <w:ilvl w:val="0"/>
          <w:numId w:val="4"/>
        </w:numPr>
        <w:kinsoku/>
        <w:wordWrap/>
        <w:overflowPunct/>
        <w:topLinePunct w:val="0"/>
        <w:autoSpaceDE w:val="0"/>
        <w:autoSpaceDN w:val="0"/>
        <w:bidi w:val="0"/>
        <w:adjustRightInd w:val="0"/>
        <w:snapToGrid/>
        <w:spacing w:beforeLines="0" w:afterLines="0" w:line="600" w:lineRule="exact"/>
        <w:ind w:left="0" w:leftChars="0" w:firstLine="0" w:firstLineChars="0"/>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支出决算表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color w:val="auto"/>
          <w:kern w:val="2"/>
          <w:sz w:val="32"/>
          <w:szCs w:val="24"/>
          <w:lang w:val="en-US"/>
        </w:rPr>
      </w:pPr>
      <w:r>
        <w:rPr>
          <w:rFonts w:hint="eastAsia" w:ascii="仿宋" w:hAnsi="仿宋" w:eastAsia="仿宋"/>
          <w:color w:val="auto"/>
          <w:kern w:val="2"/>
          <w:sz w:val="32"/>
          <w:szCs w:val="24"/>
          <w:lang w:val="en-US"/>
        </w:rPr>
        <w:t>四、财政拨款收入支出决算总表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color w:val="auto"/>
          <w:kern w:val="2"/>
          <w:sz w:val="32"/>
          <w:szCs w:val="24"/>
          <w:lang w:val="en-US"/>
        </w:rPr>
      </w:pPr>
      <w:r>
        <w:rPr>
          <w:rFonts w:hint="eastAsia" w:ascii="仿宋" w:hAnsi="仿宋" w:eastAsia="仿宋"/>
          <w:color w:val="auto"/>
          <w:kern w:val="2"/>
          <w:sz w:val="32"/>
          <w:szCs w:val="24"/>
          <w:lang w:val="en-US"/>
        </w:rPr>
        <w:t>五、财政拨款支出决算明细表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六、一般公共预算财政拨款支出决算表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七、一般公共预算财政拨款支出决算明细表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八、一般公共预算财政拨款基本支出决算表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九、一般公共预算财政拨款项目支出决算表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十、政府性基金预算财政拨款收入支出决算表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十一、国有资本经营预算财政拨款收入支出决算表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十二、国有资本经营预算财政拨款支出决算表</w:t>
      </w:r>
    </w:p>
    <w:p>
      <w:pPr>
        <w:pStyle w:val="3"/>
        <w:keepNext/>
        <w:keepLines/>
        <w:pageBreakBefore w:val="0"/>
        <w:widowControl w:val="0"/>
        <w:kinsoku/>
        <w:wordWrap/>
        <w:overflowPunct/>
        <w:topLinePunct w:val="0"/>
        <w:autoSpaceDE w:val="0"/>
        <w:autoSpaceDN w:val="0"/>
        <w:bidi w:val="0"/>
        <w:adjustRightInd w:val="0"/>
        <w:snapToGrid/>
        <w:spacing w:before="260" w:beforeLines="0" w:after="260" w:afterLines="0" w:line="408" w:lineRule="auto"/>
        <w:jc w:val="both"/>
        <w:textAlignment w:val="auto"/>
        <w:rPr>
          <w:rFonts w:hint="eastAsia" w:ascii="仿宋" w:hAnsi="仿宋" w:eastAsia="仿宋"/>
          <w:b/>
          <w:color w:val="auto"/>
          <w:kern w:val="2"/>
          <w:sz w:val="32"/>
          <w:szCs w:val="24"/>
          <w:lang w:val="en-US"/>
        </w:rPr>
      </w:pPr>
      <w:r>
        <w:rPr>
          <w:rFonts w:hint="eastAsia" w:ascii="仿宋" w:hAnsi="仿宋" w:eastAsia="仿宋"/>
          <w:color w:val="auto"/>
          <w:kern w:val="2"/>
          <w:sz w:val="32"/>
          <w:szCs w:val="24"/>
          <w:lang w:val="en-US"/>
        </w:rPr>
        <w:t>十三、财政拨款</w:t>
      </w:r>
      <w:r>
        <w:rPr>
          <w:rFonts w:hint="default" w:ascii="仿宋" w:hAnsi="仿宋" w:eastAsia="仿宋"/>
          <w:color w:val="auto"/>
          <w:kern w:val="2"/>
          <w:sz w:val="32"/>
          <w:szCs w:val="24"/>
          <w:lang w:val="en-US"/>
        </w:rPr>
        <w:t>“</w:t>
      </w:r>
      <w:r>
        <w:rPr>
          <w:rFonts w:hint="eastAsia" w:ascii="仿宋" w:hAnsi="仿宋" w:eastAsia="仿宋"/>
          <w:color w:val="auto"/>
          <w:kern w:val="2"/>
          <w:sz w:val="32"/>
          <w:szCs w:val="24"/>
          <w:lang w:val="en-US"/>
        </w:rPr>
        <w:t>三公</w:t>
      </w:r>
      <w:r>
        <w:rPr>
          <w:rFonts w:hint="default" w:ascii="仿宋" w:hAnsi="仿宋" w:eastAsia="仿宋"/>
          <w:color w:val="auto"/>
          <w:kern w:val="2"/>
          <w:sz w:val="32"/>
          <w:szCs w:val="24"/>
          <w:lang w:val="en-US"/>
        </w:rPr>
        <w:t>”</w:t>
      </w:r>
      <w:r>
        <w:rPr>
          <w:rFonts w:hint="eastAsia" w:ascii="仿宋" w:hAnsi="仿宋" w:eastAsia="仿宋"/>
          <w:color w:val="auto"/>
          <w:kern w:val="2"/>
          <w:sz w:val="32"/>
          <w:szCs w:val="24"/>
          <w:lang w:val="en-US"/>
        </w:rPr>
        <w:t>经费支出决算表</w:t>
      </w:r>
    </w:p>
    <w:p/>
    <w:sectPr>
      <w:footerReference r:id="rId5" w:type="default"/>
      <w:pgSz w:w="12240" w:h="15840"/>
      <w:pgMar w:top="1440" w:right="1800" w:bottom="1440" w:left="1800" w:header="720" w:footer="720" w:gutter="0"/>
      <w:lnNumType w:countBy="0" w:distance="36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Microsoft Yi Baiti">
    <w:panose1 w:val="03000500000000000000"/>
    <w:charset w:val="00"/>
    <w:family w:val="auto"/>
    <w:pitch w:val="default"/>
    <w:sig w:usb0="80000003" w:usb1="00010402" w:usb2="00080002" w:usb3="00000000" w:csb0="0000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95A48"/>
    <w:multiLevelType w:val="singleLevel"/>
    <w:tmpl w:val="95795A48"/>
    <w:lvl w:ilvl="0" w:tentative="0">
      <w:start w:val="1"/>
      <w:numFmt w:val="chineseCounting"/>
      <w:suff w:val="nothing"/>
      <w:lvlText w:val="%1、"/>
      <w:lvlJc w:val="left"/>
      <w:rPr>
        <w:rFonts w:hint="eastAsia"/>
      </w:rPr>
    </w:lvl>
  </w:abstractNum>
  <w:abstractNum w:abstractNumId="1">
    <w:nsid w:val="E3B845B5"/>
    <w:multiLevelType w:val="singleLevel"/>
    <w:tmpl w:val="E3B845B5"/>
    <w:lvl w:ilvl="0" w:tentative="0">
      <w:start w:val="1"/>
      <w:numFmt w:val="decimal"/>
      <w:lvlText w:val="%1."/>
      <w:lvlJc w:val="left"/>
      <w:pPr>
        <w:tabs>
          <w:tab w:val="left" w:pos="312"/>
        </w:tabs>
      </w:pPr>
    </w:lvl>
  </w:abstractNum>
  <w:abstractNum w:abstractNumId="2">
    <w:nsid w:val="1D87AC07"/>
    <w:multiLevelType w:val="singleLevel"/>
    <w:tmpl w:val="1D87AC07"/>
    <w:lvl w:ilvl="0" w:tentative="0">
      <w:start w:val="2"/>
      <w:numFmt w:val="chineseCounting"/>
      <w:suff w:val="nothing"/>
      <w:lvlText w:val="%1、"/>
      <w:lvlJc w:val="left"/>
      <w:rPr>
        <w:rFonts w:hint="eastAsia"/>
      </w:rPr>
    </w:lvl>
  </w:abstractNum>
  <w:abstractNum w:abstractNumId="3">
    <w:nsid w:val="7ADB0760"/>
    <w:multiLevelType w:val="singleLevel"/>
    <w:tmpl w:val="7ADB0760"/>
    <w:lvl w:ilvl="0" w:tentative="0">
      <w:start w:val="5"/>
      <w:numFmt w:val="chineseCounting"/>
      <w:suff w:val="space"/>
      <w:lvlText w:val="第%1部分"/>
      <w:lvlJc w:val="left"/>
      <w:rPr>
        <w:rFonts w:hint="eastAsi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5MGUyNzMxZTVlNDNhMThjMmUyOTMzMDRhNzFhZmEifQ=="/>
  </w:docVars>
  <w:rsids>
    <w:rsidRoot w:val="00172A27"/>
    <w:rsid w:val="050806F9"/>
    <w:rsid w:val="125137BF"/>
    <w:rsid w:val="18DC3EE8"/>
    <w:rsid w:val="1F855CC1"/>
    <w:rsid w:val="2A407410"/>
    <w:rsid w:val="2A86369A"/>
    <w:rsid w:val="3B0A2599"/>
    <w:rsid w:val="533342C6"/>
    <w:rsid w:val="564778F2"/>
    <w:rsid w:val="575B18B5"/>
    <w:rsid w:val="6CDA69F9"/>
    <w:rsid w:val="76B10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semiHidden="0" w:name="Normal"/>
    <w:lsdException w:uiPriority="99" w:semiHidden="0" w:name="heading 1"/>
    <w:lsdException w:qFormat="1"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paragraph" w:styleId="2">
    <w:name w:val="heading 1"/>
    <w:unhideWhenUsed/>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paragraph" w:styleId="3">
    <w:name w:val="heading 2"/>
    <w:basedOn w:val="1"/>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99"/>
    <w:pPr>
      <w:spacing w:beforeLines="30"/>
    </w:pPr>
    <w:rPr>
      <w:rFonts w:ascii="仿宋_GB2312" w:eastAsia="仿宋_GB2312"/>
      <w:kern w:val="0"/>
      <w:sz w:val="30"/>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Strong"/>
    <w:basedOn w:val="8"/>
    <w:qFormat/>
    <w:uiPriority w:val="99"/>
    <w:rPr>
      <w:b/>
    </w:rPr>
  </w:style>
  <w:style w:type="paragraph" w:customStyle="1" w:styleId="1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image" Target="media/image23.emf"/><Relationship Id="rId57" Type="http://schemas.openxmlformats.org/officeDocument/2006/relationships/oleObject" Target="embeddings/oleObject23.bin"/><Relationship Id="rId56" Type="http://schemas.openxmlformats.org/officeDocument/2006/relationships/image" Target="media/image22.emf"/><Relationship Id="rId55" Type="http://schemas.openxmlformats.org/officeDocument/2006/relationships/oleObject" Target="embeddings/oleObject22.bin"/><Relationship Id="rId54" Type="http://schemas.openxmlformats.org/officeDocument/2006/relationships/image" Target="media/image21.emf"/><Relationship Id="rId53" Type="http://schemas.openxmlformats.org/officeDocument/2006/relationships/oleObject" Target="embeddings/oleObject21.bin"/><Relationship Id="rId52" Type="http://schemas.openxmlformats.org/officeDocument/2006/relationships/image" Target="media/image20.emf"/><Relationship Id="rId51" Type="http://schemas.openxmlformats.org/officeDocument/2006/relationships/oleObject" Target="embeddings/oleObject20.bin"/><Relationship Id="rId50" Type="http://schemas.openxmlformats.org/officeDocument/2006/relationships/image" Target="media/image19.emf"/><Relationship Id="rId5" Type="http://schemas.openxmlformats.org/officeDocument/2006/relationships/footer" Target="footer2.xml"/><Relationship Id="rId49" Type="http://schemas.openxmlformats.org/officeDocument/2006/relationships/oleObject" Target="embeddings/oleObject19.bin"/><Relationship Id="rId48" Type="http://schemas.openxmlformats.org/officeDocument/2006/relationships/image" Target="media/image18.emf"/><Relationship Id="rId47" Type="http://schemas.openxmlformats.org/officeDocument/2006/relationships/oleObject" Target="embeddings/oleObject18.bin"/><Relationship Id="rId46" Type="http://schemas.openxmlformats.org/officeDocument/2006/relationships/image" Target="media/image17.emf"/><Relationship Id="rId45" Type="http://schemas.openxmlformats.org/officeDocument/2006/relationships/oleObject" Target="embeddings/oleObject17.bin"/><Relationship Id="rId44" Type="http://schemas.openxmlformats.org/officeDocument/2006/relationships/image" Target="media/image16.emf"/><Relationship Id="rId43" Type="http://schemas.openxmlformats.org/officeDocument/2006/relationships/oleObject" Target="embeddings/oleObject16.bin"/><Relationship Id="rId42" Type="http://schemas.openxmlformats.org/officeDocument/2006/relationships/image" Target="media/image15.emf"/><Relationship Id="rId41" Type="http://schemas.openxmlformats.org/officeDocument/2006/relationships/oleObject" Target="embeddings/oleObject15.bin"/><Relationship Id="rId40" Type="http://schemas.openxmlformats.org/officeDocument/2006/relationships/image" Target="media/image14.emf"/><Relationship Id="rId4" Type="http://schemas.openxmlformats.org/officeDocument/2006/relationships/footer" Target="footer1.xml"/><Relationship Id="rId39" Type="http://schemas.openxmlformats.org/officeDocument/2006/relationships/oleObject" Target="embeddings/oleObject14.bin"/><Relationship Id="rId38" Type="http://schemas.openxmlformats.org/officeDocument/2006/relationships/image" Target="media/image13.emf"/><Relationship Id="rId37" Type="http://schemas.openxmlformats.org/officeDocument/2006/relationships/oleObject" Target="embeddings/oleObject13.bin"/><Relationship Id="rId36" Type="http://schemas.openxmlformats.org/officeDocument/2006/relationships/image" Target="media/image12.emf"/><Relationship Id="rId35" Type="http://schemas.openxmlformats.org/officeDocument/2006/relationships/oleObject" Target="embeddings/oleObject12.bin"/><Relationship Id="rId34" Type="http://schemas.openxmlformats.org/officeDocument/2006/relationships/image" Target="media/image11.emf"/><Relationship Id="rId33" Type="http://schemas.openxmlformats.org/officeDocument/2006/relationships/oleObject" Target="embeddings/oleObject11.bin"/><Relationship Id="rId32" Type="http://schemas.openxmlformats.org/officeDocument/2006/relationships/image" Target="media/image10.emf"/><Relationship Id="rId31" Type="http://schemas.openxmlformats.org/officeDocument/2006/relationships/oleObject" Target="embeddings/oleObject10.bin"/><Relationship Id="rId30" Type="http://schemas.openxmlformats.org/officeDocument/2006/relationships/image" Target="media/image9.e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8.emf"/><Relationship Id="rId27" Type="http://schemas.openxmlformats.org/officeDocument/2006/relationships/oleObject" Target="embeddings/oleObject8.bin"/><Relationship Id="rId26" Type="http://schemas.openxmlformats.org/officeDocument/2006/relationships/image" Target="media/image7.emf"/><Relationship Id="rId25" Type="http://schemas.openxmlformats.org/officeDocument/2006/relationships/oleObject" Target="embeddings/oleObject7.bin"/><Relationship Id="rId24" Type="http://schemas.openxmlformats.org/officeDocument/2006/relationships/image" Target="media/image6.emf"/><Relationship Id="rId23" Type="http://schemas.openxmlformats.org/officeDocument/2006/relationships/oleObject" Target="embeddings/oleObject6.bin"/><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28.bin"/></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4.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5.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6.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7.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62310211024"/>
          <c:y val="0.137105069248584"/>
          <c:w val="0.677372125762553"/>
          <c:h val="0.598249129838625"/>
        </c:manualLayout>
      </c:layout>
      <c:barChart>
        <c:barDir val="col"/>
        <c:grouping val="clustered"/>
        <c:varyColors val="0"/>
        <c:ser>
          <c:idx val="2"/>
          <c:order val="0"/>
          <c:tx>
            <c:strRef>
              <c:f>Sheet1!$D$1</c:f>
              <c:strCache>
                <c:ptCount val="1"/>
                <c:pt idx="0">
                  <c:v>2021年收支</c:v>
                </c:pt>
              </c:strCache>
            </c:strRef>
          </c:tx>
          <c:spPr>
            <a:gradFill>
              <a:gsLst>
                <a:gs pos="0">
                  <a:srgbClr val="14CD68"/>
                </a:gs>
                <a:gs pos="100000">
                  <a:srgbClr val="0B6E38"/>
                </a:gs>
              </a:gsLst>
              <a:lin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552.43</c:v>
                </c:pt>
              </c:numCache>
            </c:numRef>
          </c:val>
        </c:ser>
        <c:ser>
          <c:idx val="3"/>
          <c:order val="1"/>
          <c:tx>
            <c:strRef>
              <c:f>Sheet1!$E$1</c:f>
              <c:strCache>
                <c:ptCount val="1"/>
                <c:pt idx="0">
                  <c:v>2022年收支</c:v>
                </c:pt>
              </c:strCache>
            </c:strRef>
          </c:tx>
          <c:spPr>
            <a:solidFill>
              <a:srgbClr val="FF000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379.92</c:v>
                </c:pt>
              </c:numCache>
            </c:numRef>
          </c:val>
        </c:ser>
        <c:dLbls>
          <c:showLegendKey val="0"/>
          <c:showVal val="1"/>
          <c:showCatName val="0"/>
          <c:showSerName val="0"/>
          <c:showPercent val="0"/>
          <c:showBubbleSize val="0"/>
        </c:dLbls>
        <c:gapWidth val="267"/>
        <c:overlap val="-43"/>
        <c:axId val="41233408"/>
        <c:axId val="41262080"/>
      </c:barChart>
      <c:catAx>
        <c:axId val="41233408"/>
        <c:scaling>
          <c:orientation val="minMax"/>
        </c:scaling>
        <c:delete val="1"/>
        <c:axPos val="b"/>
        <c:majorGridlines>
          <c:spPr>
            <a:ln w="9525" cap="flat" cmpd="sng" algn="ctr">
              <a:solidFill>
                <a:schemeClr val="dk1">
                  <a:lumMod val="15000"/>
                  <a:lumOff val="85000"/>
                </a:schemeClr>
              </a:solidFill>
              <a:prstDash val="solid"/>
              <a:round/>
            </a:ln>
            <a:effectLst/>
          </c:spPr>
        </c:majorGridlines>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62080"/>
        <c:crosses val="autoZero"/>
        <c:auto val="1"/>
        <c:lblAlgn val="ctr"/>
        <c:lblOffset val="100"/>
        <c:noMultiLvlLbl val="0"/>
      </c:catAx>
      <c:valAx>
        <c:axId val="4126208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12334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81360137704181"/>
          <c:y val="0.768487027366369"/>
          <c:w val="0.680555555555556"/>
          <c:h val="0.06705364291433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Sheet1!$C$1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931390714369144"/>
                  <c:y val="-0.30465519991614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一般公共预算财政拨款收入, </a:t>
                    </a:r>
                    <a:r>
                      <a:rPr lang="en-US" altLang="zh-CN"/>
                      <a:t>97.9%</a:t>
                    </a:r>
                    <a:endParaRPr lang="en-US" altLang="zh-CN" u="heavy"/>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90929236223964"/>
                  <c:y val="0.122744629006393"/>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其他收入</a:t>
                    </a:r>
                    <a:r>
                      <a:rPr lang="en-US" altLang="zh-CN"/>
                      <a:t>2.1%</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一般公共预算财政拨款收入</c:v>
                </c:pt>
                <c:pt idx="1">
                  <c:v>其他收入</c:v>
                </c:pt>
              </c:strCache>
            </c:strRef>
          </c:cat>
          <c:val>
            <c:numRef>
              <c:f>Sheet1!$C$2:$C$3</c:f>
              <c:numCache>
                <c:formatCode>General</c:formatCode>
                <c:ptCount val="2"/>
                <c:pt idx="0">
                  <c:v>496.43</c:v>
                </c:pt>
                <c:pt idx="1">
                  <c:v>50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030669665167"/>
          <c:y val="0.0468716285347801"/>
          <c:w val="0.442214871278585"/>
          <c:h val="0.700870754501937"/>
        </c:manualLayout>
      </c:layout>
      <c:pieChart>
        <c:varyColors val="1"/>
        <c:ser>
          <c:idx val="1"/>
          <c:order val="0"/>
          <c:tx>
            <c:strRef>
              <c:f>Sheet1!$C$1</c:f>
              <c:strCache>
                <c:ptCount val="1"/>
                <c:pt idx="0">
                  <c:v>列1</c:v>
                </c:pt>
              </c:strCache>
            </c:strRef>
          </c:tx>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173872099278328"/>
                  <c:y val="-0.176728995008941"/>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基本支出, </a:t>
                    </a:r>
                  </a:p>
                  <a:p>
                    <a:pPr>
                      <a:defRPr lang="zh-CN" sz="900" b="0" i="0" u="none" strike="noStrike" kern="1200" baseline="0">
                        <a:solidFill>
                          <a:schemeClr val="tx1">
                            <a:lumMod val="75000"/>
                            <a:lumOff val="25000"/>
                          </a:schemeClr>
                        </a:solidFill>
                        <a:latin typeface="+mn-lt"/>
                        <a:ea typeface="+mn-ea"/>
                        <a:cs typeface="+mn-cs"/>
                      </a:defRPr>
                    </a:pPr>
                    <a:r>
                      <a:rPr lang="en-US" altLang="zh-CN"/>
                      <a:t>249.6</a:t>
                    </a:r>
                    <a:r>
                      <a:rPr altLang="en-US"/>
                      <a:t>万</a:t>
                    </a:r>
                    <a:r>
                      <a:t>元</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项目支出, </a:t>
                    </a:r>
                    <a:r>
                      <a:rPr lang="en-US"/>
                      <a:t>126.88</a:t>
                    </a:r>
                    <a:r>
                      <a:t>万元</a:t>
                    </a: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Sheet1!$C$2:$C$3</c:f>
              <c:numCache>
                <c:formatCode>General</c:formatCode>
                <c:ptCount val="2"/>
                <c:pt idx="0">
                  <c:v>249.6</c:v>
                </c:pt>
                <c:pt idx="1">
                  <c:v>126.88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00546526679131"/>
          <c:y val="0.75836899068713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463502211679"/>
          <c:y val="0.113969580746134"/>
          <c:w val="0.677372125762553"/>
          <c:h val="0.598249129838625"/>
        </c:manualLayout>
      </c:layout>
      <c:barChart>
        <c:barDir val="col"/>
        <c:grouping val="clustered"/>
        <c:varyColors val="0"/>
        <c:ser>
          <c:idx val="2"/>
          <c:order val="0"/>
          <c:tx>
            <c:strRef>
              <c:f>Sheet1!$D$1</c:f>
              <c:strCache>
                <c:ptCount val="1"/>
                <c:pt idx="0">
                  <c:v>2021年收支</c:v>
                </c:pt>
              </c:strCache>
            </c:strRef>
          </c:tx>
          <c:spPr>
            <a:solidFill>
              <a:srgbClr val="92D05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552.43</c:v>
                </c:pt>
              </c:numCache>
            </c:numRef>
          </c:val>
        </c:ser>
        <c:ser>
          <c:idx val="3"/>
          <c:order val="1"/>
          <c:tx>
            <c:strRef>
              <c:f>Sheet1!$E$1</c:f>
              <c:strCache>
                <c:ptCount val="1"/>
                <c:pt idx="0">
                  <c:v>2022年收支</c:v>
                </c:pt>
              </c:strCache>
            </c:strRef>
          </c:tx>
          <c:spPr>
            <a:solidFill>
              <a:srgbClr val="FF000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372</c:v>
                </c:pt>
              </c:numCache>
            </c:numRef>
          </c:val>
        </c:ser>
        <c:dLbls>
          <c:showLegendKey val="0"/>
          <c:showVal val="1"/>
          <c:showCatName val="0"/>
          <c:showSerName val="0"/>
          <c:showPercent val="0"/>
          <c:showBubbleSize val="0"/>
        </c:dLbls>
        <c:gapWidth val="267"/>
        <c:overlap val="-43"/>
        <c:axId val="41233408"/>
        <c:axId val="41262080"/>
      </c:barChart>
      <c:catAx>
        <c:axId val="41233408"/>
        <c:scaling>
          <c:orientation val="minMax"/>
        </c:scaling>
        <c:delete val="1"/>
        <c:axPos val="b"/>
        <c:majorGridlines>
          <c:spPr>
            <a:ln w="9525" cap="flat" cmpd="sng" algn="ctr">
              <a:solidFill>
                <a:schemeClr val="dk1">
                  <a:lumMod val="15000"/>
                  <a:lumOff val="85000"/>
                </a:schemeClr>
              </a:solidFill>
              <a:prstDash val="solid"/>
              <a:round/>
            </a:ln>
            <a:effectLst/>
          </c:spPr>
        </c:majorGridlines>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62080"/>
        <c:crosses val="autoZero"/>
        <c:auto val="1"/>
        <c:lblAlgn val="ctr"/>
        <c:lblOffset val="100"/>
        <c:noMultiLvlLbl val="0"/>
      </c:catAx>
      <c:valAx>
        <c:axId val="4126208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12334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78579049188017"/>
          <c:y val="0.770171727283939"/>
          <c:w val="0.680555555555556"/>
          <c:h val="0.06705364291433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0387235024839"/>
          <c:y val="0.142266294865492"/>
          <c:w val="0.903965006349654"/>
          <c:h val="0.847266154541347"/>
        </c:manualLayout>
      </c:layout>
      <c:barChart>
        <c:barDir val="col"/>
        <c:grouping val="clustered"/>
        <c:varyColors val="0"/>
        <c:ser>
          <c:idx val="2"/>
          <c:order val="0"/>
          <c:tx>
            <c:strRef>
              <c:f>Sheet1!$D$1</c:f>
              <c:strCache>
                <c:ptCount val="1"/>
                <c:pt idx="0">
                  <c:v>2021年支出</c:v>
                </c:pt>
              </c:strCache>
            </c:strRef>
          </c:tx>
          <c:spPr>
            <a:solidFill>
              <a:srgbClr val="92D05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468.99</c:v>
                </c:pt>
              </c:numCache>
            </c:numRef>
          </c:val>
        </c:ser>
        <c:ser>
          <c:idx val="3"/>
          <c:order val="1"/>
          <c:tx>
            <c:strRef>
              <c:f>Sheet1!$E$1</c:f>
              <c:strCache>
                <c:ptCount val="1"/>
                <c:pt idx="0">
                  <c:v>2022年支出</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368.55</c:v>
                </c:pt>
              </c:numCache>
            </c:numRef>
          </c:val>
        </c:ser>
        <c:dLbls>
          <c:showLegendKey val="0"/>
          <c:showVal val="1"/>
          <c:showCatName val="0"/>
          <c:showSerName val="0"/>
          <c:showPercent val="0"/>
          <c:showBubbleSize val="0"/>
        </c:dLbls>
        <c:gapWidth val="219"/>
        <c:overlap val="-27"/>
        <c:axId val="43118592"/>
        <c:axId val="43120128"/>
      </c:barChart>
      <c:catAx>
        <c:axId val="43118592"/>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120128"/>
        <c:crosses val="autoZero"/>
        <c:auto val="1"/>
        <c:lblAlgn val="ctr"/>
        <c:lblOffset val="100"/>
        <c:noMultiLvlLbl val="0"/>
      </c:catAx>
      <c:valAx>
        <c:axId val="431201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118592"/>
        <c:crosses val="autoZero"/>
        <c:crossBetween val="between"/>
      </c:valAx>
      <c:spPr>
        <a:noFill/>
        <a:ln>
          <a:noFill/>
        </a:ln>
        <a:effectLst/>
      </c:spPr>
    </c:plotArea>
    <c:legend>
      <c:legendPos val="b"/>
      <c:layout>
        <c:manualLayout>
          <c:xMode val="edge"/>
          <c:yMode val="edge"/>
          <c:x val="0.280804582389771"/>
          <c:y val="0.896876964996855"/>
          <c:w val="0.487811376049021"/>
          <c:h val="0.07021588765457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081061399117"/>
          <c:y val="0.00259552010264666"/>
          <c:w val="0.528466387510809"/>
          <c:h val="0.702726249341815"/>
        </c:manualLayout>
      </c:layout>
      <c:pieChart>
        <c:varyColors val="1"/>
        <c:ser>
          <c:idx val="0"/>
          <c:order val="0"/>
          <c:tx>
            <c:strRef>
              <c:f>Sheet1!$B$1</c:f>
              <c:strCache>
                <c:ptCount val="1"/>
                <c:pt idx="0">
                  <c:v>列1</c:v>
                </c:pt>
              </c:strCache>
            </c:strRef>
          </c:tx>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0.0883960279315258"/>
                  <c:y val="0.0236309205494108"/>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solidFill>
                          <a:schemeClr val="tx1"/>
                        </a:solidFill>
                      </a:rPr>
                      <a:t>84.7</a:t>
                    </a:r>
                    <a:r>
                      <a:rPr>
                        <a:solidFill>
                          <a:schemeClr val="tx1"/>
                        </a:solidFill>
                      </a:rPr>
                      <a:t>%</a:t>
                    </a:r>
                    <a:endParaRPr>
                      <a:solidFill>
                        <a:schemeClr val="tx1"/>
                      </a:solidFill>
                    </a:endParaRPr>
                  </a:p>
                </c:rich>
              </c:tx>
              <c:dLblPos val="bestFit"/>
              <c:showLegendKey val="0"/>
              <c:showVal val="0"/>
              <c:showCatName val="0"/>
              <c:showSerName val="0"/>
              <c:showPercent val="1"/>
              <c:showBubbleSize val="0"/>
              <c:extLst>
                <c:ext xmlns:c15="http://schemas.microsoft.com/office/drawing/2012/chart" uri="{CE6537A1-D6FC-4f65-9D91-7224C49458BB}">
                  <c15:layout>
                    <c:manualLayout>
                      <c:w val="0.133381502890173"/>
                      <c:h val="0.0945426594926979"/>
                    </c:manualLayout>
                  </c15:layout>
                </c:ext>
              </c:extLst>
            </c:dLbl>
            <c:dLbl>
              <c:idx val="1"/>
              <c:layout>
                <c:manualLayout>
                  <c:x val="-0.108576350210888"/>
                  <c:y val="-0.130976404279004"/>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solidFill>
                          <a:schemeClr val="tx1"/>
                        </a:solidFill>
                      </a:rPr>
                      <a:t>8</a:t>
                    </a:r>
                    <a:r>
                      <a:rPr>
                        <a:solidFill>
                          <a:schemeClr val="tx1"/>
                        </a:solidFill>
                      </a:rPr>
                      <a:t>%</a:t>
                    </a:r>
                    <a:endParaRPr>
                      <a:solidFill>
                        <a:schemeClr val="tx1"/>
                      </a:solidFill>
                    </a:endParaRPr>
                  </a:p>
                </c:rich>
              </c:tx>
              <c:dLblPos val="bestFit"/>
              <c:showLegendKey val="0"/>
              <c:showVal val="0"/>
              <c:showCatName val="0"/>
              <c:showSerName val="0"/>
              <c:showPercent val="1"/>
              <c:showBubbleSize val="0"/>
              <c:extLst>
                <c:ext xmlns:c15="http://schemas.microsoft.com/office/drawing/2012/chart" uri="{CE6537A1-D6FC-4f65-9D91-7224C49458BB}">
                  <c15:layout>
                    <c:manualLayout>
                      <c:w val="0.101589595375723"/>
                      <c:h val="0.0680245964642583"/>
                    </c:manualLayout>
                  </c15:layout>
                </c:ext>
              </c:extLst>
            </c:dLbl>
            <c:dLbl>
              <c:idx val="2"/>
              <c:layout>
                <c:manualLayout>
                  <c:x val="0.0243752677263516"/>
                  <c:y val="0.0553029314361345"/>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t>2.1</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0917210416914514"/>
                  <c:y val="0"/>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t>5.2</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Sheet1!$B$2:$B$5</c:f>
              <c:numCache>
                <c:formatCode>General</c:formatCode>
                <c:ptCount val="4"/>
                <c:pt idx="0">
                  <c:v>312.29</c:v>
                </c:pt>
                <c:pt idx="1">
                  <c:v>29.59</c:v>
                </c:pt>
                <c:pt idx="2">
                  <c:v>7.57</c:v>
                </c:pt>
                <c:pt idx="3">
                  <c:v>19.11</c:v>
                </c:pt>
              </c:numCache>
            </c:numRef>
          </c:val>
        </c:ser>
        <c:ser>
          <c:idx val="1"/>
          <c:order val="1"/>
          <c:tx>
            <c:strRef>
              <c:f>Sheet1!$C$1</c:f>
              <c:strCache>
                <c:ptCount val="1"/>
                <c:pt idx="0">
                  <c:v>列2</c:v>
                </c:pt>
              </c:strCache>
            </c:strRef>
          </c:tx>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Sheet1!$C$2:$C$5</c:f>
              <c:numCache>
                <c:formatCode>General</c:formatCode>
                <c:ptCount val="4"/>
                <c:pt idx="0">
                  <c:v>393.87</c:v>
                </c:pt>
                <c:pt idx="1">
                  <c:v>45.21</c:v>
                </c:pt>
                <c:pt idx="2">
                  <c:v>8.17</c:v>
                </c:pt>
                <c:pt idx="3">
                  <c:v>21.08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2023-10-19T08:30:00Z</dcterms:created>
  <dc:creator>Administrator</dc:creator>
  <cp:lastModifiedBy>醉纸一坛秋</cp:lastModifiedBy>
  <dcterms:modified xsi:type="dcterms:W3CDTF">2023-11-29T07:00:07Z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722B10EF00EA4949950B056A9564C1B8_13</vt:lpwstr>
  </property>
</Properties>
</file>